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F41D7">
      <w:pPr>
        <w:jc w:val="center"/>
        <w:rPr>
          <w:rFonts w:ascii="宋体" w:hAnsi="宋体" w:cs="宋体"/>
          <w:bCs/>
          <w:color w:val="auto"/>
          <w:spacing w:val="20"/>
          <w:sz w:val="48"/>
          <w:szCs w:val="28"/>
        </w:rPr>
      </w:pPr>
    </w:p>
    <w:p w14:paraId="0259D94C">
      <w:pPr>
        <w:jc w:val="center"/>
        <w:rPr>
          <w:rFonts w:ascii="宋体" w:hAnsi="宋体" w:cs="宋体"/>
          <w:bCs/>
          <w:color w:val="auto"/>
          <w:sz w:val="72"/>
          <w:szCs w:val="72"/>
        </w:rPr>
      </w:pPr>
      <w:r>
        <w:rPr>
          <w:rFonts w:hint="eastAsia" w:ascii="宋体" w:hAnsi="宋体" w:cs="宋体"/>
          <w:bCs/>
          <w:color w:val="auto"/>
          <w:spacing w:val="20"/>
          <w:sz w:val="44"/>
        </w:rPr>
        <w:t>江苏商贸职业学院校园一卡通超融合一体机采购项目</w:t>
      </w:r>
    </w:p>
    <w:p w14:paraId="71122EC0">
      <w:pPr>
        <w:jc w:val="center"/>
        <w:rPr>
          <w:rFonts w:ascii="宋体" w:hAnsi="宋体" w:cs="宋体"/>
          <w:bCs/>
          <w:color w:val="auto"/>
          <w:sz w:val="72"/>
          <w:szCs w:val="72"/>
        </w:rPr>
      </w:pPr>
    </w:p>
    <w:p w14:paraId="716E1B64">
      <w:pPr>
        <w:jc w:val="center"/>
        <w:rPr>
          <w:rFonts w:ascii="宋体" w:hAnsi="宋体" w:cs="宋体"/>
          <w:bCs/>
          <w:color w:val="auto"/>
          <w:sz w:val="72"/>
          <w:szCs w:val="72"/>
        </w:rPr>
      </w:pPr>
    </w:p>
    <w:p w14:paraId="5AD3C63F">
      <w:pPr>
        <w:jc w:val="center"/>
        <w:rPr>
          <w:rFonts w:ascii="宋体" w:hAnsi="宋体" w:cs="宋体"/>
          <w:bCs/>
          <w:color w:val="auto"/>
          <w:sz w:val="100"/>
          <w:szCs w:val="100"/>
        </w:rPr>
      </w:pPr>
      <w:r>
        <w:rPr>
          <w:rFonts w:hint="eastAsia" w:ascii="宋体" w:hAnsi="宋体" w:cs="宋体"/>
          <w:bCs/>
          <w:color w:val="auto"/>
          <w:sz w:val="72"/>
          <w:szCs w:val="72"/>
        </w:rPr>
        <w:t>公开招标文件</w:t>
      </w:r>
    </w:p>
    <w:p w14:paraId="22D763EC">
      <w:pPr>
        <w:jc w:val="center"/>
        <w:rPr>
          <w:rFonts w:ascii="宋体" w:hAnsi="宋体" w:cs="宋体"/>
          <w:bCs/>
          <w:color w:val="auto"/>
          <w:sz w:val="36"/>
          <w:szCs w:val="36"/>
          <w:highlight w:val="yellow"/>
        </w:rPr>
      </w:pPr>
      <w:r>
        <w:rPr>
          <w:rFonts w:hint="eastAsia" w:ascii="宋体" w:hAnsi="宋体" w:cs="宋体"/>
          <w:bCs/>
          <w:color w:val="auto"/>
          <w:sz w:val="36"/>
          <w:szCs w:val="36"/>
        </w:rPr>
        <w:t>采购文件编号：JSSYCG20250623030</w:t>
      </w:r>
    </w:p>
    <w:p w14:paraId="4EA70AB1">
      <w:pPr>
        <w:spacing w:line="500" w:lineRule="exact"/>
        <w:jc w:val="center"/>
        <w:rPr>
          <w:rFonts w:ascii="宋体" w:hAnsi="宋体" w:cs="宋体"/>
          <w:b/>
          <w:color w:val="auto"/>
          <w:sz w:val="36"/>
        </w:rPr>
      </w:pPr>
    </w:p>
    <w:p w14:paraId="01C46FF8">
      <w:pPr>
        <w:spacing w:line="500" w:lineRule="exact"/>
        <w:jc w:val="center"/>
        <w:rPr>
          <w:rFonts w:ascii="宋体" w:hAnsi="宋体" w:cs="宋体"/>
          <w:b/>
          <w:color w:val="auto"/>
          <w:sz w:val="36"/>
        </w:rPr>
      </w:pPr>
    </w:p>
    <w:p w14:paraId="1F6F8022">
      <w:pPr>
        <w:spacing w:line="500" w:lineRule="exact"/>
        <w:jc w:val="center"/>
        <w:rPr>
          <w:rFonts w:ascii="宋体" w:hAnsi="宋体" w:cs="宋体"/>
          <w:b/>
          <w:color w:val="auto"/>
          <w:sz w:val="36"/>
        </w:rPr>
      </w:pPr>
    </w:p>
    <w:p w14:paraId="02F4ECD2">
      <w:pPr>
        <w:spacing w:line="500" w:lineRule="exact"/>
        <w:rPr>
          <w:rFonts w:ascii="宋体" w:hAnsi="宋体" w:cs="宋体"/>
          <w:color w:val="auto"/>
        </w:rPr>
      </w:pPr>
    </w:p>
    <w:p w14:paraId="787ACB45">
      <w:pPr>
        <w:spacing w:line="500" w:lineRule="exact"/>
        <w:jc w:val="center"/>
        <w:rPr>
          <w:rFonts w:ascii="宋体" w:hAnsi="宋体" w:cs="宋体"/>
          <w:color w:val="auto"/>
          <w:sz w:val="32"/>
        </w:rPr>
      </w:pPr>
    </w:p>
    <w:p w14:paraId="742FDE7E">
      <w:pPr>
        <w:spacing w:line="500" w:lineRule="exact"/>
        <w:jc w:val="center"/>
        <w:rPr>
          <w:rFonts w:ascii="宋体" w:hAnsi="宋体" w:cs="宋体"/>
          <w:color w:val="auto"/>
          <w:sz w:val="32"/>
        </w:rPr>
      </w:pPr>
    </w:p>
    <w:p w14:paraId="2A9DD0D7">
      <w:pPr>
        <w:spacing w:line="500" w:lineRule="exact"/>
        <w:jc w:val="center"/>
        <w:rPr>
          <w:rFonts w:ascii="宋体" w:hAnsi="宋体" w:cs="宋体"/>
          <w:color w:val="auto"/>
          <w:sz w:val="32"/>
        </w:rPr>
      </w:pPr>
    </w:p>
    <w:p w14:paraId="47704503">
      <w:pPr>
        <w:pStyle w:val="12"/>
        <w:rPr>
          <w:rFonts w:ascii="宋体" w:hAnsi="宋体" w:cs="宋体"/>
          <w:color w:val="auto"/>
          <w:sz w:val="32"/>
        </w:rPr>
      </w:pPr>
    </w:p>
    <w:p w14:paraId="159EEADA">
      <w:pPr>
        <w:pStyle w:val="34"/>
        <w:ind w:firstLine="320"/>
        <w:rPr>
          <w:rFonts w:ascii="宋体" w:hAnsi="宋体" w:cs="宋体"/>
          <w:color w:val="auto"/>
          <w:sz w:val="32"/>
        </w:rPr>
      </w:pPr>
    </w:p>
    <w:p w14:paraId="014F06FD">
      <w:pPr>
        <w:pStyle w:val="34"/>
        <w:ind w:firstLine="0" w:firstLineChars="0"/>
        <w:rPr>
          <w:rFonts w:ascii="宋体" w:hAnsi="宋体" w:cs="宋体"/>
          <w:color w:val="auto"/>
          <w:sz w:val="32"/>
        </w:rPr>
      </w:pPr>
    </w:p>
    <w:p w14:paraId="49B8F5F0">
      <w:pPr>
        <w:rPr>
          <w:rFonts w:ascii="宋体" w:hAnsi="宋体" w:cs="宋体"/>
          <w:color w:val="auto"/>
        </w:rPr>
      </w:pPr>
    </w:p>
    <w:p w14:paraId="72AD2103">
      <w:pPr>
        <w:pStyle w:val="78"/>
        <w:ind w:firstLine="0"/>
        <w:rPr>
          <w:rFonts w:ascii="宋体" w:hAnsi="宋体" w:cs="宋体"/>
          <w:b/>
          <w:color w:val="auto"/>
          <w:spacing w:val="20"/>
          <w:sz w:val="44"/>
        </w:rPr>
      </w:pPr>
      <w:r>
        <w:rPr>
          <w:rFonts w:hint="eastAsia" w:ascii="宋体" w:hAnsi="宋体" w:cs="宋体"/>
          <w:b/>
          <w:color w:val="auto"/>
          <w:spacing w:val="20"/>
          <w:sz w:val="44"/>
        </w:rPr>
        <w:t>江苏商贸职业学院</w:t>
      </w:r>
    </w:p>
    <w:p w14:paraId="5AAFBEA9">
      <w:pPr>
        <w:adjustRightInd w:val="0"/>
        <w:spacing w:before="120" w:after="120" w:line="500" w:lineRule="exact"/>
        <w:ind w:left="-2" w:right="120"/>
        <w:jc w:val="center"/>
        <w:textAlignment w:val="baseline"/>
        <w:rPr>
          <w:rFonts w:ascii="宋体" w:hAnsi="宋体" w:cs="宋体"/>
          <w:b/>
          <w:snapToGrid w:val="0"/>
          <w:color w:val="auto"/>
          <w:sz w:val="26"/>
          <w:szCs w:val="28"/>
          <w:u w:val="single"/>
        </w:rPr>
      </w:pPr>
      <w:r>
        <w:rPr>
          <w:rFonts w:hint="eastAsia" w:ascii="宋体" w:hAnsi="宋体" w:cs="宋体"/>
          <w:b/>
          <w:bCs/>
          <w:color w:val="auto"/>
          <w:sz w:val="32"/>
        </w:rPr>
        <w:t xml:space="preserve">2025年 6月 </w:t>
      </w:r>
      <w:r>
        <w:rPr>
          <w:rFonts w:hint="eastAsia" w:ascii="宋体" w:hAnsi="宋体" w:cs="宋体"/>
          <w:b/>
          <w:bCs/>
          <w:color w:val="auto"/>
          <w:sz w:val="32"/>
          <w:lang w:val="en-US" w:eastAsia="zh-CN"/>
        </w:rPr>
        <w:t>30</w:t>
      </w:r>
      <w:r>
        <w:rPr>
          <w:rFonts w:ascii="宋体" w:hAnsi="宋体" w:cs="宋体"/>
          <w:b/>
          <w:bCs/>
          <w:color w:val="auto"/>
          <w:sz w:val="32"/>
        </w:rPr>
        <w:t xml:space="preserve"> </w:t>
      </w:r>
      <w:r>
        <w:rPr>
          <w:rFonts w:hint="eastAsia" w:ascii="宋体" w:hAnsi="宋体" w:cs="宋体"/>
          <w:b/>
          <w:bCs/>
          <w:color w:val="auto"/>
          <w:sz w:val="32"/>
        </w:rPr>
        <w:t xml:space="preserve">日    </w:t>
      </w:r>
      <w:r>
        <w:rPr>
          <w:rFonts w:hint="eastAsia" w:ascii="宋体" w:hAnsi="宋体" w:cs="宋体"/>
          <w:b/>
          <w:snapToGrid w:val="0"/>
          <w:color w:val="auto"/>
          <w:sz w:val="26"/>
          <w:szCs w:val="28"/>
          <w:u w:val="single"/>
        </w:rPr>
        <w:t xml:space="preserve">                                              </w:t>
      </w:r>
    </w:p>
    <w:p w14:paraId="4A417E56">
      <w:pPr>
        <w:adjustRightInd w:val="0"/>
        <w:snapToGrid w:val="0"/>
        <w:ind w:left="-158" w:leftChars="-75"/>
        <w:rPr>
          <w:rFonts w:ascii="宋体" w:hAnsi="宋体" w:cs="宋体"/>
          <w:snapToGrid w:val="0"/>
          <w:color w:val="auto"/>
          <w:sz w:val="30"/>
          <w:szCs w:val="30"/>
        </w:rPr>
      </w:pPr>
      <w:r>
        <w:rPr>
          <w:rFonts w:hint="eastAsia" w:ascii="宋体" w:hAnsi="宋体" w:cs="宋体"/>
          <w:snapToGrid w:val="0"/>
          <w:color w:val="auto"/>
          <w:sz w:val="30"/>
          <w:szCs w:val="30"/>
        </w:rPr>
        <w:t xml:space="preserve">                     </w:t>
      </w:r>
    </w:p>
    <w:p w14:paraId="15DAB67B">
      <w:pPr>
        <w:rPr>
          <w:rFonts w:ascii="宋体" w:hAnsi="宋体" w:cs="宋体"/>
          <w:color w:val="auto"/>
          <w:sz w:val="44"/>
          <w:szCs w:val="44"/>
        </w:rPr>
      </w:pPr>
      <w:r>
        <w:rPr>
          <w:rFonts w:hint="eastAsia" w:ascii="宋体" w:hAnsi="宋体" w:cs="宋体"/>
          <w:color w:val="auto"/>
          <w:sz w:val="44"/>
          <w:szCs w:val="44"/>
        </w:rPr>
        <w:br w:type="page"/>
      </w:r>
    </w:p>
    <w:p w14:paraId="21FAA328">
      <w:pPr>
        <w:adjustRightInd w:val="0"/>
        <w:snapToGrid w:val="0"/>
        <w:spacing w:line="500" w:lineRule="exact"/>
        <w:ind w:left="-158" w:leftChars="-75" w:right="-601" w:rightChars="-286"/>
        <w:jc w:val="center"/>
        <w:rPr>
          <w:rFonts w:ascii="宋体" w:hAnsi="宋体" w:cs="宋体"/>
          <w:color w:val="auto"/>
          <w:sz w:val="32"/>
          <w:szCs w:val="32"/>
        </w:rPr>
      </w:pPr>
      <w:r>
        <w:rPr>
          <w:rFonts w:hint="eastAsia" w:ascii="宋体" w:hAnsi="宋体" w:cs="宋体"/>
          <w:color w:val="auto"/>
          <w:sz w:val="44"/>
          <w:szCs w:val="44"/>
        </w:rPr>
        <w:t>目 录</w:t>
      </w:r>
    </w:p>
    <w:p w14:paraId="60CF815B">
      <w:pPr>
        <w:tabs>
          <w:tab w:val="left" w:pos="7740"/>
        </w:tabs>
        <w:adjustRightInd w:val="0"/>
        <w:snapToGrid w:val="0"/>
        <w:spacing w:line="360" w:lineRule="auto"/>
        <w:ind w:firstLine="640" w:firstLineChars="200"/>
        <w:rPr>
          <w:rFonts w:ascii="宋体" w:hAnsi="宋体" w:cs="宋体"/>
          <w:bCs/>
          <w:color w:val="auto"/>
          <w:sz w:val="32"/>
          <w:szCs w:val="32"/>
        </w:rPr>
      </w:pPr>
    </w:p>
    <w:p w14:paraId="4EB79696">
      <w:pPr>
        <w:tabs>
          <w:tab w:val="left" w:pos="7740"/>
        </w:tabs>
        <w:adjustRightInd w:val="0"/>
        <w:snapToGrid w:val="0"/>
        <w:spacing w:line="360" w:lineRule="auto"/>
        <w:ind w:firstLine="640" w:firstLineChars="200"/>
        <w:rPr>
          <w:rFonts w:ascii="宋体" w:hAnsi="宋体" w:cs="宋体"/>
          <w:color w:val="auto"/>
          <w:spacing w:val="2"/>
          <w:sz w:val="32"/>
          <w:szCs w:val="32"/>
        </w:rPr>
      </w:pPr>
      <w:r>
        <w:rPr>
          <w:rFonts w:hint="eastAsia" w:ascii="宋体" w:hAnsi="宋体" w:cs="宋体"/>
          <w:bCs/>
          <w:color w:val="auto"/>
          <w:sz w:val="32"/>
          <w:szCs w:val="32"/>
        </w:rPr>
        <w:t>第一部分  投标邀请</w:t>
      </w:r>
    </w:p>
    <w:p w14:paraId="157229EF">
      <w:pPr>
        <w:tabs>
          <w:tab w:val="left" w:pos="7740"/>
        </w:tabs>
        <w:adjustRightInd w:val="0"/>
        <w:snapToGrid w:val="0"/>
        <w:spacing w:line="360" w:lineRule="auto"/>
        <w:ind w:firstLine="640" w:firstLineChars="200"/>
        <w:rPr>
          <w:rFonts w:ascii="宋体" w:hAnsi="宋体" w:cs="宋体"/>
          <w:color w:val="auto"/>
          <w:spacing w:val="2"/>
          <w:sz w:val="32"/>
          <w:szCs w:val="32"/>
        </w:rPr>
      </w:pPr>
      <w:r>
        <w:rPr>
          <w:rFonts w:hint="eastAsia" w:ascii="宋体" w:hAnsi="宋体" w:cs="宋体"/>
          <w:bCs/>
          <w:color w:val="auto"/>
          <w:sz w:val="32"/>
          <w:szCs w:val="32"/>
        </w:rPr>
        <w:t>第二部分  投标须知</w:t>
      </w:r>
    </w:p>
    <w:p w14:paraId="2C88C5B0">
      <w:pPr>
        <w:tabs>
          <w:tab w:val="left" w:pos="7740"/>
        </w:tabs>
        <w:adjustRightInd w:val="0"/>
        <w:snapToGrid w:val="0"/>
        <w:spacing w:line="360" w:lineRule="auto"/>
        <w:ind w:firstLine="640" w:firstLineChars="200"/>
        <w:rPr>
          <w:rFonts w:ascii="宋体" w:hAnsi="宋体" w:cs="宋体"/>
          <w:color w:val="auto"/>
          <w:spacing w:val="2"/>
          <w:sz w:val="32"/>
          <w:szCs w:val="32"/>
        </w:rPr>
      </w:pPr>
      <w:r>
        <w:rPr>
          <w:rFonts w:hint="eastAsia" w:ascii="宋体" w:hAnsi="宋体" w:cs="宋体"/>
          <w:bCs/>
          <w:color w:val="auto"/>
          <w:sz w:val="32"/>
          <w:szCs w:val="32"/>
        </w:rPr>
        <w:t>第三部分  项目需求</w:t>
      </w:r>
    </w:p>
    <w:p w14:paraId="181B7D33">
      <w:pPr>
        <w:tabs>
          <w:tab w:val="left" w:pos="7740"/>
        </w:tabs>
        <w:adjustRightInd w:val="0"/>
        <w:snapToGrid w:val="0"/>
        <w:spacing w:line="360" w:lineRule="auto"/>
        <w:ind w:firstLine="640" w:firstLineChars="200"/>
        <w:rPr>
          <w:rFonts w:ascii="宋体" w:hAnsi="宋体" w:cs="宋体"/>
          <w:color w:val="auto"/>
          <w:spacing w:val="2"/>
          <w:sz w:val="32"/>
          <w:szCs w:val="32"/>
        </w:rPr>
      </w:pPr>
      <w:r>
        <w:rPr>
          <w:rFonts w:hint="eastAsia" w:ascii="宋体" w:hAnsi="宋体" w:cs="宋体"/>
          <w:color w:val="auto"/>
          <w:sz w:val="32"/>
          <w:szCs w:val="32"/>
        </w:rPr>
        <w:t xml:space="preserve">第四部分  </w:t>
      </w:r>
      <w:r>
        <w:rPr>
          <w:rFonts w:hint="eastAsia" w:ascii="宋体" w:hAnsi="宋体" w:cs="宋体"/>
          <w:bCs/>
          <w:color w:val="auto"/>
          <w:sz w:val="32"/>
          <w:szCs w:val="32"/>
        </w:rPr>
        <w:t>开标和评标</w:t>
      </w:r>
    </w:p>
    <w:p w14:paraId="49B1D60F">
      <w:pPr>
        <w:tabs>
          <w:tab w:val="left" w:pos="7740"/>
        </w:tabs>
        <w:adjustRightInd w:val="0"/>
        <w:snapToGrid w:val="0"/>
        <w:spacing w:line="360" w:lineRule="auto"/>
        <w:ind w:firstLine="640" w:firstLineChars="200"/>
        <w:rPr>
          <w:rFonts w:ascii="宋体" w:hAnsi="宋体" w:cs="宋体"/>
          <w:bCs/>
          <w:color w:val="auto"/>
          <w:sz w:val="32"/>
          <w:szCs w:val="32"/>
        </w:rPr>
      </w:pPr>
      <w:r>
        <w:rPr>
          <w:rFonts w:hint="eastAsia" w:ascii="宋体" w:hAnsi="宋体" w:cs="宋体"/>
          <w:bCs/>
          <w:color w:val="auto"/>
          <w:sz w:val="32"/>
          <w:szCs w:val="32"/>
        </w:rPr>
        <w:t>第五部分  合同主要条款</w:t>
      </w:r>
    </w:p>
    <w:p w14:paraId="2DB15A75">
      <w:pPr>
        <w:tabs>
          <w:tab w:val="left" w:pos="7740"/>
        </w:tabs>
        <w:adjustRightInd w:val="0"/>
        <w:snapToGrid w:val="0"/>
        <w:spacing w:line="360" w:lineRule="auto"/>
        <w:ind w:firstLine="640" w:firstLineChars="200"/>
        <w:rPr>
          <w:rFonts w:ascii="宋体" w:hAnsi="宋体" w:cs="宋体"/>
          <w:bCs/>
          <w:color w:val="auto"/>
          <w:sz w:val="32"/>
          <w:szCs w:val="32"/>
        </w:rPr>
      </w:pPr>
      <w:r>
        <w:rPr>
          <w:rFonts w:hint="eastAsia" w:ascii="宋体" w:hAnsi="宋体" w:cs="宋体"/>
          <w:bCs/>
          <w:color w:val="auto"/>
          <w:sz w:val="32"/>
          <w:szCs w:val="32"/>
        </w:rPr>
        <w:t>第六部分  质疑与投诉</w:t>
      </w:r>
    </w:p>
    <w:p w14:paraId="3BCAC7BC">
      <w:pPr>
        <w:tabs>
          <w:tab w:val="left" w:pos="7740"/>
        </w:tabs>
        <w:adjustRightInd w:val="0"/>
        <w:snapToGrid w:val="0"/>
        <w:spacing w:line="360" w:lineRule="auto"/>
        <w:ind w:firstLine="640" w:firstLineChars="200"/>
        <w:rPr>
          <w:rFonts w:ascii="宋体" w:hAnsi="宋体" w:cs="宋体"/>
          <w:color w:val="auto"/>
          <w:spacing w:val="2"/>
          <w:sz w:val="32"/>
          <w:szCs w:val="32"/>
        </w:rPr>
      </w:pPr>
      <w:r>
        <w:rPr>
          <w:rFonts w:hint="eastAsia" w:ascii="宋体" w:hAnsi="宋体" w:cs="宋体"/>
          <w:bCs/>
          <w:color w:val="auto"/>
          <w:sz w:val="32"/>
          <w:szCs w:val="32"/>
        </w:rPr>
        <w:t>第七部分  投标文件组成</w:t>
      </w:r>
    </w:p>
    <w:p w14:paraId="4229570B">
      <w:pPr>
        <w:spacing w:line="500" w:lineRule="exact"/>
        <w:rPr>
          <w:rFonts w:ascii="宋体" w:hAnsi="宋体" w:cs="宋体"/>
          <w:b/>
          <w:color w:val="auto"/>
          <w:sz w:val="32"/>
          <w:szCs w:val="32"/>
        </w:rPr>
      </w:pPr>
    </w:p>
    <w:p w14:paraId="4A7466E2">
      <w:pPr>
        <w:tabs>
          <w:tab w:val="left" w:pos="7740"/>
        </w:tabs>
        <w:spacing w:line="500" w:lineRule="exact"/>
        <w:rPr>
          <w:rFonts w:ascii="宋体" w:hAnsi="宋体" w:cs="宋体"/>
          <w:b/>
          <w:color w:val="auto"/>
          <w:spacing w:val="2"/>
          <w:sz w:val="32"/>
          <w:szCs w:val="32"/>
        </w:rPr>
      </w:pPr>
    </w:p>
    <w:p w14:paraId="6D8BE9E2">
      <w:pPr>
        <w:tabs>
          <w:tab w:val="left" w:pos="7740"/>
        </w:tabs>
        <w:spacing w:line="500" w:lineRule="exact"/>
        <w:rPr>
          <w:rFonts w:ascii="宋体" w:hAnsi="宋体" w:cs="宋体"/>
          <w:b/>
          <w:color w:val="auto"/>
          <w:spacing w:val="2"/>
          <w:sz w:val="32"/>
          <w:szCs w:val="32"/>
        </w:rPr>
      </w:pPr>
    </w:p>
    <w:p w14:paraId="337E5EF3">
      <w:pPr>
        <w:tabs>
          <w:tab w:val="left" w:pos="7740"/>
        </w:tabs>
        <w:spacing w:line="500" w:lineRule="exact"/>
        <w:rPr>
          <w:rFonts w:ascii="宋体" w:hAnsi="宋体" w:cs="宋体"/>
          <w:b/>
          <w:bCs/>
          <w:color w:val="auto"/>
          <w:sz w:val="32"/>
          <w:szCs w:val="32"/>
        </w:rPr>
      </w:pPr>
    </w:p>
    <w:p w14:paraId="1A4293D8">
      <w:pPr>
        <w:pStyle w:val="12"/>
        <w:rPr>
          <w:rFonts w:ascii="宋体" w:hAnsi="宋体" w:cs="宋体"/>
          <w:bCs/>
          <w:color w:val="auto"/>
          <w:sz w:val="36"/>
          <w:szCs w:val="36"/>
        </w:rPr>
      </w:pPr>
    </w:p>
    <w:p w14:paraId="0E7342CE">
      <w:pPr>
        <w:rPr>
          <w:rFonts w:ascii="宋体" w:hAnsi="宋体" w:cs="宋体"/>
          <w:color w:val="auto"/>
        </w:rPr>
      </w:pPr>
    </w:p>
    <w:p w14:paraId="0D7C2C70">
      <w:pPr>
        <w:adjustRightInd w:val="0"/>
        <w:snapToGrid w:val="0"/>
        <w:spacing w:line="500" w:lineRule="exact"/>
        <w:jc w:val="center"/>
        <w:outlineLvl w:val="0"/>
        <w:rPr>
          <w:rFonts w:ascii="宋体" w:hAnsi="宋体" w:cs="宋体"/>
          <w:bCs/>
          <w:color w:val="auto"/>
          <w:sz w:val="32"/>
          <w:szCs w:val="32"/>
        </w:rPr>
      </w:pPr>
      <w:r>
        <w:rPr>
          <w:rFonts w:hint="eastAsia" w:ascii="宋体" w:hAnsi="宋体" w:cs="宋体"/>
          <w:bCs/>
          <w:color w:val="auto"/>
          <w:sz w:val="32"/>
          <w:szCs w:val="32"/>
        </w:rPr>
        <w:br w:type="page"/>
      </w:r>
      <w:r>
        <w:rPr>
          <w:rFonts w:hint="eastAsia" w:ascii="宋体" w:hAnsi="宋体" w:cs="宋体"/>
          <w:bCs/>
          <w:color w:val="auto"/>
          <w:sz w:val="32"/>
          <w:szCs w:val="32"/>
        </w:rPr>
        <w:t xml:space="preserve">第一部分  </w:t>
      </w:r>
      <w:bookmarkStart w:id="0" w:name="OLE_LINK7"/>
      <w:bookmarkStart w:id="1" w:name="OLE_LINK5"/>
      <w:r>
        <w:rPr>
          <w:rFonts w:hint="eastAsia" w:ascii="宋体" w:hAnsi="宋体" w:cs="宋体"/>
          <w:bCs/>
          <w:color w:val="auto"/>
          <w:sz w:val="32"/>
          <w:szCs w:val="32"/>
        </w:rPr>
        <w:t>投标邀请</w:t>
      </w:r>
    </w:p>
    <w:p w14:paraId="5A2FE286">
      <w:pPr>
        <w:spacing w:line="460" w:lineRule="exact"/>
        <w:ind w:firstLine="480" w:firstLineChars="200"/>
        <w:rPr>
          <w:rFonts w:ascii="宋体" w:hAnsi="宋体" w:cs="宋体"/>
          <w:color w:val="auto"/>
          <w:kern w:val="0"/>
          <w:sz w:val="24"/>
        </w:rPr>
      </w:pPr>
      <w:bookmarkStart w:id="105" w:name="_GoBack"/>
      <w:bookmarkStart w:id="2" w:name="OLE_LINK6"/>
      <w:r>
        <w:rPr>
          <w:rFonts w:hint="eastAsia" w:ascii="宋体" w:hAnsi="宋体" w:cs="宋体"/>
          <w:color w:val="auto"/>
          <w:sz w:val="24"/>
        </w:rPr>
        <w:t>受江苏商贸职业学院的委托，江苏中润工程建设咨询有限公司就江苏商贸职业学院校园一卡通超融合一体机采购项目(项目编号:JSSYCG20250623030 )进行公开招标采购，欢迎符合条件的供应商投标。</w:t>
      </w:r>
    </w:p>
    <w:p w14:paraId="5E544A93">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项目概况</w:t>
      </w:r>
    </w:p>
    <w:p w14:paraId="6E44D39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江苏商贸职业学院校园一卡通超融合一体机采购项目的潜在投标人应在江苏商贸职业学院网（</w:t>
      </w:r>
      <w:r>
        <w:rPr>
          <w:color w:val="auto"/>
        </w:rPr>
        <w:fldChar w:fldCharType="begin"/>
      </w:r>
      <w:r>
        <w:rPr>
          <w:color w:val="auto"/>
        </w:rPr>
        <w:instrText xml:space="preserve"> HYPERLINK "http://www.jsbc.edu.cn/）获取招标文件，并于2024年%2006%20月" </w:instrText>
      </w:r>
      <w:r>
        <w:rPr>
          <w:color w:val="auto"/>
        </w:rPr>
        <w:fldChar w:fldCharType="separate"/>
      </w:r>
      <w:r>
        <w:rPr>
          <w:rFonts w:hint="eastAsia" w:ascii="宋体" w:hAnsi="宋体" w:cs="宋体"/>
          <w:color w:val="auto"/>
          <w:sz w:val="24"/>
        </w:rPr>
        <w:t>http://www.jsbc.edu.cn/）获取招标文件，并于202</w:t>
      </w:r>
      <w:r>
        <w:rPr>
          <w:rFonts w:ascii="宋体" w:hAnsi="宋体" w:cs="宋体"/>
          <w:color w:val="auto"/>
          <w:sz w:val="24"/>
        </w:rPr>
        <w:t>5</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 xml:space="preserve">  月</w:t>
      </w:r>
      <w:r>
        <w:rPr>
          <w:rFonts w:hint="eastAsia" w:ascii="宋体" w:hAnsi="宋体" w:cs="宋体"/>
          <w:color w:val="auto"/>
          <w:sz w:val="24"/>
        </w:rPr>
        <w:fldChar w:fldCharType="end"/>
      </w:r>
      <w:r>
        <w:rPr>
          <w:rFonts w:hint="eastAsia" w:ascii="宋体" w:hAnsi="宋体" w:cs="宋体"/>
          <w:color w:val="auto"/>
          <w:sz w:val="24"/>
          <w:lang w:val="en-US" w:eastAsia="zh-CN"/>
        </w:rPr>
        <w:t>7</w:t>
      </w:r>
      <w:r>
        <w:rPr>
          <w:rFonts w:ascii="宋体" w:hAnsi="宋体" w:cs="宋体"/>
          <w:color w:val="auto"/>
          <w:sz w:val="24"/>
        </w:rPr>
        <w:t xml:space="preserve"> </w:t>
      </w:r>
      <w:r>
        <w:rPr>
          <w:rFonts w:hint="eastAsia" w:ascii="宋体" w:hAnsi="宋体" w:cs="宋体"/>
          <w:color w:val="auto"/>
          <w:sz w:val="24"/>
        </w:rPr>
        <w:t>日</w:t>
      </w:r>
      <w:r>
        <w:rPr>
          <w:rFonts w:hint="eastAsia" w:ascii="宋体" w:hAnsi="宋体" w:cs="宋体"/>
          <w:color w:val="auto"/>
          <w:sz w:val="24"/>
          <w:lang w:val="en-US" w:eastAsia="zh-CN"/>
        </w:rPr>
        <w:t>9</w:t>
      </w:r>
      <w:r>
        <w:rPr>
          <w:rFonts w:ascii="宋体" w:hAnsi="宋体" w:cs="宋体"/>
          <w:color w:val="auto"/>
          <w:sz w:val="24"/>
        </w:rPr>
        <w:t xml:space="preserve"> </w:t>
      </w:r>
      <w:r>
        <w:rPr>
          <w:rFonts w:hint="eastAsia" w:ascii="宋体" w:hAnsi="宋体" w:cs="宋体"/>
          <w:color w:val="auto"/>
          <w:sz w:val="24"/>
        </w:rPr>
        <w:t>时</w:t>
      </w:r>
      <w:r>
        <w:rPr>
          <w:rFonts w:hint="eastAsia" w:ascii="宋体" w:hAnsi="宋体" w:cs="宋体"/>
          <w:color w:val="auto"/>
          <w:sz w:val="24"/>
          <w:lang w:val="en-US" w:eastAsia="zh-CN"/>
        </w:rPr>
        <w:t>30</w:t>
      </w:r>
      <w:r>
        <w:rPr>
          <w:rFonts w:hint="eastAsia" w:ascii="宋体" w:hAnsi="宋体" w:cs="宋体"/>
          <w:color w:val="auto"/>
          <w:sz w:val="24"/>
        </w:rPr>
        <w:t xml:space="preserve"> 分（北京时间）前递交投标文件。</w:t>
      </w:r>
    </w:p>
    <w:p w14:paraId="0031EA09">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09294B3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项目编号：JSSYCG20250623030</w:t>
      </w:r>
    </w:p>
    <w:p w14:paraId="0F88839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项目名称：江苏商贸职业学院校园一卡通超融合一体机采购项目</w:t>
      </w:r>
    </w:p>
    <w:p w14:paraId="1C6A615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项目类型：货物</w:t>
      </w:r>
    </w:p>
    <w:p w14:paraId="7D881F0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所属行业：工业</w:t>
      </w:r>
    </w:p>
    <w:p w14:paraId="756E74D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预算金额：8</w:t>
      </w:r>
      <w:r>
        <w:rPr>
          <w:rFonts w:ascii="宋体" w:hAnsi="宋体" w:cs="宋体"/>
          <w:color w:val="auto"/>
          <w:sz w:val="24"/>
        </w:rPr>
        <w:t>0.00</w:t>
      </w:r>
      <w:r>
        <w:rPr>
          <w:rFonts w:hint="eastAsia" w:ascii="宋体" w:hAnsi="宋体" w:cs="宋体"/>
          <w:color w:val="auto"/>
          <w:sz w:val="24"/>
        </w:rPr>
        <w:t>万</w:t>
      </w:r>
    </w:p>
    <w:p w14:paraId="2EBF89D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最高限价：</w:t>
      </w:r>
      <w:r>
        <w:rPr>
          <w:rFonts w:ascii="宋体" w:hAnsi="宋体" w:cs="宋体"/>
          <w:color w:val="auto"/>
          <w:sz w:val="24"/>
        </w:rPr>
        <w:t>80.00</w:t>
      </w:r>
      <w:r>
        <w:rPr>
          <w:rFonts w:hint="eastAsia" w:ascii="宋体" w:hAnsi="宋体" w:cs="宋体"/>
          <w:color w:val="auto"/>
          <w:sz w:val="24"/>
        </w:rPr>
        <w:t>万，投标报价高于最高限价的作无效报价处理。</w:t>
      </w:r>
    </w:p>
    <w:p w14:paraId="7C846B2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采购需求：详见采购文件，请仔细研究。</w:t>
      </w:r>
    </w:p>
    <w:p w14:paraId="6A89CB9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合同履行期限：详见采购文件。</w:t>
      </w:r>
    </w:p>
    <w:p w14:paraId="7EAAB7B1">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二、申请人的资格要求：</w:t>
      </w:r>
    </w:p>
    <w:p w14:paraId="5FE7F62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092EB43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提供法定代表人身份证明及法定代表人本人身份证复印件；非法定代表人参加投标的，还必须提供法定代表人身份证明、法定代表人签名或盖章的授权委托书及法定代表人和委托代理人（以下称被授权人）两个人的身份证复印件（格式参见附件）；</w:t>
      </w:r>
    </w:p>
    <w:p w14:paraId="5F0B6C9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3.提供营业执照副本复印件并加盖投标单位公章；</w:t>
      </w:r>
    </w:p>
    <w:p w14:paraId="5D2D4A6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4.落实政府采购政策需满足的资格要求：无；</w:t>
      </w:r>
    </w:p>
    <w:p w14:paraId="5FE7FCAC">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5.本项目的特定资格要求：无；</w:t>
      </w:r>
    </w:p>
    <w:p w14:paraId="1727053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6.法定代表人为同一个人的两个及两个以上法人，母公司、全资子公司及其控股公司，都不得在同一采购项目相同标段中同时参加投标，一经发现，将视同围标处理；</w:t>
      </w:r>
    </w:p>
    <w:p w14:paraId="6596F48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7.未被“信用中国”网站列入失信被执行人、重大税收违法案件当事人名单、采购不良行为记录名单；</w:t>
      </w:r>
    </w:p>
    <w:p w14:paraId="5CAA77F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8.本项目不接受联合体投标。</w:t>
      </w:r>
    </w:p>
    <w:p w14:paraId="2F3FD5D8">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三、获取招标文件</w:t>
      </w:r>
    </w:p>
    <w:p w14:paraId="1588C83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时间：202</w:t>
      </w:r>
      <w:r>
        <w:rPr>
          <w:rFonts w:ascii="宋体" w:hAnsi="宋体" w:cs="宋体"/>
          <w:color w:val="auto"/>
          <w:sz w:val="24"/>
        </w:rPr>
        <w:t>5</w:t>
      </w:r>
      <w:r>
        <w:rPr>
          <w:rFonts w:hint="eastAsia" w:ascii="宋体" w:hAnsi="宋体" w:cs="宋体"/>
          <w:color w:val="auto"/>
          <w:sz w:val="24"/>
        </w:rPr>
        <w:t>年</w:t>
      </w:r>
      <w:r>
        <w:rPr>
          <w:rFonts w:ascii="宋体" w:hAnsi="宋体" w:cs="宋体"/>
          <w:color w:val="auto"/>
          <w:sz w:val="24"/>
        </w:rPr>
        <w:t xml:space="preserve"> </w:t>
      </w:r>
      <w:r>
        <w:rPr>
          <w:rFonts w:hint="eastAsia" w:ascii="宋体" w:hAnsi="宋体" w:cs="宋体"/>
          <w:color w:val="auto"/>
          <w:sz w:val="24"/>
          <w:lang w:val="en-US" w:eastAsia="zh-CN"/>
        </w:rPr>
        <w:t>6</w:t>
      </w:r>
      <w:r>
        <w:rPr>
          <w:rFonts w:ascii="宋体" w:hAnsi="宋体" w:cs="宋体"/>
          <w:color w:val="auto"/>
          <w:sz w:val="24"/>
        </w:rPr>
        <w:t xml:space="preserve"> </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日至202</w:t>
      </w:r>
      <w:r>
        <w:rPr>
          <w:rFonts w:ascii="宋体" w:hAnsi="宋体" w:cs="宋体"/>
          <w:color w:val="auto"/>
          <w:sz w:val="24"/>
        </w:rPr>
        <w:t>5</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6</w:t>
      </w:r>
      <w:r>
        <w:rPr>
          <w:rFonts w:hint="eastAsia" w:ascii="宋体" w:hAnsi="宋体" w:cs="宋体"/>
          <w:color w:val="auto"/>
          <w:sz w:val="24"/>
        </w:rPr>
        <w:t>日。</w:t>
      </w:r>
    </w:p>
    <w:p w14:paraId="2A9BE49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地点：江苏商贸职业学院网（http://www.jsbc.edu.cn/）</w:t>
      </w:r>
    </w:p>
    <w:p w14:paraId="23D82AE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方式：网站附件自行下载。</w:t>
      </w:r>
    </w:p>
    <w:p w14:paraId="4B3872E0">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四、提交投标文件截止时间、开标时间和地点</w:t>
      </w:r>
    </w:p>
    <w:p w14:paraId="3BA9321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202</w:t>
      </w:r>
      <w:r>
        <w:rPr>
          <w:rFonts w:ascii="宋体" w:hAnsi="宋体" w:cs="宋体"/>
          <w:color w:val="auto"/>
          <w:sz w:val="24"/>
        </w:rPr>
        <w:t>5</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7</w:t>
      </w:r>
      <w:r>
        <w:rPr>
          <w:rFonts w:ascii="宋体" w:hAnsi="宋体" w:cs="宋体"/>
          <w:color w:val="auto"/>
          <w:sz w:val="24"/>
        </w:rPr>
        <w:t xml:space="preserve"> </w:t>
      </w:r>
      <w:r>
        <w:rPr>
          <w:rFonts w:hint="eastAsia" w:ascii="宋体" w:hAnsi="宋体" w:cs="宋体"/>
          <w:color w:val="auto"/>
          <w:sz w:val="24"/>
        </w:rPr>
        <w:t>日09时</w:t>
      </w:r>
      <w:r>
        <w:rPr>
          <w:rFonts w:hint="eastAsia" w:ascii="宋体" w:hAnsi="宋体" w:cs="宋体"/>
          <w:color w:val="auto"/>
          <w:sz w:val="24"/>
          <w:lang w:val="en-US" w:eastAsia="zh-CN"/>
        </w:rPr>
        <w:t>3</w:t>
      </w:r>
      <w:r>
        <w:rPr>
          <w:rFonts w:hint="eastAsia" w:ascii="宋体" w:hAnsi="宋体" w:cs="宋体"/>
          <w:color w:val="auto"/>
          <w:sz w:val="24"/>
        </w:rPr>
        <w:t>0分（北京时间）。</w:t>
      </w:r>
    </w:p>
    <w:p w14:paraId="1182578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逾时，招标人将拒绝接受投标响应文件。</w:t>
      </w:r>
    </w:p>
    <w:p w14:paraId="7C110CA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开标地点：江苏省南通市江通路48号，江苏商贸职业学院资产管理处（西大门南侧）办公室，如有变动另行通知。</w:t>
      </w:r>
    </w:p>
    <w:p w14:paraId="216873F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评审地点：江苏商贸职业学院基建会议室，如有变动另行通知。</w:t>
      </w:r>
    </w:p>
    <w:p w14:paraId="705703A0">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五、公告期限</w:t>
      </w:r>
    </w:p>
    <w:p w14:paraId="4D4F3AE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自本公告发布之日起5个工作日。</w:t>
      </w:r>
    </w:p>
    <w:p w14:paraId="432B47B4">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六、其他补充事宜</w:t>
      </w:r>
    </w:p>
    <w:p w14:paraId="6409A2A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1.投标保证金：免收。</w:t>
      </w:r>
    </w:p>
    <w:p w14:paraId="094CBE8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2.项目开标活动模式：见面开标模式，投标供应商在江苏省南通市江通路48号，江苏商贸职业学院资产管理处（西大门南侧）办公室参加开标会。</w:t>
      </w:r>
    </w:p>
    <w:p w14:paraId="416B2BC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3.项目演示、样品、答辩等：无。</w:t>
      </w:r>
    </w:p>
    <w:p w14:paraId="07DFDDE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对招标方式、招标文件中项目需求、供应商资格条件、评标方法和评标标准、资格审查结果等应当由招标人答复的质疑，请向招标人提出，由招标人负责答复。供应商对其他事项的质疑，请向代理机构提出，由招标人或代理机构负责答复。</w:t>
      </w:r>
    </w:p>
    <w:p w14:paraId="64760A4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供应商应依照规定提交各类声明函、承诺函，不再同时提供原件备查或提供有关部门出具的相关证明文件。但中标供应商应做好提交声明函、承诺函、认证、业绩相应原件的核查准备；核查后发现虚假或违背承诺的，依照相关法律法规规定处理。</w:t>
      </w:r>
    </w:p>
    <w:p w14:paraId="7C25800D">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七、对本次招标提出询问，请按以下方式联系。</w:t>
      </w:r>
    </w:p>
    <w:p w14:paraId="3EC24D3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1.招标单位：江苏商贸职业学院</w:t>
      </w:r>
    </w:p>
    <w:p w14:paraId="00973E6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招标单位联系人：</w:t>
      </w:r>
    </w:p>
    <w:p w14:paraId="4C20ED10">
      <w:pPr>
        <w:snapToGrid w:val="0"/>
        <w:spacing w:line="480" w:lineRule="exact"/>
        <w:ind w:firstLine="480" w:firstLineChars="200"/>
        <w:outlineLvl w:val="1"/>
        <w:rPr>
          <w:rFonts w:ascii="宋体" w:hAnsi="宋体" w:cs="宋体"/>
          <w:color w:val="auto"/>
          <w:sz w:val="24"/>
        </w:rPr>
      </w:pPr>
      <w:r>
        <w:rPr>
          <w:rFonts w:hint="eastAsia" w:ascii="宋体" w:hAnsi="宋体" w:cs="宋体"/>
          <w:color w:val="auto"/>
          <w:sz w:val="24"/>
        </w:rPr>
        <w:t>熊老师（图书信息与大数据管理中心）联系电话：0</w:t>
      </w:r>
      <w:r>
        <w:rPr>
          <w:rFonts w:ascii="宋体" w:hAnsi="宋体" w:cs="宋体"/>
          <w:color w:val="auto"/>
          <w:sz w:val="24"/>
        </w:rPr>
        <w:t>513-85679242</w:t>
      </w:r>
    </w:p>
    <w:p w14:paraId="7CF67234">
      <w:pPr>
        <w:snapToGrid w:val="0"/>
        <w:spacing w:line="480" w:lineRule="exact"/>
        <w:ind w:firstLine="480" w:firstLineChars="200"/>
        <w:outlineLvl w:val="1"/>
        <w:rPr>
          <w:rFonts w:ascii="宋体" w:hAnsi="宋体" w:cs="宋体"/>
          <w:color w:val="auto"/>
          <w:sz w:val="24"/>
        </w:rPr>
      </w:pPr>
      <w:r>
        <w:rPr>
          <w:rFonts w:hint="eastAsia" w:ascii="宋体" w:hAnsi="宋体" w:cs="宋体"/>
          <w:color w:val="auto"/>
          <w:sz w:val="24"/>
        </w:rPr>
        <w:t>杨老师 （资产管理处）             联系电话：0513-85679264</w:t>
      </w:r>
    </w:p>
    <w:p w14:paraId="52705B9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联系邮箱：jssyzcglc@jsbc.edu.cn</w:t>
      </w:r>
    </w:p>
    <w:p w14:paraId="5617131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2.监督、投诉联系方式</w:t>
      </w:r>
    </w:p>
    <w:p w14:paraId="6F08C63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电话：0513-85679216，联系邮箱：jssyjjjc@163.com</w:t>
      </w:r>
    </w:p>
    <w:p w14:paraId="35B3BEF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3.招标代理机构信息</w:t>
      </w:r>
    </w:p>
    <w:p w14:paraId="67E994E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名称：江苏中润工程建设咨询有限公司</w:t>
      </w:r>
    </w:p>
    <w:p w14:paraId="316A201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地址：南通市崇川路58号南通科技产业技术研究院9号楼1004室</w:t>
      </w:r>
    </w:p>
    <w:p w14:paraId="346A49B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经办人联系方式：王先生 13906272111</w:t>
      </w:r>
    </w:p>
    <w:bookmarkEnd w:id="105"/>
    <w:p w14:paraId="39F9E41A">
      <w:pPr>
        <w:pStyle w:val="17"/>
        <w:rPr>
          <w:rFonts w:ascii="宋体" w:hAnsi="宋体" w:eastAsia="宋体" w:cs="宋体"/>
          <w:color w:val="auto"/>
        </w:rPr>
      </w:pPr>
    </w:p>
    <w:p w14:paraId="5F6B4748">
      <w:pPr>
        <w:adjustRightInd w:val="0"/>
        <w:snapToGrid w:val="0"/>
        <w:spacing w:line="500" w:lineRule="exact"/>
        <w:jc w:val="center"/>
        <w:outlineLvl w:val="0"/>
        <w:rPr>
          <w:rFonts w:ascii="宋体" w:hAnsi="宋体" w:cs="宋体"/>
          <w:color w:val="auto"/>
          <w:sz w:val="32"/>
          <w:szCs w:val="32"/>
        </w:rPr>
      </w:pPr>
      <w:r>
        <w:rPr>
          <w:rFonts w:hint="eastAsia" w:ascii="宋体" w:hAnsi="宋体" w:cs="宋体"/>
          <w:color w:val="auto"/>
          <w:sz w:val="32"/>
          <w:szCs w:val="32"/>
        </w:rPr>
        <w:br w:type="page"/>
      </w:r>
      <w:r>
        <w:rPr>
          <w:rFonts w:hint="eastAsia" w:ascii="宋体" w:hAnsi="宋体" w:cs="宋体"/>
          <w:color w:val="auto"/>
          <w:sz w:val="32"/>
          <w:szCs w:val="32"/>
        </w:rPr>
        <w:t>第二部分  投标须知</w:t>
      </w:r>
    </w:p>
    <w:p w14:paraId="061BA8CE">
      <w:pPr>
        <w:tabs>
          <w:tab w:val="left" w:pos="360"/>
        </w:tabs>
        <w:spacing w:line="460" w:lineRule="exact"/>
        <w:ind w:firstLine="482" w:firstLineChars="200"/>
        <w:rPr>
          <w:rFonts w:ascii="宋体" w:hAnsi="宋体" w:cs="宋体"/>
          <w:b/>
          <w:bCs/>
          <w:color w:val="auto"/>
          <w:sz w:val="24"/>
        </w:rPr>
      </w:pPr>
      <w:bookmarkStart w:id="3" w:name="_Toc20823275"/>
      <w:bookmarkStart w:id="4" w:name="_Toc16938519"/>
      <w:bookmarkStart w:id="5" w:name="_Toc513029203"/>
      <w:bookmarkStart w:id="6" w:name="_Toc120614214"/>
      <w:r>
        <w:rPr>
          <w:rFonts w:hint="eastAsia" w:ascii="宋体" w:hAnsi="宋体" w:cs="宋体"/>
          <w:b/>
          <w:bCs/>
          <w:color w:val="auto"/>
          <w:sz w:val="24"/>
        </w:rPr>
        <w:t>一、总则</w:t>
      </w:r>
      <w:bookmarkEnd w:id="3"/>
      <w:bookmarkEnd w:id="4"/>
      <w:bookmarkEnd w:id="5"/>
      <w:bookmarkEnd w:id="6"/>
    </w:p>
    <w:p w14:paraId="0FDB0E8F">
      <w:pPr>
        <w:tabs>
          <w:tab w:val="left" w:pos="360"/>
        </w:tabs>
        <w:spacing w:line="460" w:lineRule="exact"/>
        <w:ind w:firstLine="480" w:firstLineChars="200"/>
        <w:rPr>
          <w:rFonts w:ascii="宋体" w:hAnsi="宋体" w:cs="宋体"/>
          <w:color w:val="auto"/>
          <w:sz w:val="24"/>
        </w:rPr>
      </w:pPr>
      <w:bookmarkStart w:id="7" w:name="_Hlt16619475"/>
      <w:bookmarkEnd w:id="7"/>
      <w:bookmarkStart w:id="8" w:name="_Toc458694821"/>
      <w:bookmarkStart w:id="9" w:name="_Toc16938520"/>
      <w:bookmarkStart w:id="10" w:name="_Toc513029204"/>
      <w:bookmarkStart w:id="11" w:name="_Toc20823276"/>
      <w:r>
        <w:rPr>
          <w:rFonts w:hint="eastAsia" w:ascii="宋体" w:hAnsi="宋体" w:cs="宋体"/>
          <w:color w:val="auto"/>
          <w:sz w:val="24"/>
        </w:rPr>
        <w:t>1</w:t>
      </w:r>
      <w:bookmarkEnd w:id="8"/>
      <w:r>
        <w:rPr>
          <w:rFonts w:hint="eastAsia" w:ascii="宋体" w:hAnsi="宋体" w:cs="宋体"/>
          <w:color w:val="auto"/>
          <w:sz w:val="24"/>
        </w:rPr>
        <w:t>.招标方式</w:t>
      </w:r>
      <w:bookmarkEnd w:id="9"/>
      <w:bookmarkEnd w:id="10"/>
      <w:bookmarkEnd w:id="11"/>
    </w:p>
    <w:p w14:paraId="49BCA99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1.1 本次招标采取公开招标方式，本招标文件仅适用于招标公告中所述项目。</w:t>
      </w:r>
    </w:p>
    <w:p w14:paraId="199AE4C1">
      <w:pPr>
        <w:tabs>
          <w:tab w:val="left" w:pos="360"/>
        </w:tabs>
        <w:spacing w:line="460" w:lineRule="exact"/>
        <w:ind w:firstLine="480" w:firstLineChars="200"/>
        <w:rPr>
          <w:rFonts w:ascii="宋体" w:hAnsi="宋体" w:cs="宋体"/>
          <w:color w:val="auto"/>
          <w:sz w:val="24"/>
        </w:rPr>
      </w:pPr>
      <w:bookmarkStart w:id="12" w:name="_Toc513029205"/>
      <w:bookmarkStart w:id="13" w:name="_Toc20823277"/>
      <w:bookmarkStart w:id="14" w:name="_Toc16938521"/>
      <w:r>
        <w:rPr>
          <w:rFonts w:hint="eastAsia" w:ascii="宋体" w:hAnsi="宋体" w:cs="宋体"/>
          <w:color w:val="auto"/>
          <w:sz w:val="24"/>
        </w:rPr>
        <w:t>2.合格的投标人</w:t>
      </w:r>
      <w:bookmarkEnd w:id="12"/>
      <w:bookmarkEnd w:id="13"/>
      <w:bookmarkEnd w:id="14"/>
    </w:p>
    <w:p w14:paraId="20F4317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2.1满足招标公告中供应商的资格要求的规定。</w:t>
      </w:r>
    </w:p>
    <w:p w14:paraId="55D8A05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2.2 满足本文件实质性条款的规定。</w:t>
      </w:r>
    </w:p>
    <w:p w14:paraId="4373E6E8">
      <w:pPr>
        <w:tabs>
          <w:tab w:val="left" w:pos="360"/>
        </w:tabs>
        <w:spacing w:line="460" w:lineRule="exact"/>
        <w:ind w:firstLine="480" w:firstLineChars="200"/>
        <w:rPr>
          <w:rFonts w:ascii="宋体" w:hAnsi="宋体" w:cs="宋体"/>
          <w:color w:val="auto"/>
          <w:sz w:val="24"/>
        </w:rPr>
      </w:pPr>
      <w:bookmarkStart w:id="15" w:name="_Toc513029206"/>
      <w:bookmarkStart w:id="16" w:name="_Toc16938522"/>
      <w:bookmarkStart w:id="17" w:name="_Toc20823278"/>
      <w:r>
        <w:rPr>
          <w:rFonts w:hint="eastAsia" w:ascii="宋体" w:hAnsi="宋体" w:cs="宋体"/>
          <w:color w:val="auto"/>
          <w:sz w:val="24"/>
        </w:rPr>
        <w:t>3.适用法律</w:t>
      </w:r>
      <w:bookmarkEnd w:id="15"/>
      <w:bookmarkEnd w:id="16"/>
      <w:bookmarkEnd w:id="17"/>
    </w:p>
    <w:p w14:paraId="24ED248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3.1本次招标及由此产生的合同受中华人民共和国有关的法律法规制约和保护。</w:t>
      </w:r>
    </w:p>
    <w:p w14:paraId="3151DF44">
      <w:pPr>
        <w:tabs>
          <w:tab w:val="left" w:pos="360"/>
        </w:tabs>
        <w:spacing w:line="460" w:lineRule="exact"/>
        <w:ind w:firstLine="480" w:firstLineChars="200"/>
        <w:rPr>
          <w:rFonts w:ascii="宋体" w:hAnsi="宋体" w:cs="宋体"/>
          <w:color w:val="auto"/>
          <w:sz w:val="24"/>
        </w:rPr>
      </w:pPr>
      <w:bookmarkStart w:id="18" w:name="_Toc16938523"/>
      <w:bookmarkStart w:id="19" w:name="_Toc20823279"/>
      <w:bookmarkStart w:id="20" w:name="_Toc513029207"/>
      <w:bookmarkStart w:id="21" w:name="_Toc462564067"/>
      <w:r>
        <w:rPr>
          <w:rFonts w:hint="eastAsia" w:ascii="宋体" w:hAnsi="宋体" w:cs="宋体"/>
          <w:color w:val="auto"/>
          <w:sz w:val="24"/>
        </w:rPr>
        <w:t>4.投标费用</w:t>
      </w:r>
      <w:bookmarkEnd w:id="18"/>
      <w:bookmarkEnd w:id="19"/>
      <w:bookmarkEnd w:id="20"/>
      <w:bookmarkEnd w:id="21"/>
    </w:p>
    <w:p w14:paraId="3F2768F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4.1投标人应自行承担所有与参加投标有关的费用，无论投标过程中的做法和结果如何，江苏中润工程建设咨询有限公司（以下简称招标代理机构）在任何情况下均无义务和责任承担这些费用。</w:t>
      </w:r>
    </w:p>
    <w:p w14:paraId="2CC7AE6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4.2本项目招标代理费收取标准以中标价为基准，乘以招标代理收费费率，由成交供应商支付，投标供应商综合考虑在报价内（不单列）。</w:t>
      </w:r>
    </w:p>
    <w:p w14:paraId="63DA4D9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本项目招标代理收费费率标准：</w:t>
      </w:r>
    </w:p>
    <w:tbl>
      <w:tblPr>
        <w:tblStyle w:val="3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3980"/>
        <w:gridCol w:w="2795"/>
      </w:tblGrid>
      <w:tr w14:paraId="5E4F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6F057A62">
            <w:pPr>
              <w:widowControl/>
              <w:adjustRightInd w:val="0"/>
              <w:snapToGrid w:val="0"/>
              <w:spacing w:line="460" w:lineRule="exact"/>
              <w:jc w:val="center"/>
              <w:rPr>
                <w:rFonts w:ascii="宋体" w:hAnsi="宋体" w:cs="宋体"/>
                <w:b/>
                <w:bCs/>
                <w:color w:val="auto"/>
                <w:sz w:val="24"/>
              </w:rPr>
            </w:pPr>
            <w:r>
              <w:rPr>
                <w:rFonts w:hint="eastAsia" w:ascii="宋体" w:hAnsi="宋体" w:cs="宋体"/>
                <w:b/>
                <w:bCs/>
                <w:color w:val="auto"/>
                <w:sz w:val="24"/>
              </w:rPr>
              <w:t>序号</w:t>
            </w:r>
          </w:p>
        </w:tc>
        <w:tc>
          <w:tcPr>
            <w:tcW w:w="2533" w:type="pct"/>
            <w:vMerge w:val="restart"/>
            <w:tcBorders>
              <w:top w:val="single" w:color="auto" w:sz="4" w:space="0"/>
              <w:left w:val="single" w:color="auto" w:sz="4" w:space="0"/>
              <w:right w:val="single" w:color="auto" w:sz="4" w:space="0"/>
            </w:tcBorders>
            <w:vAlign w:val="center"/>
          </w:tcPr>
          <w:p w14:paraId="7056DA0C">
            <w:pPr>
              <w:widowControl/>
              <w:adjustRightInd w:val="0"/>
              <w:snapToGrid w:val="0"/>
              <w:spacing w:line="460" w:lineRule="exact"/>
              <w:jc w:val="center"/>
              <w:rPr>
                <w:rFonts w:ascii="宋体" w:hAnsi="宋体" w:cs="宋体"/>
                <w:b/>
                <w:bCs/>
                <w:color w:val="auto"/>
                <w:sz w:val="24"/>
              </w:rPr>
            </w:pPr>
            <w:r>
              <w:rPr>
                <w:rFonts w:hint="eastAsia" w:ascii="宋体" w:hAnsi="宋体" w:cs="宋体"/>
                <w:b/>
                <w:bCs/>
                <w:color w:val="auto"/>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044063E6">
            <w:pPr>
              <w:widowControl/>
              <w:adjustRightInd w:val="0"/>
              <w:snapToGrid w:val="0"/>
              <w:spacing w:line="460" w:lineRule="exact"/>
              <w:jc w:val="center"/>
              <w:rPr>
                <w:rFonts w:ascii="宋体" w:hAnsi="宋体" w:cs="宋体"/>
                <w:b/>
                <w:bCs/>
                <w:color w:val="auto"/>
                <w:sz w:val="24"/>
              </w:rPr>
            </w:pPr>
            <w:r>
              <w:rPr>
                <w:rFonts w:hint="eastAsia" w:ascii="宋体" w:hAnsi="宋体" w:cs="宋体"/>
                <w:b/>
                <w:bCs/>
                <w:color w:val="auto"/>
                <w:sz w:val="24"/>
              </w:rPr>
              <w:t xml:space="preserve">收费标准 </w:t>
            </w:r>
          </w:p>
        </w:tc>
      </w:tr>
      <w:tr w14:paraId="08C7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8" w:type="pct"/>
            <w:vMerge w:val="continue"/>
            <w:tcBorders>
              <w:left w:val="single" w:color="auto" w:sz="4" w:space="0"/>
              <w:bottom w:val="single" w:color="auto" w:sz="4" w:space="0"/>
              <w:right w:val="single" w:color="auto" w:sz="4" w:space="0"/>
            </w:tcBorders>
            <w:vAlign w:val="center"/>
          </w:tcPr>
          <w:p w14:paraId="50D670BB">
            <w:pPr>
              <w:widowControl/>
              <w:adjustRightInd w:val="0"/>
              <w:snapToGrid w:val="0"/>
              <w:spacing w:line="460" w:lineRule="exact"/>
              <w:jc w:val="center"/>
              <w:rPr>
                <w:rFonts w:ascii="宋体" w:hAnsi="宋体" w:cs="宋体"/>
                <w:color w:val="auto"/>
                <w:sz w:val="24"/>
              </w:rPr>
            </w:pPr>
          </w:p>
        </w:tc>
        <w:tc>
          <w:tcPr>
            <w:tcW w:w="2533" w:type="pct"/>
            <w:vMerge w:val="continue"/>
            <w:tcBorders>
              <w:left w:val="single" w:color="auto" w:sz="4" w:space="0"/>
              <w:bottom w:val="single" w:color="auto" w:sz="4" w:space="0"/>
              <w:right w:val="single" w:color="auto" w:sz="4" w:space="0"/>
            </w:tcBorders>
            <w:vAlign w:val="center"/>
          </w:tcPr>
          <w:p w14:paraId="45FD387C">
            <w:pPr>
              <w:widowControl/>
              <w:adjustRightInd w:val="0"/>
              <w:snapToGrid w:val="0"/>
              <w:spacing w:line="460" w:lineRule="exact"/>
              <w:jc w:val="center"/>
              <w:rPr>
                <w:rFonts w:ascii="宋体" w:hAnsi="宋体" w:cs="宋体"/>
                <w:color w:val="auto"/>
                <w:sz w:val="24"/>
              </w:rPr>
            </w:pPr>
          </w:p>
        </w:tc>
        <w:tc>
          <w:tcPr>
            <w:tcW w:w="1779" w:type="pct"/>
            <w:vMerge w:val="continue"/>
            <w:tcBorders>
              <w:left w:val="single" w:color="auto" w:sz="4" w:space="0"/>
              <w:bottom w:val="single" w:color="auto" w:sz="4" w:space="0"/>
              <w:right w:val="single" w:color="auto" w:sz="4" w:space="0"/>
            </w:tcBorders>
            <w:vAlign w:val="center"/>
          </w:tcPr>
          <w:p w14:paraId="44BB0B0B">
            <w:pPr>
              <w:widowControl/>
              <w:adjustRightInd w:val="0"/>
              <w:snapToGrid w:val="0"/>
              <w:spacing w:line="460" w:lineRule="exact"/>
              <w:jc w:val="center"/>
              <w:rPr>
                <w:rFonts w:ascii="宋体" w:hAnsi="宋体" w:cs="宋体"/>
                <w:color w:val="auto"/>
                <w:sz w:val="24"/>
              </w:rPr>
            </w:pPr>
          </w:p>
        </w:tc>
      </w:tr>
      <w:tr w14:paraId="2AEB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615ECDD8">
            <w:pPr>
              <w:widowControl/>
              <w:adjustRightInd w:val="0"/>
              <w:snapToGrid w:val="0"/>
              <w:spacing w:line="460" w:lineRule="exact"/>
              <w:jc w:val="center"/>
              <w:rPr>
                <w:rFonts w:ascii="宋体" w:hAnsi="宋体" w:cs="宋体"/>
                <w:color w:val="auto"/>
                <w:sz w:val="24"/>
              </w:rPr>
            </w:pPr>
            <w:r>
              <w:rPr>
                <w:rFonts w:hint="eastAsia" w:ascii="宋体" w:hAnsi="宋体" w:cs="宋体"/>
                <w:color w:val="auto"/>
                <w:sz w:val="24"/>
              </w:rPr>
              <w:t>1</w:t>
            </w:r>
          </w:p>
        </w:tc>
        <w:tc>
          <w:tcPr>
            <w:tcW w:w="2533" w:type="pct"/>
            <w:tcBorders>
              <w:top w:val="single" w:color="auto" w:sz="4" w:space="0"/>
              <w:left w:val="single" w:color="auto" w:sz="4" w:space="0"/>
              <w:bottom w:val="single" w:color="auto" w:sz="4" w:space="0"/>
              <w:right w:val="single" w:color="auto" w:sz="4" w:space="0"/>
            </w:tcBorders>
            <w:vAlign w:val="center"/>
          </w:tcPr>
          <w:p w14:paraId="3098803B">
            <w:pPr>
              <w:widowControl/>
              <w:adjustRightInd w:val="0"/>
              <w:snapToGrid w:val="0"/>
              <w:spacing w:line="460" w:lineRule="exact"/>
              <w:jc w:val="center"/>
              <w:rPr>
                <w:rFonts w:ascii="宋体" w:hAnsi="宋体" w:cs="宋体"/>
                <w:color w:val="auto"/>
                <w:sz w:val="24"/>
              </w:rPr>
            </w:pPr>
            <w:r>
              <w:rPr>
                <w:rFonts w:hint="eastAsia" w:ascii="宋体" w:hAnsi="宋体" w:cs="宋体"/>
                <w:color w:val="auto"/>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7F1AD907">
            <w:pPr>
              <w:widowControl/>
              <w:adjustRightInd w:val="0"/>
              <w:snapToGrid w:val="0"/>
              <w:spacing w:line="460" w:lineRule="exact"/>
              <w:jc w:val="center"/>
              <w:rPr>
                <w:rFonts w:ascii="宋体" w:hAnsi="宋体" w:cs="宋体"/>
                <w:color w:val="auto"/>
                <w:sz w:val="24"/>
              </w:rPr>
            </w:pPr>
            <w:r>
              <w:rPr>
                <w:rFonts w:hint="eastAsia" w:ascii="宋体" w:hAnsi="宋体" w:cs="宋体"/>
                <w:color w:val="auto"/>
                <w:sz w:val="24"/>
              </w:rPr>
              <w:t>2000.00元</w:t>
            </w:r>
          </w:p>
        </w:tc>
      </w:tr>
      <w:tr w14:paraId="6D59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42F99494">
            <w:pPr>
              <w:widowControl/>
              <w:adjustRightInd w:val="0"/>
              <w:snapToGrid w:val="0"/>
              <w:spacing w:line="460" w:lineRule="exact"/>
              <w:jc w:val="center"/>
              <w:rPr>
                <w:rFonts w:ascii="宋体" w:hAnsi="宋体" w:cs="宋体"/>
                <w:color w:val="auto"/>
                <w:sz w:val="24"/>
              </w:rPr>
            </w:pPr>
            <w:r>
              <w:rPr>
                <w:rFonts w:hint="eastAsia" w:ascii="宋体" w:hAnsi="宋体" w:cs="宋体"/>
                <w:color w:val="auto"/>
                <w:sz w:val="24"/>
              </w:rPr>
              <w:t>2</w:t>
            </w:r>
          </w:p>
        </w:tc>
        <w:tc>
          <w:tcPr>
            <w:tcW w:w="2533" w:type="pct"/>
            <w:tcBorders>
              <w:top w:val="single" w:color="auto" w:sz="4" w:space="0"/>
              <w:left w:val="single" w:color="auto" w:sz="4" w:space="0"/>
              <w:bottom w:val="single" w:color="auto" w:sz="4" w:space="0"/>
              <w:right w:val="single" w:color="auto" w:sz="4" w:space="0"/>
            </w:tcBorders>
            <w:vAlign w:val="center"/>
          </w:tcPr>
          <w:p w14:paraId="59A094A4">
            <w:pPr>
              <w:widowControl/>
              <w:adjustRightInd w:val="0"/>
              <w:snapToGrid w:val="0"/>
              <w:spacing w:line="460" w:lineRule="exact"/>
              <w:jc w:val="center"/>
              <w:rPr>
                <w:rFonts w:ascii="宋体" w:hAnsi="宋体" w:cs="宋体"/>
                <w:color w:val="auto"/>
                <w:sz w:val="24"/>
              </w:rPr>
            </w:pPr>
            <w:r>
              <w:rPr>
                <w:rFonts w:hint="eastAsia" w:ascii="宋体" w:hAnsi="宋体" w:cs="宋体"/>
                <w:color w:val="auto"/>
                <w:sz w:val="24"/>
              </w:rPr>
              <w:t>货物、服务和工程招标代理、咨询服务费(2万元-5万元）</w:t>
            </w:r>
          </w:p>
        </w:tc>
        <w:tc>
          <w:tcPr>
            <w:tcW w:w="1779" w:type="pct"/>
            <w:tcBorders>
              <w:top w:val="single" w:color="auto" w:sz="4" w:space="0"/>
              <w:left w:val="single" w:color="auto" w:sz="4" w:space="0"/>
              <w:bottom w:val="single" w:color="auto" w:sz="4" w:space="0"/>
              <w:right w:val="single" w:color="auto" w:sz="4" w:space="0"/>
            </w:tcBorders>
            <w:vAlign w:val="center"/>
          </w:tcPr>
          <w:p w14:paraId="2F5C7009">
            <w:pPr>
              <w:widowControl/>
              <w:adjustRightInd w:val="0"/>
              <w:snapToGrid w:val="0"/>
              <w:spacing w:line="460" w:lineRule="exact"/>
              <w:jc w:val="center"/>
              <w:rPr>
                <w:rFonts w:ascii="宋体" w:hAnsi="宋体" w:cs="宋体"/>
                <w:color w:val="auto"/>
                <w:sz w:val="24"/>
              </w:rPr>
            </w:pPr>
            <w:r>
              <w:rPr>
                <w:rFonts w:hint="eastAsia" w:ascii="宋体" w:hAnsi="宋体" w:cs="宋体"/>
                <w:color w:val="auto"/>
                <w:sz w:val="24"/>
              </w:rPr>
              <w:t>1500.00元</w:t>
            </w:r>
          </w:p>
        </w:tc>
      </w:tr>
    </w:tbl>
    <w:p w14:paraId="22258CF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lang w:val="zh-CN"/>
        </w:rPr>
        <w:t>代理费由成交供应商在开标现场定标后支付给代理机构，如因成交供应商原因导致本项目流标或改变中标结果或其被取消中标资格的，代理费不予退还</w:t>
      </w:r>
      <w:r>
        <w:rPr>
          <w:rFonts w:hint="eastAsia" w:ascii="宋体" w:hAnsi="宋体" w:cs="宋体"/>
          <w:color w:val="auto"/>
          <w:sz w:val="24"/>
        </w:rPr>
        <w:t>。</w:t>
      </w:r>
    </w:p>
    <w:p w14:paraId="0A3AEEF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4.2</w:t>
      </w:r>
      <w:r>
        <w:rPr>
          <w:rFonts w:hint="eastAsia" w:ascii="宋体" w:hAnsi="宋体" w:cs="宋体"/>
          <w:color w:val="auto"/>
          <w:sz w:val="24"/>
          <w:lang w:val="zh-CN"/>
        </w:rPr>
        <w:t>本项目报总价，报价包含完成本项目服务期间所产生的一切费用（含验收费用），校方后期不再另行追加费用。</w:t>
      </w:r>
    </w:p>
    <w:p w14:paraId="72D4417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5.招标文件的约束力</w:t>
      </w:r>
    </w:p>
    <w:p w14:paraId="002C89D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5.1 投标人一旦参加本项目采购活动，即被认为接受了本招标文件的规定和约束。</w:t>
      </w:r>
    </w:p>
    <w:p w14:paraId="50B1E95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6.招标文件的解释</w:t>
      </w:r>
    </w:p>
    <w:p w14:paraId="5AF9B34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6.1招标文件需求部分（供应商资格要求、项目需求、商务技术评分标准）由招标人解释，其它部分由代理机构解释。</w:t>
      </w:r>
    </w:p>
    <w:p w14:paraId="13DCF16F">
      <w:pPr>
        <w:tabs>
          <w:tab w:val="left" w:pos="360"/>
        </w:tabs>
        <w:spacing w:line="460" w:lineRule="exact"/>
        <w:ind w:firstLine="482" w:firstLineChars="200"/>
        <w:rPr>
          <w:rFonts w:ascii="宋体" w:hAnsi="宋体" w:cs="宋体"/>
          <w:b/>
          <w:bCs/>
          <w:color w:val="auto"/>
          <w:sz w:val="24"/>
        </w:rPr>
      </w:pPr>
      <w:bookmarkStart w:id="22" w:name="_Toc513029209"/>
      <w:bookmarkStart w:id="23" w:name="_Toc16938525"/>
      <w:bookmarkStart w:id="24" w:name="_Toc120614215"/>
      <w:bookmarkStart w:id="25" w:name="_Toc20823281"/>
      <w:r>
        <w:rPr>
          <w:rFonts w:hint="eastAsia" w:ascii="宋体" w:hAnsi="宋体" w:cs="宋体"/>
          <w:b/>
          <w:bCs/>
          <w:color w:val="auto"/>
          <w:sz w:val="24"/>
        </w:rPr>
        <w:t>二、招标文件</w:t>
      </w:r>
      <w:bookmarkEnd w:id="22"/>
      <w:bookmarkEnd w:id="23"/>
      <w:bookmarkEnd w:id="24"/>
      <w:bookmarkEnd w:id="25"/>
    </w:p>
    <w:p w14:paraId="127F7FD6">
      <w:pPr>
        <w:tabs>
          <w:tab w:val="left" w:pos="360"/>
        </w:tabs>
        <w:spacing w:line="460" w:lineRule="exact"/>
        <w:ind w:firstLine="480" w:firstLineChars="200"/>
        <w:rPr>
          <w:rFonts w:ascii="宋体" w:hAnsi="宋体" w:cs="宋体"/>
          <w:color w:val="auto"/>
          <w:sz w:val="24"/>
        </w:rPr>
      </w:pPr>
      <w:bookmarkStart w:id="26" w:name="_Toc16938526"/>
      <w:bookmarkStart w:id="27" w:name="_Toc513029210"/>
      <w:bookmarkStart w:id="28" w:name="_Toc20823282"/>
      <w:r>
        <w:rPr>
          <w:rFonts w:hint="eastAsia" w:ascii="宋体" w:hAnsi="宋体" w:cs="宋体"/>
          <w:color w:val="auto"/>
          <w:sz w:val="24"/>
        </w:rPr>
        <w:t>1.招标文件构成</w:t>
      </w:r>
      <w:bookmarkEnd w:id="26"/>
      <w:bookmarkEnd w:id="27"/>
      <w:bookmarkEnd w:id="28"/>
    </w:p>
    <w:p w14:paraId="00F2653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1.1 招标文件由以下部分组成：</w:t>
      </w:r>
    </w:p>
    <w:p w14:paraId="4832C18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（1）招标公告</w:t>
      </w:r>
    </w:p>
    <w:p w14:paraId="015A85B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（2）投标须知</w:t>
      </w:r>
    </w:p>
    <w:p w14:paraId="2134AA0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（3）项目需求</w:t>
      </w:r>
    </w:p>
    <w:p w14:paraId="7E964B1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（4）开标和评标</w:t>
      </w:r>
    </w:p>
    <w:p w14:paraId="21E14EE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（5）投标文件组成</w:t>
      </w:r>
    </w:p>
    <w:p w14:paraId="19B1128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（6）附件（如有）</w:t>
      </w:r>
    </w:p>
    <w:p w14:paraId="13D8CCA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请仔细检查招标文件是否齐全，如有缺漏请立即与代理机构联系解决。</w:t>
      </w:r>
    </w:p>
    <w:p w14:paraId="1D9BE2B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6A3AD8E">
      <w:pPr>
        <w:tabs>
          <w:tab w:val="left" w:pos="360"/>
        </w:tabs>
        <w:spacing w:line="460" w:lineRule="exact"/>
        <w:ind w:firstLine="480" w:firstLineChars="200"/>
        <w:rPr>
          <w:rFonts w:ascii="宋体" w:hAnsi="宋体" w:cs="宋体"/>
          <w:color w:val="auto"/>
          <w:sz w:val="24"/>
        </w:rPr>
      </w:pPr>
      <w:bookmarkStart w:id="29" w:name="_Toc513029211"/>
      <w:bookmarkStart w:id="30" w:name="_Toc16938527"/>
      <w:bookmarkStart w:id="31" w:name="_Toc20823283"/>
      <w:bookmarkStart w:id="32" w:name="_Toc462564070"/>
      <w:r>
        <w:rPr>
          <w:rFonts w:hint="eastAsia" w:ascii="宋体" w:hAnsi="宋体" w:cs="宋体"/>
          <w:color w:val="auto"/>
          <w:sz w:val="24"/>
        </w:rPr>
        <w:t>2.招标文件的澄清</w:t>
      </w:r>
      <w:bookmarkEnd w:id="29"/>
      <w:bookmarkEnd w:id="30"/>
      <w:bookmarkEnd w:id="31"/>
      <w:bookmarkEnd w:id="32"/>
    </w:p>
    <w:p w14:paraId="2F21668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2.1 任何要求对招标文件进行澄清的投标人，应在投标截止期十日前按招标公告中的通讯地址，以书面形式通知招标人。招标人有权对发出的招标文件进行必要的澄清或修改。</w:t>
      </w:r>
    </w:p>
    <w:p w14:paraId="79D4D5D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2.2招标人视情组织答疑会</w:t>
      </w:r>
    </w:p>
    <w:p w14:paraId="74F35ED8">
      <w:pPr>
        <w:tabs>
          <w:tab w:val="left" w:pos="360"/>
        </w:tabs>
        <w:spacing w:line="460" w:lineRule="exact"/>
        <w:ind w:firstLine="480" w:firstLineChars="200"/>
        <w:rPr>
          <w:rFonts w:ascii="宋体" w:hAnsi="宋体" w:cs="宋体"/>
          <w:color w:val="auto"/>
          <w:sz w:val="24"/>
        </w:rPr>
      </w:pPr>
      <w:bookmarkStart w:id="33" w:name="_Toc16938528"/>
      <w:bookmarkStart w:id="34" w:name="_Toc20823284"/>
      <w:bookmarkStart w:id="35" w:name="_Toc513029212"/>
      <w:bookmarkStart w:id="36" w:name="_Toc462564071"/>
      <w:r>
        <w:rPr>
          <w:rFonts w:hint="eastAsia" w:ascii="宋体" w:hAnsi="宋体" w:cs="宋体"/>
          <w:color w:val="auto"/>
          <w:sz w:val="24"/>
        </w:rPr>
        <w:t>3.招标文件的修改</w:t>
      </w:r>
      <w:bookmarkEnd w:id="33"/>
      <w:bookmarkEnd w:id="34"/>
      <w:bookmarkEnd w:id="35"/>
      <w:bookmarkEnd w:id="36"/>
    </w:p>
    <w:p w14:paraId="5FF19FC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3.1 在投标截止时间前，代理机构可以对招标文件进行修改。</w:t>
      </w:r>
    </w:p>
    <w:p w14:paraId="3E20BF1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3.2 代理机构有权按照法定的要求推迟投标截止日期和开标日期。</w:t>
      </w:r>
    </w:p>
    <w:p w14:paraId="316CB2E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3.3 招标文件的修改将在江苏商贸职业学院网（http://www.jsbc.edu.cn/）公布，补充文件将作为招标文件的组成部分，并对投标人具有约束力。</w:t>
      </w:r>
    </w:p>
    <w:p w14:paraId="6C915602">
      <w:pPr>
        <w:tabs>
          <w:tab w:val="left" w:pos="360"/>
        </w:tabs>
        <w:spacing w:line="460" w:lineRule="exact"/>
        <w:ind w:firstLine="482" w:firstLineChars="200"/>
        <w:rPr>
          <w:rFonts w:ascii="宋体" w:hAnsi="宋体" w:cs="宋体"/>
          <w:b/>
          <w:bCs/>
          <w:color w:val="auto"/>
          <w:sz w:val="24"/>
        </w:rPr>
      </w:pPr>
      <w:bookmarkStart w:id="37" w:name="_Toc120614216"/>
      <w:bookmarkStart w:id="38" w:name="_Toc16938529"/>
      <w:bookmarkStart w:id="39" w:name="_Toc462564072"/>
      <w:bookmarkStart w:id="40" w:name="_Toc513029213"/>
      <w:bookmarkStart w:id="41" w:name="_Toc20823285"/>
      <w:r>
        <w:rPr>
          <w:rFonts w:hint="eastAsia" w:ascii="宋体" w:hAnsi="宋体" w:cs="宋体"/>
          <w:b/>
          <w:bCs/>
          <w:color w:val="auto"/>
          <w:sz w:val="24"/>
        </w:rPr>
        <w:t>三、投标文件的编制</w:t>
      </w:r>
      <w:bookmarkEnd w:id="37"/>
      <w:bookmarkEnd w:id="38"/>
      <w:bookmarkEnd w:id="39"/>
      <w:bookmarkEnd w:id="40"/>
      <w:bookmarkEnd w:id="41"/>
    </w:p>
    <w:p w14:paraId="3CB88043">
      <w:pPr>
        <w:tabs>
          <w:tab w:val="left" w:pos="360"/>
        </w:tabs>
        <w:spacing w:line="460" w:lineRule="exact"/>
        <w:ind w:firstLine="480" w:firstLineChars="200"/>
        <w:rPr>
          <w:rFonts w:ascii="宋体" w:hAnsi="宋体" w:cs="宋体"/>
          <w:color w:val="auto"/>
          <w:sz w:val="24"/>
        </w:rPr>
      </w:pPr>
      <w:bookmarkStart w:id="42" w:name="_Toc513029214"/>
      <w:bookmarkStart w:id="43" w:name="_Toc20823286"/>
      <w:bookmarkStart w:id="44" w:name="_Toc462564073"/>
      <w:bookmarkStart w:id="45" w:name="_Toc16938530"/>
      <w:r>
        <w:rPr>
          <w:rFonts w:hint="eastAsia" w:ascii="宋体" w:hAnsi="宋体" w:cs="宋体"/>
          <w:color w:val="auto"/>
          <w:sz w:val="24"/>
        </w:rPr>
        <w:t>1.投标文件的语言及度量衡单位</w:t>
      </w:r>
      <w:bookmarkEnd w:id="42"/>
      <w:bookmarkEnd w:id="43"/>
      <w:bookmarkEnd w:id="44"/>
      <w:bookmarkEnd w:id="45"/>
    </w:p>
    <w:p w14:paraId="0DA70A8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1.1 投标人提交的投标文件以及投标人与代理机构就有关投标的所有来往通知、函件和文件均应使用简体中文。</w:t>
      </w:r>
    </w:p>
    <w:p w14:paraId="116DE96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1.2 除技术性能另有规定外，投标文件所使用的度量衡单位，均须采用国家法定计量单位。</w:t>
      </w:r>
    </w:p>
    <w:p w14:paraId="757802DA">
      <w:pPr>
        <w:tabs>
          <w:tab w:val="left" w:pos="360"/>
        </w:tabs>
        <w:spacing w:line="460" w:lineRule="exact"/>
        <w:ind w:firstLine="480" w:firstLineChars="200"/>
        <w:rPr>
          <w:rFonts w:ascii="宋体" w:hAnsi="宋体" w:cs="宋体"/>
          <w:color w:val="auto"/>
          <w:sz w:val="24"/>
        </w:rPr>
      </w:pPr>
      <w:bookmarkStart w:id="46" w:name="_Toc513029215"/>
      <w:bookmarkStart w:id="47" w:name="_Toc20823287"/>
      <w:bookmarkStart w:id="48" w:name="_Toc462564074"/>
      <w:bookmarkStart w:id="49" w:name="_Toc16938531"/>
      <w:r>
        <w:rPr>
          <w:rFonts w:hint="eastAsia" w:ascii="宋体" w:hAnsi="宋体" w:cs="宋体"/>
          <w:color w:val="auto"/>
          <w:sz w:val="24"/>
        </w:rPr>
        <w:t>2.投标文件构成</w:t>
      </w:r>
      <w:bookmarkEnd w:id="46"/>
      <w:bookmarkEnd w:id="47"/>
      <w:bookmarkEnd w:id="48"/>
      <w:bookmarkEnd w:id="49"/>
    </w:p>
    <w:p w14:paraId="101363C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2.1 投标人编写的投标文件应包括资格审查文件、商务技术标、价格标。供应商按“第七部分 投标文件组成”要求编写投标文件。</w:t>
      </w:r>
    </w:p>
    <w:p w14:paraId="31215527">
      <w:pPr>
        <w:tabs>
          <w:tab w:val="left" w:pos="360"/>
        </w:tabs>
        <w:spacing w:line="460" w:lineRule="exact"/>
        <w:ind w:firstLine="480" w:firstLineChars="200"/>
        <w:rPr>
          <w:rFonts w:ascii="宋体" w:hAnsi="宋体" w:cs="宋体"/>
          <w:color w:val="auto"/>
          <w:sz w:val="24"/>
        </w:rPr>
      </w:pPr>
      <w:bookmarkStart w:id="50" w:name="_Hlt26670360"/>
      <w:bookmarkEnd w:id="50"/>
      <w:bookmarkStart w:id="51" w:name="_Hlt26668975"/>
      <w:bookmarkEnd w:id="51"/>
      <w:bookmarkStart w:id="52" w:name="_Hlt26954838"/>
      <w:bookmarkEnd w:id="52"/>
      <w:bookmarkStart w:id="53" w:name="_Toc14577360"/>
      <w:bookmarkStart w:id="54" w:name="_Toc49090511"/>
      <w:r>
        <w:rPr>
          <w:rFonts w:hint="eastAsia" w:ascii="宋体" w:hAnsi="宋体" w:cs="宋体"/>
          <w:color w:val="auto"/>
          <w:sz w:val="24"/>
        </w:rPr>
        <w:t>3.投标有效期</w:t>
      </w:r>
      <w:bookmarkEnd w:id="53"/>
      <w:bookmarkEnd w:id="54"/>
    </w:p>
    <w:p w14:paraId="195D4D0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3.1投标有效期为代理机构规定的开标之日后六十（60）天。投标有效期比规定短的将被视为非响应性投标而予以拒绝。</w:t>
      </w:r>
    </w:p>
    <w:p w14:paraId="5C2A7EC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4.投标有效期的延长</w:t>
      </w:r>
    </w:p>
    <w:p w14:paraId="4CFA925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5B4F831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5.投标人资格要求</w:t>
      </w:r>
    </w:p>
    <w:p w14:paraId="03B85AE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5.1投标人应具备承担本项目的资格要求。</w:t>
      </w:r>
    </w:p>
    <w:p w14:paraId="1BB9B6EE">
      <w:pPr>
        <w:tabs>
          <w:tab w:val="left" w:pos="360"/>
        </w:tabs>
        <w:spacing w:line="460" w:lineRule="exact"/>
        <w:ind w:firstLine="482" w:firstLineChars="200"/>
        <w:rPr>
          <w:rFonts w:ascii="宋体" w:hAnsi="宋体" w:cs="宋体"/>
          <w:b/>
          <w:bCs/>
          <w:color w:val="auto"/>
          <w:sz w:val="24"/>
        </w:rPr>
      </w:pPr>
      <w:bookmarkStart w:id="55" w:name="_Hlt26954852"/>
      <w:bookmarkEnd w:id="55"/>
      <w:bookmarkStart w:id="56" w:name="_Hlt26954739"/>
      <w:bookmarkEnd w:id="56"/>
      <w:bookmarkStart w:id="57" w:name="_Toc20823296"/>
      <w:bookmarkStart w:id="58" w:name="_Toc120614217"/>
      <w:bookmarkStart w:id="59" w:name="_Toc513029224"/>
      <w:bookmarkStart w:id="60" w:name="_Toc16938540"/>
      <w:r>
        <w:rPr>
          <w:rFonts w:hint="eastAsia" w:ascii="宋体" w:hAnsi="宋体" w:cs="宋体"/>
          <w:b/>
          <w:bCs/>
          <w:color w:val="auto"/>
          <w:sz w:val="24"/>
        </w:rPr>
        <w:t>四、投标文件的递交</w:t>
      </w:r>
      <w:bookmarkEnd w:id="57"/>
      <w:bookmarkEnd w:id="58"/>
      <w:bookmarkEnd w:id="59"/>
      <w:bookmarkEnd w:id="60"/>
    </w:p>
    <w:p w14:paraId="7FDC0FB8">
      <w:pPr>
        <w:tabs>
          <w:tab w:val="left" w:pos="360"/>
        </w:tabs>
        <w:spacing w:line="460" w:lineRule="exact"/>
        <w:ind w:firstLine="480" w:firstLineChars="200"/>
        <w:rPr>
          <w:rFonts w:ascii="宋体" w:hAnsi="宋体" w:cs="宋体"/>
          <w:color w:val="auto"/>
          <w:sz w:val="24"/>
        </w:rPr>
      </w:pPr>
      <w:bookmarkStart w:id="61" w:name="_Toc16938542"/>
      <w:bookmarkStart w:id="62" w:name="_Toc20823298"/>
      <w:bookmarkStart w:id="63" w:name="_Toc513029226"/>
      <w:r>
        <w:rPr>
          <w:rFonts w:hint="eastAsia" w:ascii="宋体" w:hAnsi="宋体" w:cs="宋体"/>
          <w:color w:val="auto"/>
          <w:sz w:val="24"/>
        </w:rPr>
        <w:t>1.投标文件的组成</w:t>
      </w:r>
    </w:p>
    <w:p w14:paraId="0D34CA2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1.1纸质投标文件分资格审查文件、商务技术标、价格标三部分内容。每一部分内容均须提供“壹份正本、贰份副本”纸质响应文件，须分别单独牢固装订，不得相互混淆，文件自编目录并连续标注页码，不得将内容拆开。价格标不得出现于资格审查文件和商务技术标响应投标文件中。</w:t>
      </w:r>
    </w:p>
    <w:p w14:paraId="365C697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1.2纸质响应文件分三个密封袋（箱）提交。其中：</w:t>
      </w:r>
    </w:p>
    <w:p w14:paraId="144C7C2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资格审查文件的正、副本纸质响应文件密封在一个单独的密封袋内；</w:t>
      </w:r>
    </w:p>
    <w:p w14:paraId="158EB99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商务技术标的正、副本纸质响应文件及图纸类（如需提供图纸等其它资料的话）等密封在一个单独的密封袋或密封箱内（如有A3大小的图纸类，可单独密封）；</w:t>
      </w:r>
    </w:p>
    <w:p w14:paraId="51E17B1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价格标的正、副本纸质响应文件密封在一个单独的密封袋内。</w:t>
      </w:r>
    </w:p>
    <w:p w14:paraId="3239DD4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1.3纸质投标文件须采用A4纸（图纸等除外），正、副本须打印并由法定代表人或授权人签字并加盖单位印章。文件内容中不得行间插字、涂改、增删，如修补错漏处，须由投标文件签署人签字并加盖公章。</w:t>
      </w:r>
    </w:p>
    <w:p w14:paraId="0CC2E193">
      <w:pPr>
        <w:tabs>
          <w:tab w:val="left" w:pos="360"/>
        </w:tabs>
        <w:spacing w:line="460" w:lineRule="exact"/>
        <w:ind w:firstLine="482" w:firstLineChars="200"/>
        <w:rPr>
          <w:rFonts w:ascii="宋体" w:hAnsi="宋体" w:cs="宋体"/>
          <w:color w:val="auto"/>
          <w:sz w:val="24"/>
        </w:rPr>
      </w:pPr>
      <w:r>
        <w:rPr>
          <w:rFonts w:hint="eastAsia" w:ascii="宋体" w:hAnsi="宋体" w:cs="宋体"/>
          <w:b/>
          <w:bCs/>
          <w:color w:val="auto"/>
          <w:sz w:val="24"/>
        </w:rPr>
        <w:t>注：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611752E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1.4.电子投标文件（一份，单独密封提交）</w:t>
      </w:r>
    </w:p>
    <w:p w14:paraId="7738B03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本项目要求提供电子响应文件一份，电子响应文件的内容为资格审查文件、商务技术标、价格标文件打印盖章（或电子签章）后的响应文件的扫描件（资格审查文件、商务技术标、价格标需分别逐页连续扫描为三个独立的PDF文件），可以采取U盘、电子光盘两种方式中任意一种方式提交，需单独密封提交。</w:t>
      </w:r>
    </w:p>
    <w:p w14:paraId="5C5C82C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电子响应文件内容应与提交的纸质响应文件内容一致。否则，由此产生的后果投标人自负。</w:t>
      </w:r>
    </w:p>
    <w:p w14:paraId="03E5637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1.5响应文件密封后应标明响应文件项目名称、项目编号、边缝处加盖单位骑缝章或骑缝签字等关键信息，密封完好以不泄露投标文件内容为主要判断依据。</w:t>
      </w:r>
    </w:p>
    <w:p w14:paraId="0687FFC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1.6递交时间：供应商须在规定的响应文件接收截止时间前送达指定地点。供应商提交投标文件，即视为已响应参加招标活动。</w:t>
      </w:r>
    </w:p>
    <w:p w14:paraId="6F76A4B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友情提醒：代理机构将拒绝接收未按照招标文件要求密封的响应文件，拒绝接收在响应文件接收截止时间后递交的响应文件。</w:t>
      </w:r>
    </w:p>
    <w:p w14:paraId="191AAF3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2.投标截止日期</w:t>
      </w:r>
      <w:bookmarkEnd w:id="61"/>
      <w:bookmarkEnd w:id="62"/>
      <w:bookmarkEnd w:id="63"/>
    </w:p>
    <w:p w14:paraId="4C735A9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2.1 供应商提交响应文件的时间不得迟于招标公告中规定的响应文件提交截止时间。</w:t>
      </w:r>
    </w:p>
    <w:p w14:paraId="06FD5C3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供应商应充分考虑到交通路况、停车等风险因素，如因供应商自身原因造成的投标响应文件提交不成功由供应商自行承担全部责任。</w:t>
      </w:r>
    </w:p>
    <w:p w14:paraId="6ABD49A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2.2 代理机构可以按照规定，通过修改招标文件酌情延长投标截止日期，在此情况下，投标人的所有权利和义务以及投标人受制的截止日期均应以延长后新的截止日期为准。</w:t>
      </w:r>
    </w:p>
    <w:p w14:paraId="71868FBB">
      <w:pPr>
        <w:tabs>
          <w:tab w:val="left" w:pos="360"/>
        </w:tabs>
        <w:spacing w:line="460" w:lineRule="exact"/>
        <w:ind w:firstLine="480" w:firstLineChars="200"/>
        <w:rPr>
          <w:rFonts w:ascii="宋体" w:hAnsi="宋体" w:cs="宋体"/>
          <w:color w:val="auto"/>
          <w:sz w:val="24"/>
        </w:rPr>
      </w:pPr>
      <w:bookmarkStart w:id="64" w:name="_Toc20823299"/>
      <w:bookmarkStart w:id="65" w:name="_Toc16938543"/>
      <w:bookmarkStart w:id="66" w:name="_Toc513029227"/>
      <w:r>
        <w:rPr>
          <w:rFonts w:hint="eastAsia" w:ascii="宋体" w:hAnsi="宋体" w:cs="宋体"/>
          <w:color w:val="auto"/>
          <w:sz w:val="24"/>
        </w:rPr>
        <w:t>3.投标文件</w:t>
      </w:r>
      <w:bookmarkEnd w:id="64"/>
      <w:bookmarkEnd w:id="65"/>
      <w:bookmarkEnd w:id="66"/>
      <w:r>
        <w:rPr>
          <w:rFonts w:hint="eastAsia" w:ascii="宋体" w:hAnsi="宋体" w:cs="宋体"/>
          <w:color w:val="auto"/>
          <w:sz w:val="24"/>
        </w:rPr>
        <w:t>的拒收</w:t>
      </w:r>
    </w:p>
    <w:p w14:paraId="66039FE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3.1 代理机构拒绝接收在其规定的投标截止时间后提交的任何投标文件。</w:t>
      </w:r>
    </w:p>
    <w:p w14:paraId="71397AA0">
      <w:pPr>
        <w:tabs>
          <w:tab w:val="left" w:pos="360"/>
        </w:tabs>
        <w:spacing w:line="460" w:lineRule="exact"/>
        <w:ind w:firstLine="480" w:firstLineChars="200"/>
        <w:rPr>
          <w:rFonts w:ascii="宋体" w:hAnsi="宋体" w:cs="宋体"/>
          <w:color w:val="auto"/>
          <w:sz w:val="24"/>
        </w:rPr>
      </w:pPr>
      <w:bookmarkStart w:id="67" w:name="_Toc513029228"/>
      <w:bookmarkStart w:id="68" w:name="_Toc16938544"/>
      <w:bookmarkStart w:id="69" w:name="_Toc20823300"/>
      <w:r>
        <w:rPr>
          <w:rFonts w:hint="eastAsia" w:ascii="宋体" w:hAnsi="宋体" w:cs="宋体"/>
          <w:color w:val="auto"/>
          <w:sz w:val="24"/>
        </w:rPr>
        <w:t>4.投标文件的撤回和修改</w:t>
      </w:r>
      <w:bookmarkEnd w:id="67"/>
      <w:bookmarkEnd w:id="68"/>
      <w:bookmarkEnd w:id="69"/>
    </w:p>
    <w:p w14:paraId="65E181A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4.1 响应文件的撤回</w:t>
      </w:r>
    </w:p>
    <w:p w14:paraId="64F63CBC">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4.1.1供应商可在响应文件提交截止时间前，书面撤回其投标响应文件。</w:t>
      </w:r>
    </w:p>
    <w:p w14:paraId="58532C4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4.1.2 投标人撤回投标文件，则认为其不再参与本项目投标活动。</w:t>
      </w:r>
    </w:p>
    <w:p w14:paraId="7C3F42F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4.2 投标文件的修改</w:t>
      </w:r>
    </w:p>
    <w:p w14:paraId="66EBFEB9">
      <w:pPr>
        <w:tabs>
          <w:tab w:val="left" w:pos="360"/>
        </w:tabs>
        <w:spacing w:line="460" w:lineRule="exact"/>
        <w:ind w:firstLine="480" w:firstLineChars="200"/>
        <w:rPr>
          <w:rFonts w:ascii="宋体" w:hAnsi="宋体" w:cs="宋体"/>
          <w:color w:val="auto"/>
          <w:sz w:val="24"/>
        </w:rPr>
      </w:pPr>
      <w:bookmarkStart w:id="70" w:name="_Toc16938545"/>
      <w:bookmarkStart w:id="71" w:name="_Toc120614218"/>
      <w:bookmarkStart w:id="72" w:name="_Toc513029229"/>
      <w:bookmarkStart w:id="73" w:name="_Toc20823301"/>
      <w:r>
        <w:rPr>
          <w:rFonts w:hint="eastAsia" w:ascii="宋体" w:hAnsi="宋体" w:cs="宋体"/>
          <w:color w:val="auto"/>
          <w:sz w:val="24"/>
        </w:rPr>
        <w:t>在响应文件提交截止时间之后，供应商不得再对其提交的响应文件进行修改。</w:t>
      </w:r>
    </w:p>
    <w:p w14:paraId="16879A7B">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五、开标与评标</w:t>
      </w:r>
      <w:bookmarkEnd w:id="70"/>
      <w:bookmarkEnd w:id="71"/>
      <w:bookmarkEnd w:id="72"/>
      <w:bookmarkEnd w:id="73"/>
    </w:p>
    <w:p w14:paraId="3463E7FF">
      <w:pPr>
        <w:tabs>
          <w:tab w:val="left" w:pos="360"/>
        </w:tabs>
        <w:spacing w:line="460" w:lineRule="exact"/>
        <w:ind w:firstLine="480" w:firstLineChars="200"/>
        <w:rPr>
          <w:rFonts w:ascii="宋体" w:hAnsi="宋体" w:cs="宋体"/>
          <w:color w:val="auto"/>
          <w:sz w:val="24"/>
        </w:rPr>
      </w:pPr>
      <w:bookmarkStart w:id="74" w:name="_Toc513029230"/>
      <w:bookmarkStart w:id="75" w:name="_Toc16938546"/>
      <w:bookmarkStart w:id="76" w:name="_Toc20823302"/>
      <w:r>
        <w:rPr>
          <w:rFonts w:hint="eastAsia" w:ascii="宋体" w:hAnsi="宋体" w:cs="宋体"/>
          <w:color w:val="auto"/>
          <w:sz w:val="24"/>
        </w:rPr>
        <w:t>1开标</w:t>
      </w:r>
      <w:bookmarkEnd w:id="74"/>
      <w:bookmarkEnd w:id="75"/>
      <w:bookmarkEnd w:id="76"/>
    </w:p>
    <w:p w14:paraId="2CD1F91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1.1 代理机构将在招标公告中规定的时间和地点组织公开开标。投标人应当按时在指定地点参加开标活动。</w:t>
      </w:r>
    </w:p>
    <w:p w14:paraId="5492689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1.2开标仪式由代理机构组织。</w:t>
      </w:r>
    </w:p>
    <w:p w14:paraId="4DEB5001">
      <w:pPr>
        <w:tabs>
          <w:tab w:val="left" w:pos="360"/>
        </w:tabs>
        <w:spacing w:line="460" w:lineRule="exact"/>
        <w:ind w:firstLine="480" w:firstLineChars="200"/>
        <w:rPr>
          <w:rFonts w:ascii="宋体" w:hAnsi="宋体" w:cs="宋体"/>
          <w:color w:val="auto"/>
          <w:sz w:val="24"/>
        </w:rPr>
      </w:pPr>
      <w:bookmarkStart w:id="77" w:name="_Toc20823303"/>
      <w:bookmarkStart w:id="78" w:name="_Toc513029231"/>
      <w:bookmarkStart w:id="79" w:name="_Toc16938547"/>
      <w:r>
        <w:rPr>
          <w:rFonts w:hint="eastAsia" w:ascii="宋体" w:hAnsi="宋体" w:cs="宋体"/>
          <w:color w:val="auto"/>
          <w:sz w:val="24"/>
        </w:rPr>
        <w:t>2评标委员会</w:t>
      </w:r>
    </w:p>
    <w:p w14:paraId="011FDC8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2.1 开标后，代理机构将立即组织评标委员会（以下简称评委会）进行评标。</w:t>
      </w:r>
    </w:p>
    <w:p w14:paraId="3C5BCD2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2.2 评委会由招标人代表和有关技术、经济等方面的专家组成，且人员构成符合政府采购有关规定。</w:t>
      </w:r>
    </w:p>
    <w:p w14:paraId="212A069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2.3评委会独立工作，负责评审所有投标文件并确定中标候选人。</w:t>
      </w:r>
    </w:p>
    <w:p w14:paraId="4A2E4ED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3.评标过程的保密与公正</w:t>
      </w:r>
    </w:p>
    <w:bookmarkEnd w:id="77"/>
    <w:bookmarkEnd w:id="78"/>
    <w:bookmarkEnd w:id="79"/>
    <w:p w14:paraId="7270196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3.1公开开标后，直至向中标的投标人授予合同时止，凡是与审查、澄清、评价和比较投标的有关资料以及授标建议等，招标人、评委、代理机构均不得向投标人或与评标无关的其他人员透露。</w:t>
      </w:r>
    </w:p>
    <w:p w14:paraId="48BB82D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3.2在评标过程中，投标人不得以任何行为影响评标过程，否则其投标文件将被作为无效投标文件。</w:t>
      </w:r>
    </w:p>
    <w:p w14:paraId="6171039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3.3在评标期间，代理机构将设专门人员与投标人联系。</w:t>
      </w:r>
    </w:p>
    <w:p w14:paraId="543177A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3.4 代理机构和评标委员会不向未中标的投标人解释未中标原因，也不公布评标过程中的相关细节。</w:t>
      </w:r>
    </w:p>
    <w:p w14:paraId="2F9FA6DA">
      <w:pPr>
        <w:tabs>
          <w:tab w:val="left" w:pos="360"/>
        </w:tabs>
        <w:spacing w:line="460" w:lineRule="exact"/>
        <w:ind w:firstLine="480" w:firstLineChars="200"/>
        <w:rPr>
          <w:rFonts w:ascii="宋体" w:hAnsi="宋体" w:cs="宋体"/>
          <w:color w:val="auto"/>
          <w:sz w:val="24"/>
        </w:rPr>
      </w:pPr>
      <w:bookmarkStart w:id="80" w:name="_Toc513029232"/>
      <w:bookmarkStart w:id="81" w:name="_Toc20823304"/>
      <w:bookmarkStart w:id="82" w:name="_Toc16938548"/>
      <w:r>
        <w:rPr>
          <w:rFonts w:hint="eastAsia" w:ascii="宋体" w:hAnsi="宋体" w:cs="宋体"/>
          <w:color w:val="auto"/>
          <w:sz w:val="24"/>
        </w:rPr>
        <w:t>4.投标的澄清</w:t>
      </w:r>
      <w:bookmarkEnd w:id="80"/>
      <w:bookmarkEnd w:id="81"/>
      <w:bookmarkEnd w:id="82"/>
    </w:p>
    <w:p w14:paraId="068896E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4.1评标期间，为有助于对投标文件的审查、评价和比较，评委会有权要求投标人对其投标文件进行澄清，但并非对每个投标人都作澄清要求。</w:t>
      </w:r>
    </w:p>
    <w:p w14:paraId="40594B9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4.2接到评委会澄清要求的投标人应按评委会规定的时间和格式做出澄清，澄清的内容作为投标文件的补充部分，但投标的价格和实质性的内容不得做任何更改。</w:t>
      </w:r>
    </w:p>
    <w:p w14:paraId="2E4B573C">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4.3 接到评委会澄清要求的投标人如未按规定做出澄清，其风险由投标人自行承担。</w:t>
      </w:r>
    </w:p>
    <w:p w14:paraId="3FE0EEEA">
      <w:pPr>
        <w:tabs>
          <w:tab w:val="left" w:pos="360"/>
        </w:tabs>
        <w:spacing w:line="460" w:lineRule="exact"/>
        <w:ind w:firstLine="480" w:firstLineChars="200"/>
        <w:rPr>
          <w:rFonts w:ascii="宋体" w:hAnsi="宋体" w:cs="宋体"/>
          <w:color w:val="auto"/>
          <w:sz w:val="24"/>
        </w:rPr>
      </w:pPr>
      <w:bookmarkStart w:id="83" w:name="_Toc16938549"/>
      <w:bookmarkStart w:id="84" w:name="_Toc20823305"/>
      <w:bookmarkStart w:id="85" w:name="_Toc513029233"/>
      <w:r>
        <w:rPr>
          <w:rFonts w:hint="eastAsia" w:ascii="宋体" w:hAnsi="宋体" w:cs="宋体"/>
          <w:color w:val="auto"/>
          <w:sz w:val="24"/>
        </w:rPr>
        <w:t>5对投标文件的初审</w:t>
      </w:r>
      <w:bookmarkEnd w:id="83"/>
      <w:bookmarkEnd w:id="84"/>
      <w:bookmarkEnd w:id="85"/>
    </w:p>
    <w:p w14:paraId="108AF98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5.1投标文件初审分为资格审查和符合性审查。</w:t>
      </w:r>
    </w:p>
    <w:p w14:paraId="25B0507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5.1.1 资格审查：依据法律法规和招标文件的规定，由评委会对投标文件中的资格证明文件进行审查。</w:t>
      </w:r>
    </w:p>
    <w:p w14:paraId="2788C2C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5.1.2 符合性审查：依据招标文件的规定，由评委会从投标文件的有效性、完整性和对招标文件的响应程度进行审查，以确定是否对招标文件的实质性要求作出响应。</w:t>
      </w:r>
    </w:p>
    <w:p w14:paraId="5461FBFC">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5.1.3 未通过资格审查或符合性审查的投标人，代理机构将告知未通过资格审查或符合性审查的原因。</w:t>
      </w:r>
    </w:p>
    <w:p w14:paraId="2F203BC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5.2在详细评标之前，评委会将首先审查每份投标文件是否实质性响应了招标文件的要求。实质性响应的投标应该是与招标文件要求的全部条款、条件和规格相符，没有重大偏离或保留的投标。</w:t>
      </w:r>
    </w:p>
    <w:p w14:paraId="6D90F15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0DB31A4C">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5.3如果投标文件实质上没有响应招标文件的要求，评委会将予以拒绝，投标人不得通过修改或撤销不合要求的偏离或保留而使其投标成为实质性响应的投标。</w:t>
      </w:r>
    </w:p>
    <w:p w14:paraId="026E20F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5.4评委会将对确定为实质性响应的投标进行进一步审核，看其是否有计算上或累加上的算术错误，修正错误的原则如下：</w:t>
      </w:r>
    </w:p>
    <w:p w14:paraId="3E85AC4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（1）投标文件中开标一览表内容与投标文件中相应内容不一致的，以开标一览表为准。</w:t>
      </w:r>
    </w:p>
    <w:p w14:paraId="15A70F4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（2）大写金额和小写金额不一致的，以大写金额为准。</w:t>
      </w:r>
    </w:p>
    <w:p w14:paraId="456B91A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（3）单价金额小数点或者百分比有明显错位的，以开标一览表的总价为准，并修改单价。</w:t>
      </w:r>
    </w:p>
    <w:p w14:paraId="536D95F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（4）总价金额与按单价汇总金额不一致的，以单价金额计算结果为准。</w:t>
      </w:r>
    </w:p>
    <w:p w14:paraId="2D2778D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同时出现两种以上错误的，按照前款规定的顺序修正。</w:t>
      </w:r>
    </w:p>
    <w:p w14:paraId="3443A1B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5.5评委会将按上述修正错误的方法调整投标文件中的投标报价，并告知投标人，调整后的价格应对投标人具有约束力。如果投标人不接受修正后的价格，则其投标将被拒绝。</w:t>
      </w:r>
    </w:p>
    <w:p w14:paraId="7AD1584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5.6评委会将允许修正投标文件中不构成重大偏离的、微小的、非正规的、不一致的或不规则的地方，但这些修改不能影响任何投标人相应的名次排列。</w:t>
      </w:r>
    </w:p>
    <w:p w14:paraId="36FC1A18">
      <w:pPr>
        <w:tabs>
          <w:tab w:val="left" w:pos="360"/>
        </w:tabs>
        <w:spacing w:line="460" w:lineRule="exact"/>
        <w:ind w:firstLine="480" w:firstLineChars="200"/>
        <w:rPr>
          <w:rFonts w:ascii="宋体" w:hAnsi="宋体" w:cs="宋体"/>
          <w:color w:val="auto"/>
          <w:sz w:val="24"/>
        </w:rPr>
      </w:pPr>
      <w:bookmarkStart w:id="86" w:name="_Toc16938550"/>
      <w:bookmarkStart w:id="87" w:name="_Toc513029234"/>
      <w:bookmarkStart w:id="88" w:name="_Toc20823306"/>
      <w:r>
        <w:rPr>
          <w:rFonts w:hint="eastAsia" w:ascii="宋体" w:hAnsi="宋体" w:cs="宋体"/>
          <w:color w:val="auto"/>
          <w:sz w:val="24"/>
        </w:rPr>
        <w:t>5.7投标人在开、评标全过程中应保持通讯畅通，并安排专人与代理机构及评标委员会联系。</w:t>
      </w:r>
    </w:p>
    <w:bookmarkEnd w:id="86"/>
    <w:bookmarkEnd w:id="87"/>
    <w:bookmarkEnd w:id="88"/>
    <w:p w14:paraId="19A40A1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6.无效投标条款和废标条款</w:t>
      </w:r>
    </w:p>
    <w:p w14:paraId="6B60F3ED">
      <w:pPr>
        <w:tabs>
          <w:tab w:val="left" w:pos="360"/>
        </w:tabs>
        <w:spacing w:line="460" w:lineRule="exact"/>
        <w:ind w:firstLine="480" w:firstLineChars="200"/>
        <w:rPr>
          <w:rFonts w:ascii="宋体" w:hAnsi="宋体" w:cs="宋体"/>
          <w:color w:val="auto"/>
          <w:sz w:val="24"/>
        </w:rPr>
      </w:pPr>
      <w:bookmarkStart w:id="89" w:name="_Toc20823307"/>
      <w:bookmarkStart w:id="90" w:name="_Toc513029235"/>
      <w:bookmarkStart w:id="91" w:name="_Toc16938551"/>
      <w:r>
        <w:rPr>
          <w:rFonts w:hint="eastAsia" w:ascii="宋体" w:hAnsi="宋体" w:cs="宋体"/>
          <w:color w:val="auto"/>
          <w:sz w:val="24"/>
        </w:rPr>
        <w:t>6.1无效投标条款</w:t>
      </w:r>
    </w:p>
    <w:p w14:paraId="79C00EE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6.1.1 同一投标人提交两个（含两个）以上不同的投标报价的。</w:t>
      </w:r>
    </w:p>
    <w:p w14:paraId="0C1CCD5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6.1.2投标人不具备招标文件中规定资格要求的。</w:t>
      </w:r>
    </w:p>
    <w:p w14:paraId="23CC676C">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6.1.3投标人的报价超过了采购预算或最高限价的。</w:t>
      </w:r>
    </w:p>
    <w:p w14:paraId="5C0DE92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6.1.4未通过符合性检查的。</w:t>
      </w:r>
    </w:p>
    <w:p w14:paraId="77FB083C">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6.1.5不符合招标文件中规定的其他实质性要求和条件的。</w:t>
      </w:r>
    </w:p>
    <w:p w14:paraId="06A53AC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0EA472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6.1.7本项目投标人之间被通过“天眼查或企查查”查询确认有关联性的。</w:t>
      </w:r>
    </w:p>
    <w:p w14:paraId="41713A1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6.1.8投标文件含有招标人不能接受的附加条件的 。</w:t>
      </w:r>
    </w:p>
    <w:p w14:paraId="4944F53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4BAB26A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6.1.10投标文件未按照招标文件要求签字或盖章的。</w:t>
      </w:r>
    </w:p>
    <w:p w14:paraId="5714173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6.1.11投标人的商务技术部分得分相差悬殊，评标委员会认为得分畸低者没有实质性响应的。</w:t>
      </w:r>
    </w:p>
    <w:p w14:paraId="58C1205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6.1.12其他法律、法规及本招标文件规定的属无效投标的情形。</w:t>
      </w:r>
    </w:p>
    <w:p w14:paraId="1FA017F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6.2废标条款：</w:t>
      </w:r>
    </w:p>
    <w:p w14:paraId="5176289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6.2.1符合专业条件的供应商或者对招标文件作实质响应的供应商不足三家的。</w:t>
      </w:r>
    </w:p>
    <w:p w14:paraId="4179F79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6.2.2出现影响采购公正的违法、违规行为的。</w:t>
      </w:r>
    </w:p>
    <w:p w14:paraId="035342E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6.2.3因重大变故，采购任务取消的。</w:t>
      </w:r>
    </w:p>
    <w:p w14:paraId="5E82B11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6.2.4评标委员会认定招标文件存在歧义、重大缺陷导致评审工作无法进行。</w:t>
      </w:r>
    </w:p>
    <w:p w14:paraId="524DCD8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6.3 投标截止时间结束后参加投标的供应商不足三家的处理：</w:t>
      </w:r>
    </w:p>
    <w:p w14:paraId="4338EA3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6.3.1如出现投标截止时间结束后参加投标的供应商或者在评标期间对招标文件做出实质响应的供应商不足三家情况，按政府采购相关规定执行。</w:t>
      </w:r>
    </w:p>
    <w:bookmarkEnd w:id="89"/>
    <w:bookmarkEnd w:id="90"/>
    <w:bookmarkEnd w:id="91"/>
    <w:p w14:paraId="212F3ED4">
      <w:pPr>
        <w:tabs>
          <w:tab w:val="left" w:pos="360"/>
        </w:tabs>
        <w:spacing w:line="460" w:lineRule="exact"/>
        <w:ind w:firstLine="482" w:firstLineChars="200"/>
        <w:rPr>
          <w:rFonts w:ascii="宋体" w:hAnsi="宋体" w:cs="宋体"/>
          <w:b/>
          <w:bCs/>
          <w:color w:val="auto"/>
          <w:sz w:val="24"/>
        </w:rPr>
      </w:pPr>
      <w:bookmarkStart w:id="92" w:name="_Toc120614219"/>
      <w:r>
        <w:rPr>
          <w:rFonts w:hint="eastAsia" w:ascii="宋体" w:hAnsi="宋体" w:cs="宋体"/>
          <w:b/>
          <w:bCs/>
          <w:color w:val="auto"/>
          <w:sz w:val="24"/>
        </w:rPr>
        <w:t>六、定标</w:t>
      </w:r>
      <w:bookmarkEnd w:id="92"/>
    </w:p>
    <w:p w14:paraId="321A8B04">
      <w:pPr>
        <w:tabs>
          <w:tab w:val="left" w:pos="360"/>
        </w:tabs>
        <w:spacing w:line="460" w:lineRule="exact"/>
        <w:ind w:firstLine="480" w:firstLineChars="200"/>
        <w:rPr>
          <w:rFonts w:ascii="宋体" w:hAnsi="宋体" w:cs="宋体"/>
          <w:color w:val="auto"/>
          <w:sz w:val="24"/>
        </w:rPr>
      </w:pPr>
      <w:bookmarkStart w:id="93" w:name="_Toc20823310"/>
      <w:bookmarkStart w:id="94" w:name="_Toc16938554"/>
      <w:r>
        <w:rPr>
          <w:rFonts w:hint="eastAsia" w:ascii="宋体" w:hAnsi="宋体" w:cs="宋体"/>
          <w:color w:val="auto"/>
          <w:sz w:val="24"/>
        </w:rPr>
        <w:t>1.确定</w:t>
      </w:r>
      <w:bookmarkEnd w:id="93"/>
      <w:bookmarkEnd w:id="94"/>
      <w:r>
        <w:rPr>
          <w:rFonts w:hint="eastAsia" w:ascii="宋体" w:hAnsi="宋体" w:cs="宋体"/>
          <w:color w:val="auto"/>
          <w:sz w:val="24"/>
        </w:rPr>
        <w:t>中标单位</w:t>
      </w:r>
    </w:p>
    <w:p w14:paraId="59C5CC2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 xml:space="preserve">1.1中标候选人的选取原则和数量见招标文件第四部分规定。 </w:t>
      </w:r>
    </w:p>
    <w:p w14:paraId="08F09A5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1.2招标人授权评委会在中标候选人中直接确定中标人。</w:t>
      </w:r>
    </w:p>
    <w:p w14:paraId="0DDCD2A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1.3代理机构将在“江苏商贸职业学院网（http://www.jsbc.edu.cn/）”发布中标公告，公告期限为1个工作日。</w:t>
      </w:r>
    </w:p>
    <w:p w14:paraId="387394E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1.4若有充分证据证明，中标人出现下列情况之一的，一经查实，将被取消中标资格：</w:t>
      </w:r>
    </w:p>
    <w:p w14:paraId="4A65561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1.4.1提供虚假材料谋取中标的。</w:t>
      </w:r>
    </w:p>
    <w:p w14:paraId="19AC7FA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1.4.2向招标人、代理机构行贿或者提供其他不正当利益的。</w:t>
      </w:r>
    </w:p>
    <w:p w14:paraId="14779EC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1.4.3恶意竞争，投标总报价明显低于其自身合理成本且又无法提供证明的。</w:t>
      </w:r>
    </w:p>
    <w:p w14:paraId="74DD738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1.4.4属于本文件规定的无效条件，但在评标过程中又未被评委会发现的。</w:t>
      </w:r>
    </w:p>
    <w:p w14:paraId="7453521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1.4.5与招标人或者其他供应商恶意串通的。</w:t>
      </w:r>
    </w:p>
    <w:p w14:paraId="67213EF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1.4.6采取不正当手段诋毁、排挤其他供应商的。</w:t>
      </w:r>
    </w:p>
    <w:p w14:paraId="2F9AD074">
      <w:pPr>
        <w:tabs>
          <w:tab w:val="left" w:pos="360"/>
        </w:tabs>
        <w:spacing w:line="460" w:lineRule="exact"/>
        <w:ind w:firstLine="480" w:firstLineChars="200"/>
        <w:rPr>
          <w:rFonts w:ascii="宋体" w:hAnsi="宋体" w:cs="宋体"/>
          <w:color w:val="auto"/>
          <w:sz w:val="24"/>
        </w:rPr>
      </w:pPr>
      <w:bookmarkStart w:id="95" w:name="_Toc200451960"/>
      <w:r>
        <w:rPr>
          <w:rFonts w:hint="eastAsia" w:ascii="宋体" w:hAnsi="宋体" w:cs="宋体"/>
          <w:color w:val="auto"/>
          <w:sz w:val="24"/>
        </w:rPr>
        <w:t>1.5.有下列情形之一的，视为投标人串通投标，投标无效：</w:t>
      </w:r>
    </w:p>
    <w:p w14:paraId="59EAFCA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1.5.1不同投标人的投标文件由同一单位或者个人编制；</w:t>
      </w:r>
    </w:p>
    <w:p w14:paraId="6A8C434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1.5.2不同投标人委托同一单位或者个人办理投标事宜；</w:t>
      </w:r>
    </w:p>
    <w:p w14:paraId="40A0899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1.5.3不同投标人的投标文件载明的项目管理成员或者联系人员为同一人；</w:t>
      </w:r>
    </w:p>
    <w:p w14:paraId="64B0D2D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1.5.4不同投标人的投标文件异常一致或者投标报价呈规律性差异；</w:t>
      </w:r>
    </w:p>
    <w:p w14:paraId="3E4282D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1.5.5不同投标人的投标文件相互混装；</w:t>
      </w:r>
    </w:p>
    <w:p w14:paraId="59F3027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2.质疑处理</w:t>
      </w:r>
      <w:bookmarkEnd w:id="95"/>
    </w:p>
    <w:p w14:paraId="49C2D84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2.1 提出质疑的供应商应当是参与所质疑项目采购活动的供应商。潜在供应商依法获取其可质疑的采购文件的，可以对采购文件提出质疑。</w:t>
      </w:r>
    </w:p>
    <w:p w14:paraId="4C4662B5">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0CACF50C">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445150E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2.2.1对可以质疑的采购文件提出质疑的，为收到采购文件之日或者采购文件公告期限届满之日；</w:t>
      </w:r>
    </w:p>
    <w:p w14:paraId="2E8E63A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2.2.2对采购过程提出质疑的，为各采购程序环节结束之日；</w:t>
      </w:r>
    </w:p>
    <w:p w14:paraId="1293B8A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2.2.3对中标或者成交结果提出质疑的，为中标或者成交结果公告期限届满之日。</w:t>
      </w:r>
    </w:p>
    <w:p w14:paraId="2488341D">
      <w:pPr>
        <w:tabs>
          <w:tab w:val="left" w:pos="360"/>
        </w:tabs>
        <w:spacing w:line="460" w:lineRule="exact"/>
        <w:ind w:firstLine="482" w:firstLineChars="200"/>
        <w:rPr>
          <w:rFonts w:ascii="宋体" w:hAnsi="宋体" w:cs="宋体"/>
          <w:color w:val="auto"/>
          <w:sz w:val="24"/>
        </w:rPr>
      </w:pPr>
      <w:r>
        <w:rPr>
          <w:rFonts w:hint="eastAsia" w:ascii="宋体" w:hAnsi="宋体" w:cs="宋体"/>
          <w:b/>
          <w:bCs/>
          <w:color w:val="auto"/>
          <w:sz w:val="24"/>
        </w:rPr>
        <w:t>供应商应当在法定质疑期内一次性提出针对同一采购程序环节的质疑</w:t>
      </w:r>
      <w:r>
        <w:rPr>
          <w:rFonts w:hint="eastAsia" w:ascii="宋体" w:hAnsi="宋体" w:cs="宋体"/>
          <w:color w:val="auto"/>
          <w:sz w:val="24"/>
        </w:rPr>
        <w:t>。</w:t>
      </w:r>
    </w:p>
    <w:p w14:paraId="4B1CB32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7C91ED3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2.4供应商提起质疑采取书面形式，可以现场送达，也可以邮寄。</w:t>
      </w:r>
    </w:p>
    <w:p w14:paraId="6CC3FD4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招标人及代理机构质疑接收人及联系方式，见招标文件第一章。</w:t>
      </w:r>
    </w:p>
    <w:p w14:paraId="4DAEF65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2.5 以下情形的质疑不予受理</w:t>
      </w:r>
    </w:p>
    <w:p w14:paraId="0603CA0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2.5.1 内容不符合《政府采购质疑和投诉办法》第十二条规定的质疑。</w:t>
      </w:r>
    </w:p>
    <w:p w14:paraId="351E152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2.5.2 超出政府采购法定期限的质疑。</w:t>
      </w:r>
    </w:p>
    <w:p w14:paraId="27D46C2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2.5.3 未参加投标活动的供应商或在投标活动中自身权益未受到损害的供应商所提出的质疑。</w:t>
      </w:r>
    </w:p>
    <w:p w14:paraId="0233489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2.5.4供应商组成联合体参加投标，联合体中任何一方或多方未按要求签字、盖章、加盖公章的质疑。</w:t>
      </w:r>
    </w:p>
    <w:p w14:paraId="11868FFC">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69FF987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3.中标通知书</w:t>
      </w:r>
    </w:p>
    <w:p w14:paraId="6004C39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3.l 中标结果确定后，招标人将向中标供应商发出中标通知书。成交供应商应在成交结果公告期满后5个工作日内到采购代理机构办理领取成交通知书手续，否则，由此产生的后果供应商自负。</w:t>
      </w:r>
    </w:p>
    <w:p w14:paraId="292DC23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3.2中标通知书将是合同的一个组成部分。对招标人和中标供应商均具有法律效力。中标通知书发出后，招标人改变中标结果的，或者中标供应商放弃中标项目的，应当依法承担法律责任。</w:t>
      </w:r>
    </w:p>
    <w:p w14:paraId="0054610F">
      <w:pPr>
        <w:tabs>
          <w:tab w:val="left" w:pos="360"/>
        </w:tabs>
        <w:spacing w:line="460" w:lineRule="exact"/>
        <w:ind w:firstLine="482" w:firstLineChars="200"/>
        <w:rPr>
          <w:rFonts w:ascii="宋体" w:hAnsi="宋体" w:cs="宋体"/>
          <w:b/>
          <w:bCs/>
          <w:color w:val="auto"/>
          <w:sz w:val="24"/>
        </w:rPr>
      </w:pPr>
      <w:bookmarkStart w:id="96" w:name="_Toc120614220"/>
      <w:bookmarkStart w:id="97" w:name="_Toc20823308"/>
      <w:bookmarkStart w:id="98" w:name="_Toc513029236"/>
      <w:bookmarkStart w:id="99" w:name="_Toc16938552"/>
      <w:r>
        <w:rPr>
          <w:rFonts w:hint="eastAsia" w:ascii="宋体" w:hAnsi="宋体" w:cs="宋体"/>
          <w:b/>
          <w:bCs/>
          <w:color w:val="auto"/>
          <w:sz w:val="24"/>
        </w:rPr>
        <w:t>七、授予合同</w:t>
      </w:r>
      <w:bookmarkEnd w:id="96"/>
    </w:p>
    <w:bookmarkEnd w:id="97"/>
    <w:bookmarkEnd w:id="98"/>
    <w:bookmarkEnd w:id="99"/>
    <w:p w14:paraId="594C9B0C">
      <w:pPr>
        <w:tabs>
          <w:tab w:val="left" w:pos="360"/>
        </w:tabs>
        <w:spacing w:line="460" w:lineRule="exact"/>
        <w:ind w:firstLine="480" w:firstLineChars="200"/>
        <w:rPr>
          <w:rFonts w:ascii="宋体" w:hAnsi="宋体" w:cs="宋体"/>
          <w:color w:val="auto"/>
          <w:sz w:val="24"/>
        </w:rPr>
      </w:pPr>
      <w:bookmarkStart w:id="100" w:name="_Toc513029237"/>
      <w:bookmarkStart w:id="101" w:name="_Toc16938553"/>
      <w:bookmarkStart w:id="102" w:name="_Toc20823309"/>
      <w:r>
        <w:rPr>
          <w:rFonts w:hint="eastAsia" w:ascii="宋体" w:hAnsi="宋体" w:cs="宋体"/>
          <w:color w:val="auto"/>
          <w:sz w:val="24"/>
        </w:rPr>
        <w:t>1.签订合同</w:t>
      </w:r>
    </w:p>
    <w:p w14:paraId="2CA4CEB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 xml:space="preserve">1.l成交服务商在《成交通知书》发出30日内必须按照采购文件确定的事项签订采购合同。合同一式陆份，采购单位伍份、服务商壹份。所签合同不得对采购文件作实质性修改。采购单位不得向成交供应商提出不合理的要求作为签订合同的条件，不得与成交服务商私下订立背离采购文件实质性内容的协议。  </w:t>
      </w:r>
    </w:p>
    <w:p w14:paraId="19D9BE3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1.2采购人按合同约定积极配合成交供应商履约，成交服务商履约到位后，请以书面形式向采购人提出验收申请，采购人接到申请后原则上在5个工作日内及时组织相关专业技术人员，必要时邀请质检等部门共同参与验收，并出具验收报告，验收合格的原则上7个工作日内支付相应款项。</w:t>
      </w:r>
    </w:p>
    <w:p w14:paraId="0C1632B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1.3采购人故意推迟项目验收时间的，与成交服务商串通或要求成交服务商降低服务标准的，在履行合同中采取更改条款、弄虚作假等手段的，要求成交服务商出具虚假发票或任意更改销售发票的，谋取不正当利益的，承担相应的法律责任。</w:t>
      </w:r>
    </w:p>
    <w:p w14:paraId="7039042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1.4成交服务商出现违约情形，应当及时纠正或补偿；造成损失的，按合同约定追究违约责任；发现有假冒、伪劣、走私产品、商业贿赂等违法情形的，应由采购人移交工商、质监、公安等行政执法部门依法查处。</w:t>
      </w:r>
    </w:p>
    <w:p w14:paraId="1EF1D04F">
      <w:pPr>
        <w:spacing w:line="360" w:lineRule="auto"/>
        <w:ind w:firstLine="484" w:firstLineChars="202"/>
        <w:rPr>
          <w:rFonts w:ascii="宋体" w:hAnsi="宋体" w:cs="宋体"/>
          <w:color w:val="auto"/>
          <w:sz w:val="24"/>
        </w:rPr>
      </w:pPr>
      <w:r>
        <w:rPr>
          <w:rFonts w:hint="eastAsia" w:ascii="宋体" w:hAnsi="宋体" w:cs="宋体"/>
          <w:color w:val="auto"/>
          <w:sz w:val="24"/>
        </w:rPr>
        <w:t>1.5按政府采购合同约定支付的货款进行支付。</w:t>
      </w:r>
    </w:p>
    <w:p w14:paraId="0155F5C2">
      <w:pPr>
        <w:tabs>
          <w:tab w:val="left" w:pos="360"/>
        </w:tabs>
        <w:spacing w:line="460" w:lineRule="exact"/>
        <w:rPr>
          <w:rFonts w:ascii="宋体" w:hAnsi="宋体" w:cs="宋体"/>
          <w:b/>
          <w:bCs/>
          <w:color w:val="auto"/>
          <w:sz w:val="24"/>
        </w:rPr>
      </w:pPr>
      <w:r>
        <w:rPr>
          <w:rFonts w:hint="eastAsia" w:ascii="宋体" w:hAnsi="宋体" w:cs="宋体"/>
          <w:b/>
          <w:bCs/>
          <w:color w:val="auto"/>
          <w:sz w:val="24"/>
        </w:rPr>
        <w:t>八、未尽事宜</w:t>
      </w:r>
    </w:p>
    <w:p w14:paraId="3DCEF82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参照《中华人民共和国政府采购法》及其他有关的法律法规的规定及按江苏商贸职业学院采购管理规定执行。</w:t>
      </w:r>
    </w:p>
    <w:bookmarkEnd w:id="100"/>
    <w:bookmarkEnd w:id="101"/>
    <w:bookmarkEnd w:id="102"/>
    <w:p w14:paraId="28D01522">
      <w:pPr>
        <w:rPr>
          <w:rFonts w:ascii="宋体" w:hAnsi="宋体" w:cs="宋体"/>
          <w:bCs/>
          <w:color w:val="auto"/>
          <w:sz w:val="32"/>
          <w:szCs w:val="32"/>
        </w:rPr>
      </w:pPr>
    </w:p>
    <w:p w14:paraId="2A75B525">
      <w:pPr>
        <w:rPr>
          <w:rFonts w:ascii="宋体" w:hAnsi="宋体" w:cs="宋体"/>
          <w:bCs/>
          <w:color w:val="auto"/>
          <w:sz w:val="32"/>
          <w:szCs w:val="32"/>
        </w:rPr>
      </w:pPr>
      <w:r>
        <w:rPr>
          <w:rFonts w:hint="eastAsia" w:ascii="宋体" w:hAnsi="宋体" w:cs="宋体"/>
          <w:bCs/>
          <w:color w:val="auto"/>
          <w:sz w:val="32"/>
          <w:szCs w:val="32"/>
        </w:rPr>
        <w:br w:type="page"/>
      </w:r>
    </w:p>
    <w:p w14:paraId="285350FD">
      <w:pPr>
        <w:jc w:val="center"/>
        <w:rPr>
          <w:rFonts w:ascii="宋体" w:hAnsi="宋体" w:cs="宋体"/>
          <w:bCs/>
          <w:color w:val="auto"/>
          <w:sz w:val="32"/>
          <w:szCs w:val="32"/>
        </w:rPr>
      </w:pPr>
      <w:r>
        <w:rPr>
          <w:rFonts w:hint="eastAsia" w:ascii="宋体" w:hAnsi="宋体" w:cs="宋体"/>
          <w:bCs/>
          <w:color w:val="auto"/>
          <w:sz w:val="32"/>
          <w:szCs w:val="32"/>
        </w:rPr>
        <w:t>第三部分  项目需求</w:t>
      </w:r>
    </w:p>
    <w:bookmarkEnd w:id="0"/>
    <w:bookmarkEnd w:id="1"/>
    <w:bookmarkEnd w:id="2"/>
    <w:p w14:paraId="3D2D08A9">
      <w:pPr>
        <w:snapToGrid w:val="0"/>
        <w:spacing w:line="460" w:lineRule="exact"/>
        <w:ind w:firstLine="480" w:firstLineChars="200"/>
        <w:rPr>
          <w:rFonts w:ascii="宋体" w:hAnsi="宋体" w:cs="宋体"/>
          <w:color w:val="auto"/>
          <w:sz w:val="24"/>
        </w:rPr>
      </w:pPr>
      <w:bookmarkStart w:id="103" w:name="_Toc182848971"/>
      <w:r>
        <w:rPr>
          <w:rFonts w:hint="eastAsia" w:ascii="宋体" w:hAnsi="宋体" w:cs="宋体"/>
          <w:color w:val="auto"/>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宋体"/>
          <w:color w:val="auto"/>
          <w:sz w:val="24"/>
        </w:rPr>
        <w:t>示，如不明示的视同完全响应</w:t>
      </w:r>
      <w:r>
        <w:rPr>
          <w:rFonts w:hint="eastAsia" w:ascii="宋体" w:hAnsi="宋体" w:cs="宋体"/>
          <w:color w:val="auto"/>
          <w:sz w:val="24"/>
          <w:lang w:val="zh-CN"/>
        </w:rPr>
        <w:t>。</w:t>
      </w:r>
      <w:bookmarkEnd w:id="103"/>
    </w:p>
    <w:p w14:paraId="5B295505">
      <w:pPr>
        <w:adjustRightInd w:val="0"/>
        <w:spacing w:line="460" w:lineRule="exact"/>
        <w:ind w:firstLine="482" w:firstLineChars="200"/>
        <w:rPr>
          <w:rFonts w:ascii="宋体" w:hAnsi="宋体" w:cs="宋体"/>
          <w:b/>
          <w:bCs/>
          <w:color w:val="auto"/>
          <w:sz w:val="24"/>
        </w:rPr>
      </w:pPr>
      <w:r>
        <w:rPr>
          <w:rFonts w:hint="eastAsia" w:ascii="宋体" w:hAnsi="宋体" w:cs="宋体"/>
          <w:b/>
          <w:bCs/>
          <w:color w:val="auto"/>
          <w:sz w:val="24"/>
        </w:rPr>
        <w:t>其内容包含：</w:t>
      </w:r>
    </w:p>
    <w:p w14:paraId="0CA5CA6D">
      <w:pPr>
        <w:adjustRightInd w:val="0"/>
        <w:spacing w:line="460" w:lineRule="exact"/>
        <w:ind w:firstLine="482" w:firstLineChars="200"/>
        <w:rPr>
          <w:b/>
          <w:color w:val="auto"/>
          <w:sz w:val="24"/>
        </w:rPr>
      </w:pPr>
      <w:r>
        <w:rPr>
          <w:rFonts w:hint="eastAsia"/>
          <w:b/>
          <w:color w:val="auto"/>
          <w:sz w:val="24"/>
        </w:rPr>
        <w:t>一、项目背景</w:t>
      </w:r>
    </w:p>
    <w:p w14:paraId="001D4A85">
      <w:pPr>
        <w:adjustRightInd w:val="0"/>
        <w:spacing w:line="460" w:lineRule="exact"/>
        <w:ind w:firstLine="480" w:firstLineChars="200"/>
        <w:rPr>
          <w:color w:val="auto"/>
          <w:sz w:val="24"/>
        </w:rPr>
      </w:pPr>
      <w:r>
        <w:rPr>
          <w:rFonts w:hint="eastAsia"/>
          <w:color w:val="auto"/>
          <w:sz w:val="24"/>
        </w:rPr>
        <w:t>随着我校信息化建设逐步展开、近几年业务系统大量更新换代，对部署系统所需要的云计算、云存储资源的需求也越来越高，校园一卡通现有服务器已不能满足业务需求。本次项目采购超融合一体机主要用于校园一卡通所属核心业务系统及数据库的运行管理及数据存储。</w:t>
      </w:r>
    </w:p>
    <w:p w14:paraId="0BD95972">
      <w:pPr>
        <w:adjustRightInd w:val="0"/>
        <w:spacing w:line="460" w:lineRule="exact"/>
        <w:ind w:firstLine="482" w:firstLineChars="200"/>
        <w:rPr>
          <w:b/>
          <w:color w:val="auto"/>
          <w:sz w:val="24"/>
        </w:rPr>
      </w:pPr>
      <w:r>
        <w:rPr>
          <w:rFonts w:hint="eastAsia"/>
          <w:b/>
          <w:color w:val="auto"/>
          <w:sz w:val="24"/>
        </w:rPr>
        <w:t>二、设备采购清单及参数要求</w:t>
      </w:r>
    </w:p>
    <w:p w14:paraId="591DFEB7">
      <w:pPr>
        <w:adjustRightInd w:val="0"/>
        <w:spacing w:line="460" w:lineRule="exact"/>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、采购清单：</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749"/>
        <w:gridCol w:w="3495"/>
        <w:gridCol w:w="1018"/>
        <w:gridCol w:w="956"/>
      </w:tblGrid>
      <w:tr w14:paraId="26A7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65" w:type="pct"/>
            <w:shd w:val="clear" w:color="auto" w:fill="auto"/>
            <w:vAlign w:val="center"/>
          </w:tcPr>
          <w:p w14:paraId="1301058F">
            <w:pPr>
              <w:widowControl/>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序号</w:t>
            </w:r>
          </w:p>
        </w:tc>
        <w:tc>
          <w:tcPr>
            <w:tcW w:w="1026" w:type="pct"/>
            <w:shd w:val="clear" w:color="auto" w:fill="auto"/>
            <w:vAlign w:val="center"/>
          </w:tcPr>
          <w:p w14:paraId="7C50A8B2">
            <w:pPr>
              <w:widowControl/>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设备名称</w:t>
            </w:r>
          </w:p>
        </w:tc>
        <w:tc>
          <w:tcPr>
            <w:tcW w:w="2050" w:type="pct"/>
            <w:shd w:val="clear" w:color="auto" w:fill="auto"/>
            <w:vAlign w:val="center"/>
          </w:tcPr>
          <w:p w14:paraId="130431B7">
            <w:pPr>
              <w:widowControl/>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配置参数</w:t>
            </w:r>
          </w:p>
        </w:tc>
        <w:tc>
          <w:tcPr>
            <w:tcW w:w="597" w:type="pct"/>
            <w:vAlign w:val="center"/>
          </w:tcPr>
          <w:p w14:paraId="1DE96DA6">
            <w:pPr>
              <w:widowControl/>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单位</w:t>
            </w:r>
          </w:p>
        </w:tc>
        <w:tc>
          <w:tcPr>
            <w:tcW w:w="561" w:type="pct"/>
            <w:shd w:val="clear" w:color="auto" w:fill="auto"/>
            <w:vAlign w:val="center"/>
          </w:tcPr>
          <w:p w14:paraId="7DBEF729">
            <w:pPr>
              <w:widowControl/>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数量</w:t>
            </w:r>
          </w:p>
        </w:tc>
      </w:tr>
      <w:tr w14:paraId="3ED6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65" w:type="pct"/>
            <w:shd w:val="clear" w:color="auto" w:fill="auto"/>
            <w:vAlign w:val="center"/>
          </w:tcPr>
          <w:p w14:paraId="56E09A1A">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1026" w:type="pct"/>
            <w:shd w:val="clear" w:color="auto" w:fill="auto"/>
            <w:vAlign w:val="center"/>
          </w:tcPr>
          <w:p w14:paraId="681348A8">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超融合服务器</w:t>
            </w:r>
          </w:p>
        </w:tc>
        <w:tc>
          <w:tcPr>
            <w:tcW w:w="2050" w:type="pct"/>
            <w:shd w:val="clear" w:color="auto" w:fill="auto"/>
            <w:vAlign w:val="center"/>
          </w:tcPr>
          <w:p w14:paraId="07AA8318">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详见技术参数</w:t>
            </w:r>
          </w:p>
        </w:tc>
        <w:tc>
          <w:tcPr>
            <w:tcW w:w="597" w:type="pct"/>
            <w:vAlign w:val="center"/>
          </w:tcPr>
          <w:p w14:paraId="5DF987DF">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台</w:t>
            </w:r>
          </w:p>
        </w:tc>
        <w:tc>
          <w:tcPr>
            <w:tcW w:w="561" w:type="pct"/>
            <w:shd w:val="clear" w:color="auto" w:fill="auto"/>
            <w:vAlign w:val="center"/>
          </w:tcPr>
          <w:p w14:paraId="5BA6D947">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4</w:t>
            </w:r>
          </w:p>
        </w:tc>
      </w:tr>
      <w:tr w14:paraId="1597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65" w:type="pct"/>
            <w:shd w:val="clear" w:color="auto" w:fill="auto"/>
            <w:vAlign w:val="center"/>
          </w:tcPr>
          <w:p w14:paraId="6D5DF4DB">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1026" w:type="pct"/>
            <w:shd w:val="clear" w:color="auto" w:fill="auto"/>
            <w:vAlign w:val="center"/>
          </w:tcPr>
          <w:p w14:paraId="277875C9">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▲超融合软件</w:t>
            </w:r>
          </w:p>
        </w:tc>
        <w:tc>
          <w:tcPr>
            <w:tcW w:w="2050" w:type="pct"/>
            <w:shd w:val="clear" w:color="auto" w:fill="auto"/>
            <w:vAlign w:val="center"/>
          </w:tcPr>
          <w:p w14:paraId="0F366679">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详见技术参数</w:t>
            </w:r>
          </w:p>
        </w:tc>
        <w:tc>
          <w:tcPr>
            <w:tcW w:w="597" w:type="pct"/>
            <w:vAlign w:val="center"/>
          </w:tcPr>
          <w:p w14:paraId="370020BC">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套</w:t>
            </w:r>
          </w:p>
        </w:tc>
        <w:tc>
          <w:tcPr>
            <w:tcW w:w="561" w:type="pct"/>
            <w:shd w:val="clear" w:color="auto" w:fill="auto"/>
            <w:vAlign w:val="center"/>
          </w:tcPr>
          <w:p w14:paraId="00796227">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r>
      <w:tr w14:paraId="35BC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65" w:type="pct"/>
            <w:shd w:val="clear" w:color="auto" w:fill="auto"/>
            <w:vAlign w:val="center"/>
          </w:tcPr>
          <w:p w14:paraId="62D31FA3">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1026" w:type="pct"/>
            <w:shd w:val="clear" w:color="auto" w:fill="auto"/>
            <w:vAlign w:val="center"/>
          </w:tcPr>
          <w:p w14:paraId="591BB13F">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业务交换机</w:t>
            </w:r>
          </w:p>
        </w:tc>
        <w:tc>
          <w:tcPr>
            <w:tcW w:w="2050" w:type="pct"/>
            <w:shd w:val="clear" w:color="auto" w:fill="auto"/>
            <w:vAlign w:val="center"/>
          </w:tcPr>
          <w:p w14:paraId="61EC775E">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详见技术参数</w:t>
            </w:r>
          </w:p>
        </w:tc>
        <w:tc>
          <w:tcPr>
            <w:tcW w:w="597" w:type="pct"/>
            <w:vAlign w:val="center"/>
          </w:tcPr>
          <w:p w14:paraId="312B4FBC">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台</w:t>
            </w:r>
          </w:p>
        </w:tc>
        <w:tc>
          <w:tcPr>
            <w:tcW w:w="561" w:type="pct"/>
            <w:shd w:val="clear" w:color="auto" w:fill="auto"/>
            <w:vAlign w:val="center"/>
          </w:tcPr>
          <w:p w14:paraId="0F6E7B95">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r>
      <w:tr w14:paraId="4572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65" w:type="pct"/>
            <w:shd w:val="clear" w:color="auto" w:fill="auto"/>
            <w:vAlign w:val="center"/>
          </w:tcPr>
          <w:p w14:paraId="12CD00B8">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4</w:t>
            </w:r>
          </w:p>
        </w:tc>
        <w:tc>
          <w:tcPr>
            <w:tcW w:w="1026" w:type="pct"/>
            <w:shd w:val="clear" w:color="auto" w:fill="auto"/>
            <w:vAlign w:val="center"/>
          </w:tcPr>
          <w:p w14:paraId="562ACB60">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存储交换机</w:t>
            </w:r>
          </w:p>
        </w:tc>
        <w:tc>
          <w:tcPr>
            <w:tcW w:w="2050" w:type="pct"/>
            <w:shd w:val="clear" w:color="auto" w:fill="auto"/>
            <w:vAlign w:val="center"/>
          </w:tcPr>
          <w:p w14:paraId="31E081E3">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详见技术参数</w:t>
            </w:r>
          </w:p>
        </w:tc>
        <w:tc>
          <w:tcPr>
            <w:tcW w:w="597" w:type="pct"/>
            <w:vAlign w:val="center"/>
          </w:tcPr>
          <w:p w14:paraId="5F56DA38">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台</w:t>
            </w:r>
          </w:p>
        </w:tc>
        <w:tc>
          <w:tcPr>
            <w:tcW w:w="561" w:type="pct"/>
            <w:shd w:val="clear" w:color="auto" w:fill="auto"/>
            <w:vAlign w:val="center"/>
          </w:tcPr>
          <w:p w14:paraId="4A0596BD">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r>
      <w:tr w14:paraId="33F5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65" w:type="pct"/>
            <w:shd w:val="clear" w:color="auto" w:fill="auto"/>
            <w:vAlign w:val="center"/>
          </w:tcPr>
          <w:p w14:paraId="5461A8E3">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5</w:t>
            </w:r>
          </w:p>
        </w:tc>
        <w:tc>
          <w:tcPr>
            <w:tcW w:w="1026" w:type="pct"/>
            <w:shd w:val="clear" w:color="auto" w:fill="auto"/>
            <w:vAlign w:val="center"/>
          </w:tcPr>
          <w:p w14:paraId="076F6368">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管理交换机</w:t>
            </w:r>
          </w:p>
        </w:tc>
        <w:tc>
          <w:tcPr>
            <w:tcW w:w="2050" w:type="pct"/>
            <w:shd w:val="clear" w:color="auto" w:fill="auto"/>
            <w:vAlign w:val="center"/>
          </w:tcPr>
          <w:p w14:paraId="37D6AF52">
            <w:pPr>
              <w:widowControl/>
              <w:jc w:val="center"/>
              <w:rPr>
                <w:rFonts w:cs="宋体" w:asciiTheme="minorEastAsia" w:hAnsiTheme="minorEastAsia" w:eastAsiaTheme="minorEastAsia"/>
                <w:b/>
                <w:color w:val="auto"/>
                <w:sz w:val="24"/>
              </w:rPr>
            </w:pPr>
            <w:r>
              <w:rPr>
                <w:rFonts w:hint="eastAsia" w:asciiTheme="minorEastAsia" w:hAnsiTheme="minorEastAsia" w:eastAsiaTheme="minorEastAsia"/>
                <w:color w:val="auto"/>
                <w:sz w:val="24"/>
              </w:rPr>
              <w:t>详见技术参数</w:t>
            </w:r>
          </w:p>
        </w:tc>
        <w:tc>
          <w:tcPr>
            <w:tcW w:w="597" w:type="pct"/>
            <w:vAlign w:val="center"/>
          </w:tcPr>
          <w:p w14:paraId="7D7EE602">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台</w:t>
            </w:r>
          </w:p>
        </w:tc>
        <w:tc>
          <w:tcPr>
            <w:tcW w:w="561" w:type="pct"/>
            <w:shd w:val="clear" w:color="auto" w:fill="auto"/>
            <w:vAlign w:val="center"/>
          </w:tcPr>
          <w:p w14:paraId="08D17CB5">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r>
      <w:tr w14:paraId="7365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65" w:type="pct"/>
            <w:shd w:val="clear" w:color="auto" w:fill="auto"/>
            <w:vAlign w:val="center"/>
          </w:tcPr>
          <w:p w14:paraId="2C8C4C3C">
            <w:pPr>
              <w:jc w:val="center"/>
              <w:rPr>
                <w:rFonts w:asciiTheme="minorEastAsia" w:hAnsiTheme="minorEastAsia" w:eastAsiaTheme="minorEastAsia"/>
                <w:color w:val="auto"/>
                <w:sz w:val="24"/>
              </w:rPr>
            </w:pPr>
            <w:r>
              <w:rPr>
                <w:rFonts w:asciiTheme="minorEastAsia" w:hAnsiTheme="minorEastAsia" w:eastAsiaTheme="minorEastAsia"/>
                <w:color w:val="auto"/>
                <w:sz w:val="24"/>
              </w:rPr>
              <w:t>6</w:t>
            </w:r>
          </w:p>
        </w:tc>
        <w:tc>
          <w:tcPr>
            <w:tcW w:w="1026" w:type="pct"/>
            <w:shd w:val="clear" w:color="auto" w:fill="auto"/>
            <w:vAlign w:val="center"/>
          </w:tcPr>
          <w:p w14:paraId="51772E67">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万</w:t>
            </w:r>
            <w:r>
              <w:rPr>
                <w:rFonts w:asciiTheme="minorEastAsia" w:hAnsiTheme="minorEastAsia" w:eastAsiaTheme="minorEastAsia"/>
                <w:color w:val="auto"/>
                <w:sz w:val="24"/>
              </w:rPr>
              <w:t>兆多模</w:t>
            </w:r>
          </w:p>
        </w:tc>
        <w:tc>
          <w:tcPr>
            <w:tcW w:w="2050" w:type="pct"/>
            <w:shd w:val="clear" w:color="auto" w:fill="auto"/>
            <w:vAlign w:val="center"/>
          </w:tcPr>
          <w:p w14:paraId="109047FC">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SFP+ 万兆模块(850nm,300m,LC)</w:t>
            </w:r>
          </w:p>
        </w:tc>
        <w:tc>
          <w:tcPr>
            <w:tcW w:w="597" w:type="pct"/>
            <w:vAlign w:val="center"/>
          </w:tcPr>
          <w:p w14:paraId="115E3F49">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块</w:t>
            </w:r>
          </w:p>
        </w:tc>
        <w:tc>
          <w:tcPr>
            <w:tcW w:w="561" w:type="pct"/>
            <w:shd w:val="clear" w:color="auto" w:fill="auto"/>
            <w:vAlign w:val="center"/>
          </w:tcPr>
          <w:p w14:paraId="218E0B7E">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20</w:t>
            </w:r>
          </w:p>
        </w:tc>
      </w:tr>
    </w:tbl>
    <w:p w14:paraId="50721645">
      <w:pPr>
        <w:spacing w:line="460" w:lineRule="exac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2、参数要求：</w:t>
      </w:r>
    </w:p>
    <w:p w14:paraId="00D145A6">
      <w:pPr>
        <w:spacing w:line="460" w:lineRule="exac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w:t>
      </w:r>
      <w:r>
        <w:rPr>
          <w:rFonts w:asciiTheme="minorEastAsia" w:hAnsiTheme="minorEastAsia" w:eastAsiaTheme="minorEastAsia"/>
          <w:b/>
          <w:color w:val="auto"/>
          <w:sz w:val="24"/>
        </w:rPr>
        <w:t>超融合服务器</w:t>
      </w:r>
    </w:p>
    <w:tbl>
      <w:tblPr>
        <w:tblStyle w:val="36"/>
        <w:tblW w:w="5000" w:type="pct"/>
        <w:tblInd w:w="0" w:type="dxa"/>
        <w:tblLayout w:type="autofit"/>
        <w:tblCellMar>
          <w:top w:w="0" w:type="dxa"/>
          <w:left w:w="0" w:type="dxa"/>
          <w:bottom w:w="0" w:type="dxa"/>
          <w:right w:w="0" w:type="dxa"/>
        </w:tblCellMar>
      </w:tblPr>
      <w:tblGrid>
        <w:gridCol w:w="1304"/>
        <w:gridCol w:w="7218"/>
      </w:tblGrid>
      <w:tr w14:paraId="7C3ED59D">
        <w:tblPrEx>
          <w:tblCellMar>
            <w:top w:w="0" w:type="dxa"/>
            <w:left w:w="0" w:type="dxa"/>
            <w:bottom w:w="0" w:type="dxa"/>
            <w:right w:w="0" w:type="dxa"/>
          </w:tblCellMar>
        </w:tblPrEx>
        <w:trPr>
          <w:trHeight w:val="421" w:hRule="atLeast"/>
        </w:trPr>
        <w:tc>
          <w:tcPr>
            <w:tcW w:w="7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BA9986">
            <w:pPr>
              <w:widowControl/>
              <w:spacing w:line="460" w:lineRule="exact"/>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指标项</w:t>
            </w:r>
          </w:p>
        </w:tc>
        <w:tc>
          <w:tcPr>
            <w:tcW w:w="42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39633E">
            <w:pPr>
              <w:widowControl/>
              <w:spacing w:line="460" w:lineRule="exact"/>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技术参数要求</w:t>
            </w:r>
          </w:p>
        </w:tc>
      </w:tr>
      <w:tr w14:paraId="2E579C66">
        <w:tblPrEx>
          <w:tblCellMar>
            <w:top w:w="0" w:type="dxa"/>
            <w:left w:w="0" w:type="dxa"/>
            <w:bottom w:w="0" w:type="dxa"/>
            <w:right w:w="0" w:type="dxa"/>
          </w:tblCellMar>
        </w:tblPrEx>
        <w:trPr>
          <w:trHeight w:val="576" w:hRule="atLeast"/>
        </w:trPr>
        <w:tc>
          <w:tcPr>
            <w:tcW w:w="7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E2DE74">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★CPU</w:t>
            </w:r>
          </w:p>
        </w:tc>
        <w:tc>
          <w:tcPr>
            <w:tcW w:w="42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88061A">
            <w:pPr>
              <w:widowControl/>
              <w:spacing w:line="4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高性能CPU处理器≥2颗（主频≥2.8G，单颗CPU核心数≥16核），须支持超线程，</w:t>
            </w:r>
            <w:r>
              <w:rPr>
                <w:rFonts w:hint="eastAsia" w:cs="宋体" w:asciiTheme="minorEastAsia" w:hAnsiTheme="minorEastAsia" w:eastAsiaTheme="minorEastAsia"/>
                <w:color w:val="auto"/>
                <w:sz w:val="24"/>
              </w:rPr>
              <w:t>单周期双精度浮点计算能力≥</w:t>
            </w:r>
            <w:r>
              <w:rPr>
                <w:rFonts w:cs="宋体" w:asciiTheme="minorEastAsia" w:hAnsiTheme="minorEastAsia" w:eastAsiaTheme="minorEastAsia"/>
                <w:color w:val="auto"/>
                <w:sz w:val="24"/>
              </w:rPr>
              <w:t>32</w:t>
            </w:r>
          </w:p>
        </w:tc>
      </w:tr>
      <w:tr w14:paraId="5E30ACF4">
        <w:tblPrEx>
          <w:tblCellMar>
            <w:top w:w="0" w:type="dxa"/>
            <w:left w:w="0" w:type="dxa"/>
            <w:bottom w:w="0" w:type="dxa"/>
            <w:right w:w="0" w:type="dxa"/>
          </w:tblCellMar>
        </w:tblPrEx>
        <w:trPr>
          <w:trHeight w:val="70" w:hRule="atLeast"/>
        </w:trPr>
        <w:tc>
          <w:tcPr>
            <w:tcW w:w="7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30863E">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★内存</w:t>
            </w:r>
          </w:p>
        </w:tc>
        <w:tc>
          <w:tcPr>
            <w:tcW w:w="42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B91EF2">
            <w:pPr>
              <w:widowControl/>
              <w:spacing w:line="460" w:lineRule="exact"/>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实配≥</w:t>
            </w:r>
            <w:r>
              <w:rPr>
                <w:rFonts w:asciiTheme="minorEastAsia" w:hAnsiTheme="minorEastAsia" w:eastAsiaTheme="minorEastAsia"/>
                <w:color w:val="auto"/>
                <w:sz w:val="24"/>
              </w:rPr>
              <w:t>512</w:t>
            </w:r>
            <w:r>
              <w:rPr>
                <w:rFonts w:hint="eastAsia" w:asciiTheme="minorEastAsia" w:hAnsiTheme="minorEastAsia" w:eastAsiaTheme="minorEastAsia"/>
                <w:color w:val="auto"/>
                <w:sz w:val="24"/>
              </w:rPr>
              <w:t>GB</w:t>
            </w:r>
            <w:r>
              <w:rPr>
                <w:rFonts w:asciiTheme="minorEastAsia" w:hAnsiTheme="minorEastAsia" w:eastAsiaTheme="minorEastAsia"/>
                <w:color w:val="auto"/>
                <w:sz w:val="24"/>
              </w:rPr>
              <w:t xml:space="preserve"> DDR5</w:t>
            </w:r>
            <w:r>
              <w:rPr>
                <w:rFonts w:hint="eastAsia" w:asciiTheme="minorEastAsia" w:hAnsiTheme="minorEastAsia" w:eastAsiaTheme="minorEastAsia"/>
                <w:color w:val="auto"/>
                <w:sz w:val="24"/>
              </w:rPr>
              <w:t>内存</w:t>
            </w:r>
          </w:p>
        </w:tc>
      </w:tr>
      <w:tr w14:paraId="3C027328">
        <w:tblPrEx>
          <w:tblCellMar>
            <w:top w:w="0" w:type="dxa"/>
            <w:left w:w="0" w:type="dxa"/>
            <w:bottom w:w="0" w:type="dxa"/>
            <w:right w:w="0" w:type="dxa"/>
          </w:tblCellMar>
        </w:tblPrEx>
        <w:trPr>
          <w:trHeight w:val="288" w:hRule="atLeast"/>
        </w:trPr>
        <w:tc>
          <w:tcPr>
            <w:tcW w:w="7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71A658">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★硬盘</w:t>
            </w:r>
          </w:p>
        </w:tc>
        <w:tc>
          <w:tcPr>
            <w:tcW w:w="42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42CC38">
            <w:pPr>
              <w:widowControl/>
              <w:spacing w:line="460" w:lineRule="exact"/>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实配≥2*480G SSD+1.92T NVME SSD+4*4T SATA机械盘+3*3.84T NVME SSD硬盘</w:t>
            </w:r>
          </w:p>
        </w:tc>
      </w:tr>
      <w:tr w14:paraId="2FAF6CA5">
        <w:tblPrEx>
          <w:tblCellMar>
            <w:top w:w="0" w:type="dxa"/>
            <w:left w:w="0" w:type="dxa"/>
            <w:bottom w:w="0" w:type="dxa"/>
            <w:right w:w="0" w:type="dxa"/>
          </w:tblCellMar>
        </w:tblPrEx>
        <w:trPr>
          <w:trHeight w:val="576" w:hRule="atLeast"/>
        </w:trPr>
        <w:tc>
          <w:tcPr>
            <w:tcW w:w="7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FE0FA6">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★网卡</w:t>
            </w:r>
          </w:p>
        </w:tc>
        <w:tc>
          <w:tcPr>
            <w:tcW w:w="42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ABFD711">
            <w:pPr>
              <w:widowControl/>
              <w:spacing w:line="460" w:lineRule="exact"/>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配置≥4个10/100/1000M-BaseT 以太网接口，≥4个万兆光口（含模块）；</w:t>
            </w:r>
          </w:p>
        </w:tc>
      </w:tr>
      <w:tr w14:paraId="450095A7">
        <w:tblPrEx>
          <w:tblCellMar>
            <w:top w:w="0" w:type="dxa"/>
            <w:left w:w="0" w:type="dxa"/>
            <w:bottom w:w="0" w:type="dxa"/>
            <w:right w:w="0" w:type="dxa"/>
          </w:tblCellMar>
        </w:tblPrEx>
        <w:trPr>
          <w:trHeight w:val="70" w:hRule="atLeast"/>
        </w:trPr>
        <w:tc>
          <w:tcPr>
            <w:tcW w:w="7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032C9A">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冗余性</w:t>
            </w:r>
          </w:p>
        </w:tc>
        <w:tc>
          <w:tcPr>
            <w:tcW w:w="42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2F3A66">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实配双电源、冗余风扇</w:t>
            </w:r>
          </w:p>
        </w:tc>
      </w:tr>
      <w:tr w14:paraId="2A669642">
        <w:tblPrEx>
          <w:tblCellMar>
            <w:top w:w="0" w:type="dxa"/>
            <w:left w:w="0" w:type="dxa"/>
            <w:bottom w:w="0" w:type="dxa"/>
            <w:right w:w="0" w:type="dxa"/>
          </w:tblCellMar>
        </w:tblPrEx>
        <w:trPr>
          <w:trHeight w:val="70" w:hRule="atLeast"/>
        </w:trPr>
        <w:tc>
          <w:tcPr>
            <w:tcW w:w="7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C355AA">
            <w:pPr>
              <w:widowControl/>
              <w:spacing w:line="4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开机自检</w:t>
            </w:r>
          </w:p>
        </w:tc>
        <w:tc>
          <w:tcPr>
            <w:tcW w:w="42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2818A2">
            <w:pPr>
              <w:widowControl/>
              <w:spacing w:line="460" w:lineRule="exact"/>
              <w:rPr>
                <w:rFonts w:asciiTheme="minorEastAsia" w:hAnsiTheme="minorEastAsia" w:eastAsiaTheme="minorEastAsia"/>
                <w:color w:val="auto"/>
                <w:sz w:val="24"/>
              </w:rPr>
            </w:pPr>
            <w:r>
              <w:rPr>
                <w:rFonts w:asciiTheme="minorEastAsia" w:hAnsiTheme="minorEastAsia" w:eastAsiaTheme="minorEastAsia"/>
                <w:color w:val="auto"/>
                <w:sz w:val="24"/>
              </w:rPr>
              <w:t>以明文方式显示所有的开机自检码信息，每个自检码都需时间、自检码值、自检码描述字段，方便进行运维诊断</w:t>
            </w:r>
            <w:r>
              <w:rPr>
                <w:rFonts w:hint="eastAsia" w:asciiTheme="minorEastAsia" w:hAnsiTheme="minorEastAsia" w:eastAsiaTheme="minorEastAsia"/>
                <w:color w:val="auto"/>
                <w:sz w:val="24"/>
              </w:rPr>
              <w:t>，</w:t>
            </w:r>
            <w:r>
              <w:rPr>
                <w:rFonts w:hint="eastAsia" w:asciiTheme="minorEastAsia" w:hAnsiTheme="minorEastAsia" w:eastAsiaTheme="minorEastAsia"/>
                <w:b/>
                <w:bCs/>
                <w:color w:val="auto"/>
                <w:sz w:val="24"/>
              </w:rPr>
              <w:t>以上功能投标时均需提供CNAS或CMA认证权威第三方检测机构测试报告复印件并加盖投标人公章证明。</w:t>
            </w:r>
          </w:p>
        </w:tc>
      </w:tr>
      <w:tr w14:paraId="067B9EB4">
        <w:tblPrEx>
          <w:tblCellMar>
            <w:top w:w="0" w:type="dxa"/>
            <w:left w:w="0" w:type="dxa"/>
            <w:bottom w:w="0" w:type="dxa"/>
            <w:right w:w="0" w:type="dxa"/>
          </w:tblCellMar>
        </w:tblPrEx>
        <w:trPr>
          <w:trHeight w:val="70" w:hRule="atLeast"/>
        </w:trPr>
        <w:tc>
          <w:tcPr>
            <w:tcW w:w="7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522D94">
            <w:pPr>
              <w:widowControl/>
              <w:spacing w:line="460" w:lineRule="exact"/>
              <w:rPr>
                <w:rFonts w:asciiTheme="minorEastAsia" w:hAnsiTheme="minorEastAsia" w:eastAsiaTheme="minorEastAsia"/>
                <w:color w:val="auto"/>
                <w:sz w:val="24"/>
              </w:rPr>
            </w:pPr>
            <w:r>
              <w:rPr>
                <w:rFonts w:asciiTheme="minorEastAsia" w:hAnsiTheme="minorEastAsia" w:eastAsiaTheme="minorEastAsia"/>
                <w:color w:val="auto"/>
                <w:sz w:val="24"/>
              </w:rPr>
              <w:t>安全检测</w:t>
            </w:r>
          </w:p>
        </w:tc>
        <w:tc>
          <w:tcPr>
            <w:tcW w:w="42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5CBA4E">
            <w:pPr>
              <w:widowControl/>
              <w:spacing w:line="4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支持安全检测功能，可识别风险配置项，支持设置登录失败锁定时长、登录失败次数、密码复杂度检查、禁用历史密码、密码有效期、弱口令字典认证及证书过期告警功能，</w:t>
            </w:r>
            <w:r>
              <w:rPr>
                <w:rFonts w:hint="eastAsia" w:asciiTheme="minorEastAsia" w:hAnsiTheme="minorEastAsia" w:eastAsiaTheme="minorEastAsia"/>
                <w:b/>
                <w:bCs/>
                <w:color w:val="auto"/>
                <w:sz w:val="24"/>
              </w:rPr>
              <w:t>以上功能投标时均需提供CNAS或CMA认证权威第三方检测机构测试报告复印件并加盖投标人公章证明。</w:t>
            </w:r>
          </w:p>
        </w:tc>
      </w:tr>
      <w:tr w14:paraId="07662637">
        <w:tblPrEx>
          <w:tblCellMar>
            <w:top w:w="0" w:type="dxa"/>
            <w:left w:w="0" w:type="dxa"/>
            <w:bottom w:w="0" w:type="dxa"/>
            <w:right w:w="0" w:type="dxa"/>
          </w:tblCellMar>
        </w:tblPrEx>
        <w:trPr>
          <w:trHeight w:val="70" w:hRule="atLeast"/>
        </w:trPr>
        <w:tc>
          <w:tcPr>
            <w:tcW w:w="7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16A184">
            <w:pPr>
              <w:spacing w:line="460" w:lineRule="exact"/>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温度</w:t>
            </w:r>
            <w:r>
              <w:rPr>
                <w:rFonts w:cs="宋体" w:asciiTheme="minorEastAsia" w:hAnsiTheme="minorEastAsia" w:eastAsiaTheme="minorEastAsia"/>
                <w:color w:val="auto"/>
                <w:sz w:val="24"/>
              </w:rPr>
              <w:t>运维</w:t>
            </w:r>
          </w:p>
        </w:tc>
        <w:tc>
          <w:tcPr>
            <w:tcW w:w="42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942BA3">
            <w:pPr>
              <w:widowControl/>
              <w:spacing w:line="460" w:lineRule="exact"/>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支持以3</w:t>
            </w:r>
            <w:r>
              <w:rPr>
                <w:rFonts w:cs="宋体" w:asciiTheme="minorEastAsia" w:hAnsiTheme="minorEastAsia" w:eastAsiaTheme="minorEastAsia"/>
                <w:color w:val="auto"/>
                <w:sz w:val="24"/>
              </w:rPr>
              <w:t>D</w:t>
            </w:r>
            <w:r>
              <w:rPr>
                <w:rFonts w:hint="eastAsia" w:cs="宋体" w:asciiTheme="minorEastAsia" w:hAnsiTheme="minorEastAsia" w:eastAsiaTheme="minorEastAsia"/>
                <w:color w:val="auto"/>
                <w:sz w:val="24"/>
              </w:rPr>
              <w:t>图形化方式显示服务器部件温度信息和温度告警信息，可直观体现服务器整体温感状态，</w:t>
            </w:r>
            <w:r>
              <w:rPr>
                <w:rFonts w:hint="eastAsia" w:asciiTheme="minorEastAsia" w:hAnsiTheme="minorEastAsia" w:eastAsiaTheme="minorEastAsia"/>
                <w:b/>
                <w:bCs/>
                <w:color w:val="auto"/>
                <w:sz w:val="24"/>
              </w:rPr>
              <w:t>投标时</w:t>
            </w:r>
            <w:r>
              <w:rPr>
                <w:rFonts w:hint="eastAsia" w:cs="宋体" w:asciiTheme="minorEastAsia" w:hAnsiTheme="minorEastAsia" w:eastAsiaTheme="minorEastAsia"/>
                <w:b/>
                <w:bCs/>
                <w:color w:val="auto"/>
                <w:sz w:val="24"/>
              </w:rPr>
              <w:t>提供</w:t>
            </w:r>
            <w:r>
              <w:rPr>
                <w:rFonts w:hint="eastAsia" w:asciiTheme="minorEastAsia" w:hAnsiTheme="minorEastAsia" w:eastAsiaTheme="minorEastAsia"/>
                <w:b/>
                <w:bCs/>
                <w:color w:val="auto"/>
                <w:sz w:val="24"/>
              </w:rPr>
              <w:t>C</w:t>
            </w:r>
            <w:r>
              <w:rPr>
                <w:rFonts w:asciiTheme="minorEastAsia" w:hAnsiTheme="minorEastAsia" w:eastAsiaTheme="minorEastAsia"/>
                <w:b/>
                <w:bCs/>
                <w:color w:val="auto"/>
                <w:sz w:val="24"/>
              </w:rPr>
              <w:t>NAS</w:t>
            </w:r>
            <w:r>
              <w:rPr>
                <w:rFonts w:hint="eastAsia" w:asciiTheme="minorEastAsia" w:hAnsiTheme="minorEastAsia" w:eastAsiaTheme="minorEastAsia"/>
                <w:b/>
                <w:bCs/>
                <w:color w:val="auto"/>
                <w:sz w:val="24"/>
              </w:rPr>
              <w:t>或CMA</w:t>
            </w:r>
            <w:r>
              <w:rPr>
                <w:rFonts w:asciiTheme="minorEastAsia" w:hAnsiTheme="minorEastAsia" w:eastAsiaTheme="minorEastAsia"/>
                <w:b/>
                <w:bCs/>
                <w:color w:val="auto"/>
                <w:sz w:val="24"/>
              </w:rPr>
              <w:t>认证</w:t>
            </w:r>
            <w:r>
              <w:rPr>
                <w:rFonts w:hint="eastAsia" w:asciiTheme="minorEastAsia" w:hAnsiTheme="minorEastAsia" w:eastAsiaTheme="minorEastAsia"/>
                <w:b/>
                <w:bCs/>
                <w:color w:val="auto"/>
                <w:sz w:val="24"/>
              </w:rPr>
              <w:t>权威第三方检测机构测试报告复印件并加盖投标人公章证明；</w:t>
            </w:r>
          </w:p>
        </w:tc>
      </w:tr>
      <w:tr w14:paraId="712C3739">
        <w:tblPrEx>
          <w:tblCellMar>
            <w:top w:w="0" w:type="dxa"/>
            <w:left w:w="0" w:type="dxa"/>
            <w:bottom w:w="0" w:type="dxa"/>
            <w:right w:w="0" w:type="dxa"/>
          </w:tblCellMar>
        </w:tblPrEx>
        <w:trPr>
          <w:trHeight w:val="70" w:hRule="atLeast"/>
        </w:trPr>
        <w:tc>
          <w:tcPr>
            <w:tcW w:w="7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8BB5A5">
            <w:pPr>
              <w:widowControl/>
              <w:spacing w:line="460" w:lineRule="exact"/>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远程管理</w:t>
            </w:r>
          </w:p>
        </w:tc>
        <w:tc>
          <w:tcPr>
            <w:tcW w:w="42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17152A">
            <w:pPr>
              <w:widowControl/>
              <w:spacing w:line="460" w:lineRule="exact"/>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配置≥1Gb独立的远程管理控制端口，可实现与操作系统无关的远程对服务器的完全控制，包括远程的开机、关机、重启、更新Firmware、虚拟软驱、虚拟光驱、虚拟文件夹等操作，提供服务器健康日记、服务器控制台录屏/回放功能，能够提供电源监控，可支持动态功率封顶。</w:t>
            </w:r>
          </w:p>
        </w:tc>
      </w:tr>
      <w:tr w14:paraId="293BE30A">
        <w:tblPrEx>
          <w:tblCellMar>
            <w:top w:w="0" w:type="dxa"/>
            <w:left w:w="0" w:type="dxa"/>
            <w:bottom w:w="0" w:type="dxa"/>
            <w:right w:w="0" w:type="dxa"/>
          </w:tblCellMar>
        </w:tblPrEx>
        <w:trPr>
          <w:trHeight w:val="70" w:hRule="atLeast"/>
        </w:trPr>
        <w:tc>
          <w:tcPr>
            <w:tcW w:w="7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889FBB">
            <w:pPr>
              <w:widowControl/>
              <w:spacing w:line="460" w:lineRule="exact"/>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兼容性</w:t>
            </w:r>
          </w:p>
        </w:tc>
        <w:tc>
          <w:tcPr>
            <w:tcW w:w="42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6BD3C2">
            <w:pPr>
              <w:widowControl/>
              <w:spacing w:line="460" w:lineRule="exact"/>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支持Windows，SLES，RHEL 操作系统，支持Vmware，Citrix虚拟化软件。</w:t>
            </w:r>
          </w:p>
        </w:tc>
      </w:tr>
      <w:tr w14:paraId="381AB5BB">
        <w:tblPrEx>
          <w:tblCellMar>
            <w:top w:w="0" w:type="dxa"/>
            <w:left w:w="0" w:type="dxa"/>
            <w:bottom w:w="0" w:type="dxa"/>
            <w:right w:w="0" w:type="dxa"/>
          </w:tblCellMar>
        </w:tblPrEx>
        <w:trPr>
          <w:trHeight w:val="70" w:hRule="atLeast"/>
        </w:trPr>
        <w:tc>
          <w:tcPr>
            <w:tcW w:w="7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F773D2">
            <w:pPr>
              <w:widowControl/>
              <w:spacing w:line="460" w:lineRule="exact"/>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环境温度</w:t>
            </w:r>
          </w:p>
        </w:tc>
        <w:tc>
          <w:tcPr>
            <w:tcW w:w="42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5100CC">
            <w:pPr>
              <w:widowControl/>
              <w:spacing w:line="460" w:lineRule="exact"/>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长期工作环境温度支持5-40度。</w:t>
            </w:r>
          </w:p>
        </w:tc>
      </w:tr>
    </w:tbl>
    <w:p w14:paraId="735A7CE1">
      <w:pPr>
        <w:rPr>
          <w:rFonts w:asciiTheme="minorEastAsia" w:hAnsiTheme="minorEastAsia" w:eastAsiaTheme="minorEastAsia"/>
          <w:color w:val="auto"/>
          <w:szCs w:val="21"/>
        </w:rPr>
      </w:pPr>
    </w:p>
    <w:p w14:paraId="4323BF95">
      <w:pPr>
        <w:spacing w:line="460" w:lineRule="exac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▲超融合软件</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7216"/>
      </w:tblGrid>
      <w:tr w14:paraId="797B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pct"/>
            <w:shd w:val="clear" w:color="000000" w:fill="FFFFFF"/>
            <w:vAlign w:val="center"/>
          </w:tcPr>
          <w:p w14:paraId="518E30D7">
            <w:pPr>
              <w:widowControl/>
              <w:spacing w:line="460" w:lineRule="exact"/>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指标项</w:t>
            </w:r>
          </w:p>
        </w:tc>
        <w:tc>
          <w:tcPr>
            <w:tcW w:w="4234" w:type="pct"/>
            <w:shd w:val="clear" w:color="000000" w:fill="FFFFFF"/>
            <w:vAlign w:val="center"/>
          </w:tcPr>
          <w:p w14:paraId="5FEDBD49">
            <w:pPr>
              <w:widowControl/>
              <w:spacing w:line="460" w:lineRule="exact"/>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技术参数要求</w:t>
            </w:r>
          </w:p>
        </w:tc>
      </w:tr>
      <w:tr w14:paraId="5375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shd w:val="clear" w:color="000000" w:fill="FFFFFF"/>
            <w:vAlign w:val="center"/>
          </w:tcPr>
          <w:p w14:paraId="5101810F">
            <w:pPr>
              <w:widowControl/>
              <w:spacing w:line="460" w:lineRule="exact"/>
              <w:rPr>
                <w:rFonts w:cs="Arial"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Arial" w:asciiTheme="minorEastAsia" w:hAnsiTheme="minorEastAsia" w:eastAsiaTheme="minorEastAsia"/>
                <w:color w:val="auto"/>
                <w:sz w:val="24"/>
              </w:rPr>
              <w:t>品牌要求</w:t>
            </w:r>
          </w:p>
        </w:tc>
        <w:tc>
          <w:tcPr>
            <w:tcW w:w="4234" w:type="pct"/>
            <w:shd w:val="clear" w:color="000000" w:fill="FFFFFF"/>
            <w:vAlign w:val="center"/>
          </w:tcPr>
          <w:p w14:paraId="347B13FA">
            <w:pPr>
              <w:widowControl/>
              <w:spacing w:line="460" w:lineRule="exact"/>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国产品牌，要求与超融合服务</w:t>
            </w:r>
            <w:r>
              <w:rPr>
                <w:rFonts w:cs="Arial" w:asciiTheme="minorEastAsia" w:hAnsiTheme="minorEastAsia" w:eastAsiaTheme="minorEastAsia"/>
                <w:color w:val="auto"/>
                <w:sz w:val="24"/>
              </w:rPr>
              <w:t>器</w:t>
            </w:r>
            <w:r>
              <w:rPr>
                <w:rFonts w:hint="eastAsia" w:cs="Arial" w:asciiTheme="minorEastAsia" w:hAnsiTheme="minorEastAsia" w:eastAsiaTheme="minorEastAsia"/>
                <w:color w:val="auto"/>
                <w:sz w:val="24"/>
              </w:rPr>
              <w:t>同品牌</w:t>
            </w:r>
          </w:p>
        </w:tc>
      </w:tr>
      <w:tr w14:paraId="386B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shd w:val="clear" w:color="000000" w:fill="FFFFFF"/>
            <w:vAlign w:val="center"/>
          </w:tcPr>
          <w:p w14:paraId="5E565389">
            <w:pPr>
              <w:widowControl/>
              <w:spacing w:line="460" w:lineRule="exact"/>
              <w:jc w:val="center"/>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统一管理</w:t>
            </w:r>
          </w:p>
        </w:tc>
        <w:tc>
          <w:tcPr>
            <w:tcW w:w="4234" w:type="pct"/>
            <w:shd w:val="clear" w:color="000000" w:fill="FFFFFF"/>
            <w:vAlign w:val="center"/>
          </w:tcPr>
          <w:p w14:paraId="796D9A69">
            <w:pPr>
              <w:widowControl/>
              <w:spacing w:line="460" w:lineRule="exact"/>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在超融合统一管理平台上即可实现对计算、存储、网络、安全等资源的统一管理运维，无需界面跳转即可实现全部操作，简化运维工作，降低运维成本。</w:t>
            </w:r>
          </w:p>
        </w:tc>
      </w:tr>
      <w:tr w14:paraId="4E3A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shd w:val="clear" w:color="000000" w:fill="FFFFFF"/>
            <w:vAlign w:val="center"/>
          </w:tcPr>
          <w:p w14:paraId="2B884505">
            <w:pPr>
              <w:widowControl/>
              <w:spacing w:line="460" w:lineRule="exact"/>
              <w:jc w:val="center"/>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平台监控</w:t>
            </w:r>
          </w:p>
        </w:tc>
        <w:tc>
          <w:tcPr>
            <w:tcW w:w="4234" w:type="pct"/>
            <w:shd w:val="clear" w:color="000000" w:fill="FFFFFF"/>
            <w:vAlign w:val="center"/>
          </w:tcPr>
          <w:p w14:paraId="186336B4">
            <w:pPr>
              <w:widowControl/>
              <w:spacing w:line="460" w:lineRule="exact"/>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对超融合一体机的硬件平台进行监控，电源，风扇、温感、CPU、内存、硬盘等硬件平台信息</w:t>
            </w:r>
          </w:p>
        </w:tc>
      </w:tr>
      <w:tr w14:paraId="4862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shd w:val="clear" w:color="000000" w:fill="FFFFFF"/>
            <w:vAlign w:val="center"/>
          </w:tcPr>
          <w:p w14:paraId="622BAF79">
            <w:pPr>
              <w:widowControl/>
              <w:spacing w:line="460" w:lineRule="exact"/>
              <w:jc w:val="center"/>
              <w:rPr>
                <w:rFonts w:cs="宋体" w:asciiTheme="minorEastAsia" w:hAnsiTheme="minorEastAsia" w:eastAsiaTheme="minorEastAsia"/>
                <w:color w:val="auto"/>
                <w:sz w:val="24"/>
              </w:rPr>
            </w:pPr>
            <w:r>
              <w:rPr>
                <w:rFonts w:hint="eastAsia" w:cs="Arial" w:asciiTheme="minorEastAsia" w:hAnsiTheme="minorEastAsia" w:eastAsiaTheme="minorEastAsia"/>
                <w:color w:val="auto"/>
                <w:sz w:val="24"/>
              </w:rPr>
              <w:t>桌面预览</w:t>
            </w:r>
          </w:p>
        </w:tc>
        <w:tc>
          <w:tcPr>
            <w:tcW w:w="4234" w:type="pct"/>
            <w:shd w:val="clear" w:color="000000" w:fill="FFFFFF"/>
            <w:vAlign w:val="center"/>
          </w:tcPr>
          <w:p w14:paraId="7C87CF33">
            <w:pPr>
              <w:widowControl/>
              <w:spacing w:line="460" w:lineRule="exact"/>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支持虚拟机桌面预览功能，无需登录虚拟机即可在虚拟化管理平台上看到虚拟机当前桌面的状态</w:t>
            </w:r>
            <w:r>
              <w:rPr>
                <w:rFonts w:hint="eastAsia" w:asciiTheme="minorEastAsia" w:hAnsiTheme="minorEastAsia" w:eastAsiaTheme="minorEastAsia"/>
                <w:color w:val="auto"/>
                <w:sz w:val="24"/>
              </w:rPr>
              <w:t>；</w:t>
            </w:r>
          </w:p>
        </w:tc>
      </w:tr>
      <w:tr w14:paraId="149B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shd w:val="clear" w:color="000000" w:fill="FFFFFF"/>
            <w:vAlign w:val="center"/>
          </w:tcPr>
          <w:p w14:paraId="33BE97B9">
            <w:pPr>
              <w:widowControl/>
              <w:spacing w:line="460" w:lineRule="exact"/>
              <w:jc w:val="center"/>
              <w:rPr>
                <w:rFonts w:cs="宋体" w:asciiTheme="minorEastAsia" w:hAnsiTheme="minorEastAsia" w:eastAsiaTheme="minorEastAsia"/>
                <w:color w:val="auto"/>
                <w:sz w:val="24"/>
              </w:rPr>
            </w:pPr>
            <w:r>
              <w:rPr>
                <w:rFonts w:hint="eastAsia" w:cs="Arial" w:asciiTheme="minorEastAsia" w:hAnsiTheme="minorEastAsia" w:eastAsiaTheme="minorEastAsia"/>
                <w:color w:val="auto"/>
                <w:sz w:val="24"/>
              </w:rPr>
              <w:t>迁移历史</w:t>
            </w:r>
          </w:p>
        </w:tc>
        <w:tc>
          <w:tcPr>
            <w:tcW w:w="4234" w:type="pct"/>
            <w:shd w:val="clear" w:color="000000" w:fill="FFFFFF"/>
            <w:vAlign w:val="center"/>
          </w:tcPr>
          <w:p w14:paraId="2B1531A2">
            <w:pPr>
              <w:widowControl/>
              <w:spacing w:line="460" w:lineRule="exact"/>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支持虚拟机迁移历史记录功能，须包含迁移操作员、迁移方式、源主机、目的主机、开始时间、迁移耗时信息，便于对虚拟机的迁移路径进行回溯</w:t>
            </w:r>
            <w:r>
              <w:rPr>
                <w:rFonts w:hint="eastAsia" w:asciiTheme="minorEastAsia" w:hAnsiTheme="minorEastAsia" w:eastAsiaTheme="minorEastAsia"/>
                <w:color w:val="auto"/>
                <w:sz w:val="24"/>
              </w:rPr>
              <w:t>；</w:t>
            </w:r>
          </w:p>
        </w:tc>
      </w:tr>
      <w:tr w14:paraId="1ACF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shd w:val="clear" w:color="000000" w:fill="FFFFFF"/>
            <w:vAlign w:val="center"/>
          </w:tcPr>
          <w:p w14:paraId="4A5EE45E">
            <w:pPr>
              <w:widowControl/>
              <w:spacing w:line="460" w:lineRule="exact"/>
              <w:jc w:val="center"/>
              <w:rPr>
                <w:rFonts w:cs="宋体" w:asciiTheme="minorEastAsia" w:hAnsiTheme="minorEastAsia" w:eastAsiaTheme="minorEastAsia"/>
                <w:color w:val="auto"/>
                <w:sz w:val="24"/>
              </w:rPr>
            </w:pPr>
            <w:r>
              <w:rPr>
                <w:rFonts w:hint="eastAsia" w:cs="Arial" w:asciiTheme="minorEastAsia" w:hAnsiTheme="minorEastAsia" w:eastAsiaTheme="minorEastAsia"/>
                <w:color w:val="auto"/>
                <w:sz w:val="24"/>
              </w:rPr>
              <w:t>块存储</w:t>
            </w:r>
          </w:p>
        </w:tc>
        <w:tc>
          <w:tcPr>
            <w:tcW w:w="4234" w:type="pct"/>
            <w:shd w:val="clear" w:color="000000" w:fill="FFFFFF"/>
          </w:tcPr>
          <w:p w14:paraId="5D2DB1F5">
            <w:pPr>
              <w:widowControl/>
              <w:spacing w:line="460" w:lineRule="exact"/>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支持厚/精简配置；厚配置根据业务需求分配固定的物理存储空间、精简配置根据应用实际写需要时才分配相应的物理存储空间。</w:t>
            </w:r>
          </w:p>
        </w:tc>
      </w:tr>
      <w:tr w14:paraId="1AB4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shd w:val="clear" w:color="000000" w:fill="FFFFFF"/>
            <w:vAlign w:val="center"/>
          </w:tcPr>
          <w:p w14:paraId="7A5131B6">
            <w:pPr>
              <w:widowControl/>
              <w:spacing w:line="460" w:lineRule="exact"/>
              <w:jc w:val="center"/>
              <w:rPr>
                <w:rFonts w:cs="宋体" w:asciiTheme="minorEastAsia" w:hAnsiTheme="minorEastAsia" w:eastAsiaTheme="minorEastAsia"/>
                <w:color w:val="auto"/>
                <w:sz w:val="24"/>
              </w:rPr>
            </w:pPr>
            <w:r>
              <w:rPr>
                <w:rFonts w:hint="eastAsia" w:cs="Arial" w:asciiTheme="minorEastAsia" w:hAnsiTheme="minorEastAsia" w:eastAsiaTheme="minorEastAsia"/>
                <w:color w:val="auto"/>
                <w:sz w:val="24"/>
              </w:rPr>
              <w:t>扩展性</w:t>
            </w:r>
          </w:p>
        </w:tc>
        <w:tc>
          <w:tcPr>
            <w:tcW w:w="4234" w:type="pct"/>
            <w:shd w:val="clear" w:color="000000" w:fill="FFFFFF"/>
          </w:tcPr>
          <w:p w14:paraId="34F2EFD8">
            <w:pPr>
              <w:widowControl/>
              <w:spacing w:line="460" w:lineRule="exact"/>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支持构建存储集群，集群内节点可添加和删除，并且可支持添加删除硬盘并实现硬盘在线/离线扩容、更换功能，并能实现磁盘的批量扩容，新增磁盘或者节点后，系统可自动实现数据均衡，保障资源的平衡利用，随着磁盘及节点的扩展，存储性能可实现线性增长。</w:t>
            </w:r>
          </w:p>
        </w:tc>
      </w:tr>
      <w:tr w14:paraId="09B5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shd w:val="clear" w:color="000000" w:fill="FFFFFF"/>
            <w:vAlign w:val="center"/>
          </w:tcPr>
          <w:p w14:paraId="1E3245DF">
            <w:pPr>
              <w:widowControl/>
              <w:spacing w:line="460" w:lineRule="exact"/>
              <w:jc w:val="center"/>
              <w:rPr>
                <w:rFonts w:cs="宋体" w:asciiTheme="minorEastAsia" w:hAnsiTheme="minorEastAsia" w:eastAsiaTheme="minorEastAsia"/>
                <w:color w:val="auto"/>
                <w:sz w:val="24"/>
              </w:rPr>
            </w:pPr>
            <w:r>
              <w:rPr>
                <w:rFonts w:hint="eastAsia" w:cs="Arial" w:asciiTheme="minorEastAsia" w:hAnsiTheme="minorEastAsia" w:eastAsiaTheme="minorEastAsia"/>
                <w:color w:val="auto"/>
                <w:sz w:val="24"/>
              </w:rPr>
              <w:t>配置</w:t>
            </w:r>
            <w:r>
              <w:rPr>
                <w:rFonts w:cs="Arial" w:asciiTheme="minorEastAsia" w:hAnsiTheme="minorEastAsia" w:eastAsiaTheme="minorEastAsia"/>
                <w:color w:val="auto"/>
                <w:sz w:val="24"/>
              </w:rPr>
              <w:t>要求</w:t>
            </w:r>
          </w:p>
        </w:tc>
        <w:tc>
          <w:tcPr>
            <w:tcW w:w="4234" w:type="pct"/>
            <w:shd w:val="clear" w:color="000000" w:fill="FFFFFF"/>
          </w:tcPr>
          <w:p w14:paraId="41EF112D">
            <w:pPr>
              <w:spacing w:line="4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配置</w:t>
            </w:r>
            <w:r>
              <w:rPr>
                <w:rFonts w:hint="eastAsia" w:cs="宋体" w:asciiTheme="minorEastAsia" w:hAnsiTheme="minorEastAsia" w:eastAsiaTheme="minorEastAsia"/>
                <w:color w:val="auto"/>
                <w:sz w:val="24"/>
              </w:rPr>
              <w:t>≥</w:t>
            </w:r>
            <w:r>
              <w:rPr>
                <w:rFonts w:hint="eastAsia" w:asciiTheme="minorEastAsia" w:hAnsiTheme="minorEastAsia" w:eastAsiaTheme="minorEastAsia"/>
                <w:color w:val="auto"/>
                <w:sz w:val="24"/>
              </w:rPr>
              <w:t>8</w:t>
            </w:r>
            <w:r>
              <w:rPr>
                <w:rFonts w:asciiTheme="minorEastAsia" w:hAnsiTheme="minorEastAsia" w:eastAsiaTheme="minorEastAsia"/>
                <w:color w:val="auto"/>
                <w:sz w:val="24"/>
              </w:rPr>
              <w:t>C超融合平台授权</w:t>
            </w:r>
          </w:p>
        </w:tc>
      </w:tr>
    </w:tbl>
    <w:p w14:paraId="0F76BBFB">
      <w:pPr>
        <w:spacing w:line="460" w:lineRule="exact"/>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业务交换机</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6780"/>
      </w:tblGrid>
      <w:tr w14:paraId="7BA7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shd w:val="clear" w:color="auto" w:fill="auto"/>
            <w:vAlign w:val="center"/>
          </w:tcPr>
          <w:p w14:paraId="59658DCA">
            <w:pPr>
              <w:widowControl/>
              <w:spacing w:line="460" w:lineRule="exact"/>
              <w:jc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指标项</w:t>
            </w:r>
          </w:p>
        </w:tc>
        <w:tc>
          <w:tcPr>
            <w:tcW w:w="3978" w:type="pct"/>
            <w:shd w:val="clear" w:color="auto" w:fill="auto"/>
            <w:vAlign w:val="center"/>
          </w:tcPr>
          <w:p w14:paraId="4FEA57BA">
            <w:pPr>
              <w:widowControl/>
              <w:spacing w:line="460" w:lineRule="exact"/>
              <w:jc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技术参数要求</w:t>
            </w:r>
          </w:p>
        </w:tc>
      </w:tr>
      <w:tr w14:paraId="73A3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2" w:type="pct"/>
            <w:shd w:val="clear" w:color="000000" w:fill="FFFFFF"/>
            <w:vAlign w:val="center"/>
          </w:tcPr>
          <w:p w14:paraId="1FFF50A6">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★基础硬件</w:t>
            </w:r>
          </w:p>
        </w:tc>
        <w:tc>
          <w:tcPr>
            <w:tcW w:w="3978" w:type="pct"/>
            <w:shd w:val="clear" w:color="000000" w:fill="FFFFFF"/>
            <w:vAlign w:val="center"/>
          </w:tcPr>
          <w:p w14:paraId="00AE924C">
            <w:pPr>
              <w:widowControl/>
              <w:spacing w:line="460" w:lineRule="exact"/>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交换容量≥2.56Tbps，包转发率≥7</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0Mpps，万兆以太网光口≥2</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个，40G以太网光口≥2个，扩展插槽（非电源、风扇插槽）≥2个，</w:t>
            </w:r>
            <w:r>
              <w:rPr>
                <w:rFonts w:hint="eastAsia" w:asciiTheme="minorEastAsia" w:hAnsiTheme="minorEastAsia" w:eastAsiaTheme="minorEastAsia"/>
                <w:b/>
                <w:bCs/>
                <w:color w:val="auto"/>
                <w:sz w:val="24"/>
              </w:rPr>
              <w:t>要求投标时提供官网截图；</w:t>
            </w:r>
          </w:p>
        </w:tc>
      </w:tr>
      <w:tr w14:paraId="3FEF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shd w:val="clear" w:color="auto" w:fill="auto"/>
            <w:vAlign w:val="center"/>
          </w:tcPr>
          <w:p w14:paraId="54D820A2">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路由性能</w:t>
            </w:r>
          </w:p>
        </w:tc>
        <w:tc>
          <w:tcPr>
            <w:tcW w:w="3978" w:type="pct"/>
            <w:shd w:val="clear" w:color="auto" w:fill="auto"/>
            <w:vAlign w:val="center"/>
          </w:tcPr>
          <w:p w14:paraId="1D030C24">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支持IPv4/IPv6静态路由、RIP、OSPF、IS-IS、BGP、等价路由、策略路由；</w:t>
            </w:r>
          </w:p>
        </w:tc>
      </w:tr>
      <w:tr w14:paraId="6C09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shd w:val="clear" w:color="auto" w:fill="auto"/>
            <w:vAlign w:val="center"/>
          </w:tcPr>
          <w:p w14:paraId="76B59CCD">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虚拟化</w:t>
            </w:r>
          </w:p>
        </w:tc>
        <w:tc>
          <w:tcPr>
            <w:tcW w:w="3978" w:type="pct"/>
            <w:shd w:val="clear" w:color="auto" w:fill="auto"/>
            <w:vAlign w:val="center"/>
          </w:tcPr>
          <w:p w14:paraId="356244E5">
            <w:pPr>
              <w:spacing w:line="4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支持多虚一技术(N:1)，可将多台物理设备虚拟化为1台逻辑设备</w:t>
            </w:r>
          </w:p>
        </w:tc>
      </w:tr>
      <w:tr w14:paraId="5A2F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shd w:val="clear" w:color="auto" w:fill="auto"/>
            <w:vAlign w:val="center"/>
          </w:tcPr>
          <w:p w14:paraId="4718411F">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环网协议</w:t>
            </w:r>
          </w:p>
        </w:tc>
        <w:tc>
          <w:tcPr>
            <w:tcW w:w="3978" w:type="pct"/>
            <w:shd w:val="clear" w:color="auto" w:fill="auto"/>
            <w:vAlign w:val="center"/>
          </w:tcPr>
          <w:p w14:paraId="137D9635">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支持STP、RSTP、MSTP，环网故障恢复时间短；</w:t>
            </w:r>
          </w:p>
        </w:tc>
      </w:tr>
      <w:tr w14:paraId="61D6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vAlign w:val="center"/>
          </w:tcPr>
          <w:p w14:paraId="4FEF6E8F">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访问控制策略</w:t>
            </w:r>
          </w:p>
        </w:tc>
        <w:tc>
          <w:tcPr>
            <w:tcW w:w="3978" w:type="pct"/>
            <w:shd w:val="clear" w:color="auto" w:fill="auto"/>
            <w:vAlign w:val="center"/>
          </w:tcPr>
          <w:p w14:paraId="65D92DCD">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支持基于第二层、第三层和第四层的ACL；</w:t>
            </w:r>
          </w:p>
        </w:tc>
      </w:tr>
      <w:tr w14:paraId="0140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vAlign w:val="center"/>
          </w:tcPr>
          <w:p w14:paraId="434547BE">
            <w:pPr>
              <w:widowControl/>
              <w:spacing w:line="460" w:lineRule="exact"/>
              <w:rPr>
                <w:rFonts w:cs="宋体" w:asciiTheme="minorEastAsia" w:hAnsiTheme="minorEastAsia" w:eastAsiaTheme="minorEastAsia"/>
                <w:color w:val="auto"/>
                <w:sz w:val="24"/>
              </w:rPr>
            </w:pPr>
          </w:p>
        </w:tc>
        <w:tc>
          <w:tcPr>
            <w:tcW w:w="3978" w:type="pct"/>
            <w:shd w:val="clear" w:color="auto" w:fill="auto"/>
            <w:vAlign w:val="center"/>
          </w:tcPr>
          <w:p w14:paraId="69115B95">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支持MAC认证、802.1x认证、portal认证；</w:t>
            </w:r>
          </w:p>
        </w:tc>
      </w:tr>
      <w:tr w14:paraId="7094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shd w:val="clear" w:color="auto" w:fill="auto"/>
            <w:vAlign w:val="center"/>
          </w:tcPr>
          <w:p w14:paraId="4B5D5A83">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VXLAN</w:t>
            </w:r>
          </w:p>
        </w:tc>
        <w:tc>
          <w:tcPr>
            <w:tcW w:w="3978" w:type="pct"/>
            <w:shd w:val="clear" w:color="auto" w:fill="auto"/>
            <w:vAlign w:val="center"/>
          </w:tcPr>
          <w:p w14:paraId="7606343D">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支持VXLAN网关功能，能够实现VXLAN二三层互通；</w:t>
            </w:r>
          </w:p>
        </w:tc>
      </w:tr>
      <w:tr w14:paraId="407E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shd w:val="clear" w:color="auto" w:fill="auto"/>
            <w:vAlign w:val="center"/>
          </w:tcPr>
          <w:p w14:paraId="688BBF34">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★配置要求</w:t>
            </w:r>
          </w:p>
        </w:tc>
        <w:tc>
          <w:tcPr>
            <w:tcW w:w="3978" w:type="pct"/>
            <w:shd w:val="clear" w:color="auto" w:fill="auto"/>
            <w:vAlign w:val="center"/>
          </w:tcPr>
          <w:p w14:paraId="798C828F">
            <w:pPr>
              <w:widowControl/>
              <w:spacing w:line="460" w:lineRule="exact"/>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配置≥2</w:t>
            </w:r>
            <w:r>
              <w:rPr>
                <w:rFonts w:asciiTheme="minorEastAsia" w:hAnsiTheme="minorEastAsia" w:eastAsiaTheme="minorEastAsia"/>
                <w:color w:val="auto"/>
                <w:sz w:val="24"/>
              </w:rPr>
              <w:t>0G独立防火墙插卡</w:t>
            </w:r>
            <w:r>
              <w:rPr>
                <w:rFonts w:asciiTheme="minorEastAsia" w:hAnsiTheme="minorEastAsia" w:eastAsiaTheme="minorEastAsia"/>
                <w:b/>
                <w:bCs/>
                <w:color w:val="auto"/>
                <w:sz w:val="24"/>
              </w:rPr>
              <w:t>（</w:t>
            </w:r>
            <w:r>
              <w:rPr>
                <w:rFonts w:hint="eastAsia" w:asciiTheme="minorEastAsia" w:hAnsiTheme="minorEastAsia" w:eastAsiaTheme="minorEastAsia"/>
                <w:b/>
                <w:bCs/>
                <w:color w:val="auto"/>
                <w:sz w:val="24"/>
              </w:rPr>
              <w:t>投标时</w:t>
            </w:r>
            <w:r>
              <w:rPr>
                <w:rFonts w:asciiTheme="minorEastAsia" w:hAnsiTheme="minorEastAsia" w:eastAsiaTheme="minorEastAsia"/>
                <w:b/>
                <w:bCs/>
                <w:color w:val="auto"/>
                <w:sz w:val="24"/>
              </w:rPr>
              <w:t>提供</w:t>
            </w:r>
            <w:r>
              <w:rPr>
                <w:rFonts w:hint="eastAsia" w:asciiTheme="minorEastAsia" w:hAnsiTheme="minorEastAsia" w:eastAsiaTheme="minorEastAsia"/>
                <w:b/>
                <w:bCs/>
                <w:color w:val="auto"/>
                <w:sz w:val="24"/>
              </w:rPr>
              <w:t>5年I</w:t>
            </w:r>
            <w:r>
              <w:rPr>
                <w:rFonts w:asciiTheme="minorEastAsia" w:hAnsiTheme="minorEastAsia" w:eastAsiaTheme="minorEastAsia"/>
                <w:b/>
                <w:bCs/>
                <w:color w:val="auto"/>
                <w:sz w:val="24"/>
              </w:rPr>
              <w:t>PS、</w:t>
            </w:r>
            <w:r>
              <w:rPr>
                <w:rFonts w:hint="eastAsia" w:asciiTheme="minorEastAsia" w:hAnsiTheme="minorEastAsia" w:eastAsiaTheme="minorEastAsia"/>
                <w:b/>
                <w:bCs/>
                <w:color w:val="auto"/>
                <w:sz w:val="24"/>
              </w:rPr>
              <w:t>5年A</w:t>
            </w:r>
            <w:r>
              <w:rPr>
                <w:rFonts w:asciiTheme="minorEastAsia" w:hAnsiTheme="minorEastAsia" w:eastAsiaTheme="minorEastAsia"/>
                <w:b/>
                <w:bCs/>
                <w:color w:val="auto"/>
                <w:sz w:val="24"/>
              </w:rPr>
              <w:t>V特征库升级授权）</w:t>
            </w:r>
            <w:r>
              <w:rPr>
                <w:rFonts w:asciiTheme="minorEastAsia" w:hAnsiTheme="minorEastAsia" w:eastAsiaTheme="minorEastAsia"/>
                <w:color w:val="auto"/>
                <w:sz w:val="24"/>
              </w:rPr>
              <w:t>，配置</w:t>
            </w:r>
            <w:r>
              <w:rPr>
                <w:rFonts w:hint="eastAsia" w:asciiTheme="minorEastAsia" w:hAnsiTheme="minorEastAsia" w:eastAsiaTheme="minorEastAsia"/>
                <w:color w:val="auto"/>
                <w:sz w:val="24"/>
              </w:rPr>
              <w:t>双电源，双风扇，万兆虚拟化线缆≥1根；</w:t>
            </w:r>
          </w:p>
        </w:tc>
      </w:tr>
    </w:tbl>
    <w:p w14:paraId="3098C090">
      <w:pPr>
        <w:rPr>
          <w:rFonts w:asciiTheme="minorEastAsia" w:hAnsiTheme="minorEastAsia" w:eastAsiaTheme="minorEastAsia"/>
          <w:b/>
          <w:color w:val="auto"/>
          <w:szCs w:val="21"/>
        </w:rPr>
      </w:pPr>
    </w:p>
    <w:p w14:paraId="0D87AE58">
      <w:pPr>
        <w:spacing w:line="460" w:lineRule="exact"/>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存储交换机</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6780"/>
      </w:tblGrid>
      <w:tr w14:paraId="4273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shd w:val="clear" w:color="auto" w:fill="auto"/>
            <w:vAlign w:val="center"/>
          </w:tcPr>
          <w:p w14:paraId="28AE7342">
            <w:pPr>
              <w:widowControl/>
              <w:spacing w:line="460" w:lineRule="exact"/>
              <w:jc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指标项</w:t>
            </w:r>
          </w:p>
        </w:tc>
        <w:tc>
          <w:tcPr>
            <w:tcW w:w="3978" w:type="pct"/>
            <w:shd w:val="clear" w:color="auto" w:fill="auto"/>
            <w:vAlign w:val="center"/>
          </w:tcPr>
          <w:p w14:paraId="6606FBD1">
            <w:pPr>
              <w:widowControl/>
              <w:spacing w:line="460" w:lineRule="exact"/>
              <w:jc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技术参数要求</w:t>
            </w:r>
          </w:p>
        </w:tc>
      </w:tr>
      <w:tr w14:paraId="4618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2" w:type="pct"/>
            <w:shd w:val="clear" w:color="000000" w:fill="FFFFFF"/>
            <w:vAlign w:val="center"/>
          </w:tcPr>
          <w:p w14:paraId="20A821FB">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★基础硬件</w:t>
            </w:r>
          </w:p>
        </w:tc>
        <w:tc>
          <w:tcPr>
            <w:tcW w:w="3978" w:type="pct"/>
            <w:shd w:val="clear" w:color="000000" w:fill="FFFFFF"/>
            <w:vAlign w:val="center"/>
          </w:tcPr>
          <w:p w14:paraId="0A99876B">
            <w:pPr>
              <w:widowControl/>
              <w:spacing w:line="460" w:lineRule="exact"/>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交换容量≥2.56Tbps，包转发率≥7</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0Mpps，万兆以太网光口≥2</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个，40G以太网光口≥2个，扩展插槽（非电源、风扇插槽）≥2个，</w:t>
            </w:r>
            <w:r>
              <w:rPr>
                <w:rFonts w:hint="eastAsia" w:asciiTheme="minorEastAsia" w:hAnsiTheme="minorEastAsia" w:eastAsiaTheme="minorEastAsia"/>
                <w:b/>
                <w:bCs/>
                <w:color w:val="auto"/>
                <w:sz w:val="24"/>
              </w:rPr>
              <w:t>要求投标时提供官网截图；</w:t>
            </w:r>
          </w:p>
        </w:tc>
      </w:tr>
      <w:tr w14:paraId="41D8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shd w:val="clear" w:color="auto" w:fill="auto"/>
            <w:vAlign w:val="center"/>
          </w:tcPr>
          <w:p w14:paraId="60467CC5">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路由性能</w:t>
            </w:r>
          </w:p>
        </w:tc>
        <w:tc>
          <w:tcPr>
            <w:tcW w:w="3978" w:type="pct"/>
            <w:shd w:val="clear" w:color="auto" w:fill="auto"/>
            <w:vAlign w:val="center"/>
          </w:tcPr>
          <w:p w14:paraId="16D5AA32">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支持IPv4/IPv6静态路由、RIP、OSPF、IS-IS、BGP、等价路由、策略路由；</w:t>
            </w:r>
          </w:p>
        </w:tc>
      </w:tr>
      <w:tr w14:paraId="402C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shd w:val="clear" w:color="auto" w:fill="auto"/>
            <w:vAlign w:val="center"/>
          </w:tcPr>
          <w:p w14:paraId="0655B80D">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虚拟化</w:t>
            </w:r>
          </w:p>
        </w:tc>
        <w:tc>
          <w:tcPr>
            <w:tcW w:w="3978" w:type="pct"/>
            <w:shd w:val="clear" w:color="auto" w:fill="auto"/>
            <w:vAlign w:val="center"/>
          </w:tcPr>
          <w:p w14:paraId="2A00D541">
            <w:pPr>
              <w:spacing w:line="4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支持多虚一技术(N:1)，可将多台物理设备虚拟化为1台逻辑设备</w:t>
            </w:r>
          </w:p>
        </w:tc>
      </w:tr>
      <w:tr w14:paraId="2114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shd w:val="clear" w:color="auto" w:fill="auto"/>
            <w:vAlign w:val="center"/>
          </w:tcPr>
          <w:p w14:paraId="1A0E6820">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环网协议</w:t>
            </w:r>
          </w:p>
        </w:tc>
        <w:tc>
          <w:tcPr>
            <w:tcW w:w="3978" w:type="pct"/>
            <w:shd w:val="clear" w:color="auto" w:fill="auto"/>
            <w:vAlign w:val="center"/>
          </w:tcPr>
          <w:p w14:paraId="1E61B5B1">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支持STP、RSTP、MSTP，环网故障恢复时间短；</w:t>
            </w:r>
          </w:p>
        </w:tc>
      </w:tr>
      <w:tr w14:paraId="3C04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restart"/>
            <w:shd w:val="clear" w:color="auto" w:fill="auto"/>
            <w:vAlign w:val="center"/>
          </w:tcPr>
          <w:p w14:paraId="47D156F2">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访问控制策略</w:t>
            </w:r>
          </w:p>
        </w:tc>
        <w:tc>
          <w:tcPr>
            <w:tcW w:w="3978" w:type="pct"/>
            <w:shd w:val="clear" w:color="auto" w:fill="auto"/>
            <w:vAlign w:val="center"/>
          </w:tcPr>
          <w:p w14:paraId="72C4F74E">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支持基于第二层、第三层和第四层的ACL；</w:t>
            </w:r>
          </w:p>
        </w:tc>
      </w:tr>
      <w:tr w14:paraId="1F60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vMerge w:val="continue"/>
            <w:vAlign w:val="center"/>
          </w:tcPr>
          <w:p w14:paraId="685B77D1">
            <w:pPr>
              <w:widowControl/>
              <w:spacing w:line="460" w:lineRule="exact"/>
              <w:rPr>
                <w:rFonts w:cs="宋体" w:asciiTheme="minorEastAsia" w:hAnsiTheme="minorEastAsia" w:eastAsiaTheme="minorEastAsia"/>
                <w:color w:val="auto"/>
                <w:sz w:val="24"/>
              </w:rPr>
            </w:pPr>
          </w:p>
        </w:tc>
        <w:tc>
          <w:tcPr>
            <w:tcW w:w="3978" w:type="pct"/>
            <w:shd w:val="clear" w:color="auto" w:fill="auto"/>
            <w:vAlign w:val="center"/>
          </w:tcPr>
          <w:p w14:paraId="62E67D9E">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支持MAC认证、802.1x认证、portal认证；</w:t>
            </w:r>
          </w:p>
        </w:tc>
      </w:tr>
      <w:tr w14:paraId="5EB0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shd w:val="clear" w:color="auto" w:fill="auto"/>
            <w:vAlign w:val="center"/>
          </w:tcPr>
          <w:p w14:paraId="32069283">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VXLAN</w:t>
            </w:r>
          </w:p>
        </w:tc>
        <w:tc>
          <w:tcPr>
            <w:tcW w:w="3978" w:type="pct"/>
            <w:shd w:val="clear" w:color="auto" w:fill="auto"/>
            <w:vAlign w:val="center"/>
          </w:tcPr>
          <w:p w14:paraId="00E13F0D">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支持VXLAN网关功能，能够实现VXLAN二三层互通；</w:t>
            </w:r>
          </w:p>
        </w:tc>
      </w:tr>
      <w:tr w14:paraId="0154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pct"/>
            <w:shd w:val="clear" w:color="auto" w:fill="auto"/>
            <w:vAlign w:val="center"/>
          </w:tcPr>
          <w:p w14:paraId="7E4DDD67">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配置</w:t>
            </w:r>
          </w:p>
        </w:tc>
        <w:tc>
          <w:tcPr>
            <w:tcW w:w="3978" w:type="pct"/>
            <w:shd w:val="clear" w:color="auto" w:fill="auto"/>
            <w:vAlign w:val="center"/>
          </w:tcPr>
          <w:p w14:paraId="10C32CB7">
            <w:pPr>
              <w:widowControl/>
              <w:spacing w:line="460" w:lineRule="exact"/>
              <w:rPr>
                <w:rFonts w:cs="宋体" w:asciiTheme="minorEastAsia" w:hAnsiTheme="minorEastAsia" w:eastAsiaTheme="minorEastAsia"/>
                <w:color w:val="auto"/>
                <w:sz w:val="24"/>
              </w:rPr>
            </w:pPr>
            <w:r>
              <w:rPr>
                <w:rFonts w:asciiTheme="minorEastAsia" w:hAnsiTheme="minorEastAsia" w:eastAsiaTheme="minorEastAsia"/>
                <w:color w:val="auto"/>
                <w:sz w:val="24"/>
              </w:rPr>
              <w:t>配置</w:t>
            </w:r>
            <w:r>
              <w:rPr>
                <w:rFonts w:hint="eastAsia" w:asciiTheme="minorEastAsia" w:hAnsiTheme="minorEastAsia" w:eastAsiaTheme="minorEastAsia"/>
                <w:color w:val="auto"/>
                <w:sz w:val="24"/>
              </w:rPr>
              <w:t>双电源，双风扇，万兆虚拟化线缆≥1根；</w:t>
            </w:r>
          </w:p>
        </w:tc>
      </w:tr>
    </w:tbl>
    <w:p w14:paraId="433BAB81">
      <w:pPr>
        <w:rPr>
          <w:rFonts w:asciiTheme="minorEastAsia" w:hAnsiTheme="minorEastAsia" w:eastAsiaTheme="minorEastAsia"/>
          <w:b/>
          <w:color w:val="auto"/>
          <w:szCs w:val="21"/>
        </w:rPr>
      </w:pPr>
    </w:p>
    <w:p w14:paraId="05500AE9">
      <w:pPr>
        <w:spacing w:line="460" w:lineRule="exact"/>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管理交换机</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7216"/>
      </w:tblGrid>
      <w:tr w14:paraId="5073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766" w:type="pct"/>
            <w:shd w:val="clear" w:color="auto" w:fill="auto"/>
            <w:vAlign w:val="center"/>
          </w:tcPr>
          <w:p w14:paraId="2C8489F2">
            <w:pPr>
              <w:widowControl/>
              <w:spacing w:line="460" w:lineRule="exact"/>
              <w:jc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指标项</w:t>
            </w:r>
          </w:p>
        </w:tc>
        <w:tc>
          <w:tcPr>
            <w:tcW w:w="4234" w:type="pct"/>
            <w:shd w:val="clear" w:color="auto" w:fill="auto"/>
            <w:vAlign w:val="center"/>
          </w:tcPr>
          <w:p w14:paraId="424A6AB9">
            <w:pPr>
              <w:widowControl/>
              <w:spacing w:line="460" w:lineRule="exact"/>
              <w:jc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技术参数要求</w:t>
            </w:r>
          </w:p>
        </w:tc>
      </w:tr>
      <w:tr w14:paraId="6028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6" w:type="pct"/>
            <w:shd w:val="clear" w:color="000000" w:fill="FFFFFF"/>
            <w:vAlign w:val="center"/>
          </w:tcPr>
          <w:p w14:paraId="4C861FED">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★基础硬件</w:t>
            </w:r>
          </w:p>
        </w:tc>
        <w:tc>
          <w:tcPr>
            <w:tcW w:w="4234" w:type="pct"/>
            <w:shd w:val="clear" w:color="000000" w:fill="FFFFFF"/>
            <w:vAlign w:val="center"/>
          </w:tcPr>
          <w:p w14:paraId="3352091B">
            <w:pPr>
              <w:widowControl/>
              <w:spacing w:line="460" w:lineRule="exact"/>
              <w:rPr>
                <w:rFonts w:cs="宋体" w:asciiTheme="minorEastAsia" w:hAnsiTheme="minorEastAsia" w:eastAsiaTheme="minorEastAsia"/>
                <w:b/>
                <w:color w:val="auto"/>
                <w:sz w:val="24"/>
              </w:rPr>
            </w:pPr>
            <w:r>
              <w:rPr>
                <w:rFonts w:cs="宋体" w:asciiTheme="minorEastAsia" w:hAnsiTheme="minorEastAsia" w:eastAsiaTheme="minorEastAsia"/>
                <w:color w:val="auto"/>
                <w:sz w:val="24"/>
              </w:rPr>
              <w:t>交换容量</w:t>
            </w:r>
            <w:r>
              <w:rPr>
                <w:rFonts w:hint="eastAsia" w:cs="宋体" w:asciiTheme="minorEastAsia" w:hAnsiTheme="minorEastAsia" w:eastAsiaTheme="minorEastAsia"/>
                <w:color w:val="auto"/>
                <w:sz w:val="24"/>
              </w:rPr>
              <w:t>≥</w:t>
            </w:r>
            <w:r>
              <w:rPr>
                <w:rFonts w:cs="宋体" w:asciiTheme="minorEastAsia" w:hAnsiTheme="minorEastAsia" w:eastAsiaTheme="minorEastAsia"/>
                <w:color w:val="auto"/>
                <w:sz w:val="24"/>
              </w:rPr>
              <w:t>336Gbps</w:t>
            </w:r>
            <w:r>
              <w:rPr>
                <w:rFonts w:hint="eastAsia" w:cs="宋体" w:asciiTheme="minorEastAsia" w:hAnsiTheme="minorEastAsia" w:eastAsiaTheme="minorEastAsia"/>
                <w:color w:val="auto"/>
                <w:sz w:val="24"/>
              </w:rPr>
              <w:t>，</w:t>
            </w:r>
            <w:r>
              <w:rPr>
                <w:rFonts w:cs="宋体" w:asciiTheme="minorEastAsia" w:hAnsiTheme="minorEastAsia" w:eastAsiaTheme="minorEastAsia"/>
                <w:color w:val="auto"/>
                <w:sz w:val="24"/>
              </w:rPr>
              <w:t>包转发率</w:t>
            </w:r>
            <w:r>
              <w:rPr>
                <w:rFonts w:hint="eastAsia" w:cs="宋体" w:asciiTheme="minorEastAsia" w:hAnsiTheme="minorEastAsia" w:eastAsiaTheme="minorEastAsia"/>
                <w:color w:val="auto"/>
                <w:sz w:val="24"/>
              </w:rPr>
              <w:t>≥</w:t>
            </w:r>
            <w:r>
              <w:rPr>
                <w:rFonts w:cs="宋体" w:asciiTheme="minorEastAsia" w:hAnsiTheme="minorEastAsia" w:eastAsiaTheme="minorEastAsia"/>
                <w:color w:val="auto"/>
                <w:sz w:val="24"/>
              </w:rPr>
              <w:t>108Mpps</w:t>
            </w:r>
            <w:r>
              <w:rPr>
                <w:rFonts w:hint="eastAsia" w:cs="宋体" w:asciiTheme="minorEastAsia" w:hAnsiTheme="minorEastAsia" w:eastAsiaTheme="minorEastAsia"/>
                <w:color w:val="auto"/>
                <w:sz w:val="24"/>
              </w:rPr>
              <w:t>，整机提供≥2</w:t>
            </w:r>
            <w:r>
              <w:rPr>
                <w:rFonts w:cs="宋体" w:asciiTheme="minorEastAsia" w:hAnsiTheme="minorEastAsia" w:eastAsiaTheme="minorEastAsia"/>
                <w:color w:val="auto"/>
                <w:sz w:val="24"/>
              </w:rPr>
              <w:t>4</w:t>
            </w:r>
            <w:r>
              <w:rPr>
                <w:rFonts w:hint="eastAsia" w:cs="宋体" w:asciiTheme="minorEastAsia" w:hAnsiTheme="minorEastAsia" w:eastAsiaTheme="minorEastAsia"/>
                <w:color w:val="auto"/>
                <w:sz w:val="24"/>
              </w:rPr>
              <w:t>个千兆以太网电口，</w:t>
            </w:r>
            <w:r>
              <w:rPr>
                <w:rFonts w:cs="宋体" w:asciiTheme="minorEastAsia" w:hAnsiTheme="minorEastAsia" w:eastAsiaTheme="minorEastAsia"/>
                <w:color w:val="auto"/>
                <w:sz w:val="24"/>
              </w:rPr>
              <w:t>提供</w:t>
            </w:r>
            <w:r>
              <w:rPr>
                <w:rFonts w:hint="eastAsia" w:cs="宋体" w:asciiTheme="minorEastAsia" w:hAnsiTheme="minorEastAsia" w:eastAsiaTheme="minorEastAsia"/>
                <w:color w:val="auto"/>
                <w:sz w:val="24"/>
              </w:rPr>
              <w:t>≥</w:t>
            </w:r>
            <w:r>
              <w:rPr>
                <w:rFonts w:cs="宋体" w:asciiTheme="minorEastAsia" w:hAnsiTheme="minorEastAsia" w:eastAsiaTheme="minorEastAsia"/>
                <w:color w:val="auto"/>
                <w:sz w:val="24"/>
              </w:rPr>
              <w:t>4</w:t>
            </w:r>
            <w:r>
              <w:rPr>
                <w:rFonts w:hint="eastAsia" w:cs="宋体" w:asciiTheme="minorEastAsia" w:hAnsiTheme="minorEastAsia" w:eastAsiaTheme="minorEastAsia"/>
                <w:color w:val="auto"/>
                <w:sz w:val="24"/>
              </w:rPr>
              <w:t>个万兆以太网光口</w:t>
            </w:r>
            <w:r>
              <w:rPr>
                <w:rFonts w:hint="eastAsia" w:cs="宋体" w:asciiTheme="minorEastAsia" w:hAnsiTheme="minorEastAsia" w:eastAsiaTheme="minorEastAsia"/>
                <w:b/>
                <w:color w:val="auto"/>
                <w:sz w:val="24"/>
              </w:rPr>
              <w:t>；</w:t>
            </w:r>
          </w:p>
        </w:tc>
      </w:tr>
      <w:tr w14:paraId="10D4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6" w:type="pct"/>
            <w:shd w:val="clear" w:color="auto" w:fill="auto"/>
            <w:vAlign w:val="center"/>
          </w:tcPr>
          <w:p w14:paraId="3D22733E">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路由性能</w:t>
            </w:r>
          </w:p>
        </w:tc>
        <w:tc>
          <w:tcPr>
            <w:tcW w:w="4234" w:type="pct"/>
            <w:shd w:val="clear" w:color="auto" w:fill="auto"/>
            <w:vAlign w:val="center"/>
          </w:tcPr>
          <w:p w14:paraId="4E1A794D">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支持IPv4/IPv6静态路由，支持RIP/RIPng，OSPF</w:t>
            </w:r>
          </w:p>
        </w:tc>
      </w:tr>
      <w:tr w14:paraId="4203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6" w:type="pct"/>
            <w:shd w:val="clear" w:color="auto" w:fill="auto"/>
            <w:vAlign w:val="center"/>
          </w:tcPr>
          <w:p w14:paraId="5CE400B3">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虚拟化</w:t>
            </w:r>
          </w:p>
        </w:tc>
        <w:tc>
          <w:tcPr>
            <w:tcW w:w="4234" w:type="pct"/>
            <w:shd w:val="clear" w:color="auto" w:fill="auto"/>
            <w:vAlign w:val="center"/>
          </w:tcPr>
          <w:p w14:paraId="738F04ED">
            <w:pPr>
              <w:spacing w:line="4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支持多虚一技术(N:1)，可将多台物理设备虚拟化为1台逻辑设备</w:t>
            </w:r>
          </w:p>
        </w:tc>
      </w:tr>
      <w:tr w14:paraId="17A2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6" w:type="pct"/>
            <w:shd w:val="clear" w:color="auto" w:fill="auto"/>
            <w:vAlign w:val="center"/>
          </w:tcPr>
          <w:p w14:paraId="49E4E6BF">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运维</w:t>
            </w:r>
          </w:p>
        </w:tc>
        <w:tc>
          <w:tcPr>
            <w:tcW w:w="4234" w:type="pct"/>
            <w:shd w:val="clear" w:color="auto" w:fill="auto"/>
            <w:vAlign w:val="center"/>
          </w:tcPr>
          <w:p w14:paraId="3CD34123">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支持Telemetry技术，可通过GRPC协议将交换机的实时资源信息与告警信息上送至运维平台；</w:t>
            </w:r>
          </w:p>
        </w:tc>
      </w:tr>
      <w:tr w14:paraId="6187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6" w:type="pct"/>
            <w:shd w:val="clear" w:color="auto" w:fill="auto"/>
            <w:vAlign w:val="center"/>
          </w:tcPr>
          <w:p w14:paraId="79B32647">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环网协议</w:t>
            </w:r>
          </w:p>
        </w:tc>
        <w:tc>
          <w:tcPr>
            <w:tcW w:w="4234" w:type="pct"/>
            <w:shd w:val="clear" w:color="auto" w:fill="auto"/>
            <w:vAlign w:val="center"/>
          </w:tcPr>
          <w:p w14:paraId="51599BFC">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支持STP、RSTP、MSTP，环网故障恢复时间短；</w:t>
            </w:r>
          </w:p>
        </w:tc>
      </w:tr>
      <w:tr w14:paraId="5800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6" w:type="pct"/>
            <w:shd w:val="clear" w:color="auto" w:fill="auto"/>
            <w:vAlign w:val="center"/>
          </w:tcPr>
          <w:p w14:paraId="433E77BA">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访问控制</w:t>
            </w:r>
          </w:p>
          <w:p w14:paraId="6786C422">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策略</w:t>
            </w:r>
          </w:p>
        </w:tc>
        <w:tc>
          <w:tcPr>
            <w:tcW w:w="4234" w:type="pct"/>
            <w:shd w:val="clear" w:color="auto" w:fill="auto"/>
            <w:vAlign w:val="center"/>
          </w:tcPr>
          <w:p w14:paraId="7C5A8823">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支持基于第二层、第三层和第四层的ACL；</w:t>
            </w:r>
          </w:p>
        </w:tc>
      </w:tr>
      <w:tr w14:paraId="268C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6" w:type="pct"/>
            <w:shd w:val="clear" w:color="auto" w:fill="auto"/>
            <w:vAlign w:val="center"/>
          </w:tcPr>
          <w:p w14:paraId="0E2438B6">
            <w:pPr>
              <w:widowControl/>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配置</w:t>
            </w:r>
          </w:p>
        </w:tc>
        <w:tc>
          <w:tcPr>
            <w:tcW w:w="4234" w:type="pct"/>
            <w:shd w:val="clear" w:color="auto" w:fill="auto"/>
            <w:vAlign w:val="center"/>
          </w:tcPr>
          <w:p w14:paraId="5E892C50">
            <w:pPr>
              <w:widowControl/>
              <w:spacing w:line="460" w:lineRule="exact"/>
              <w:rPr>
                <w:rFonts w:cs="宋体" w:asciiTheme="minorEastAsia" w:hAnsiTheme="minorEastAsia" w:eastAsiaTheme="minorEastAsia"/>
                <w:color w:val="auto"/>
                <w:sz w:val="24"/>
              </w:rPr>
            </w:pPr>
            <w:r>
              <w:rPr>
                <w:rFonts w:asciiTheme="minorEastAsia" w:hAnsiTheme="minorEastAsia" w:eastAsiaTheme="minorEastAsia"/>
                <w:color w:val="auto"/>
                <w:sz w:val="24"/>
              </w:rPr>
              <w:t>配置</w:t>
            </w:r>
            <w:r>
              <w:rPr>
                <w:rFonts w:hint="eastAsia" w:asciiTheme="minorEastAsia" w:hAnsiTheme="minorEastAsia" w:eastAsiaTheme="minorEastAsia"/>
                <w:color w:val="auto"/>
                <w:sz w:val="24"/>
              </w:rPr>
              <w:t>万兆虚拟化线缆≥1根；</w:t>
            </w:r>
          </w:p>
        </w:tc>
      </w:tr>
    </w:tbl>
    <w:p w14:paraId="0588C281">
      <w:pPr>
        <w:spacing w:line="460" w:lineRule="exact"/>
        <w:ind w:firstLine="482" w:firstLineChars="200"/>
        <w:rPr>
          <w:rFonts w:ascii="宋体" w:hAnsi="宋体" w:cs="宋体"/>
          <w:b/>
          <w:color w:val="auto"/>
          <w:sz w:val="24"/>
        </w:rPr>
      </w:pPr>
      <w:r>
        <w:rPr>
          <w:rFonts w:hint="eastAsia" w:ascii="宋体" w:hAnsi="宋体" w:cs="宋体"/>
          <w:b/>
          <w:color w:val="auto"/>
          <w:sz w:val="24"/>
        </w:rPr>
        <w:t>注：1、打“▲”设备为本项目核心设备。</w:t>
      </w:r>
    </w:p>
    <w:p w14:paraId="2FEC6FC9">
      <w:pPr>
        <w:spacing w:line="460" w:lineRule="exact"/>
        <w:ind w:firstLine="482" w:firstLineChars="200"/>
        <w:rPr>
          <w:rFonts w:ascii="宋体" w:hAnsi="宋体" w:cs="宋体"/>
          <w:b/>
          <w:color w:val="auto"/>
          <w:sz w:val="24"/>
        </w:rPr>
      </w:pPr>
      <w:r>
        <w:rPr>
          <w:rFonts w:hint="eastAsia" w:ascii="宋体" w:hAnsi="宋体" w:cs="宋体"/>
          <w:b/>
          <w:color w:val="auto"/>
          <w:sz w:val="24"/>
        </w:rPr>
        <w:t>2、打“★”为设备核心参数，为实质性要求和条件，对其中任何一条的偏离，为实质性偏离，其投标无效。</w:t>
      </w:r>
    </w:p>
    <w:p w14:paraId="70594D59">
      <w:pPr>
        <w:spacing w:line="460" w:lineRule="exact"/>
        <w:ind w:firstLine="482" w:firstLineChars="200"/>
        <w:rPr>
          <w:rFonts w:ascii="宋体" w:hAnsi="宋体" w:cs="宋体"/>
          <w:b/>
          <w:color w:val="auto"/>
          <w:sz w:val="24"/>
        </w:rPr>
      </w:pPr>
      <w:r>
        <w:rPr>
          <w:rFonts w:hint="eastAsia" w:ascii="宋体" w:hAnsi="宋体" w:cs="宋体"/>
          <w:b/>
          <w:color w:val="auto"/>
          <w:sz w:val="24"/>
        </w:rPr>
        <w:t>3、中标后签订合同前，须提供本项目原厂 5年免费质保及软件升级服务承诺书原件并加盖原厂公章，未提供采购方有权拒签合同；</w:t>
      </w:r>
    </w:p>
    <w:p w14:paraId="5F39E6C9">
      <w:pPr>
        <w:spacing w:line="460" w:lineRule="exact"/>
        <w:ind w:firstLine="482" w:firstLineChars="200"/>
        <w:rPr>
          <w:rFonts w:ascii="宋体" w:hAnsi="宋体" w:cs="宋体"/>
          <w:b/>
          <w:color w:val="auto"/>
          <w:sz w:val="24"/>
        </w:rPr>
      </w:pPr>
      <w:r>
        <w:rPr>
          <w:rFonts w:hint="eastAsia" w:ascii="宋体" w:hAnsi="宋体" w:cs="宋体"/>
          <w:b/>
          <w:color w:val="auto"/>
          <w:sz w:val="24"/>
        </w:rPr>
        <w:t>4、供应商中标后签订合同前须提供以上所有涉及截图和复印件等证明材料及设备的详细技术参数响应表并盖原厂公章的电子扫描件，未提供或提供不全的，视为虚假应标，采购方有权拒签合同。</w:t>
      </w:r>
    </w:p>
    <w:p w14:paraId="75C6D882">
      <w:pPr>
        <w:spacing w:line="460" w:lineRule="exact"/>
        <w:ind w:firstLine="482" w:firstLineChars="200"/>
        <w:rPr>
          <w:rFonts w:ascii="宋体" w:hAnsi="宋体" w:cs="宋体"/>
          <w:b/>
          <w:color w:val="auto"/>
          <w:sz w:val="24"/>
        </w:rPr>
      </w:pPr>
      <w:r>
        <w:rPr>
          <w:rFonts w:hint="eastAsia" w:ascii="宋体" w:hAnsi="宋体" w:cs="宋体"/>
          <w:b/>
          <w:color w:val="auto"/>
          <w:sz w:val="24"/>
        </w:rPr>
        <w:t>5、投标供应商中标后，根据采购方需要，须十个工作日内提供响应参数的测试样机进行验证，不按时提供测试机或提供测试机不符合投标参数响应需求的，采购方有权拒签合同。</w:t>
      </w:r>
    </w:p>
    <w:p w14:paraId="09AB09CF">
      <w:pPr>
        <w:spacing w:line="460" w:lineRule="exact"/>
        <w:ind w:firstLine="482" w:firstLineChars="200"/>
        <w:rPr>
          <w:rFonts w:ascii="宋体" w:hAnsi="宋体" w:cs="宋体"/>
          <w:b/>
          <w:color w:val="auto"/>
          <w:sz w:val="24"/>
        </w:rPr>
      </w:pPr>
      <w:r>
        <w:rPr>
          <w:rFonts w:hint="eastAsia" w:ascii="宋体" w:hAnsi="宋体" w:cs="宋体"/>
          <w:b/>
          <w:color w:val="auto"/>
          <w:sz w:val="24"/>
        </w:rPr>
        <w:t>三、付款方式</w:t>
      </w:r>
    </w:p>
    <w:p w14:paraId="2F9D3CA5">
      <w:pPr>
        <w:spacing w:line="460" w:lineRule="exact"/>
        <w:ind w:firstLine="482" w:firstLineChars="200"/>
        <w:rPr>
          <w:rFonts w:ascii="宋体" w:hAnsi="宋体" w:cs="宋体"/>
          <w:color w:val="auto"/>
          <w:sz w:val="24"/>
        </w:rPr>
      </w:pPr>
      <w:r>
        <w:rPr>
          <w:rFonts w:hint="eastAsia" w:ascii="宋体" w:hAnsi="宋体" w:cs="宋体"/>
          <w:b/>
          <w:color w:val="auto"/>
          <w:sz w:val="24"/>
        </w:rPr>
        <w:t>合同签订后,</w:t>
      </w:r>
      <w:r>
        <w:rPr>
          <w:rFonts w:hint="eastAsia" w:ascii="宋体" w:hAnsi="宋体" w:cs="宋体"/>
          <w:color w:val="auto"/>
          <w:sz w:val="24"/>
        </w:rPr>
        <w:t xml:space="preserve"> </w:t>
      </w:r>
      <w:r>
        <w:rPr>
          <w:rFonts w:hint="eastAsia" w:ascii="宋体" w:hAnsi="宋体" w:cs="宋体"/>
          <w:b/>
          <w:color w:val="auto"/>
          <w:sz w:val="24"/>
        </w:rPr>
        <w:t>产品设备安装调试完毕经验收合格后，采购单位将支付合同总额95%（同时退还履约保证金）。余款合同价5%待验收合格满伍年后一次性付清。</w:t>
      </w:r>
    </w:p>
    <w:p w14:paraId="3B273BC3">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以上付款均不计利息。由甲方按相关财务支付规定办理支付手续。不得故意拖延支付时间。</w:t>
      </w:r>
    </w:p>
    <w:p w14:paraId="103BFCB0">
      <w:pPr>
        <w:spacing w:line="460" w:lineRule="exact"/>
        <w:ind w:firstLine="482" w:firstLineChars="200"/>
        <w:rPr>
          <w:rFonts w:ascii="宋体" w:hAnsi="宋体" w:cs="宋体"/>
          <w:color w:val="auto"/>
          <w:kern w:val="0"/>
          <w:sz w:val="24"/>
        </w:rPr>
      </w:pPr>
      <w:r>
        <w:rPr>
          <w:rFonts w:hint="eastAsia" w:ascii="宋体" w:hAnsi="宋体" w:cs="宋体"/>
          <w:b/>
          <w:color w:val="auto"/>
          <w:sz w:val="24"/>
        </w:rPr>
        <w:t>四、质量要求：</w:t>
      </w:r>
    </w:p>
    <w:p w14:paraId="67E454FC">
      <w:pPr>
        <w:spacing w:line="460" w:lineRule="exact"/>
        <w:ind w:firstLine="480" w:firstLineChars="200"/>
        <w:rPr>
          <w:rFonts w:ascii="宋体" w:hAnsi="宋体" w:cs="宋体"/>
          <w:color w:val="auto"/>
          <w:sz w:val="24"/>
        </w:rPr>
      </w:pPr>
      <w:r>
        <w:rPr>
          <w:rFonts w:hint="eastAsia" w:ascii="宋体" w:hAnsi="宋体" w:cs="宋体"/>
          <w:color w:val="auto"/>
          <w:sz w:val="24"/>
        </w:rPr>
        <w:t>1.乙方提供的设备必须是原厂商全新、未使用过的原装合格正品，随机资料完整。型号、性能及指标满足招标文件提出的有关技术、质量、规格和性能的要求，达到国家或行业规定的标准，实行生产许可证制度的，应提供生产许可证；属于国家强制认证的产品，必须通过认证。</w:t>
      </w:r>
    </w:p>
    <w:p w14:paraId="41F65C10">
      <w:pPr>
        <w:spacing w:line="460" w:lineRule="exact"/>
        <w:ind w:firstLine="480" w:firstLineChars="200"/>
        <w:rPr>
          <w:rFonts w:ascii="宋体" w:hAnsi="宋体" w:cs="宋体"/>
          <w:color w:val="auto"/>
          <w:sz w:val="24"/>
        </w:rPr>
      </w:pPr>
      <w:r>
        <w:rPr>
          <w:rFonts w:hint="eastAsia" w:ascii="宋体" w:hAnsi="宋体" w:cs="宋体"/>
          <w:color w:val="auto"/>
          <w:sz w:val="24"/>
        </w:rPr>
        <w:t>2.所有产品（设备）在开箱检验时必须完好，无破损，配置与装箱单相符。数量、质量及性能不低于本采购需求书中提出的要求。</w:t>
      </w:r>
    </w:p>
    <w:p w14:paraId="138EBABB">
      <w:pPr>
        <w:spacing w:line="460" w:lineRule="exact"/>
        <w:ind w:firstLine="480" w:firstLineChars="200"/>
        <w:rPr>
          <w:rFonts w:ascii="宋体" w:hAnsi="宋体" w:cs="宋体"/>
          <w:color w:val="auto"/>
          <w:sz w:val="24"/>
        </w:rPr>
      </w:pPr>
      <w:r>
        <w:rPr>
          <w:rFonts w:hint="eastAsia" w:ascii="宋体" w:hAnsi="宋体" w:cs="宋体"/>
          <w:color w:val="auto"/>
          <w:sz w:val="24"/>
        </w:rPr>
        <w:t>3.设备外观清洁，标记编号以及盘面显示等字体清晰，明确。铭牌、使用指示、警告指示应以中文或英文及易懂的通用符号来表示；应准确无误地表明设备之型号、规格、制造厂及生产或出厂日期。</w:t>
      </w:r>
    </w:p>
    <w:p w14:paraId="44957B20">
      <w:pPr>
        <w:spacing w:line="460" w:lineRule="exact"/>
        <w:ind w:firstLine="482" w:firstLineChars="200"/>
        <w:rPr>
          <w:rFonts w:ascii="宋体" w:hAnsi="宋体" w:cs="宋体"/>
          <w:b/>
          <w:color w:val="auto"/>
          <w:sz w:val="24"/>
        </w:rPr>
      </w:pPr>
      <w:r>
        <w:rPr>
          <w:rFonts w:hint="eastAsia" w:ascii="宋体" w:hAnsi="宋体" w:cs="宋体"/>
          <w:b/>
          <w:color w:val="auto"/>
          <w:sz w:val="24"/>
        </w:rPr>
        <w:t>五、交货及安装调试</w:t>
      </w:r>
    </w:p>
    <w:p w14:paraId="6C2B3D63">
      <w:pPr>
        <w:spacing w:line="460" w:lineRule="exact"/>
        <w:ind w:firstLine="480" w:firstLineChars="200"/>
        <w:rPr>
          <w:rFonts w:ascii="宋体" w:hAnsi="宋体" w:cs="宋体"/>
          <w:color w:val="auto"/>
          <w:sz w:val="24"/>
        </w:rPr>
      </w:pPr>
      <w:r>
        <w:rPr>
          <w:rFonts w:hint="eastAsia" w:ascii="宋体" w:hAnsi="宋体" w:cs="宋体"/>
          <w:color w:val="auto"/>
          <w:sz w:val="24"/>
        </w:rPr>
        <w:t>1.交货时间为签订合同之日起45天（日历天）内安装调试结束并交付使用。安装调试工作不得干扰正常教学秩序。</w:t>
      </w:r>
    </w:p>
    <w:p w14:paraId="2196A182">
      <w:pPr>
        <w:spacing w:line="460" w:lineRule="exact"/>
        <w:ind w:firstLine="480" w:firstLineChars="200"/>
        <w:rPr>
          <w:rFonts w:ascii="宋体" w:hAnsi="宋体" w:cs="宋体"/>
          <w:color w:val="auto"/>
          <w:sz w:val="24"/>
        </w:rPr>
      </w:pPr>
      <w:r>
        <w:rPr>
          <w:rFonts w:hint="eastAsia" w:ascii="宋体" w:hAnsi="宋体" w:cs="宋体"/>
          <w:color w:val="auto"/>
          <w:sz w:val="24"/>
        </w:rPr>
        <w:t>2.所有设备须按合同指定地点、时间前安装调试合格并交付使用。</w:t>
      </w:r>
    </w:p>
    <w:p w14:paraId="6E96699E">
      <w:pPr>
        <w:spacing w:line="460" w:lineRule="exact"/>
        <w:ind w:firstLine="480" w:firstLineChars="200"/>
        <w:rPr>
          <w:rFonts w:ascii="宋体" w:hAnsi="宋体" w:cs="宋体"/>
          <w:color w:val="auto"/>
          <w:sz w:val="24"/>
        </w:rPr>
      </w:pPr>
      <w:r>
        <w:rPr>
          <w:rFonts w:hint="eastAsia" w:ascii="宋体" w:hAnsi="宋体" w:cs="宋体"/>
          <w:color w:val="auto"/>
          <w:sz w:val="24"/>
        </w:rPr>
        <w:t>3.供应商须负责进行设备安装调试服务并承担因此发生的一切费用。</w:t>
      </w:r>
    </w:p>
    <w:p w14:paraId="44D34D18">
      <w:pPr>
        <w:spacing w:line="460" w:lineRule="exact"/>
        <w:ind w:firstLine="482" w:firstLineChars="200"/>
        <w:rPr>
          <w:rFonts w:ascii="宋体" w:hAnsi="宋体" w:cs="宋体"/>
          <w:b/>
          <w:color w:val="auto"/>
          <w:sz w:val="24"/>
        </w:rPr>
      </w:pPr>
      <w:r>
        <w:rPr>
          <w:rFonts w:hint="eastAsia" w:ascii="宋体" w:hAnsi="宋体" w:cs="宋体"/>
          <w:b/>
          <w:color w:val="auto"/>
          <w:sz w:val="24"/>
        </w:rPr>
        <w:t>六、验收要求</w:t>
      </w:r>
    </w:p>
    <w:p w14:paraId="1894F53A">
      <w:pPr>
        <w:spacing w:line="460" w:lineRule="exact"/>
        <w:ind w:firstLine="480" w:firstLineChars="200"/>
        <w:rPr>
          <w:rFonts w:ascii="宋体" w:hAnsi="宋体" w:cs="宋体"/>
          <w:color w:val="auto"/>
          <w:sz w:val="24"/>
        </w:rPr>
      </w:pPr>
      <w:r>
        <w:rPr>
          <w:rFonts w:hint="eastAsia" w:ascii="宋体" w:hAnsi="宋体" w:cs="宋体"/>
          <w:color w:val="auto"/>
          <w:sz w:val="24"/>
        </w:rPr>
        <w:t>1.验收标准：供应商提供的货物必须不低于采购文件中所列规格、具体配置、技术条件及功能要求和供应商承诺的其它指标,。</w:t>
      </w:r>
    </w:p>
    <w:p w14:paraId="2D0FB9A8">
      <w:pPr>
        <w:spacing w:line="460" w:lineRule="exact"/>
        <w:ind w:firstLine="480" w:firstLineChars="200"/>
        <w:rPr>
          <w:rFonts w:ascii="宋体" w:hAnsi="宋体" w:cs="宋体"/>
          <w:color w:val="auto"/>
          <w:sz w:val="24"/>
        </w:rPr>
      </w:pPr>
      <w:r>
        <w:rPr>
          <w:rFonts w:hint="eastAsia" w:ascii="宋体" w:hAnsi="宋体" w:cs="宋体"/>
          <w:color w:val="auto"/>
          <w:sz w:val="24"/>
        </w:rPr>
        <w:t>2.货物到达采购方指定现场前，应提前3天通知采购人做好准备，由采购方会同有关单位和人员根据供应商提供的项目设备清单，进行现场验收货。</w:t>
      </w:r>
    </w:p>
    <w:p w14:paraId="5E8E9956">
      <w:pPr>
        <w:spacing w:line="460" w:lineRule="exact"/>
        <w:ind w:firstLine="482" w:firstLineChars="200"/>
        <w:rPr>
          <w:rFonts w:ascii="宋体" w:hAnsi="宋体" w:cs="宋体"/>
          <w:b/>
          <w:color w:val="auto"/>
          <w:sz w:val="24"/>
        </w:rPr>
      </w:pPr>
      <w:r>
        <w:rPr>
          <w:rFonts w:hint="eastAsia" w:ascii="宋体" w:hAnsi="宋体" w:cs="宋体"/>
          <w:b/>
          <w:color w:val="auto"/>
          <w:sz w:val="24"/>
        </w:rPr>
        <w:t>七、履约保证金</w:t>
      </w:r>
    </w:p>
    <w:p w14:paraId="06659EEA">
      <w:pPr>
        <w:spacing w:line="460" w:lineRule="exact"/>
        <w:ind w:firstLine="480" w:firstLineChars="200"/>
        <w:rPr>
          <w:rFonts w:ascii="宋体" w:hAnsi="宋体" w:cs="宋体"/>
          <w:bCs/>
          <w:color w:val="auto"/>
          <w:sz w:val="24"/>
          <w:u w:val="single"/>
        </w:rPr>
      </w:pPr>
      <w:r>
        <w:rPr>
          <w:rFonts w:hint="eastAsia" w:ascii="宋体" w:hAnsi="宋体" w:cs="宋体"/>
          <w:bCs/>
          <w:color w:val="auto"/>
          <w:sz w:val="24"/>
        </w:rPr>
        <w:t>1.本项目成交后的履约保证金为项目中标价的</w:t>
      </w:r>
      <w:r>
        <w:rPr>
          <w:rFonts w:hint="eastAsia" w:ascii="宋体" w:hAnsi="宋体" w:cs="宋体"/>
          <w:bCs/>
          <w:color w:val="auto"/>
          <w:sz w:val="24"/>
          <w:u w:val="single"/>
        </w:rPr>
        <w:t xml:space="preserve">  10%  。 </w:t>
      </w:r>
    </w:p>
    <w:p w14:paraId="5C33786D">
      <w:pPr>
        <w:spacing w:line="460" w:lineRule="exact"/>
        <w:ind w:firstLine="480" w:firstLineChars="200"/>
        <w:rPr>
          <w:rFonts w:ascii="宋体" w:hAnsi="宋体" w:cs="宋体"/>
          <w:bCs/>
          <w:color w:val="auto"/>
          <w:sz w:val="24"/>
        </w:rPr>
      </w:pPr>
      <w:r>
        <w:rPr>
          <w:rFonts w:hint="eastAsia" w:ascii="宋体" w:hAnsi="宋体" w:cs="宋体"/>
          <w:bCs/>
          <w:color w:val="auto"/>
          <w:sz w:val="24"/>
        </w:rPr>
        <w:t>2.中标供应商的履约保证金须在成交通知书发出之日起至合同签订前汇入采购单位账户，中标供应商凭成交通知书与采购单位签订合同。超期或未有协商，则视为自动放弃成交资格。</w:t>
      </w:r>
    </w:p>
    <w:p w14:paraId="74205872">
      <w:pPr>
        <w:spacing w:line="460" w:lineRule="exact"/>
        <w:ind w:firstLine="480" w:firstLineChars="200"/>
        <w:rPr>
          <w:rFonts w:ascii="宋体" w:hAnsi="宋体" w:cs="宋体"/>
          <w:bCs/>
          <w:color w:val="auto"/>
          <w:sz w:val="24"/>
        </w:rPr>
      </w:pPr>
      <w:r>
        <w:rPr>
          <w:rFonts w:hint="eastAsia" w:ascii="宋体" w:hAnsi="宋体" w:cs="宋体"/>
          <w:bCs/>
          <w:color w:val="auto"/>
          <w:sz w:val="24"/>
        </w:rPr>
        <w:t>3.中标供应商在按要求保质保量的完成该项目合同并通过验收后，采购单位凭中标供应商提交的申请，一次性无息退还该合同项目的履约保证金。</w:t>
      </w:r>
    </w:p>
    <w:p w14:paraId="0E3AC8F6">
      <w:pPr>
        <w:spacing w:line="460" w:lineRule="exact"/>
        <w:ind w:firstLine="480" w:firstLineChars="200"/>
        <w:rPr>
          <w:rFonts w:ascii="宋体" w:hAnsi="宋体" w:cs="宋体"/>
          <w:bCs/>
          <w:color w:val="auto"/>
          <w:sz w:val="24"/>
        </w:rPr>
      </w:pPr>
      <w:r>
        <w:rPr>
          <w:rFonts w:hint="eastAsia" w:ascii="宋体" w:hAnsi="宋体" w:cs="宋体"/>
          <w:bCs/>
          <w:color w:val="auto"/>
          <w:sz w:val="24"/>
        </w:rPr>
        <w:t>4.发生以下情况的，履约保证金不予退还或部分退还：</w:t>
      </w:r>
    </w:p>
    <w:p w14:paraId="1277EF65">
      <w:pPr>
        <w:spacing w:line="460" w:lineRule="exact"/>
        <w:ind w:firstLine="480" w:firstLineChars="200"/>
        <w:rPr>
          <w:rFonts w:ascii="宋体" w:hAnsi="宋体" w:cs="宋体"/>
          <w:bCs/>
          <w:color w:val="auto"/>
          <w:sz w:val="24"/>
        </w:rPr>
      </w:pPr>
      <w:r>
        <w:rPr>
          <w:rFonts w:hint="eastAsia" w:ascii="宋体" w:hAnsi="宋体" w:cs="宋体"/>
          <w:bCs/>
          <w:color w:val="auto"/>
          <w:sz w:val="24"/>
        </w:rPr>
        <w:t>4.1.签订合同后，中标供应商不履行合同义务的，采购单位有权全额扣除履约保证金；</w:t>
      </w:r>
    </w:p>
    <w:p w14:paraId="722671F1">
      <w:pPr>
        <w:spacing w:line="460" w:lineRule="exact"/>
        <w:ind w:firstLine="480" w:firstLineChars="200"/>
        <w:outlineLvl w:val="2"/>
        <w:rPr>
          <w:rFonts w:ascii="宋体" w:hAnsi="宋体" w:cs="宋体"/>
          <w:bCs/>
          <w:color w:val="auto"/>
          <w:sz w:val="24"/>
        </w:rPr>
      </w:pPr>
      <w:r>
        <w:rPr>
          <w:rFonts w:hint="eastAsia" w:ascii="宋体" w:hAnsi="宋体" w:cs="宋体"/>
          <w:bCs/>
          <w:color w:val="auto"/>
          <w:sz w:val="24"/>
        </w:rPr>
        <w:t>4.2.中标供应商在履约过程中发生违约行为，给采购单位造成损失的，采购单位有权在中标供应商缴纳的履约保证金中予以扣款，以弥补采购单位经济损失，不足的部分由中标供应商另外补齐。</w:t>
      </w:r>
    </w:p>
    <w:p w14:paraId="24D97145">
      <w:pPr>
        <w:pStyle w:val="5"/>
        <w:jc w:val="both"/>
        <w:rPr>
          <w:color w:val="auto"/>
        </w:rPr>
      </w:pPr>
    </w:p>
    <w:p w14:paraId="2E973A82">
      <w:pPr>
        <w:rPr>
          <w:rFonts w:ascii="宋体" w:hAnsi="宋体" w:cs="宋体"/>
          <w:bCs/>
          <w:color w:val="auto"/>
          <w:sz w:val="32"/>
          <w:szCs w:val="32"/>
        </w:rPr>
      </w:pPr>
      <w:r>
        <w:rPr>
          <w:rFonts w:hint="eastAsia" w:ascii="宋体" w:hAnsi="宋体" w:cs="宋体"/>
          <w:bCs/>
          <w:color w:val="auto"/>
          <w:sz w:val="32"/>
          <w:szCs w:val="32"/>
        </w:rPr>
        <w:br w:type="page"/>
      </w:r>
    </w:p>
    <w:p w14:paraId="4C1CBF06">
      <w:pPr>
        <w:adjustRightInd w:val="0"/>
        <w:snapToGrid w:val="0"/>
        <w:spacing w:line="500" w:lineRule="exact"/>
        <w:jc w:val="center"/>
        <w:outlineLvl w:val="0"/>
        <w:rPr>
          <w:rFonts w:ascii="宋体" w:hAnsi="宋体" w:cs="宋体"/>
          <w:bCs/>
          <w:color w:val="auto"/>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5D3C9609">
      <w:pPr>
        <w:adjustRightInd w:val="0"/>
        <w:snapToGrid w:val="0"/>
        <w:spacing w:line="500" w:lineRule="exact"/>
        <w:jc w:val="center"/>
        <w:outlineLvl w:val="0"/>
        <w:rPr>
          <w:rFonts w:ascii="宋体" w:hAnsi="宋体" w:cs="宋体"/>
          <w:bCs/>
          <w:color w:val="auto"/>
          <w:sz w:val="32"/>
          <w:szCs w:val="32"/>
        </w:rPr>
      </w:pPr>
      <w:r>
        <w:rPr>
          <w:rFonts w:hint="eastAsia" w:ascii="宋体" w:hAnsi="宋体" w:cs="宋体"/>
          <w:bCs/>
          <w:color w:val="auto"/>
          <w:sz w:val="32"/>
          <w:szCs w:val="32"/>
        </w:rPr>
        <w:t>第四部分  开标和评标</w:t>
      </w:r>
    </w:p>
    <w:p w14:paraId="02D486B5">
      <w:pPr>
        <w:pStyle w:val="78"/>
        <w:snapToGrid w:val="0"/>
        <w:spacing w:before="0" w:after="0" w:line="460" w:lineRule="exact"/>
        <w:ind w:left="0" w:right="0" w:firstLine="482" w:firstLineChars="200"/>
        <w:jc w:val="left"/>
        <w:rPr>
          <w:rFonts w:ascii="宋体" w:hAnsi="宋体" w:cs="宋体"/>
          <w:b/>
          <w:color w:val="auto"/>
          <w:kern w:val="2"/>
        </w:rPr>
      </w:pPr>
      <w:r>
        <w:rPr>
          <w:rFonts w:hint="eastAsia" w:ascii="宋体" w:hAnsi="宋体" w:cs="宋体"/>
          <w:b/>
          <w:color w:val="auto"/>
          <w:kern w:val="2"/>
        </w:rPr>
        <w:t>一、开标</w:t>
      </w:r>
    </w:p>
    <w:p w14:paraId="06387791">
      <w:pPr>
        <w:tabs>
          <w:tab w:val="left" w:pos="3585"/>
        </w:tabs>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见面开标模式：投标人在指定地点参加开标会。</w:t>
      </w:r>
    </w:p>
    <w:p w14:paraId="240726D1">
      <w:pPr>
        <w:pStyle w:val="78"/>
        <w:snapToGrid w:val="0"/>
        <w:spacing w:before="0" w:after="0" w:line="460" w:lineRule="exact"/>
        <w:ind w:left="0" w:right="0" w:firstLine="482" w:firstLineChars="200"/>
        <w:jc w:val="left"/>
        <w:rPr>
          <w:rFonts w:ascii="宋体" w:hAnsi="宋体" w:cs="宋体"/>
          <w:b/>
          <w:color w:val="auto"/>
          <w:kern w:val="2"/>
        </w:rPr>
      </w:pPr>
      <w:r>
        <w:rPr>
          <w:rFonts w:hint="eastAsia" w:ascii="宋体" w:hAnsi="宋体" w:cs="宋体"/>
          <w:b/>
          <w:color w:val="auto"/>
          <w:kern w:val="2"/>
        </w:rPr>
        <w:t>二、评标流程和评标标准</w:t>
      </w:r>
    </w:p>
    <w:p w14:paraId="340A692F">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采用综合评分法。分资格审查、商务技术标、价格标、三部分评审，总分值为100分，加分和减分因素除外。</w:t>
      </w:r>
    </w:p>
    <w:p w14:paraId="048352E0">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7E73D2D0">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0C1A2B83">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评委在认真审阅投标文件的基础上，根据各投标文件的响应程度独立评判，不得统一打分。</w:t>
      </w:r>
    </w:p>
    <w:p w14:paraId="27AFC27F">
      <w:pPr>
        <w:adjustRightInd w:val="0"/>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（一）招标人（代表）对投标人资格进行审查。</w:t>
      </w:r>
    </w:p>
    <w:p w14:paraId="1B881DB6">
      <w:pPr>
        <w:pStyle w:val="82"/>
        <w:adjustRightInd w:val="0"/>
        <w:snapToGrid w:val="0"/>
        <w:spacing w:line="460" w:lineRule="exact"/>
        <w:ind w:firstLine="480" w:firstLineChars="200"/>
        <w:rPr>
          <w:rFonts w:ascii="宋体" w:eastAsia="宋体" w:cs="宋体"/>
          <w:color w:val="auto"/>
          <w:sz w:val="24"/>
          <w:szCs w:val="24"/>
        </w:rPr>
      </w:pPr>
      <w:r>
        <w:rPr>
          <w:rFonts w:hint="eastAsia" w:ascii="宋体" w:eastAsia="宋体" w:cs="宋体"/>
          <w:color w:val="auto"/>
          <w:sz w:val="24"/>
          <w:szCs w:val="24"/>
        </w:rPr>
        <w:t>投标人资格不合格的，其投标文件判定为无效投标文件。</w:t>
      </w:r>
    </w:p>
    <w:p w14:paraId="7D7829DB">
      <w:pPr>
        <w:adjustRightInd w:val="0"/>
        <w:snapToGrid w:val="0"/>
        <w:spacing w:line="460" w:lineRule="exact"/>
        <w:ind w:firstLine="482" w:firstLineChars="200"/>
        <w:jc w:val="left"/>
        <w:rPr>
          <w:rFonts w:ascii="宋体" w:hAnsi="宋体" w:cs="宋体"/>
          <w:b/>
          <w:color w:val="auto"/>
          <w:sz w:val="24"/>
        </w:rPr>
      </w:pPr>
      <w:r>
        <w:rPr>
          <w:rFonts w:hint="eastAsia" w:ascii="宋体" w:hAnsi="宋体" w:cs="宋体"/>
          <w:b/>
          <w:color w:val="auto"/>
          <w:sz w:val="24"/>
        </w:rPr>
        <w:t>（二）评标委员会对符合资格投标人的投标文件进行符合性审查。</w:t>
      </w:r>
    </w:p>
    <w:p w14:paraId="41194563">
      <w:pPr>
        <w:pStyle w:val="82"/>
        <w:adjustRightInd w:val="0"/>
        <w:snapToGrid w:val="0"/>
        <w:spacing w:line="460" w:lineRule="exact"/>
        <w:ind w:firstLine="480" w:firstLineChars="200"/>
        <w:rPr>
          <w:rFonts w:ascii="宋体" w:eastAsia="宋体" w:cs="宋体"/>
          <w:color w:val="auto"/>
          <w:sz w:val="24"/>
          <w:szCs w:val="24"/>
        </w:rPr>
      </w:pPr>
      <w:r>
        <w:rPr>
          <w:rFonts w:hint="eastAsia" w:ascii="宋体" w:eastAsia="宋体" w:cs="宋体"/>
          <w:color w:val="auto"/>
          <w:sz w:val="24"/>
          <w:szCs w:val="24"/>
        </w:rPr>
        <w:t xml:space="preserve">未通过符合性审查的投标文件，将被判为不满足招标文件实质性要求。 </w:t>
      </w:r>
    </w:p>
    <w:p w14:paraId="67A17C39">
      <w:pPr>
        <w:adjustRightInd w:val="0"/>
        <w:snapToGrid w:val="0"/>
        <w:spacing w:line="460" w:lineRule="exact"/>
        <w:ind w:firstLine="482" w:firstLineChars="200"/>
        <w:jc w:val="left"/>
        <w:rPr>
          <w:rFonts w:ascii="宋体" w:hAnsi="宋体" w:cs="宋体"/>
          <w:b/>
          <w:bCs/>
          <w:color w:val="auto"/>
          <w:sz w:val="24"/>
        </w:rPr>
      </w:pPr>
      <w:r>
        <w:rPr>
          <w:rFonts w:hint="eastAsia" w:ascii="宋体" w:hAnsi="宋体" w:cs="宋体"/>
          <w:b/>
          <w:color w:val="auto"/>
          <w:sz w:val="24"/>
          <w:lang w:val="zh-CN"/>
        </w:rPr>
        <w:t>（三）商务技术分：</w:t>
      </w:r>
      <w:r>
        <w:rPr>
          <w:rFonts w:hint="eastAsia" w:ascii="宋体" w:hAnsi="宋体" w:cs="宋体"/>
          <w:b/>
          <w:bCs/>
          <w:color w:val="auto"/>
          <w:sz w:val="24"/>
        </w:rPr>
        <w:t>（60分）</w:t>
      </w:r>
    </w:p>
    <w:tbl>
      <w:tblPr>
        <w:tblStyle w:val="36"/>
        <w:tblW w:w="8394" w:type="dxa"/>
        <w:tblInd w:w="0" w:type="dxa"/>
        <w:tblLayout w:type="fixed"/>
        <w:tblCellMar>
          <w:top w:w="0" w:type="dxa"/>
          <w:left w:w="30" w:type="dxa"/>
          <w:bottom w:w="0" w:type="dxa"/>
          <w:right w:w="30" w:type="dxa"/>
        </w:tblCellMar>
      </w:tblPr>
      <w:tblGrid>
        <w:gridCol w:w="559"/>
        <w:gridCol w:w="1332"/>
        <w:gridCol w:w="777"/>
        <w:gridCol w:w="5726"/>
      </w:tblGrid>
      <w:tr w14:paraId="117D137C">
        <w:tblPrEx>
          <w:tblCellMar>
            <w:top w:w="0" w:type="dxa"/>
            <w:left w:w="30" w:type="dxa"/>
            <w:bottom w:w="0" w:type="dxa"/>
            <w:right w:w="30" w:type="dxa"/>
          </w:tblCellMar>
        </w:tblPrEx>
        <w:trPr>
          <w:trHeight w:val="346" w:hRule="atLeast"/>
        </w:trPr>
        <w:tc>
          <w:tcPr>
            <w:tcW w:w="559" w:type="dxa"/>
            <w:tcBorders>
              <w:top w:val="single" w:color="auto" w:sz="6" w:space="0"/>
              <w:left w:val="single" w:color="auto" w:sz="6" w:space="0"/>
              <w:bottom w:val="single" w:color="auto" w:sz="6" w:space="0"/>
              <w:right w:val="single" w:color="auto" w:sz="6" w:space="0"/>
            </w:tcBorders>
            <w:vAlign w:val="center"/>
          </w:tcPr>
          <w:p w14:paraId="7643A238">
            <w:pPr>
              <w:spacing w:line="460" w:lineRule="exact"/>
              <w:jc w:val="center"/>
              <w:rPr>
                <w:rFonts w:ascii="宋体" w:hAnsi="宋体" w:cs="宋体"/>
                <w:color w:val="auto"/>
                <w:sz w:val="24"/>
              </w:rPr>
            </w:pPr>
            <w:r>
              <w:rPr>
                <w:rFonts w:hint="eastAsia" w:ascii="宋体" w:hAnsi="宋体" w:cs="宋体"/>
                <w:color w:val="auto"/>
                <w:sz w:val="24"/>
              </w:rPr>
              <w:t>序号</w:t>
            </w:r>
          </w:p>
        </w:tc>
        <w:tc>
          <w:tcPr>
            <w:tcW w:w="1332" w:type="dxa"/>
            <w:tcBorders>
              <w:top w:val="single" w:color="auto" w:sz="6" w:space="0"/>
              <w:left w:val="single" w:color="auto" w:sz="6" w:space="0"/>
              <w:bottom w:val="single" w:color="auto" w:sz="6" w:space="0"/>
              <w:right w:val="single" w:color="auto" w:sz="6" w:space="0"/>
            </w:tcBorders>
            <w:vAlign w:val="center"/>
          </w:tcPr>
          <w:p w14:paraId="571B82DE">
            <w:pPr>
              <w:spacing w:line="460" w:lineRule="exact"/>
              <w:jc w:val="center"/>
              <w:rPr>
                <w:rFonts w:ascii="宋体" w:hAnsi="宋体" w:cs="宋体"/>
                <w:color w:val="auto"/>
                <w:sz w:val="24"/>
              </w:rPr>
            </w:pPr>
            <w:r>
              <w:rPr>
                <w:rFonts w:hint="eastAsia" w:ascii="宋体" w:hAnsi="宋体" w:cs="宋体"/>
                <w:color w:val="auto"/>
                <w:sz w:val="24"/>
              </w:rPr>
              <w:t>评分点名称</w:t>
            </w:r>
          </w:p>
        </w:tc>
        <w:tc>
          <w:tcPr>
            <w:tcW w:w="777" w:type="dxa"/>
            <w:tcBorders>
              <w:top w:val="single" w:color="auto" w:sz="6" w:space="0"/>
              <w:left w:val="single" w:color="auto" w:sz="6" w:space="0"/>
              <w:bottom w:val="single" w:color="auto" w:sz="6" w:space="0"/>
              <w:right w:val="single" w:color="auto" w:sz="6" w:space="0"/>
            </w:tcBorders>
            <w:vAlign w:val="center"/>
          </w:tcPr>
          <w:p w14:paraId="4895188B">
            <w:pPr>
              <w:spacing w:line="460" w:lineRule="exact"/>
              <w:jc w:val="center"/>
              <w:rPr>
                <w:rFonts w:ascii="宋体" w:hAnsi="宋体" w:cs="宋体"/>
                <w:color w:val="auto"/>
                <w:sz w:val="24"/>
              </w:rPr>
            </w:pPr>
            <w:r>
              <w:rPr>
                <w:rFonts w:hint="eastAsia" w:ascii="宋体" w:hAnsi="宋体" w:cs="宋体"/>
                <w:color w:val="auto"/>
                <w:sz w:val="24"/>
              </w:rPr>
              <w:t>分值</w:t>
            </w:r>
          </w:p>
        </w:tc>
        <w:tc>
          <w:tcPr>
            <w:tcW w:w="5726" w:type="dxa"/>
            <w:tcBorders>
              <w:top w:val="single" w:color="auto" w:sz="6" w:space="0"/>
              <w:left w:val="single" w:color="auto" w:sz="6" w:space="0"/>
              <w:bottom w:val="single" w:color="auto" w:sz="6" w:space="0"/>
              <w:right w:val="single" w:color="auto" w:sz="6" w:space="0"/>
            </w:tcBorders>
            <w:vAlign w:val="center"/>
          </w:tcPr>
          <w:p w14:paraId="242789B0">
            <w:pPr>
              <w:spacing w:line="460" w:lineRule="exact"/>
              <w:jc w:val="center"/>
              <w:rPr>
                <w:rFonts w:ascii="宋体" w:hAnsi="宋体" w:cs="宋体"/>
                <w:color w:val="auto"/>
                <w:sz w:val="24"/>
              </w:rPr>
            </w:pPr>
            <w:r>
              <w:rPr>
                <w:rFonts w:hint="eastAsia" w:ascii="宋体" w:hAnsi="宋体" w:cs="宋体"/>
                <w:color w:val="auto"/>
                <w:sz w:val="24"/>
              </w:rPr>
              <w:t>评审标准</w:t>
            </w:r>
          </w:p>
        </w:tc>
      </w:tr>
      <w:tr w14:paraId="7AEC5D9F">
        <w:tblPrEx>
          <w:tblCellMar>
            <w:top w:w="0" w:type="dxa"/>
            <w:left w:w="30" w:type="dxa"/>
            <w:bottom w:w="0" w:type="dxa"/>
            <w:right w:w="30" w:type="dxa"/>
          </w:tblCellMar>
        </w:tblPrEx>
        <w:trPr>
          <w:trHeight w:val="334" w:hRule="atLeast"/>
        </w:trPr>
        <w:tc>
          <w:tcPr>
            <w:tcW w:w="559" w:type="dxa"/>
            <w:tcBorders>
              <w:top w:val="single" w:color="auto" w:sz="6" w:space="0"/>
              <w:left w:val="single" w:color="auto" w:sz="6" w:space="0"/>
              <w:bottom w:val="single" w:color="auto" w:sz="6" w:space="0"/>
              <w:right w:val="single" w:color="auto" w:sz="6" w:space="0"/>
            </w:tcBorders>
            <w:vAlign w:val="center"/>
          </w:tcPr>
          <w:p w14:paraId="3A7F675F">
            <w:pPr>
              <w:spacing w:line="460" w:lineRule="exact"/>
              <w:jc w:val="center"/>
              <w:rPr>
                <w:rFonts w:ascii="宋体" w:hAnsi="宋体" w:cs="宋体"/>
                <w:color w:val="auto"/>
                <w:sz w:val="24"/>
              </w:rPr>
            </w:pPr>
            <w:r>
              <w:rPr>
                <w:rFonts w:hint="eastAsia" w:ascii="宋体" w:hAnsi="宋体" w:cs="宋体"/>
                <w:color w:val="auto"/>
                <w:sz w:val="24"/>
              </w:rPr>
              <w:t>1</w:t>
            </w:r>
          </w:p>
        </w:tc>
        <w:tc>
          <w:tcPr>
            <w:tcW w:w="1332" w:type="dxa"/>
            <w:tcBorders>
              <w:top w:val="single" w:color="auto" w:sz="6" w:space="0"/>
              <w:left w:val="single" w:color="auto" w:sz="6" w:space="0"/>
              <w:bottom w:val="single" w:color="auto" w:sz="6" w:space="0"/>
              <w:right w:val="single" w:color="auto" w:sz="6" w:space="0"/>
            </w:tcBorders>
            <w:vAlign w:val="center"/>
          </w:tcPr>
          <w:p w14:paraId="4F750453">
            <w:pPr>
              <w:spacing w:line="460" w:lineRule="exact"/>
              <w:jc w:val="center"/>
              <w:rPr>
                <w:rFonts w:ascii="宋体" w:hAnsi="宋体" w:cs="宋体"/>
                <w:color w:val="auto"/>
                <w:sz w:val="24"/>
              </w:rPr>
            </w:pPr>
            <w:r>
              <w:rPr>
                <w:rFonts w:hint="eastAsia" w:ascii="宋体" w:hAnsi="宋体" w:cs="宋体"/>
                <w:color w:val="auto"/>
                <w:sz w:val="24"/>
              </w:rPr>
              <w:t>技术参数</w:t>
            </w:r>
          </w:p>
        </w:tc>
        <w:tc>
          <w:tcPr>
            <w:tcW w:w="777" w:type="dxa"/>
            <w:tcBorders>
              <w:top w:val="single" w:color="auto" w:sz="6" w:space="0"/>
              <w:left w:val="single" w:color="auto" w:sz="6" w:space="0"/>
              <w:bottom w:val="single" w:color="auto" w:sz="6" w:space="0"/>
              <w:right w:val="single" w:color="auto" w:sz="6" w:space="0"/>
            </w:tcBorders>
            <w:vAlign w:val="center"/>
          </w:tcPr>
          <w:p w14:paraId="7AEE0440">
            <w:pPr>
              <w:spacing w:line="460" w:lineRule="exact"/>
              <w:jc w:val="center"/>
              <w:rPr>
                <w:rFonts w:ascii="宋体" w:hAnsi="宋体" w:cs="宋体"/>
                <w:color w:val="auto"/>
                <w:sz w:val="24"/>
              </w:rPr>
            </w:pPr>
            <w:r>
              <w:rPr>
                <w:rFonts w:hint="eastAsia" w:ascii="宋体" w:hAnsi="宋体" w:cs="宋体"/>
                <w:color w:val="auto"/>
                <w:sz w:val="24"/>
              </w:rPr>
              <w:t>22</w:t>
            </w:r>
          </w:p>
        </w:tc>
        <w:tc>
          <w:tcPr>
            <w:tcW w:w="5726" w:type="dxa"/>
            <w:tcBorders>
              <w:top w:val="single" w:color="auto" w:sz="6" w:space="0"/>
              <w:left w:val="single" w:color="auto" w:sz="6" w:space="0"/>
              <w:bottom w:val="single" w:color="auto" w:sz="6" w:space="0"/>
              <w:right w:val="single" w:color="auto" w:sz="6" w:space="0"/>
            </w:tcBorders>
            <w:vAlign w:val="center"/>
          </w:tcPr>
          <w:p w14:paraId="78AC7E7E">
            <w:pPr>
              <w:spacing w:line="460" w:lineRule="exact"/>
              <w:ind w:firstLine="480" w:firstLineChars="200"/>
              <w:jc w:val="left"/>
              <w:rPr>
                <w:rFonts w:ascii="宋体" w:hAnsi="宋体" w:cs="宋体"/>
                <w:color w:val="auto"/>
                <w:sz w:val="24"/>
              </w:rPr>
            </w:pPr>
            <w:r>
              <w:rPr>
                <w:rFonts w:hint="eastAsia" w:ascii="宋体" w:hAnsi="宋体" w:cs="宋体"/>
                <w:color w:val="auto"/>
                <w:sz w:val="24"/>
              </w:rPr>
              <w:t>以设备采购清单及参数要求中描述的参数指标为依据，根据偏离表及证明材料情况打分，完全响应或者高出标书的技术要求，得满分；加★项为关键业务指标，不得负偏离，否则为无效投标，其它项低于采购文件要求的或未响应的，每出现一条扣3分，扣完为止。招标文件中要求提供相关证书、检测报告、截图等证明材料的必须提供（在标书目录页标注），否则视作负偏离。如发现证书、检测报告和截图造假的，依照相关法律法规规定处理。投标时提供《技术部分正负偏离表》及项目需求中相关佐证材料。</w:t>
            </w:r>
          </w:p>
        </w:tc>
      </w:tr>
      <w:tr w14:paraId="3DA70D8C">
        <w:tblPrEx>
          <w:tblCellMar>
            <w:top w:w="0" w:type="dxa"/>
            <w:left w:w="30" w:type="dxa"/>
            <w:bottom w:w="0" w:type="dxa"/>
            <w:right w:w="30" w:type="dxa"/>
          </w:tblCellMar>
        </w:tblPrEx>
        <w:trPr>
          <w:trHeight w:val="411" w:hRule="atLeast"/>
        </w:trPr>
        <w:tc>
          <w:tcPr>
            <w:tcW w:w="559" w:type="dxa"/>
            <w:tcBorders>
              <w:top w:val="single" w:color="auto" w:sz="6" w:space="0"/>
              <w:left w:val="single" w:color="auto" w:sz="6" w:space="0"/>
              <w:bottom w:val="single" w:color="auto" w:sz="6" w:space="0"/>
              <w:right w:val="single" w:color="auto" w:sz="6" w:space="0"/>
            </w:tcBorders>
            <w:vAlign w:val="center"/>
          </w:tcPr>
          <w:p w14:paraId="6922602D">
            <w:pPr>
              <w:spacing w:line="460" w:lineRule="exact"/>
              <w:jc w:val="center"/>
              <w:rPr>
                <w:rFonts w:ascii="宋体" w:hAnsi="宋体" w:cs="宋体"/>
                <w:color w:val="auto"/>
                <w:sz w:val="24"/>
              </w:rPr>
            </w:pPr>
            <w:r>
              <w:rPr>
                <w:rFonts w:hint="eastAsia" w:ascii="宋体" w:hAnsi="宋体" w:cs="宋体"/>
                <w:color w:val="auto"/>
                <w:sz w:val="24"/>
              </w:rPr>
              <w:t>2</w:t>
            </w:r>
          </w:p>
        </w:tc>
        <w:tc>
          <w:tcPr>
            <w:tcW w:w="1332" w:type="dxa"/>
            <w:tcBorders>
              <w:top w:val="single" w:color="auto" w:sz="6" w:space="0"/>
              <w:left w:val="single" w:color="auto" w:sz="6" w:space="0"/>
              <w:bottom w:val="single" w:color="auto" w:sz="6" w:space="0"/>
              <w:right w:val="single" w:color="auto" w:sz="6" w:space="0"/>
            </w:tcBorders>
            <w:vAlign w:val="center"/>
          </w:tcPr>
          <w:p w14:paraId="7863E1EB">
            <w:pPr>
              <w:spacing w:line="460" w:lineRule="exact"/>
              <w:jc w:val="center"/>
              <w:rPr>
                <w:rFonts w:ascii="宋体" w:hAnsi="宋体" w:cs="宋体"/>
                <w:color w:val="auto"/>
                <w:sz w:val="24"/>
              </w:rPr>
            </w:pPr>
            <w:r>
              <w:rPr>
                <w:rFonts w:hint="eastAsia" w:ascii="宋体" w:hAnsi="宋体" w:cs="宋体"/>
                <w:color w:val="auto"/>
                <w:sz w:val="24"/>
              </w:rPr>
              <w:t>响应产品质量与认证</w:t>
            </w:r>
          </w:p>
        </w:tc>
        <w:tc>
          <w:tcPr>
            <w:tcW w:w="777" w:type="dxa"/>
            <w:tcBorders>
              <w:top w:val="single" w:color="auto" w:sz="6" w:space="0"/>
              <w:left w:val="single" w:color="auto" w:sz="6" w:space="0"/>
              <w:bottom w:val="single" w:color="auto" w:sz="6" w:space="0"/>
              <w:right w:val="single" w:color="auto" w:sz="6" w:space="0"/>
            </w:tcBorders>
            <w:vAlign w:val="center"/>
          </w:tcPr>
          <w:p w14:paraId="3DD964FA">
            <w:pPr>
              <w:spacing w:line="460" w:lineRule="exact"/>
              <w:jc w:val="center"/>
              <w:rPr>
                <w:rFonts w:ascii="宋体" w:hAnsi="宋体" w:cs="宋体"/>
                <w:color w:val="auto"/>
                <w:sz w:val="24"/>
              </w:rPr>
            </w:pPr>
            <w:r>
              <w:rPr>
                <w:rFonts w:hint="eastAsia" w:ascii="宋体" w:hAnsi="宋体" w:cs="宋体"/>
                <w:color w:val="auto"/>
                <w:sz w:val="24"/>
              </w:rPr>
              <w:t>12</w:t>
            </w:r>
          </w:p>
        </w:tc>
        <w:tc>
          <w:tcPr>
            <w:tcW w:w="5726" w:type="dxa"/>
            <w:tcBorders>
              <w:top w:val="single" w:color="auto" w:sz="6" w:space="0"/>
              <w:left w:val="single" w:color="auto" w:sz="6" w:space="0"/>
              <w:bottom w:val="single" w:color="auto" w:sz="6" w:space="0"/>
              <w:right w:val="single" w:color="auto" w:sz="6" w:space="0"/>
            </w:tcBorders>
            <w:vAlign w:val="center"/>
          </w:tcPr>
          <w:p w14:paraId="1CA2EF76">
            <w:pPr>
              <w:spacing w:line="460" w:lineRule="exact"/>
              <w:ind w:firstLine="480" w:firstLineChars="200"/>
              <w:jc w:val="left"/>
              <w:rPr>
                <w:rFonts w:ascii="宋体" w:hAnsi="宋体" w:cs="宋体"/>
                <w:color w:val="auto"/>
                <w:sz w:val="24"/>
              </w:rPr>
            </w:pPr>
            <w:r>
              <w:rPr>
                <w:rFonts w:hint="eastAsia" w:ascii="宋体" w:hAnsi="宋体" w:cs="宋体"/>
                <w:color w:val="auto"/>
                <w:sz w:val="24"/>
              </w:rPr>
              <w:t>1、所投业务交换机须内置智能管理平台，组网拓扑可视及管理、设备列表可视，以图形化操作的方式，实现对网络的统一运维及管理，可支持组管理、设备或组升级备份、监控及设备故障替换等，以上功能均需提供CNAS或CMA认证的权威第三方检测机构测试报告复印件并加盖投标人公章证明，满足者得3分，否则不得分；</w:t>
            </w:r>
          </w:p>
          <w:p w14:paraId="67AF8C7C">
            <w:pPr>
              <w:spacing w:line="460" w:lineRule="exact"/>
              <w:ind w:firstLine="480" w:firstLineChars="200"/>
              <w:jc w:val="left"/>
              <w:rPr>
                <w:rFonts w:ascii="宋体" w:hAnsi="宋体" w:cs="宋体"/>
                <w:color w:val="auto"/>
                <w:sz w:val="24"/>
              </w:rPr>
            </w:pPr>
            <w:r>
              <w:rPr>
                <w:rFonts w:hint="eastAsia" w:ascii="宋体" w:hAnsi="宋体" w:cs="宋体"/>
                <w:color w:val="auto"/>
                <w:sz w:val="24"/>
              </w:rPr>
              <w:t>2、所投业务交换机须支持哑终端管控独立插卡，从而实现准确的终端识别、控制哑终端准入，从而确保网络哑终端合规性，提供CNAS或CMA认证权威第三方检测机构测试报告复印件并加盖投标人公章证明，满足者得3分，否则不得分；</w:t>
            </w:r>
          </w:p>
          <w:p w14:paraId="7B6C5F46">
            <w:pPr>
              <w:spacing w:line="460" w:lineRule="exact"/>
              <w:ind w:firstLine="480" w:firstLineChars="200"/>
              <w:jc w:val="left"/>
              <w:rPr>
                <w:rFonts w:ascii="宋体" w:hAnsi="宋体" w:cs="宋体"/>
                <w:color w:val="auto"/>
                <w:sz w:val="24"/>
              </w:rPr>
            </w:pPr>
            <w:r>
              <w:rPr>
                <w:rFonts w:hint="eastAsia" w:ascii="宋体" w:hAnsi="宋体" w:cs="宋体"/>
                <w:color w:val="auto"/>
                <w:sz w:val="24"/>
              </w:rPr>
              <w:t>3、所投超融合服务器需支持固件包热补丁升级，在BMC不重启的情况下，可安装和卸载特性安装包，从而实现增加BMC新特性，以上功能均需提供CNAS或CMA认证权威第三方检测机构测试报告复印件并加盖投标人公章证明，满足者得3分，否则不得分；</w:t>
            </w:r>
          </w:p>
          <w:p w14:paraId="45190226">
            <w:pPr>
              <w:spacing w:line="460" w:lineRule="exact"/>
              <w:ind w:firstLine="480" w:firstLineChars="200"/>
              <w:jc w:val="left"/>
              <w:rPr>
                <w:rFonts w:ascii="宋体" w:hAnsi="宋体" w:cs="宋体"/>
                <w:color w:val="auto"/>
                <w:sz w:val="24"/>
              </w:rPr>
            </w:pPr>
            <w:r>
              <w:rPr>
                <w:rFonts w:hint="eastAsia" w:ascii="宋体" w:hAnsi="宋体" w:cs="宋体"/>
                <w:color w:val="auto"/>
                <w:sz w:val="24"/>
              </w:rPr>
              <w:t>4、所投超融合服务器支持用户在不额外部署任何管理软件的情况下，可实现多台服务器的统一管理，同时可对服务器进行全面的固件升级，可一次升级多个部件的固件（必须包括存储卡、网卡、硬盘、BMC、BOIS），无需多次升级，以上功能均需提供CNAS或CMA认证权威第三方检测机构测试报告复印件并加盖投标人公章证明，满足者得3分，否则不得分；</w:t>
            </w:r>
          </w:p>
        </w:tc>
      </w:tr>
      <w:tr w14:paraId="050F3EA7">
        <w:tblPrEx>
          <w:tblCellMar>
            <w:top w:w="0" w:type="dxa"/>
            <w:left w:w="30" w:type="dxa"/>
            <w:bottom w:w="0" w:type="dxa"/>
            <w:right w:w="30" w:type="dxa"/>
          </w:tblCellMar>
        </w:tblPrEx>
        <w:trPr>
          <w:trHeight w:val="411" w:hRule="atLeast"/>
        </w:trPr>
        <w:tc>
          <w:tcPr>
            <w:tcW w:w="559" w:type="dxa"/>
            <w:tcBorders>
              <w:top w:val="single" w:color="auto" w:sz="6" w:space="0"/>
              <w:left w:val="single" w:color="auto" w:sz="6" w:space="0"/>
              <w:bottom w:val="single" w:color="auto" w:sz="6" w:space="0"/>
              <w:right w:val="single" w:color="auto" w:sz="6" w:space="0"/>
            </w:tcBorders>
            <w:vAlign w:val="center"/>
          </w:tcPr>
          <w:p w14:paraId="7D1CBF43">
            <w:pPr>
              <w:spacing w:line="460" w:lineRule="exact"/>
              <w:jc w:val="center"/>
              <w:rPr>
                <w:rFonts w:ascii="宋体" w:hAnsi="宋体" w:cs="宋体"/>
                <w:color w:val="auto"/>
                <w:sz w:val="24"/>
              </w:rPr>
            </w:pPr>
            <w:r>
              <w:rPr>
                <w:rFonts w:hint="eastAsia" w:ascii="宋体" w:hAnsi="宋体" w:cs="宋体"/>
                <w:color w:val="auto"/>
                <w:sz w:val="24"/>
              </w:rPr>
              <w:t>3</w:t>
            </w:r>
          </w:p>
        </w:tc>
        <w:tc>
          <w:tcPr>
            <w:tcW w:w="1332" w:type="dxa"/>
            <w:tcBorders>
              <w:top w:val="single" w:color="auto" w:sz="6" w:space="0"/>
              <w:left w:val="single" w:color="auto" w:sz="6" w:space="0"/>
              <w:bottom w:val="single" w:color="auto" w:sz="6" w:space="0"/>
              <w:right w:val="single" w:color="auto" w:sz="6" w:space="0"/>
            </w:tcBorders>
            <w:vAlign w:val="center"/>
          </w:tcPr>
          <w:p w14:paraId="711698FF">
            <w:pPr>
              <w:spacing w:line="460" w:lineRule="exact"/>
              <w:jc w:val="center"/>
              <w:rPr>
                <w:rFonts w:ascii="宋体" w:hAnsi="宋体" w:cs="宋体"/>
                <w:color w:val="auto"/>
                <w:sz w:val="24"/>
              </w:rPr>
            </w:pPr>
            <w:r>
              <w:rPr>
                <w:rFonts w:hint="eastAsia" w:ascii="宋体" w:hAnsi="宋体" w:cs="宋体"/>
                <w:color w:val="auto"/>
                <w:sz w:val="24"/>
                <w:lang w:val="zh-CN"/>
              </w:rPr>
              <w:t>所投产品制造商实力</w:t>
            </w:r>
          </w:p>
        </w:tc>
        <w:tc>
          <w:tcPr>
            <w:tcW w:w="777" w:type="dxa"/>
            <w:tcBorders>
              <w:top w:val="single" w:color="auto" w:sz="6" w:space="0"/>
              <w:left w:val="single" w:color="auto" w:sz="6" w:space="0"/>
              <w:bottom w:val="single" w:color="auto" w:sz="6" w:space="0"/>
              <w:right w:val="single" w:color="auto" w:sz="6" w:space="0"/>
            </w:tcBorders>
            <w:vAlign w:val="center"/>
          </w:tcPr>
          <w:p w14:paraId="2F360009">
            <w:pPr>
              <w:spacing w:line="460" w:lineRule="exact"/>
              <w:jc w:val="center"/>
              <w:rPr>
                <w:rFonts w:ascii="宋体" w:hAnsi="宋体" w:cs="宋体"/>
                <w:color w:val="auto"/>
                <w:sz w:val="24"/>
              </w:rPr>
            </w:pPr>
            <w:r>
              <w:rPr>
                <w:rFonts w:hint="eastAsia" w:ascii="宋体" w:hAnsi="宋体" w:cs="宋体"/>
                <w:color w:val="auto"/>
                <w:sz w:val="24"/>
              </w:rPr>
              <w:t>9</w:t>
            </w:r>
          </w:p>
        </w:tc>
        <w:tc>
          <w:tcPr>
            <w:tcW w:w="5726" w:type="dxa"/>
            <w:tcBorders>
              <w:top w:val="single" w:color="auto" w:sz="6" w:space="0"/>
              <w:left w:val="single" w:color="auto" w:sz="6" w:space="0"/>
              <w:bottom w:val="single" w:color="auto" w:sz="6" w:space="0"/>
              <w:right w:val="single" w:color="auto" w:sz="6" w:space="0"/>
            </w:tcBorders>
            <w:vAlign w:val="center"/>
          </w:tcPr>
          <w:p w14:paraId="42B5BAE5">
            <w:pPr>
              <w:spacing w:line="460" w:lineRule="exact"/>
              <w:ind w:firstLine="480" w:firstLineChars="200"/>
              <w:jc w:val="left"/>
              <w:rPr>
                <w:rFonts w:ascii="宋体" w:hAnsi="宋体" w:cs="宋体"/>
                <w:color w:val="auto"/>
                <w:sz w:val="24"/>
              </w:rPr>
            </w:pPr>
            <w:r>
              <w:rPr>
                <w:rFonts w:hint="eastAsia" w:ascii="宋体" w:hAnsi="宋体" w:cs="宋体"/>
                <w:color w:val="auto"/>
                <w:sz w:val="24"/>
              </w:rPr>
              <w:t>1、所投交换机产品设备设备制造商须进入国家信息安全漏洞共享平台(CNVD)，技术组得3分，用户组得1分，其它不得分，提供证书复印件或官网截图并加盖投标人公章证明,不提供不得分。</w:t>
            </w:r>
          </w:p>
          <w:p w14:paraId="167E091C">
            <w:pPr>
              <w:spacing w:line="460" w:lineRule="exact"/>
              <w:ind w:firstLine="480" w:firstLineChars="200"/>
              <w:jc w:val="left"/>
              <w:rPr>
                <w:rFonts w:ascii="宋体" w:hAnsi="宋体" w:cs="宋体"/>
                <w:color w:val="auto"/>
                <w:sz w:val="24"/>
              </w:rPr>
            </w:pPr>
            <w:r>
              <w:rPr>
                <w:rFonts w:hint="eastAsia" w:ascii="宋体" w:hAnsi="宋体" w:cs="宋体"/>
                <w:color w:val="auto"/>
                <w:sz w:val="24"/>
              </w:rPr>
              <w:t>2、所投超融合服务器产品设备设备制造商须获得中国信息安全评测中心认证的风险评估认证，提供证书复印件或官网截图（官网链接：http://www.itsec.gov.cn）并加盖投标人公章得3分，不提供不得分。</w:t>
            </w:r>
          </w:p>
          <w:p w14:paraId="39A8CA77">
            <w:pPr>
              <w:spacing w:line="460" w:lineRule="exact"/>
              <w:ind w:firstLine="480" w:firstLineChars="200"/>
              <w:jc w:val="left"/>
              <w:rPr>
                <w:rFonts w:ascii="宋体" w:hAnsi="宋体" w:cs="宋体"/>
                <w:color w:val="auto"/>
                <w:sz w:val="24"/>
              </w:rPr>
            </w:pPr>
            <w:r>
              <w:rPr>
                <w:rFonts w:hint="eastAsia" w:ascii="宋体" w:hAnsi="宋体" w:cs="宋体"/>
                <w:color w:val="auto"/>
                <w:sz w:val="24"/>
              </w:rPr>
              <w:t>3、对所投关键设备超融合软件厂商在业内占有率、影响力等进行综合评估，超融合HCI产品在2021~2023年中国区IDC市场排名报告，每得一次第一得1分，每得一次第二得0.5分，每得一次第三名至第八名得0.1分，本项最高得3分，要求提供相关报告并加盖投标人公章证明，不提供不得分。</w:t>
            </w:r>
          </w:p>
        </w:tc>
      </w:tr>
      <w:tr w14:paraId="5DC14608">
        <w:tblPrEx>
          <w:tblCellMar>
            <w:top w:w="0" w:type="dxa"/>
            <w:left w:w="30" w:type="dxa"/>
            <w:bottom w:w="0" w:type="dxa"/>
            <w:right w:w="30" w:type="dxa"/>
          </w:tblCellMar>
        </w:tblPrEx>
        <w:trPr>
          <w:trHeight w:val="1248" w:hRule="atLeast"/>
        </w:trPr>
        <w:tc>
          <w:tcPr>
            <w:tcW w:w="559" w:type="dxa"/>
            <w:tcBorders>
              <w:top w:val="single" w:color="auto" w:sz="6" w:space="0"/>
              <w:left w:val="single" w:color="auto" w:sz="6" w:space="0"/>
              <w:bottom w:val="single" w:color="auto" w:sz="6" w:space="0"/>
              <w:right w:val="single" w:color="auto" w:sz="6" w:space="0"/>
            </w:tcBorders>
            <w:vAlign w:val="center"/>
          </w:tcPr>
          <w:p w14:paraId="59AE7393">
            <w:pPr>
              <w:spacing w:line="460" w:lineRule="exact"/>
              <w:jc w:val="center"/>
              <w:rPr>
                <w:rFonts w:ascii="宋体" w:hAnsi="宋体" w:cs="宋体"/>
                <w:color w:val="auto"/>
                <w:sz w:val="24"/>
              </w:rPr>
            </w:pPr>
            <w:r>
              <w:rPr>
                <w:rFonts w:hint="eastAsia" w:ascii="宋体" w:hAnsi="宋体" w:cs="宋体"/>
                <w:color w:val="auto"/>
                <w:sz w:val="24"/>
              </w:rPr>
              <w:t>4</w:t>
            </w:r>
          </w:p>
        </w:tc>
        <w:tc>
          <w:tcPr>
            <w:tcW w:w="1332" w:type="dxa"/>
            <w:tcBorders>
              <w:top w:val="single" w:color="auto" w:sz="6" w:space="0"/>
              <w:left w:val="single" w:color="auto" w:sz="6" w:space="0"/>
              <w:bottom w:val="single" w:color="auto" w:sz="6" w:space="0"/>
              <w:right w:val="single" w:color="auto" w:sz="6" w:space="0"/>
            </w:tcBorders>
            <w:vAlign w:val="center"/>
          </w:tcPr>
          <w:p w14:paraId="09357131">
            <w:pPr>
              <w:spacing w:line="460" w:lineRule="exact"/>
              <w:jc w:val="center"/>
              <w:rPr>
                <w:rFonts w:ascii="宋体" w:hAnsi="宋体" w:cs="宋体"/>
                <w:color w:val="auto"/>
                <w:sz w:val="24"/>
              </w:rPr>
            </w:pPr>
            <w:r>
              <w:rPr>
                <w:rFonts w:hint="eastAsia" w:ascii="宋体" w:hAnsi="宋体" w:cs="宋体"/>
                <w:color w:val="auto"/>
                <w:sz w:val="24"/>
              </w:rPr>
              <w:t>稳定性</w:t>
            </w:r>
          </w:p>
        </w:tc>
        <w:tc>
          <w:tcPr>
            <w:tcW w:w="777" w:type="dxa"/>
            <w:tcBorders>
              <w:top w:val="single" w:color="auto" w:sz="6" w:space="0"/>
              <w:left w:val="single" w:color="auto" w:sz="6" w:space="0"/>
              <w:bottom w:val="single" w:color="auto" w:sz="6" w:space="0"/>
              <w:right w:val="single" w:color="auto" w:sz="6" w:space="0"/>
            </w:tcBorders>
            <w:vAlign w:val="center"/>
          </w:tcPr>
          <w:p w14:paraId="6AAE7116">
            <w:pPr>
              <w:spacing w:line="460" w:lineRule="exact"/>
              <w:jc w:val="center"/>
              <w:rPr>
                <w:rFonts w:ascii="宋体" w:hAnsi="宋体" w:cs="宋体"/>
                <w:color w:val="auto"/>
                <w:sz w:val="24"/>
              </w:rPr>
            </w:pPr>
            <w:r>
              <w:rPr>
                <w:rFonts w:hint="eastAsia" w:ascii="宋体" w:hAnsi="宋体" w:cs="宋体"/>
                <w:color w:val="auto"/>
                <w:sz w:val="24"/>
              </w:rPr>
              <w:t>4</w:t>
            </w:r>
          </w:p>
        </w:tc>
        <w:tc>
          <w:tcPr>
            <w:tcW w:w="5726" w:type="dxa"/>
            <w:tcBorders>
              <w:top w:val="single" w:color="auto" w:sz="6" w:space="0"/>
              <w:left w:val="single" w:color="auto" w:sz="6" w:space="0"/>
              <w:bottom w:val="single" w:color="auto" w:sz="6" w:space="0"/>
              <w:right w:val="single" w:color="auto" w:sz="6" w:space="0"/>
            </w:tcBorders>
            <w:vAlign w:val="center"/>
          </w:tcPr>
          <w:p w14:paraId="735CC168">
            <w:pPr>
              <w:spacing w:line="460" w:lineRule="exact"/>
              <w:ind w:firstLine="480" w:firstLineChars="200"/>
              <w:jc w:val="left"/>
              <w:rPr>
                <w:rFonts w:ascii="宋体" w:hAnsi="宋体" w:cs="宋体"/>
                <w:color w:val="auto"/>
                <w:sz w:val="24"/>
              </w:rPr>
            </w:pPr>
            <w:r>
              <w:rPr>
                <w:rFonts w:hint="eastAsia" w:ascii="宋体" w:hAnsi="宋体" w:cs="宋体"/>
                <w:color w:val="auto"/>
                <w:sz w:val="24"/>
              </w:rPr>
              <w:t>为保证方案的兼容性以及后续服务的连续性，避免出现厂商之间的推诿情况，所投超融合服务器、超融合软件、业务交换机、存储交换机、管理交换机为同品牌的，得4分，要求提供供货同品牌承诺函并加盖投标人公章证明，否则不得分。</w:t>
            </w:r>
          </w:p>
        </w:tc>
      </w:tr>
      <w:tr w14:paraId="1DF610D7">
        <w:tblPrEx>
          <w:tblCellMar>
            <w:top w:w="0" w:type="dxa"/>
            <w:left w:w="30" w:type="dxa"/>
            <w:bottom w:w="0" w:type="dxa"/>
            <w:right w:w="30" w:type="dxa"/>
          </w:tblCellMar>
        </w:tblPrEx>
        <w:trPr>
          <w:trHeight w:val="1536" w:hRule="atLeast"/>
        </w:trPr>
        <w:tc>
          <w:tcPr>
            <w:tcW w:w="559" w:type="dxa"/>
            <w:vMerge w:val="restart"/>
            <w:tcBorders>
              <w:top w:val="single" w:color="auto" w:sz="6" w:space="0"/>
              <w:left w:val="single" w:color="auto" w:sz="6" w:space="0"/>
              <w:right w:val="single" w:color="auto" w:sz="6" w:space="0"/>
            </w:tcBorders>
            <w:vAlign w:val="center"/>
          </w:tcPr>
          <w:p w14:paraId="5A0F5F8B">
            <w:pPr>
              <w:spacing w:line="460" w:lineRule="exact"/>
              <w:jc w:val="center"/>
              <w:rPr>
                <w:rFonts w:ascii="宋体" w:hAnsi="宋体" w:cs="宋体"/>
                <w:color w:val="auto"/>
                <w:sz w:val="24"/>
              </w:rPr>
            </w:pPr>
            <w:r>
              <w:rPr>
                <w:rFonts w:hint="eastAsia" w:ascii="宋体" w:hAnsi="宋体" w:cs="宋体"/>
                <w:color w:val="auto"/>
                <w:sz w:val="24"/>
              </w:rPr>
              <w:t>5</w:t>
            </w:r>
          </w:p>
        </w:tc>
        <w:tc>
          <w:tcPr>
            <w:tcW w:w="1332" w:type="dxa"/>
            <w:vMerge w:val="restart"/>
            <w:tcBorders>
              <w:top w:val="single" w:color="auto" w:sz="6" w:space="0"/>
              <w:left w:val="single" w:color="auto" w:sz="6" w:space="0"/>
              <w:right w:val="single" w:color="auto" w:sz="6" w:space="0"/>
            </w:tcBorders>
            <w:vAlign w:val="center"/>
          </w:tcPr>
          <w:p w14:paraId="20BDC938">
            <w:pPr>
              <w:spacing w:line="460" w:lineRule="exact"/>
              <w:jc w:val="center"/>
              <w:rPr>
                <w:rFonts w:ascii="宋体" w:hAnsi="宋体" w:cs="宋体"/>
                <w:color w:val="auto"/>
                <w:sz w:val="24"/>
              </w:rPr>
            </w:pPr>
            <w:r>
              <w:rPr>
                <w:rFonts w:hint="eastAsia" w:ascii="宋体" w:hAnsi="宋体" w:cs="宋体"/>
                <w:color w:val="auto"/>
                <w:sz w:val="24"/>
              </w:rPr>
              <w:t>实施方案</w:t>
            </w:r>
          </w:p>
        </w:tc>
        <w:tc>
          <w:tcPr>
            <w:tcW w:w="777" w:type="dxa"/>
            <w:tcBorders>
              <w:top w:val="single" w:color="auto" w:sz="6" w:space="0"/>
              <w:left w:val="single" w:color="auto" w:sz="6" w:space="0"/>
              <w:bottom w:val="single" w:color="auto" w:sz="6" w:space="0"/>
              <w:right w:val="single" w:color="auto" w:sz="6" w:space="0"/>
            </w:tcBorders>
            <w:vAlign w:val="center"/>
          </w:tcPr>
          <w:p w14:paraId="787BE75A">
            <w:pPr>
              <w:spacing w:line="460" w:lineRule="exact"/>
              <w:jc w:val="center"/>
              <w:rPr>
                <w:rFonts w:ascii="宋体" w:hAnsi="宋体" w:cs="宋体"/>
                <w:color w:val="auto"/>
                <w:sz w:val="24"/>
              </w:rPr>
            </w:pPr>
            <w:r>
              <w:rPr>
                <w:rFonts w:hint="eastAsia" w:ascii="宋体" w:hAnsi="宋体" w:cs="宋体"/>
                <w:color w:val="auto"/>
                <w:sz w:val="24"/>
              </w:rPr>
              <w:t>3</w:t>
            </w:r>
          </w:p>
        </w:tc>
        <w:tc>
          <w:tcPr>
            <w:tcW w:w="5726" w:type="dxa"/>
            <w:tcBorders>
              <w:top w:val="single" w:color="auto" w:sz="6" w:space="0"/>
              <w:left w:val="single" w:color="auto" w:sz="6" w:space="0"/>
              <w:bottom w:val="single" w:color="auto" w:sz="6" w:space="0"/>
              <w:right w:val="single" w:color="auto" w:sz="6" w:space="0"/>
            </w:tcBorders>
            <w:vAlign w:val="center"/>
          </w:tcPr>
          <w:p w14:paraId="482FBC71">
            <w:pPr>
              <w:spacing w:line="460" w:lineRule="exact"/>
              <w:ind w:firstLine="480" w:firstLineChars="200"/>
              <w:jc w:val="left"/>
              <w:rPr>
                <w:rFonts w:ascii="宋体" w:hAnsi="宋体" w:cs="宋体"/>
                <w:color w:val="auto"/>
                <w:sz w:val="24"/>
              </w:rPr>
            </w:pPr>
            <w:r>
              <w:rPr>
                <w:rFonts w:hint="eastAsia" w:ascii="宋体" w:hAnsi="宋体" w:cs="宋体"/>
                <w:color w:val="auto"/>
                <w:sz w:val="24"/>
              </w:rPr>
              <w:t>由评委根据投标单位提供的技术方案、设备拓扑图、委派的技术人员的资质和技术水平、完整的项目人员组织管理、合理的实施进度计划和工期保证措施、实施方案及质量保证措施，有安全文明施工及环境保护措施等进行打分：</w:t>
            </w:r>
          </w:p>
          <w:p w14:paraId="0F3B07AA">
            <w:pPr>
              <w:spacing w:line="460" w:lineRule="exact"/>
              <w:ind w:firstLine="480" w:firstLineChars="200"/>
              <w:jc w:val="left"/>
              <w:rPr>
                <w:rFonts w:ascii="宋体" w:hAnsi="宋体" w:cs="宋体"/>
                <w:color w:val="auto"/>
                <w:sz w:val="24"/>
              </w:rPr>
            </w:pPr>
            <w:r>
              <w:rPr>
                <w:rFonts w:hint="eastAsia" w:ascii="宋体" w:hAnsi="宋体" w:cs="宋体"/>
                <w:color w:val="auto"/>
                <w:sz w:val="24"/>
              </w:rPr>
              <w:t>1.各维度完全满足需求，技术方案优、人员资质高、计划措施完善且有创新或额外保障得3分；</w:t>
            </w:r>
          </w:p>
          <w:p w14:paraId="4B2AC107">
            <w:pPr>
              <w:spacing w:line="460" w:lineRule="exact"/>
              <w:ind w:firstLine="480" w:firstLineChars="200"/>
              <w:jc w:val="left"/>
              <w:rPr>
                <w:rFonts w:ascii="宋体" w:hAnsi="宋体" w:cs="宋体"/>
                <w:color w:val="auto"/>
                <w:sz w:val="24"/>
              </w:rPr>
            </w:pPr>
            <w:r>
              <w:rPr>
                <w:rFonts w:hint="eastAsia" w:ascii="宋体" w:hAnsi="宋体" w:cs="宋体"/>
                <w:color w:val="auto"/>
                <w:sz w:val="24"/>
              </w:rPr>
              <w:t>2.基本满足需求，各维度无重大缺漏但创新性或细节不足得2分；</w:t>
            </w:r>
          </w:p>
          <w:p w14:paraId="4150A54A">
            <w:pPr>
              <w:spacing w:line="460" w:lineRule="exact"/>
              <w:ind w:firstLine="480" w:firstLineChars="200"/>
              <w:jc w:val="left"/>
              <w:rPr>
                <w:rFonts w:ascii="宋体" w:hAnsi="宋体" w:cs="宋体"/>
                <w:color w:val="auto"/>
                <w:sz w:val="24"/>
              </w:rPr>
            </w:pPr>
            <w:r>
              <w:rPr>
                <w:rFonts w:hint="eastAsia" w:ascii="宋体" w:hAnsi="宋体" w:cs="宋体"/>
                <w:color w:val="auto"/>
                <w:sz w:val="24"/>
              </w:rPr>
              <w:t>3.关键维度存在明显缺陷，如方案遗漏、资质不达标、措施不可行得1分；</w:t>
            </w:r>
          </w:p>
          <w:p w14:paraId="6CE69033">
            <w:pPr>
              <w:spacing w:line="460" w:lineRule="exact"/>
              <w:ind w:firstLine="480" w:firstLineChars="200"/>
              <w:jc w:val="left"/>
              <w:rPr>
                <w:rFonts w:ascii="宋体" w:hAnsi="宋体" w:cs="宋体"/>
                <w:color w:val="auto"/>
                <w:sz w:val="24"/>
              </w:rPr>
            </w:pPr>
            <w:r>
              <w:rPr>
                <w:rFonts w:hint="eastAsia" w:ascii="宋体" w:hAnsi="宋体" w:cs="宋体"/>
                <w:color w:val="auto"/>
                <w:sz w:val="24"/>
              </w:rPr>
              <w:t>4.未提供本项不得分。</w:t>
            </w:r>
          </w:p>
        </w:tc>
      </w:tr>
      <w:tr w14:paraId="58C6C7A4">
        <w:tblPrEx>
          <w:tblCellMar>
            <w:top w:w="0" w:type="dxa"/>
            <w:left w:w="30" w:type="dxa"/>
            <w:bottom w:w="0" w:type="dxa"/>
            <w:right w:w="30" w:type="dxa"/>
          </w:tblCellMar>
        </w:tblPrEx>
        <w:trPr>
          <w:trHeight w:val="455" w:hRule="atLeast"/>
        </w:trPr>
        <w:tc>
          <w:tcPr>
            <w:tcW w:w="559" w:type="dxa"/>
            <w:vMerge w:val="continue"/>
            <w:tcBorders>
              <w:left w:val="single" w:color="auto" w:sz="6" w:space="0"/>
              <w:bottom w:val="single" w:color="auto" w:sz="6" w:space="0"/>
              <w:right w:val="single" w:color="auto" w:sz="6" w:space="0"/>
            </w:tcBorders>
            <w:vAlign w:val="center"/>
          </w:tcPr>
          <w:p w14:paraId="5307819B">
            <w:pPr>
              <w:spacing w:line="460" w:lineRule="exact"/>
              <w:jc w:val="center"/>
              <w:rPr>
                <w:rFonts w:ascii="宋体" w:hAnsi="宋体" w:cs="宋体"/>
                <w:color w:val="auto"/>
                <w:sz w:val="24"/>
              </w:rPr>
            </w:pPr>
          </w:p>
        </w:tc>
        <w:tc>
          <w:tcPr>
            <w:tcW w:w="1332" w:type="dxa"/>
            <w:vMerge w:val="continue"/>
            <w:tcBorders>
              <w:left w:val="single" w:color="auto" w:sz="6" w:space="0"/>
              <w:bottom w:val="single" w:color="auto" w:sz="6" w:space="0"/>
              <w:right w:val="single" w:color="auto" w:sz="6" w:space="0"/>
            </w:tcBorders>
            <w:vAlign w:val="center"/>
          </w:tcPr>
          <w:p w14:paraId="680DE53C">
            <w:pPr>
              <w:spacing w:line="460" w:lineRule="exact"/>
              <w:jc w:val="center"/>
              <w:rPr>
                <w:rFonts w:ascii="宋体" w:hAnsi="宋体" w:cs="宋体"/>
                <w:color w:val="auto"/>
                <w:sz w:val="24"/>
              </w:rPr>
            </w:pPr>
          </w:p>
        </w:tc>
        <w:tc>
          <w:tcPr>
            <w:tcW w:w="777" w:type="dxa"/>
            <w:tcBorders>
              <w:top w:val="single" w:color="auto" w:sz="6" w:space="0"/>
              <w:left w:val="single" w:color="auto" w:sz="6" w:space="0"/>
              <w:bottom w:val="single" w:color="auto" w:sz="6" w:space="0"/>
              <w:right w:val="single" w:color="auto" w:sz="6" w:space="0"/>
            </w:tcBorders>
            <w:vAlign w:val="center"/>
          </w:tcPr>
          <w:p w14:paraId="38B24594">
            <w:pPr>
              <w:spacing w:line="460" w:lineRule="exact"/>
              <w:jc w:val="center"/>
              <w:rPr>
                <w:rFonts w:ascii="宋体" w:hAnsi="宋体" w:cs="宋体"/>
                <w:color w:val="auto"/>
                <w:sz w:val="24"/>
              </w:rPr>
            </w:pPr>
            <w:r>
              <w:rPr>
                <w:rFonts w:hint="eastAsia" w:ascii="宋体" w:hAnsi="宋体" w:cs="宋体"/>
                <w:color w:val="auto"/>
                <w:sz w:val="24"/>
              </w:rPr>
              <w:t>2</w:t>
            </w:r>
          </w:p>
        </w:tc>
        <w:tc>
          <w:tcPr>
            <w:tcW w:w="5726" w:type="dxa"/>
            <w:tcBorders>
              <w:top w:val="single" w:color="auto" w:sz="6" w:space="0"/>
              <w:left w:val="single" w:color="auto" w:sz="6" w:space="0"/>
              <w:bottom w:val="single" w:color="auto" w:sz="6" w:space="0"/>
              <w:right w:val="single" w:color="auto" w:sz="6" w:space="0"/>
            </w:tcBorders>
            <w:vAlign w:val="center"/>
          </w:tcPr>
          <w:p w14:paraId="2D9846C0">
            <w:pPr>
              <w:spacing w:line="460" w:lineRule="exact"/>
              <w:ind w:firstLine="480" w:firstLineChars="200"/>
              <w:jc w:val="left"/>
              <w:rPr>
                <w:rFonts w:ascii="宋体" w:hAnsi="宋体" w:cs="宋体"/>
                <w:color w:val="auto"/>
                <w:sz w:val="24"/>
              </w:rPr>
            </w:pPr>
            <w:r>
              <w:rPr>
                <w:rFonts w:hint="eastAsia" w:ascii="宋体" w:hAnsi="宋体" w:cs="宋体"/>
                <w:color w:val="auto"/>
                <w:sz w:val="24"/>
              </w:rPr>
              <w:t>投标人提供原厂工程师实施承诺函并加盖投标人公章的，得2分，不提供的不得分。</w:t>
            </w:r>
          </w:p>
        </w:tc>
      </w:tr>
      <w:tr w14:paraId="1E7FDD79">
        <w:tblPrEx>
          <w:tblCellMar>
            <w:top w:w="0" w:type="dxa"/>
            <w:left w:w="30" w:type="dxa"/>
            <w:bottom w:w="0" w:type="dxa"/>
            <w:right w:w="30" w:type="dxa"/>
          </w:tblCellMar>
        </w:tblPrEx>
        <w:trPr>
          <w:trHeight w:val="411" w:hRule="atLeast"/>
        </w:trPr>
        <w:tc>
          <w:tcPr>
            <w:tcW w:w="559" w:type="dxa"/>
            <w:tcBorders>
              <w:top w:val="single" w:color="auto" w:sz="6" w:space="0"/>
              <w:left w:val="single" w:color="auto" w:sz="6" w:space="0"/>
              <w:bottom w:val="single" w:color="auto" w:sz="6" w:space="0"/>
              <w:right w:val="single" w:color="auto" w:sz="6" w:space="0"/>
            </w:tcBorders>
            <w:vAlign w:val="center"/>
          </w:tcPr>
          <w:p w14:paraId="6332403E">
            <w:pPr>
              <w:spacing w:line="460" w:lineRule="exact"/>
              <w:jc w:val="center"/>
              <w:rPr>
                <w:rFonts w:ascii="宋体" w:hAnsi="宋体" w:cs="宋体"/>
                <w:color w:val="auto"/>
                <w:sz w:val="24"/>
              </w:rPr>
            </w:pPr>
            <w:r>
              <w:rPr>
                <w:rFonts w:hint="eastAsia" w:ascii="宋体" w:hAnsi="宋体" w:cs="宋体"/>
                <w:color w:val="auto"/>
                <w:sz w:val="24"/>
              </w:rPr>
              <w:t>6</w:t>
            </w:r>
          </w:p>
        </w:tc>
        <w:tc>
          <w:tcPr>
            <w:tcW w:w="1332" w:type="dxa"/>
            <w:tcBorders>
              <w:top w:val="single" w:color="auto" w:sz="6" w:space="0"/>
              <w:left w:val="single" w:color="auto" w:sz="6" w:space="0"/>
              <w:bottom w:val="single" w:color="auto" w:sz="6" w:space="0"/>
              <w:right w:val="single" w:color="auto" w:sz="6" w:space="0"/>
            </w:tcBorders>
            <w:vAlign w:val="center"/>
          </w:tcPr>
          <w:p w14:paraId="13F5380D">
            <w:pPr>
              <w:spacing w:line="460" w:lineRule="exact"/>
              <w:jc w:val="center"/>
              <w:rPr>
                <w:rFonts w:ascii="宋体" w:hAnsi="宋体" w:cs="宋体"/>
                <w:color w:val="auto"/>
                <w:sz w:val="24"/>
              </w:rPr>
            </w:pPr>
            <w:r>
              <w:rPr>
                <w:rFonts w:hint="eastAsia" w:ascii="宋体" w:hAnsi="宋体" w:cs="宋体"/>
                <w:color w:val="auto"/>
                <w:sz w:val="24"/>
              </w:rPr>
              <w:t>售后服务</w:t>
            </w:r>
          </w:p>
        </w:tc>
        <w:tc>
          <w:tcPr>
            <w:tcW w:w="777" w:type="dxa"/>
            <w:tcBorders>
              <w:top w:val="single" w:color="auto" w:sz="6" w:space="0"/>
              <w:left w:val="single" w:color="auto" w:sz="6" w:space="0"/>
              <w:bottom w:val="single" w:color="auto" w:sz="6" w:space="0"/>
              <w:right w:val="single" w:color="auto" w:sz="6" w:space="0"/>
            </w:tcBorders>
            <w:vAlign w:val="center"/>
          </w:tcPr>
          <w:p w14:paraId="0E794DEC">
            <w:pPr>
              <w:spacing w:line="460" w:lineRule="exact"/>
              <w:jc w:val="center"/>
              <w:rPr>
                <w:rFonts w:ascii="宋体" w:hAnsi="宋体" w:cs="宋体"/>
                <w:color w:val="auto"/>
                <w:sz w:val="24"/>
              </w:rPr>
            </w:pPr>
            <w:r>
              <w:rPr>
                <w:rFonts w:hint="eastAsia" w:ascii="宋体" w:hAnsi="宋体" w:cs="宋体"/>
                <w:color w:val="auto"/>
                <w:sz w:val="24"/>
              </w:rPr>
              <w:t>3</w:t>
            </w:r>
          </w:p>
        </w:tc>
        <w:tc>
          <w:tcPr>
            <w:tcW w:w="5726" w:type="dxa"/>
            <w:tcBorders>
              <w:top w:val="single" w:color="auto" w:sz="6" w:space="0"/>
              <w:left w:val="single" w:color="auto" w:sz="6" w:space="0"/>
              <w:bottom w:val="single" w:color="auto" w:sz="6" w:space="0"/>
              <w:right w:val="single" w:color="auto" w:sz="6" w:space="0"/>
            </w:tcBorders>
            <w:vAlign w:val="center"/>
          </w:tcPr>
          <w:p w14:paraId="224089C0">
            <w:pPr>
              <w:spacing w:line="460" w:lineRule="exact"/>
              <w:ind w:firstLine="480" w:firstLineChars="200"/>
              <w:jc w:val="left"/>
              <w:rPr>
                <w:rFonts w:ascii="宋体" w:hAnsi="宋体" w:cs="宋体"/>
                <w:color w:val="auto"/>
                <w:sz w:val="24"/>
              </w:rPr>
            </w:pPr>
            <w:r>
              <w:rPr>
                <w:rFonts w:hint="eastAsia" w:ascii="宋体" w:hAnsi="宋体" w:cs="宋体"/>
                <w:color w:val="auto"/>
                <w:sz w:val="24"/>
              </w:rPr>
              <w:t>由评委根据投标单位提供的售后服务方案、响应时间、应急处理方案、具体的保障措施、专业维护队伍的完备和管理情况等进行打分：</w:t>
            </w:r>
          </w:p>
          <w:p w14:paraId="24F5D764">
            <w:pPr>
              <w:spacing w:line="460" w:lineRule="exact"/>
              <w:ind w:firstLine="480" w:firstLineChars="200"/>
              <w:jc w:val="left"/>
              <w:rPr>
                <w:rFonts w:ascii="宋体" w:hAnsi="宋体" w:cs="宋体"/>
                <w:color w:val="auto"/>
                <w:sz w:val="24"/>
              </w:rPr>
            </w:pPr>
            <w:r>
              <w:rPr>
                <w:rFonts w:hint="eastAsia" w:ascii="宋体" w:hAnsi="宋体" w:cs="宋体"/>
                <w:color w:val="auto"/>
                <w:sz w:val="24"/>
              </w:rPr>
              <w:t>1.售后方案全面（含培训、流程、架构），响应≤1 小时且应急方案多场景有效，保障措施完善（备品备件、监控、预警），维护队伍人员充足、资质高且管理规范得3分</w:t>
            </w:r>
          </w:p>
          <w:p w14:paraId="0B5682F5">
            <w:pPr>
              <w:spacing w:line="460" w:lineRule="exact"/>
              <w:ind w:firstLine="480" w:firstLineChars="200"/>
              <w:jc w:val="left"/>
              <w:rPr>
                <w:rFonts w:ascii="宋体" w:hAnsi="宋体" w:cs="宋体"/>
                <w:color w:val="auto"/>
                <w:sz w:val="24"/>
              </w:rPr>
            </w:pPr>
            <w:r>
              <w:rPr>
                <w:rFonts w:hint="eastAsia" w:ascii="宋体" w:hAnsi="宋体" w:cs="宋体"/>
                <w:color w:val="auto"/>
                <w:sz w:val="24"/>
              </w:rPr>
              <w:t>2.方案含基本流程，响应 2-4 小时，应急方案能应对常规情况，有备品备件和基础监督措施，队伍人员和资质满足基本要求得2分；</w:t>
            </w:r>
          </w:p>
          <w:p w14:paraId="458E0CBD">
            <w:pPr>
              <w:spacing w:line="460" w:lineRule="exact"/>
              <w:ind w:firstLine="480" w:firstLineChars="200"/>
              <w:jc w:val="left"/>
              <w:rPr>
                <w:rFonts w:ascii="宋体" w:hAnsi="宋体" w:cs="宋体"/>
                <w:color w:val="auto"/>
                <w:sz w:val="24"/>
              </w:rPr>
            </w:pPr>
            <w:r>
              <w:rPr>
                <w:rFonts w:hint="eastAsia" w:ascii="宋体" w:hAnsi="宋体" w:cs="宋体"/>
                <w:color w:val="auto"/>
                <w:sz w:val="24"/>
              </w:rPr>
              <w:t>3.方案缺关键内容，响应≥4 小时，应急方案不可行，保障措施缺失，队伍人员不足或资质不达标、管理混乱得1分；</w:t>
            </w:r>
          </w:p>
          <w:p w14:paraId="5C245402">
            <w:pPr>
              <w:spacing w:line="460" w:lineRule="exact"/>
              <w:ind w:firstLine="480" w:firstLineChars="200"/>
              <w:jc w:val="left"/>
              <w:rPr>
                <w:rFonts w:ascii="宋体" w:hAnsi="宋体" w:cs="宋体"/>
                <w:color w:val="auto"/>
                <w:sz w:val="24"/>
              </w:rPr>
            </w:pPr>
            <w:r>
              <w:rPr>
                <w:rFonts w:hint="eastAsia" w:ascii="宋体" w:hAnsi="宋体" w:cs="宋体"/>
                <w:color w:val="auto"/>
                <w:sz w:val="24"/>
              </w:rPr>
              <w:t>4.未提供本项不得分</w:t>
            </w:r>
          </w:p>
        </w:tc>
      </w:tr>
      <w:tr w14:paraId="1D5EFC53">
        <w:tblPrEx>
          <w:tblCellMar>
            <w:top w:w="0" w:type="dxa"/>
            <w:left w:w="30" w:type="dxa"/>
            <w:bottom w:w="0" w:type="dxa"/>
            <w:right w:w="30" w:type="dxa"/>
          </w:tblCellMar>
        </w:tblPrEx>
        <w:trPr>
          <w:trHeight w:val="553" w:hRule="atLeast"/>
        </w:trPr>
        <w:tc>
          <w:tcPr>
            <w:tcW w:w="559" w:type="dxa"/>
            <w:tcBorders>
              <w:top w:val="single" w:color="auto" w:sz="6" w:space="0"/>
              <w:left w:val="single" w:color="auto" w:sz="6" w:space="0"/>
              <w:bottom w:val="single" w:color="auto" w:sz="6" w:space="0"/>
              <w:right w:val="single" w:color="auto" w:sz="6" w:space="0"/>
            </w:tcBorders>
            <w:vAlign w:val="center"/>
          </w:tcPr>
          <w:p w14:paraId="37EF2ECA">
            <w:pPr>
              <w:spacing w:line="460" w:lineRule="exact"/>
              <w:jc w:val="center"/>
              <w:rPr>
                <w:rFonts w:ascii="宋体" w:hAnsi="宋体" w:cs="宋体"/>
                <w:color w:val="auto"/>
                <w:sz w:val="24"/>
              </w:rPr>
            </w:pPr>
            <w:r>
              <w:rPr>
                <w:rFonts w:hint="eastAsia" w:ascii="宋体" w:hAnsi="宋体" w:cs="宋体"/>
                <w:color w:val="auto"/>
                <w:sz w:val="24"/>
              </w:rPr>
              <w:t>7</w:t>
            </w:r>
          </w:p>
        </w:tc>
        <w:tc>
          <w:tcPr>
            <w:tcW w:w="1332" w:type="dxa"/>
            <w:tcBorders>
              <w:top w:val="single" w:color="auto" w:sz="6" w:space="0"/>
              <w:left w:val="single" w:color="auto" w:sz="6" w:space="0"/>
              <w:bottom w:val="single" w:color="auto" w:sz="6" w:space="0"/>
              <w:right w:val="single" w:color="auto" w:sz="6" w:space="0"/>
            </w:tcBorders>
            <w:vAlign w:val="center"/>
          </w:tcPr>
          <w:p w14:paraId="304C1A6E">
            <w:pPr>
              <w:spacing w:line="460" w:lineRule="exact"/>
              <w:jc w:val="center"/>
              <w:rPr>
                <w:rFonts w:ascii="宋体" w:hAnsi="宋体" w:cs="宋体"/>
                <w:color w:val="auto"/>
                <w:sz w:val="24"/>
              </w:rPr>
            </w:pPr>
            <w:r>
              <w:rPr>
                <w:rFonts w:hint="eastAsia" w:ascii="宋体" w:hAnsi="宋体" w:cs="宋体"/>
                <w:color w:val="auto"/>
                <w:sz w:val="24"/>
              </w:rPr>
              <w:t>培训方案</w:t>
            </w:r>
          </w:p>
        </w:tc>
        <w:tc>
          <w:tcPr>
            <w:tcW w:w="777" w:type="dxa"/>
            <w:tcBorders>
              <w:top w:val="single" w:color="auto" w:sz="6" w:space="0"/>
              <w:left w:val="single" w:color="auto" w:sz="6" w:space="0"/>
              <w:bottom w:val="single" w:color="auto" w:sz="6" w:space="0"/>
              <w:right w:val="single" w:color="auto" w:sz="6" w:space="0"/>
            </w:tcBorders>
            <w:vAlign w:val="center"/>
          </w:tcPr>
          <w:p w14:paraId="1403548B">
            <w:pPr>
              <w:spacing w:line="460" w:lineRule="exact"/>
              <w:jc w:val="center"/>
              <w:rPr>
                <w:rFonts w:ascii="宋体" w:hAnsi="宋体" w:cs="宋体"/>
                <w:color w:val="auto"/>
                <w:sz w:val="24"/>
              </w:rPr>
            </w:pPr>
            <w:r>
              <w:rPr>
                <w:rFonts w:hint="eastAsia" w:ascii="宋体" w:hAnsi="宋体" w:cs="宋体"/>
                <w:color w:val="auto"/>
                <w:sz w:val="24"/>
              </w:rPr>
              <w:t>3</w:t>
            </w:r>
          </w:p>
        </w:tc>
        <w:tc>
          <w:tcPr>
            <w:tcW w:w="5726" w:type="dxa"/>
            <w:tcBorders>
              <w:top w:val="single" w:color="auto" w:sz="6" w:space="0"/>
              <w:left w:val="single" w:color="auto" w:sz="6" w:space="0"/>
              <w:bottom w:val="single" w:color="auto" w:sz="6" w:space="0"/>
              <w:right w:val="single" w:color="auto" w:sz="6" w:space="0"/>
            </w:tcBorders>
            <w:vAlign w:val="center"/>
          </w:tcPr>
          <w:p w14:paraId="458C5263">
            <w:pPr>
              <w:spacing w:line="460" w:lineRule="exact"/>
              <w:ind w:firstLine="480" w:firstLineChars="200"/>
              <w:jc w:val="left"/>
              <w:rPr>
                <w:rFonts w:ascii="宋体" w:hAnsi="宋体" w:cs="宋体"/>
                <w:color w:val="auto"/>
                <w:sz w:val="24"/>
              </w:rPr>
            </w:pPr>
            <w:r>
              <w:rPr>
                <w:rFonts w:hint="eastAsia" w:ascii="宋体" w:hAnsi="宋体" w:cs="宋体"/>
                <w:color w:val="auto"/>
                <w:sz w:val="24"/>
              </w:rPr>
              <w:t>由评委根据投标单位提供的的人员培训方案进行打分：</w:t>
            </w:r>
          </w:p>
          <w:p w14:paraId="42E7ED55">
            <w:pPr>
              <w:spacing w:line="460" w:lineRule="exact"/>
              <w:ind w:firstLine="480" w:firstLineChars="200"/>
              <w:jc w:val="left"/>
              <w:rPr>
                <w:rFonts w:ascii="宋体" w:hAnsi="宋体" w:cs="宋体"/>
                <w:color w:val="auto"/>
                <w:sz w:val="24"/>
              </w:rPr>
            </w:pPr>
            <w:r>
              <w:rPr>
                <w:rFonts w:hint="eastAsia" w:ascii="宋体" w:hAnsi="宋体" w:cs="宋体"/>
                <w:color w:val="auto"/>
                <w:sz w:val="24"/>
              </w:rPr>
              <w:t>1.人员培训方案目标清晰，涵盖培训对象、内容、方式、时长、考核标准等全流程，培训内容贴合项目需求且具有深度和实用性，培训方式多样（理论授课、实操演练、线上学习等结合），配备资深专业讲师团队，提供完整培训教材与资料，考核体系完善，能确保学员充分掌握相关技能得3分；</w:t>
            </w:r>
          </w:p>
          <w:p w14:paraId="72183A52">
            <w:pPr>
              <w:spacing w:line="460" w:lineRule="exact"/>
              <w:ind w:firstLine="480" w:firstLineChars="200"/>
              <w:jc w:val="left"/>
              <w:rPr>
                <w:rFonts w:ascii="宋体" w:hAnsi="宋体" w:cs="宋体"/>
                <w:color w:val="auto"/>
                <w:sz w:val="24"/>
              </w:rPr>
            </w:pPr>
            <w:r>
              <w:rPr>
                <w:rFonts w:hint="eastAsia" w:ascii="宋体" w:hAnsi="宋体" w:cs="宋体"/>
                <w:color w:val="auto"/>
                <w:sz w:val="24"/>
              </w:rPr>
              <w:t>2.培训方案基本完整，包含主要培训要素，但内容深度不足或方式单一，讲师资质一般，虽有考核但不够全面，能满足基础培训需求得2分；</w:t>
            </w:r>
          </w:p>
          <w:p w14:paraId="43ACB79D">
            <w:pPr>
              <w:spacing w:line="460" w:lineRule="exact"/>
              <w:ind w:firstLine="480" w:firstLineChars="200"/>
              <w:jc w:val="left"/>
              <w:rPr>
                <w:rFonts w:ascii="宋体" w:hAnsi="宋体" w:cs="宋体"/>
                <w:color w:val="auto"/>
                <w:sz w:val="24"/>
              </w:rPr>
            </w:pPr>
            <w:r>
              <w:rPr>
                <w:rFonts w:hint="eastAsia" w:ascii="宋体" w:hAnsi="宋体" w:cs="宋体"/>
                <w:color w:val="auto"/>
                <w:sz w:val="24"/>
              </w:rPr>
              <w:t>3.培训方案存在关键要素缺失，如无明确考核标准、内容与项目脱节，或讲师资质不达标，无法有效保障培训效果得1分；</w:t>
            </w:r>
          </w:p>
          <w:p w14:paraId="14A51DBE">
            <w:pPr>
              <w:spacing w:line="460" w:lineRule="exact"/>
              <w:ind w:firstLine="480" w:firstLineChars="200"/>
              <w:jc w:val="left"/>
              <w:rPr>
                <w:rFonts w:ascii="宋体" w:hAnsi="宋体" w:cs="宋体"/>
                <w:color w:val="auto"/>
                <w:sz w:val="24"/>
              </w:rPr>
            </w:pPr>
            <w:r>
              <w:rPr>
                <w:rFonts w:hint="eastAsia" w:ascii="宋体" w:hAnsi="宋体" w:cs="宋体"/>
                <w:color w:val="auto"/>
                <w:sz w:val="24"/>
              </w:rPr>
              <w:t>4.未提供本项不得分。</w:t>
            </w:r>
          </w:p>
        </w:tc>
      </w:tr>
      <w:tr w14:paraId="4E60180A">
        <w:tblPrEx>
          <w:tblCellMar>
            <w:top w:w="0" w:type="dxa"/>
            <w:left w:w="30" w:type="dxa"/>
            <w:bottom w:w="0" w:type="dxa"/>
            <w:right w:w="30" w:type="dxa"/>
          </w:tblCellMar>
        </w:tblPrEx>
        <w:trPr>
          <w:trHeight w:val="978" w:hRule="atLeast"/>
        </w:trPr>
        <w:tc>
          <w:tcPr>
            <w:tcW w:w="559" w:type="dxa"/>
            <w:tcBorders>
              <w:top w:val="single" w:color="auto" w:sz="6" w:space="0"/>
              <w:left w:val="single" w:color="auto" w:sz="6" w:space="0"/>
              <w:bottom w:val="single" w:color="auto" w:sz="6" w:space="0"/>
              <w:right w:val="single" w:color="auto" w:sz="6" w:space="0"/>
            </w:tcBorders>
            <w:vAlign w:val="center"/>
          </w:tcPr>
          <w:p w14:paraId="2AE94C1B">
            <w:pPr>
              <w:spacing w:line="460" w:lineRule="exact"/>
              <w:jc w:val="center"/>
              <w:rPr>
                <w:rFonts w:ascii="宋体" w:hAnsi="宋体" w:cs="宋体"/>
                <w:color w:val="auto"/>
                <w:sz w:val="24"/>
              </w:rPr>
            </w:pPr>
            <w:r>
              <w:rPr>
                <w:rFonts w:hint="eastAsia" w:ascii="宋体" w:hAnsi="宋体" w:cs="宋体"/>
                <w:color w:val="auto"/>
                <w:sz w:val="24"/>
              </w:rPr>
              <w:t>8</w:t>
            </w:r>
          </w:p>
        </w:tc>
        <w:tc>
          <w:tcPr>
            <w:tcW w:w="1332" w:type="dxa"/>
            <w:tcBorders>
              <w:top w:val="single" w:color="auto" w:sz="6" w:space="0"/>
              <w:left w:val="single" w:color="auto" w:sz="6" w:space="0"/>
              <w:bottom w:val="single" w:color="auto" w:sz="6" w:space="0"/>
              <w:right w:val="single" w:color="auto" w:sz="6" w:space="0"/>
            </w:tcBorders>
            <w:vAlign w:val="center"/>
          </w:tcPr>
          <w:p w14:paraId="5EF402F2">
            <w:pPr>
              <w:spacing w:line="460" w:lineRule="exact"/>
              <w:jc w:val="center"/>
              <w:rPr>
                <w:rFonts w:ascii="宋体" w:hAnsi="宋体" w:cs="宋体"/>
                <w:color w:val="auto"/>
                <w:sz w:val="24"/>
              </w:rPr>
            </w:pPr>
            <w:r>
              <w:rPr>
                <w:rFonts w:hint="eastAsia" w:ascii="宋体" w:hAnsi="宋体" w:cs="宋体"/>
                <w:color w:val="auto"/>
                <w:sz w:val="24"/>
              </w:rPr>
              <w:t>节能环保</w:t>
            </w:r>
          </w:p>
        </w:tc>
        <w:tc>
          <w:tcPr>
            <w:tcW w:w="777" w:type="dxa"/>
            <w:tcBorders>
              <w:top w:val="single" w:color="auto" w:sz="6" w:space="0"/>
              <w:left w:val="single" w:color="auto" w:sz="6" w:space="0"/>
              <w:bottom w:val="single" w:color="auto" w:sz="6" w:space="0"/>
              <w:right w:val="single" w:color="auto" w:sz="6" w:space="0"/>
            </w:tcBorders>
            <w:vAlign w:val="center"/>
          </w:tcPr>
          <w:p w14:paraId="1BBBB8D5">
            <w:pPr>
              <w:spacing w:line="460" w:lineRule="exact"/>
              <w:jc w:val="center"/>
              <w:rPr>
                <w:rFonts w:ascii="宋体" w:hAnsi="宋体" w:cs="宋体"/>
                <w:color w:val="auto"/>
                <w:sz w:val="24"/>
              </w:rPr>
            </w:pPr>
            <w:r>
              <w:rPr>
                <w:rFonts w:hint="eastAsia" w:ascii="宋体" w:hAnsi="宋体" w:cs="宋体"/>
                <w:color w:val="auto"/>
                <w:sz w:val="24"/>
              </w:rPr>
              <w:t>2</w:t>
            </w:r>
          </w:p>
        </w:tc>
        <w:tc>
          <w:tcPr>
            <w:tcW w:w="5726" w:type="dxa"/>
            <w:tcBorders>
              <w:top w:val="single" w:color="auto" w:sz="6" w:space="0"/>
              <w:left w:val="single" w:color="auto" w:sz="6" w:space="0"/>
              <w:bottom w:val="single" w:color="auto" w:sz="6" w:space="0"/>
              <w:right w:val="single" w:color="auto" w:sz="6" w:space="0"/>
            </w:tcBorders>
            <w:vAlign w:val="center"/>
          </w:tcPr>
          <w:p w14:paraId="680E9EFD">
            <w:pPr>
              <w:spacing w:line="460" w:lineRule="exact"/>
              <w:ind w:firstLine="480" w:firstLineChars="200"/>
              <w:jc w:val="left"/>
              <w:rPr>
                <w:rFonts w:ascii="宋体" w:hAnsi="宋体" w:cs="宋体"/>
                <w:color w:val="auto"/>
                <w:sz w:val="24"/>
              </w:rPr>
            </w:pPr>
            <w:r>
              <w:rPr>
                <w:rFonts w:hint="eastAsia" w:ascii="宋体" w:hAnsi="宋体" w:cs="宋体"/>
                <w:color w:val="auto"/>
                <w:sz w:val="24"/>
              </w:rPr>
              <w:t>1.投标产品属于财政部、国家发改委公布的“节能产品品目清单”范围内的，供应商提供国家确定的认证机构出具的、处于有效期之内的该节能产品认证证书复印件的，有1个得1分，最多得1分。如投标产品均属于政府强制采购节能产品品目清单范围内，本项不得分。</w:t>
            </w:r>
          </w:p>
          <w:p w14:paraId="6F1C4782">
            <w:pPr>
              <w:spacing w:line="460" w:lineRule="exact"/>
              <w:ind w:firstLine="480" w:firstLineChars="200"/>
              <w:jc w:val="left"/>
              <w:rPr>
                <w:rFonts w:ascii="宋体" w:hAnsi="宋体" w:cs="宋体"/>
                <w:color w:val="auto"/>
                <w:sz w:val="24"/>
              </w:rPr>
            </w:pPr>
            <w:r>
              <w:rPr>
                <w:rFonts w:hint="eastAsia" w:ascii="宋体" w:hAnsi="宋体" w:cs="宋体"/>
                <w:color w:val="auto"/>
                <w:sz w:val="24"/>
              </w:rPr>
              <w:t>2.投标产品属于财政部、生态环境部公布的“环境标志产品品目清单”范围内的，供应商提供国家确定的认证机构出具的、处于有效期内的该环保产品认证证书复印件的，有1个得1分，最多得1分。</w:t>
            </w:r>
          </w:p>
        </w:tc>
      </w:tr>
    </w:tbl>
    <w:p w14:paraId="35FE430B">
      <w:pPr>
        <w:adjustRightInd w:val="0"/>
        <w:snapToGrid w:val="0"/>
        <w:spacing w:line="460" w:lineRule="exact"/>
        <w:ind w:firstLine="482" w:firstLineChars="200"/>
        <w:jc w:val="left"/>
        <w:rPr>
          <w:rFonts w:ascii="宋体" w:hAnsi="宋体" w:cs="宋体"/>
          <w:color w:val="auto"/>
          <w:sz w:val="24"/>
        </w:rPr>
      </w:pPr>
      <w:r>
        <w:rPr>
          <w:rFonts w:hint="eastAsia" w:ascii="宋体" w:hAnsi="宋体" w:cs="宋体"/>
          <w:b/>
          <w:bCs/>
          <w:color w:val="auto"/>
          <w:sz w:val="24"/>
        </w:rPr>
        <w:t>（四）</w:t>
      </w:r>
      <w:r>
        <w:rPr>
          <w:rFonts w:hint="eastAsia" w:ascii="宋体" w:hAnsi="宋体" w:cs="宋体"/>
          <w:b/>
          <w:color w:val="auto"/>
          <w:sz w:val="24"/>
        </w:rPr>
        <w:t>价格</w:t>
      </w:r>
      <w:r>
        <w:rPr>
          <w:rFonts w:hint="eastAsia" w:ascii="宋体" w:hAnsi="宋体" w:cs="宋体"/>
          <w:b/>
          <w:color w:val="auto"/>
          <w:sz w:val="24"/>
          <w:lang w:val="zh-CN"/>
        </w:rPr>
        <w:t>分</w:t>
      </w:r>
      <w:r>
        <w:rPr>
          <w:rFonts w:hint="eastAsia" w:ascii="宋体" w:hAnsi="宋体" w:cs="宋体"/>
          <w:b/>
          <w:color w:val="auto"/>
          <w:sz w:val="24"/>
        </w:rPr>
        <w:t>：（40分）</w:t>
      </w:r>
    </w:p>
    <w:p w14:paraId="7C996694">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价格分统一采用低价优先法计算，即满足招标文件要求且投标价格最低的投标报价为评标基准价，其价格分为满分。其他投标人的价格分统一按照下列公式计算：</w:t>
      </w:r>
    </w:p>
    <w:p w14:paraId="5678BAFD">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投标报价得分=（评标基准价/投标报价）×价格权值×100</w:t>
      </w:r>
    </w:p>
    <w:p w14:paraId="17A0C863">
      <w:pPr>
        <w:adjustRightInd w:val="0"/>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（五）政府采购政策功能落实</w:t>
      </w:r>
    </w:p>
    <w:p w14:paraId="3C2B220D">
      <w:pPr>
        <w:adjustRightInd w:val="0"/>
        <w:snapToGrid w:val="0"/>
        <w:spacing w:line="460" w:lineRule="exact"/>
        <w:ind w:firstLine="480" w:firstLineChars="200"/>
        <w:rPr>
          <w:rFonts w:ascii="宋体" w:hAnsi="宋体" w:cs="宋体"/>
          <w:bCs/>
          <w:color w:val="auto"/>
          <w:sz w:val="24"/>
        </w:rPr>
      </w:pPr>
      <w:r>
        <w:rPr>
          <w:rFonts w:hint="eastAsia" w:ascii="宋体" w:hAnsi="宋体" w:cs="宋体"/>
          <w:bCs/>
          <w:color w:val="auto"/>
          <w:sz w:val="24"/>
        </w:rPr>
        <w:t>1.小微型企业价格扣除</w:t>
      </w:r>
    </w:p>
    <w:p w14:paraId="6F43C9EA">
      <w:pPr>
        <w:adjustRightInd w:val="0"/>
        <w:snapToGrid w:val="0"/>
        <w:spacing w:line="460" w:lineRule="exact"/>
        <w:ind w:firstLine="480" w:firstLineChars="200"/>
        <w:rPr>
          <w:rFonts w:ascii="宋体" w:hAnsi="宋体" w:cs="宋体"/>
          <w:bCs/>
          <w:color w:val="auto"/>
          <w:sz w:val="24"/>
        </w:rPr>
      </w:pPr>
      <w:r>
        <w:rPr>
          <w:rFonts w:hint="eastAsia" w:ascii="宋体" w:hAnsi="宋体" w:cs="宋体"/>
          <w:bCs/>
          <w:color w:val="auto"/>
          <w:sz w:val="24"/>
        </w:rPr>
        <w:t>（1）本项目对小型和微型企业服务给予10%的扣除价格，用扣除后的价格参与评审。</w:t>
      </w:r>
    </w:p>
    <w:p w14:paraId="6260F020">
      <w:pPr>
        <w:adjustRightInd w:val="0"/>
        <w:snapToGrid w:val="0"/>
        <w:spacing w:line="460" w:lineRule="exact"/>
        <w:ind w:firstLine="480" w:firstLineChars="200"/>
        <w:rPr>
          <w:rFonts w:ascii="宋体" w:hAnsi="宋体" w:cs="宋体"/>
          <w:bCs/>
          <w:color w:val="auto"/>
          <w:sz w:val="24"/>
        </w:rPr>
      </w:pPr>
      <w:r>
        <w:rPr>
          <w:rFonts w:hint="eastAsia" w:ascii="宋体" w:hAnsi="宋体" w:cs="宋体"/>
          <w:bCs/>
          <w:color w:val="auto"/>
          <w:sz w:val="24"/>
        </w:rPr>
        <w:t>（2）供应商需按照《政府采购促进中小企业发展管理办法》（财库﹝2020﹞46 号）的规定提供相应的《小微企业声明函》。</w:t>
      </w:r>
    </w:p>
    <w:p w14:paraId="4073FB43">
      <w:pPr>
        <w:adjustRightInd w:val="0"/>
        <w:snapToGrid w:val="0"/>
        <w:spacing w:line="460" w:lineRule="exact"/>
        <w:ind w:firstLine="480" w:firstLineChars="200"/>
        <w:rPr>
          <w:rFonts w:ascii="宋体" w:hAnsi="宋体" w:cs="宋体"/>
          <w:bCs/>
          <w:color w:val="auto"/>
          <w:sz w:val="24"/>
        </w:rPr>
      </w:pPr>
      <w:r>
        <w:rPr>
          <w:rFonts w:hint="eastAsia" w:ascii="宋体" w:hAnsi="宋体" w:cs="宋体"/>
          <w:bCs/>
          <w:color w:val="auto"/>
          <w:sz w:val="24"/>
        </w:rPr>
        <w:t>（3）企业标准请参照《关于印发中小企业划型标准规定的通知》（工信部联企业﹝2011﹞300号）文件规定自行填写。</w:t>
      </w:r>
    </w:p>
    <w:p w14:paraId="57BAE87B">
      <w:pPr>
        <w:adjustRightInd w:val="0"/>
        <w:snapToGrid w:val="0"/>
        <w:spacing w:line="460" w:lineRule="exact"/>
        <w:ind w:firstLine="480" w:firstLineChars="200"/>
        <w:rPr>
          <w:rFonts w:ascii="宋体" w:hAnsi="宋体" w:cs="宋体"/>
          <w:bCs/>
          <w:color w:val="auto"/>
          <w:sz w:val="24"/>
        </w:rPr>
      </w:pPr>
      <w:r>
        <w:rPr>
          <w:rFonts w:hint="eastAsia" w:ascii="宋体" w:hAnsi="宋体" w:cs="宋体"/>
          <w:bCs/>
          <w:color w:val="auto"/>
          <w:sz w:val="24"/>
        </w:rPr>
        <w:t>2.残疾人福利单位价格扣除</w:t>
      </w:r>
    </w:p>
    <w:p w14:paraId="4E2B41BC">
      <w:pPr>
        <w:adjustRightInd w:val="0"/>
        <w:snapToGrid w:val="0"/>
        <w:spacing w:line="460" w:lineRule="exact"/>
        <w:ind w:firstLine="480" w:firstLineChars="200"/>
        <w:rPr>
          <w:rFonts w:ascii="宋体" w:hAnsi="宋体" w:cs="宋体"/>
          <w:bCs/>
          <w:color w:val="auto"/>
          <w:sz w:val="24"/>
        </w:rPr>
      </w:pPr>
      <w:r>
        <w:rPr>
          <w:rFonts w:hint="eastAsia" w:ascii="宋体" w:hAnsi="宋体" w:cs="宋体"/>
          <w:bCs/>
          <w:color w:val="auto"/>
          <w:sz w:val="24"/>
        </w:rPr>
        <w:t>（1）本项目对残疾人福利性单位，给予10%的价格扣除，用扣除后的价格参与评审。</w:t>
      </w:r>
    </w:p>
    <w:p w14:paraId="1A49C816">
      <w:pPr>
        <w:adjustRightInd w:val="0"/>
        <w:snapToGrid w:val="0"/>
        <w:spacing w:line="460" w:lineRule="exact"/>
        <w:ind w:firstLine="480" w:firstLineChars="200"/>
        <w:rPr>
          <w:rFonts w:ascii="宋体" w:hAnsi="宋体" w:cs="宋体"/>
          <w:bCs/>
          <w:color w:val="auto"/>
          <w:sz w:val="24"/>
        </w:rPr>
      </w:pPr>
      <w:r>
        <w:rPr>
          <w:rFonts w:hint="eastAsia" w:ascii="宋体" w:hAnsi="宋体" w:cs="宋体"/>
          <w:bCs/>
          <w:color w:val="auto"/>
          <w:sz w:val="24"/>
        </w:rPr>
        <w:t>（2）残疾人福利单位需按照采购文件的要求提供《残疾人福利性单位声明函》。</w:t>
      </w:r>
    </w:p>
    <w:p w14:paraId="5A25EE09">
      <w:pPr>
        <w:adjustRightInd w:val="0"/>
        <w:snapToGrid w:val="0"/>
        <w:spacing w:line="460" w:lineRule="exact"/>
        <w:ind w:firstLine="480" w:firstLineChars="200"/>
        <w:rPr>
          <w:rFonts w:ascii="宋体" w:hAnsi="宋体" w:cs="宋体"/>
          <w:bCs/>
          <w:color w:val="auto"/>
          <w:sz w:val="24"/>
        </w:rPr>
      </w:pPr>
      <w:r>
        <w:rPr>
          <w:rFonts w:hint="eastAsia" w:ascii="宋体" w:hAnsi="宋体" w:cs="宋体"/>
          <w:bCs/>
          <w:color w:val="auto"/>
          <w:sz w:val="24"/>
        </w:rPr>
        <w:t>（3）残疾人福利单位标准请参照《关于促进残疾人就业政府采购政策的通知》（财库〔2017〕141号）。</w:t>
      </w:r>
    </w:p>
    <w:p w14:paraId="4D19195C">
      <w:pPr>
        <w:adjustRightInd w:val="0"/>
        <w:snapToGrid w:val="0"/>
        <w:spacing w:line="460" w:lineRule="exact"/>
        <w:ind w:firstLine="480" w:firstLineChars="200"/>
        <w:rPr>
          <w:rFonts w:ascii="宋体" w:hAnsi="宋体" w:cs="宋体"/>
          <w:bCs/>
          <w:color w:val="auto"/>
          <w:sz w:val="24"/>
        </w:rPr>
      </w:pPr>
      <w:r>
        <w:rPr>
          <w:rFonts w:hint="eastAsia" w:ascii="宋体" w:hAnsi="宋体" w:cs="宋体"/>
          <w:bCs/>
          <w:color w:val="auto"/>
          <w:sz w:val="24"/>
        </w:rPr>
        <w:t>3.监狱和戒毒企业价格扣除</w:t>
      </w:r>
    </w:p>
    <w:p w14:paraId="1945AD69">
      <w:pPr>
        <w:adjustRightInd w:val="0"/>
        <w:snapToGrid w:val="0"/>
        <w:spacing w:line="460" w:lineRule="exact"/>
        <w:ind w:firstLine="480" w:firstLineChars="200"/>
        <w:rPr>
          <w:rFonts w:ascii="宋体" w:hAnsi="宋体" w:cs="宋体"/>
          <w:bCs/>
          <w:color w:val="auto"/>
          <w:sz w:val="24"/>
        </w:rPr>
      </w:pPr>
      <w:r>
        <w:rPr>
          <w:rFonts w:hint="eastAsia" w:ascii="宋体" w:hAnsi="宋体" w:cs="宋体"/>
          <w:bCs/>
          <w:color w:val="auto"/>
          <w:sz w:val="24"/>
        </w:rPr>
        <w:t>（1）本项目对监狱和戒毒企业（简称监狱企业）给予10%的价格扣除，用扣除后的价格参与评审。</w:t>
      </w:r>
    </w:p>
    <w:p w14:paraId="7C028E4A">
      <w:pPr>
        <w:adjustRightInd w:val="0"/>
        <w:snapToGrid w:val="0"/>
        <w:spacing w:line="460" w:lineRule="exact"/>
        <w:ind w:firstLine="480" w:firstLineChars="200"/>
        <w:rPr>
          <w:rFonts w:ascii="宋体" w:hAnsi="宋体" w:cs="宋体"/>
          <w:bCs/>
          <w:color w:val="auto"/>
          <w:sz w:val="24"/>
        </w:rPr>
      </w:pPr>
      <w:r>
        <w:rPr>
          <w:rFonts w:hint="eastAsia" w:ascii="宋体" w:hAnsi="宋体" w:cs="宋体"/>
          <w:bCs/>
          <w:color w:val="auto"/>
          <w:sz w:val="24"/>
        </w:rPr>
        <w:t>（2）监狱企业参加政府采购活动时，需提供由省级以上监狱管理局、戒毒管理局(含新疆生产建设兵团)出具的属于监狱企业的证明文件。供应商如不提供上述证明文件，价格将不做相应扣除。</w:t>
      </w:r>
    </w:p>
    <w:p w14:paraId="53875CC3">
      <w:pPr>
        <w:adjustRightInd w:val="0"/>
        <w:snapToGrid w:val="0"/>
        <w:spacing w:line="460" w:lineRule="exact"/>
        <w:ind w:firstLine="480" w:firstLineChars="200"/>
        <w:rPr>
          <w:rFonts w:ascii="宋体" w:hAnsi="宋体" w:cs="宋体"/>
          <w:bCs/>
          <w:color w:val="auto"/>
          <w:sz w:val="24"/>
        </w:rPr>
      </w:pPr>
      <w:r>
        <w:rPr>
          <w:rFonts w:hint="eastAsia" w:ascii="宋体" w:hAnsi="宋体" w:cs="宋体"/>
          <w:bCs/>
          <w:color w:val="auto"/>
          <w:sz w:val="24"/>
        </w:rPr>
        <w:t>（3）监狱企业标准请参照《关于政府采购支持监狱企业发展有关问题的通知》（财库﹝2014﹞68号）。</w:t>
      </w:r>
    </w:p>
    <w:p w14:paraId="470A0430">
      <w:pPr>
        <w:adjustRightInd w:val="0"/>
        <w:snapToGrid w:val="0"/>
        <w:spacing w:line="460" w:lineRule="exact"/>
        <w:ind w:firstLine="480" w:firstLineChars="200"/>
        <w:rPr>
          <w:rFonts w:ascii="宋体" w:hAnsi="宋体" w:cs="宋体"/>
          <w:bCs/>
          <w:color w:val="auto"/>
          <w:sz w:val="24"/>
        </w:rPr>
      </w:pPr>
      <w:r>
        <w:rPr>
          <w:rFonts w:hint="eastAsia" w:ascii="宋体" w:hAnsi="宋体" w:cs="宋体"/>
          <w:bCs/>
          <w:color w:val="auto"/>
          <w:sz w:val="24"/>
        </w:rPr>
        <w:t>4.残疾人福利单位、监狱企业属于小型、微型企业的，不重复享受政策。</w:t>
      </w:r>
    </w:p>
    <w:p w14:paraId="6E2C9586">
      <w:pPr>
        <w:adjustRightInd w:val="0"/>
        <w:snapToGrid w:val="0"/>
        <w:spacing w:line="460" w:lineRule="exact"/>
        <w:ind w:firstLine="480" w:firstLineChars="200"/>
        <w:rPr>
          <w:rFonts w:ascii="宋体" w:hAnsi="宋体" w:cs="宋体"/>
          <w:bCs/>
          <w:color w:val="auto"/>
          <w:sz w:val="24"/>
        </w:rPr>
      </w:pPr>
      <w:r>
        <w:rPr>
          <w:rFonts w:hint="eastAsia" w:ascii="宋体" w:hAnsi="宋体" w:cs="宋体"/>
          <w:bCs/>
          <w:color w:val="auto"/>
          <w:sz w:val="24"/>
          <w:lang w:val="zh-CN"/>
        </w:rPr>
        <w:t>评标委员会负责具体评标事务。</w:t>
      </w:r>
    </w:p>
    <w:p w14:paraId="507A99FD">
      <w:pPr>
        <w:adjustRightInd w:val="0"/>
        <w:snapToGrid w:val="0"/>
        <w:spacing w:line="460" w:lineRule="exact"/>
        <w:ind w:firstLine="482" w:firstLineChars="200"/>
        <w:rPr>
          <w:rFonts w:ascii="宋体" w:hAnsi="宋体" w:cs="宋体"/>
          <w:bCs/>
          <w:color w:val="auto"/>
          <w:sz w:val="24"/>
        </w:rPr>
      </w:pPr>
      <w:r>
        <w:rPr>
          <w:rFonts w:hint="eastAsia" w:ascii="宋体" w:hAnsi="宋体" w:cs="宋体"/>
          <w:b/>
          <w:color w:val="auto"/>
          <w:sz w:val="24"/>
        </w:rPr>
        <w:t>（六）中标人的确定</w:t>
      </w:r>
    </w:p>
    <w:p w14:paraId="46DE4333">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评委会汇总各评委评分后，按照得分从高到低的顺序推荐三名中标候选人，并编写评标报告。</w:t>
      </w:r>
    </w:p>
    <w:p w14:paraId="3D785B2E">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招标人委托评标委员会直接确定排名第一的中标候选人为中标人。</w:t>
      </w:r>
    </w:p>
    <w:p w14:paraId="5F1806A5">
      <w:pPr>
        <w:adjustRightInd w:val="0"/>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（七）招标人代表宣布评标结果。</w:t>
      </w:r>
    </w:p>
    <w:p w14:paraId="11587A72">
      <w:pPr>
        <w:adjustRightInd w:val="0"/>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w:t>
      </w:r>
      <w:r>
        <w:rPr>
          <w:rFonts w:hint="eastAsia" w:ascii="宋体" w:hAnsi="宋体" w:cs="宋体"/>
          <w:b/>
          <w:bCs/>
          <w:color w:val="auto"/>
          <w:sz w:val="24"/>
        </w:rPr>
        <w:t>八</w:t>
      </w:r>
      <w:r>
        <w:rPr>
          <w:rFonts w:hint="eastAsia" w:ascii="宋体" w:hAnsi="宋体" w:cs="宋体"/>
          <w:b/>
          <w:color w:val="auto"/>
          <w:sz w:val="24"/>
        </w:rPr>
        <w:t>）公告中标结果</w:t>
      </w:r>
    </w:p>
    <w:p w14:paraId="2D184F40">
      <w:pPr>
        <w:adjustRightInd w:val="0"/>
        <w:snapToGrid w:val="0"/>
        <w:spacing w:line="460" w:lineRule="exact"/>
        <w:ind w:firstLine="480" w:firstLineChars="200"/>
        <w:jc w:val="left"/>
        <w:rPr>
          <w:rFonts w:ascii="宋体" w:hAnsi="宋体" w:cs="宋体"/>
          <w:color w:val="auto"/>
          <w:sz w:val="24"/>
        </w:rPr>
      </w:pPr>
      <w:r>
        <w:rPr>
          <w:rFonts w:hint="eastAsia" w:ascii="宋体" w:hAnsi="宋体" w:cs="宋体"/>
          <w:color w:val="auto"/>
          <w:sz w:val="24"/>
        </w:rPr>
        <w:t>自确定中标人之日起2个工作日内，在江苏商贸职业学院网（http://www.jsbc.edu.cn/）公告中标结果，公告期限为1个工作日。</w:t>
      </w:r>
    </w:p>
    <w:p w14:paraId="7A3C8D02">
      <w:pPr>
        <w:adjustRightInd w:val="0"/>
        <w:snapToGrid w:val="0"/>
        <w:spacing w:line="460" w:lineRule="exact"/>
        <w:ind w:firstLine="482" w:firstLineChars="200"/>
        <w:rPr>
          <w:rFonts w:ascii="宋体" w:hAnsi="宋体" w:cs="宋体"/>
          <w:b/>
          <w:bCs/>
          <w:color w:val="auto"/>
          <w:sz w:val="24"/>
        </w:rPr>
      </w:pPr>
      <w:r>
        <w:rPr>
          <w:rFonts w:hint="eastAsia" w:ascii="宋体" w:hAnsi="宋体" w:cs="宋体"/>
          <w:b/>
          <w:color w:val="auto"/>
          <w:sz w:val="24"/>
        </w:rPr>
        <w:t>（九）</w:t>
      </w:r>
      <w:r>
        <w:rPr>
          <w:rFonts w:hint="eastAsia" w:ascii="宋体" w:hAnsi="宋体" w:cs="宋体"/>
          <w:b/>
          <w:bCs/>
          <w:color w:val="auto"/>
          <w:sz w:val="24"/>
        </w:rPr>
        <w:t>发放中标通知书</w:t>
      </w:r>
    </w:p>
    <w:p w14:paraId="4F0F7971">
      <w:pPr>
        <w:adjustRightInd w:val="0"/>
        <w:snapToGrid w:val="0"/>
        <w:spacing w:line="460" w:lineRule="exact"/>
        <w:ind w:firstLine="480" w:firstLineChars="200"/>
        <w:rPr>
          <w:rFonts w:ascii="宋体" w:hAnsi="宋体" w:cs="宋体"/>
          <w:bCs/>
          <w:color w:val="auto"/>
          <w:sz w:val="24"/>
        </w:rPr>
      </w:pPr>
      <w:r>
        <w:rPr>
          <w:rFonts w:hint="eastAsia" w:ascii="宋体" w:hAnsi="宋体" w:cs="宋体"/>
          <w:color w:val="auto"/>
          <w:sz w:val="24"/>
        </w:rPr>
        <w:t>公告中标结果的同时，招标人</w:t>
      </w:r>
      <w:r>
        <w:rPr>
          <w:rFonts w:hint="eastAsia" w:ascii="宋体" w:hAnsi="宋体" w:cs="宋体"/>
          <w:bCs/>
          <w:color w:val="auto"/>
          <w:sz w:val="24"/>
        </w:rPr>
        <w:t>向中标供应商发放中标通知书。</w:t>
      </w:r>
    </w:p>
    <w:p w14:paraId="02DE2387">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中标通知书发出后，招标人不得违法改变中标结果，中标供应商无正当理由不得放弃中标。</w:t>
      </w:r>
    </w:p>
    <w:p w14:paraId="4FF96407">
      <w:pPr>
        <w:adjustRightInd w:val="0"/>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（十）其他</w:t>
      </w:r>
    </w:p>
    <w:p w14:paraId="623108C8">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当排名第一的中标候选人无正当理由放弃中标，被查实存在影响中标结果的违法行为等情形，采购人有权按照政府采购相关法律法规的规定对其采取惩戒措施，包含但不限于列入采购失信人黑名单等措施。</w:t>
      </w:r>
    </w:p>
    <w:p w14:paraId="53982BE9">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26453E1D">
      <w:pPr>
        <w:spacing w:after="60" w:line="360" w:lineRule="auto"/>
        <w:rPr>
          <w:rFonts w:ascii="宋体" w:hAnsi="宋体" w:cs="宋体"/>
          <w:color w:val="auto"/>
          <w:sz w:val="24"/>
        </w:rPr>
        <w:sectPr>
          <w:pgSz w:w="11906" w:h="16838"/>
          <w:pgMar w:top="1440" w:right="1800" w:bottom="1440" w:left="1800" w:header="851" w:footer="992" w:gutter="0"/>
          <w:cols w:space="720" w:num="1"/>
          <w:docGrid w:type="lines" w:linePitch="312" w:charSpace="0"/>
        </w:sectPr>
      </w:pPr>
      <w:r>
        <w:rPr>
          <w:rFonts w:hint="eastAsia" w:ascii="宋体" w:hAnsi="宋体" w:cs="宋体"/>
          <w:bCs/>
          <w:color w:val="auto"/>
          <w:sz w:val="32"/>
          <w:szCs w:val="32"/>
        </w:rPr>
        <w:br w:type="page"/>
      </w:r>
    </w:p>
    <w:p w14:paraId="5739C717">
      <w:pPr>
        <w:numPr>
          <w:ilvl w:val="0"/>
          <w:numId w:val="2"/>
        </w:numPr>
        <w:adjustRightInd w:val="0"/>
        <w:snapToGrid w:val="0"/>
        <w:spacing w:line="460" w:lineRule="exact"/>
        <w:jc w:val="center"/>
        <w:textAlignment w:val="baseline"/>
        <w:outlineLvl w:val="0"/>
        <w:rPr>
          <w:rFonts w:ascii="宋体" w:hAnsi="宋体" w:cs="宋体"/>
          <w:bCs/>
          <w:color w:val="auto"/>
          <w:sz w:val="32"/>
          <w:szCs w:val="32"/>
        </w:rPr>
      </w:pPr>
      <w:r>
        <w:rPr>
          <w:rFonts w:hint="eastAsia" w:ascii="宋体" w:hAnsi="宋体" w:cs="宋体"/>
          <w:bCs/>
          <w:color w:val="auto"/>
          <w:sz w:val="32"/>
          <w:szCs w:val="32"/>
        </w:rPr>
        <w:t xml:space="preserve">  合同主要条款 </w:t>
      </w:r>
    </w:p>
    <w:p w14:paraId="31A13F2A">
      <w:pPr>
        <w:pStyle w:val="5"/>
        <w:jc w:val="both"/>
        <w:rPr>
          <w:color w:val="auto"/>
        </w:rPr>
      </w:pPr>
    </w:p>
    <w:p w14:paraId="59F1AB11">
      <w:pPr>
        <w:tabs>
          <w:tab w:val="left" w:pos="5040"/>
        </w:tabs>
        <w:spacing w:line="420" w:lineRule="atLeast"/>
        <w:ind w:left="-2" w:leftChars="-1"/>
        <w:jc w:val="center"/>
        <w:rPr>
          <w:rFonts w:ascii="宋体" w:hAnsi="宋体"/>
          <w:b/>
          <w:color w:val="auto"/>
          <w:sz w:val="36"/>
          <w:szCs w:val="36"/>
        </w:rPr>
      </w:pPr>
      <w:r>
        <w:rPr>
          <w:rFonts w:hint="eastAsia" w:ascii="宋体" w:hAnsi="宋体"/>
          <w:b/>
          <w:color w:val="auto"/>
          <w:sz w:val="36"/>
          <w:szCs w:val="36"/>
        </w:rPr>
        <w:t>江苏商贸职业学院</w:t>
      </w:r>
    </w:p>
    <w:p w14:paraId="4DDE112C">
      <w:pPr>
        <w:tabs>
          <w:tab w:val="left" w:pos="5040"/>
        </w:tabs>
        <w:spacing w:line="420" w:lineRule="atLeast"/>
        <w:ind w:left="-2" w:leftChars="-1"/>
        <w:jc w:val="center"/>
        <w:rPr>
          <w:rFonts w:ascii="宋体" w:hAnsi="宋体"/>
          <w:b/>
          <w:color w:val="auto"/>
          <w:sz w:val="36"/>
          <w:szCs w:val="36"/>
        </w:rPr>
      </w:pPr>
      <w:r>
        <w:rPr>
          <w:rFonts w:hint="eastAsia" w:ascii="宋体" w:hAnsi="宋体"/>
          <w:b/>
          <w:color w:val="auto"/>
          <w:sz w:val="36"/>
          <w:szCs w:val="36"/>
        </w:rPr>
        <w:t>校园一卡通超融合一体机采购项目</w:t>
      </w:r>
    </w:p>
    <w:p w14:paraId="174C3CCF">
      <w:pPr>
        <w:tabs>
          <w:tab w:val="left" w:pos="5040"/>
        </w:tabs>
        <w:spacing w:line="420" w:lineRule="atLeast"/>
        <w:rPr>
          <w:rFonts w:ascii="宋体" w:hAnsi="宋体"/>
          <w:b/>
          <w:color w:val="auto"/>
          <w:sz w:val="36"/>
          <w:szCs w:val="36"/>
        </w:rPr>
      </w:pPr>
    </w:p>
    <w:p w14:paraId="71985958">
      <w:pPr>
        <w:tabs>
          <w:tab w:val="left" w:pos="5040"/>
        </w:tabs>
        <w:spacing w:line="420" w:lineRule="atLeast"/>
        <w:ind w:left="-2" w:leftChars="-1"/>
        <w:jc w:val="center"/>
        <w:rPr>
          <w:rFonts w:ascii="宋体" w:hAnsi="宋体"/>
          <w:b/>
          <w:color w:val="auto"/>
          <w:sz w:val="36"/>
          <w:szCs w:val="36"/>
        </w:rPr>
      </w:pPr>
    </w:p>
    <w:p w14:paraId="1BB82BFC">
      <w:pPr>
        <w:tabs>
          <w:tab w:val="left" w:pos="5040"/>
        </w:tabs>
        <w:spacing w:line="420" w:lineRule="atLeast"/>
        <w:ind w:left="-2" w:leftChars="-1"/>
        <w:jc w:val="center"/>
        <w:rPr>
          <w:rFonts w:ascii="宋体" w:hAnsi="宋体"/>
          <w:b/>
          <w:color w:val="auto"/>
          <w:sz w:val="36"/>
          <w:szCs w:val="36"/>
        </w:rPr>
      </w:pPr>
    </w:p>
    <w:p w14:paraId="1F0F3CE9">
      <w:pPr>
        <w:tabs>
          <w:tab w:val="left" w:pos="5040"/>
        </w:tabs>
        <w:spacing w:line="420" w:lineRule="atLeast"/>
        <w:ind w:left="-2" w:leftChars="-1"/>
        <w:jc w:val="center"/>
        <w:rPr>
          <w:rFonts w:ascii="宋体" w:hAnsi="宋体"/>
          <w:b/>
          <w:color w:val="auto"/>
          <w:sz w:val="72"/>
          <w:szCs w:val="72"/>
        </w:rPr>
      </w:pPr>
      <w:r>
        <w:rPr>
          <w:rFonts w:hint="eastAsia" w:ascii="宋体" w:hAnsi="宋体"/>
          <w:b/>
          <w:color w:val="auto"/>
          <w:sz w:val="72"/>
          <w:szCs w:val="72"/>
        </w:rPr>
        <w:t>合</w:t>
      </w:r>
    </w:p>
    <w:p w14:paraId="010289C2">
      <w:pPr>
        <w:tabs>
          <w:tab w:val="left" w:pos="5040"/>
        </w:tabs>
        <w:spacing w:line="420" w:lineRule="atLeast"/>
        <w:rPr>
          <w:rFonts w:ascii="宋体" w:hAnsi="宋体"/>
          <w:b/>
          <w:color w:val="auto"/>
          <w:sz w:val="72"/>
          <w:szCs w:val="72"/>
        </w:rPr>
      </w:pPr>
    </w:p>
    <w:p w14:paraId="017792F4">
      <w:pPr>
        <w:tabs>
          <w:tab w:val="left" w:pos="5040"/>
        </w:tabs>
        <w:spacing w:line="420" w:lineRule="atLeast"/>
        <w:ind w:left="-2" w:leftChars="-1"/>
        <w:jc w:val="center"/>
        <w:rPr>
          <w:rFonts w:ascii="宋体" w:hAnsi="宋体"/>
          <w:b/>
          <w:color w:val="auto"/>
          <w:sz w:val="72"/>
          <w:szCs w:val="72"/>
        </w:rPr>
      </w:pPr>
      <w:r>
        <w:rPr>
          <w:rFonts w:hint="eastAsia" w:ascii="宋体" w:hAnsi="宋体"/>
          <w:b/>
          <w:color w:val="auto"/>
          <w:sz w:val="72"/>
          <w:szCs w:val="72"/>
        </w:rPr>
        <w:t>同</w:t>
      </w:r>
    </w:p>
    <w:p w14:paraId="1835E4BA">
      <w:pPr>
        <w:tabs>
          <w:tab w:val="left" w:pos="5040"/>
        </w:tabs>
        <w:spacing w:line="420" w:lineRule="atLeast"/>
        <w:rPr>
          <w:rFonts w:ascii="宋体" w:hAnsi="宋体"/>
          <w:b/>
          <w:color w:val="auto"/>
          <w:sz w:val="72"/>
          <w:szCs w:val="72"/>
        </w:rPr>
      </w:pPr>
    </w:p>
    <w:p w14:paraId="7CB46B9B">
      <w:pPr>
        <w:tabs>
          <w:tab w:val="left" w:pos="5040"/>
        </w:tabs>
        <w:spacing w:line="420" w:lineRule="atLeast"/>
        <w:ind w:left="-2" w:leftChars="-1"/>
        <w:jc w:val="center"/>
        <w:rPr>
          <w:rFonts w:ascii="宋体" w:hAnsi="宋体"/>
          <w:color w:val="auto"/>
          <w:sz w:val="72"/>
          <w:szCs w:val="72"/>
        </w:rPr>
      </w:pPr>
      <w:r>
        <w:rPr>
          <w:rFonts w:hint="eastAsia" w:ascii="宋体" w:hAnsi="宋体"/>
          <w:b/>
          <w:color w:val="auto"/>
          <w:sz w:val="72"/>
          <w:szCs w:val="72"/>
        </w:rPr>
        <w:t>书</w:t>
      </w:r>
    </w:p>
    <w:p w14:paraId="703017B4">
      <w:pPr>
        <w:tabs>
          <w:tab w:val="left" w:pos="5040"/>
        </w:tabs>
        <w:spacing w:line="420" w:lineRule="atLeast"/>
        <w:rPr>
          <w:rFonts w:ascii="宋体" w:hAnsi="宋体"/>
          <w:color w:val="auto"/>
          <w:sz w:val="36"/>
          <w:szCs w:val="36"/>
        </w:rPr>
      </w:pPr>
    </w:p>
    <w:p w14:paraId="2FA0EB85">
      <w:pPr>
        <w:tabs>
          <w:tab w:val="left" w:pos="5040"/>
        </w:tabs>
        <w:spacing w:line="420" w:lineRule="atLeast"/>
        <w:rPr>
          <w:rFonts w:ascii="宋体" w:hAnsi="宋体"/>
          <w:color w:val="auto"/>
          <w:sz w:val="32"/>
          <w:szCs w:val="32"/>
        </w:rPr>
      </w:pPr>
    </w:p>
    <w:p w14:paraId="62223632">
      <w:pPr>
        <w:tabs>
          <w:tab w:val="left" w:pos="5040"/>
        </w:tabs>
        <w:spacing w:line="420" w:lineRule="atLeast"/>
        <w:rPr>
          <w:rFonts w:ascii="宋体" w:hAnsi="宋体"/>
          <w:color w:val="auto"/>
          <w:sz w:val="32"/>
          <w:szCs w:val="32"/>
        </w:rPr>
      </w:pPr>
    </w:p>
    <w:p w14:paraId="1B98E657">
      <w:pPr>
        <w:tabs>
          <w:tab w:val="left" w:pos="5040"/>
        </w:tabs>
        <w:spacing w:line="420" w:lineRule="atLeast"/>
        <w:rPr>
          <w:rFonts w:ascii="宋体" w:hAnsi="宋体"/>
          <w:color w:val="auto"/>
          <w:sz w:val="32"/>
          <w:szCs w:val="32"/>
        </w:rPr>
      </w:pPr>
    </w:p>
    <w:p w14:paraId="1AEC388A">
      <w:pPr>
        <w:tabs>
          <w:tab w:val="left" w:pos="5040"/>
        </w:tabs>
        <w:spacing w:line="420" w:lineRule="atLeast"/>
        <w:jc w:val="center"/>
        <w:rPr>
          <w:rFonts w:ascii="宋体" w:hAnsi="宋体"/>
          <w:b/>
          <w:color w:val="auto"/>
          <w:sz w:val="32"/>
          <w:szCs w:val="32"/>
        </w:rPr>
      </w:pPr>
      <w:r>
        <w:rPr>
          <w:rFonts w:hint="eastAsia" w:ascii="宋体" w:hAnsi="宋体"/>
          <w:b/>
          <w:color w:val="auto"/>
          <w:sz w:val="32"/>
          <w:szCs w:val="32"/>
        </w:rPr>
        <w:t>签约时间：</w:t>
      </w:r>
      <w:r>
        <w:rPr>
          <w:rFonts w:hint="eastAsia" w:ascii="宋体" w:hAnsi="宋体"/>
          <w:b/>
          <w:color w:val="auto"/>
          <w:sz w:val="32"/>
          <w:szCs w:val="32"/>
          <w:u w:val="single"/>
        </w:rPr>
        <w:t xml:space="preserve"> </w:t>
      </w:r>
      <w:r>
        <w:rPr>
          <w:rFonts w:ascii="宋体" w:hAnsi="宋体"/>
          <w:b/>
          <w:color w:val="auto"/>
          <w:sz w:val="32"/>
          <w:szCs w:val="32"/>
          <w:u w:val="single"/>
        </w:rPr>
        <w:t xml:space="preserve">  </w:t>
      </w:r>
      <w:r>
        <w:rPr>
          <w:rFonts w:hint="eastAsia" w:ascii="宋体" w:hAnsi="宋体"/>
          <w:b/>
          <w:color w:val="auto"/>
          <w:sz w:val="32"/>
          <w:szCs w:val="32"/>
          <w:u w:val="single"/>
        </w:rPr>
        <w:t xml:space="preserve"> </w:t>
      </w:r>
      <w:r>
        <w:rPr>
          <w:rFonts w:hint="eastAsia" w:ascii="宋体" w:hAnsi="宋体"/>
          <w:b/>
          <w:color w:val="auto"/>
          <w:sz w:val="32"/>
          <w:szCs w:val="32"/>
        </w:rPr>
        <w:t>年</w:t>
      </w:r>
      <w:r>
        <w:rPr>
          <w:rFonts w:hint="eastAsia" w:ascii="宋体" w:hAnsi="宋体"/>
          <w:b/>
          <w:color w:val="auto"/>
          <w:sz w:val="32"/>
          <w:szCs w:val="32"/>
          <w:u w:val="single"/>
        </w:rPr>
        <w:t xml:space="preserve"> </w:t>
      </w:r>
      <w:r>
        <w:rPr>
          <w:rFonts w:ascii="宋体" w:hAnsi="宋体"/>
          <w:b/>
          <w:color w:val="auto"/>
          <w:sz w:val="32"/>
          <w:szCs w:val="32"/>
          <w:u w:val="single"/>
        </w:rPr>
        <w:t xml:space="preserve"> </w:t>
      </w:r>
      <w:r>
        <w:rPr>
          <w:rFonts w:hint="eastAsia" w:ascii="宋体" w:hAnsi="宋体"/>
          <w:b/>
          <w:color w:val="auto"/>
          <w:sz w:val="32"/>
          <w:szCs w:val="32"/>
          <w:u w:val="single"/>
        </w:rPr>
        <w:t xml:space="preserve"> </w:t>
      </w:r>
      <w:r>
        <w:rPr>
          <w:rFonts w:hint="eastAsia" w:ascii="宋体" w:hAnsi="宋体"/>
          <w:b/>
          <w:color w:val="auto"/>
          <w:sz w:val="32"/>
          <w:szCs w:val="32"/>
        </w:rPr>
        <w:t>月</w:t>
      </w:r>
      <w:r>
        <w:rPr>
          <w:rFonts w:hint="eastAsia" w:ascii="宋体" w:hAnsi="宋体"/>
          <w:b/>
          <w:color w:val="auto"/>
          <w:sz w:val="32"/>
          <w:szCs w:val="32"/>
          <w:u w:val="single"/>
        </w:rPr>
        <w:t xml:space="preserve"> </w:t>
      </w:r>
      <w:r>
        <w:rPr>
          <w:rFonts w:ascii="宋体" w:hAnsi="宋体"/>
          <w:b/>
          <w:color w:val="auto"/>
          <w:sz w:val="32"/>
          <w:szCs w:val="32"/>
          <w:u w:val="single"/>
        </w:rPr>
        <w:t xml:space="preserve">  </w:t>
      </w:r>
      <w:r>
        <w:rPr>
          <w:rFonts w:hint="eastAsia" w:ascii="宋体" w:hAnsi="宋体"/>
          <w:b/>
          <w:color w:val="auto"/>
          <w:sz w:val="32"/>
          <w:szCs w:val="32"/>
          <w:u w:val="single"/>
        </w:rPr>
        <w:t xml:space="preserve"> </w:t>
      </w:r>
      <w:r>
        <w:rPr>
          <w:rFonts w:hint="eastAsia" w:ascii="宋体" w:hAnsi="宋体"/>
          <w:b/>
          <w:color w:val="auto"/>
          <w:sz w:val="32"/>
          <w:szCs w:val="32"/>
        </w:rPr>
        <w:t>日</w:t>
      </w:r>
    </w:p>
    <w:p w14:paraId="2EC24E46">
      <w:pPr>
        <w:spacing w:line="360" w:lineRule="auto"/>
        <w:rPr>
          <w:rFonts w:ascii="宋体"/>
          <w:color w:val="auto"/>
          <w:sz w:val="24"/>
        </w:rPr>
      </w:pPr>
    </w:p>
    <w:p w14:paraId="48A02086">
      <w:pPr>
        <w:spacing w:line="360" w:lineRule="auto"/>
        <w:rPr>
          <w:rFonts w:ascii="宋体"/>
          <w:color w:val="auto"/>
          <w:sz w:val="24"/>
        </w:rPr>
      </w:pPr>
    </w:p>
    <w:p w14:paraId="4CC02ECC">
      <w:pPr>
        <w:spacing w:line="360" w:lineRule="auto"/>
        <w:rPr>
          <w:rFonts w:ascii="宋体" w:hAnsi="宋体" w:cs="宋体"/>
          <w:b/>
          <w:bCs/>
          <w:color w:val="auto"/>
          <w:sz w:val="24"/>
        </w:rPr>
      </w:pPr>
    </w:p>
    <w:p w14:paraId="41ED45E3">
      <w:pPr>
        <w:spacing w:line="360" w:lineRule="auto"/>
        <w:rPr>
          <w:rFonts w:ascii="宋体" w:hAnsi="宋体" w:cs="宋体"/>
          <w:b/>
          <w:bCs/>
          <w:color w:val="auto"/>
          <w:sz w:val="24"/>
        </w:rPr>
      </w:pPr>
    </w:p>
    <w:p w14:paraId="13C5A326">
      <w:pPr>
        <w:spacing w:after="60" w:line="360" w:lineRule="auto"/>
        <w:jc w:val="center"/>
        <w:rPr>
          <w:rFonts w:ascii="宋体" w:hAnsi="宋体" w:cs="宋体"/>
          <w:b/>
          <w:bCs/>
          <w:color w:val="auto"/>
          <w:sz w:val="30"/>
          <w:szCs w:val="30"/>
        </w:rPr>
      </w:pPr>
      <w:r>
        <w:rPr>
          <w:rFonts w:hint="eastAsia" w:ascii="宋体" w:hAnsi="宋体" w:cs="宋体"/>
          <w:b/>
          <w:bCs/>
          <w:color w:val="auto"/>
          <w:sz w:val="30"/>
          <w:szCs w:val="30"/>
        </w:rPr>
        <w:t>江苏商贸职业学院</w:t>
      </w:r>
    </w:p>
    <w:p w14:paraId="6060615E">
      <w:pPr>
        <w:spacing w:after="60" w:line="360" w:lineRule="auto"/>
        <w:jc w:val="center"/>
        <w:rPr>
          <w:rFonts w:ascii="宋体" w:hAnsi="宋体" w:cs="宋体"/>
          <w:b/>
          <w:bCs/>
          <w:color w:val="auto"/>
          <w:sz w:val="30"/>
          <w:szCs w:val="30"/>
        </w:rPr>
      </w:pPr>
      <w:r>
        <w:rPr>
          <w:rFonts w:hint="eastAsia" w:ascii="宋体" w:hAnsi="宋体" w:cs="宋体"/>
          <w:b/>
          <w:bCs/>
          <w:color w:val="auto"/>
          <w:sz w:val="30"/>
          <w:szCs w:val="30"/>
        </w:rPr>
        <w:t>校园一卡通超融合一体机采购项目</w:t>
      </w:r>
    </w:p>
    <w:p w14:paraId="17CB7FE4">
      <w:pPr>
        <w:spacing w:after="60" w:line="440" w:lineRule="exact"/>
        <w:rPr>
          <w:rFonts w:ascii="宋体"/>
          <w:color w:val="auto"/>
          <w:sz w:val="24"/>
        </w:rPr>
      </w:pPr>
      <w:r>
        <w:rPr>
          <w:rFonts w:hint="eastAsia" w:ascii="宋体" w:hAnsi="宋体" w:cs="宋体"/>
          <w:color w:val="auto"/>
          <w:sz w:val="24"/>
        </w:rPr>
        <w:t>采购单位（或称甲方）：</w:t>
      </w:r>
      <w:r>
        <w:rPr>
          <w:rFonts w:ascii="宋体" w:hAnsi="宋体" w:cs="宋体"/>
          <w:color w:val="auto"/>
          <w:sz w:val="24"/>
          <w:u w:val="single"/>
        </w:rPr>
        <w:t xml:space="preserve"> </w:t>
      </w:r>
      <w:r>
        <w:rPr>
          <w:rFonts w:hint="eastAsia" w:ascii="宋体" w:hAnsi="宋体" w:cs="宋体"/>
          <w:color w:val="auto"/>
          <w:sz w:val="24"/>
          <w:u w:val="single"/>
        </w:rPr>
        <w:t>江苏商贸职业学院</w:t>
      </w:r>
      <w:r>
        <w:rPr>
          <w:rFonts w:ascii="宋体" w:hAnsi="宋体" w:cs="宋体"/>
          <w:color w:val="auto"/>
          <w:sz w:val="24"/>
          <w:u w:val="single"/>
        </w:rPr>
        <w:t xml:space="preserve">  </w:t>
      </w:r>
    </w:p>
    <w:p w14:paraId="2C0D3DF7">
      <w:pPr>
        <w:spacing w:after="60" w:line="440" w:lineRule="exact"/>
        <w:rPr>
          <w:rFonts w:ascii="宋体"/>
          <w:color w:val="auto"/>
          <w:sz w:val="24"/>
        </w:rPr>
      </w:pPr>
      <w:r>
        <w:rPr>
          <w:rFonts w:hint="eastAsia" w:ascii="宋体" w:hAnsi="宋体" w:cs="宋体"/>
          <w:color w:val="auto"/>
          <w:sz w:val="24"/>
        </w:rPr>
        <w:t>成交供应商（或称乙方）：</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1EFCE667">
      <w:pPr>
        <w:spacing w:after="60" w:line="440" w:lineRule="exact"/>
        <w:rPr>
          <w:rFonts w:ascii="宋体"/>
          <w:color w:val="auto"/>
          <w:sz w:val="24"/>
        </w:rPr>
      </w:pPr>
      <w:r>
        <w:rPr>
          <w:rFonts w:hint="eastAsia" w:ascii="宋体" w:hAnsi="宋体" w:cs="宋体"/>
          <w:color w:val="auto"/>
          <w:sz w:val="24"/>
        </w:rPr>
        <w:t>签订时间：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rPr>
        <w:t xml:space="preserve"> </w:t>
      </w:r>
      <w:r>
        <w:rPr>
          <w:rFonts w:ascii="宋体" w:hAnsi="宋体" w:cs="宋体"/>
          <w:color w:val="auto"/>
          <w:sz w:val="24"/>
          <w:u w:val="single"/>
        </w:rPr>
        <w:t xml:space="preserve">    </w:t>
      </w:r>
      <w:r>
        <w:rPr>
          <w:rFonts w:hint="eastAsia" w:ascii="宋体" w:hAnsi="宋体" w:cs="宋体"/>
          <w:color w:val="auto"/>
          <w:sz w:val="24"/>
        </w:rPr>
        <w:t>日</w:t>
      </w:r>
    </w:p>
    <w:p w14:paraId="1C9C42B7">
      <w:pPr>
        <w:spacing w:after="60" w:line="440" w:lineRule="exact"/>
        <w:rPr>
          <w:rFonts w:ascii="宋体"/>
          <w:color w:val="auto"/>
          <w:sz w:val="24"/>
        </w:rPr>
      </w:pPr>
      <w:r>
        <w:rPr>
          <w:rFonts w:hint="eastAsia" w:ascii="宋体" w:hAnsi="宋体" w:cs="宋体"/>
          <w:color w:val="auto"/>
          <w:sz w:val="24"/>
        </w:rPr>
        <w:t>签订地点：</w:t>
      </w:r>
      <w:r>
        <w:rPr>
          <w:rFonts w:hint="eastAsia" w:ascii="宋体" w:hAnsi="宋体" w:cs="宋体"/>
          <w:color w:val="auto"/>
          <w:sz w:val="24"/>
          <w:u w:val="single"/>
        </w:rPr>
        <w:t>江苏商贸职业学院</w:t>
      </w:r>
      <w:r>
        <w:rPr>
          <w:rFonts w:ascii="宋体" w:hAnsi="宋体" w:cs="宋体"/>
          <w:color w:val="auto"/>
          <w:sz w:val="24"/>
          <w:u w:val="single"/>
        </w:rPr>
        <w:t xml:space="preserve">   </w:t>
      </w:r>
    </w:p>
    <w:p w14:paraId="27055882">
      <w:pPr>
        <w:spacing w:line="440" w:lineRule="exact"/>
        <w:ind w:firstLine="480" w:firstLineChars="200"/>
        <w:rPr>
          <w:rFonts w:ascii="宋体"/>
          <w:color w:val="auto"/>
          <w:sz w:val="24"/>
        </w:rPr>
      </w:pPr>
      <w:r>
        <w:rPr>
          <w:rFonts w:hint="eastAsia" w:ascii="宋体" w:hAnsi="宋体" w:cs="宋体"/>
          <w:color w:val="auto"/>
          <w:sz w:val="24"/>
        </w:rPr>
        <w:t>根据《中华人民共和国民法典》及</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ascii="宋体" w:hAnsi="宋体" w:cs="宋体"/>
          <w:color w:val="auto"/>
          <w:sz w:val="24"/>
        </w:rPr>
        <w:t>(</w:t>
      </w:r>
      <w:r>
        <w:rPr>
          <w:rFonts w:hint="eastAsia" w:ascii="宋体" w:hAnsi="宋体" w:cs="宋体"/>
          <w:color w:val="auto"/>
          <w:sz w:val="24"/>
        </w:rPr>
        <w:t>采购编号：</w:t>
      </w:r>
      <w:r>
        <w:rPr>
          <w:rFonts w:ascii="仿宋" w:hAnsi="仿宋" w:eastAsia="仿宋" w:cs="仿宋"/>
          <w:color w:val="auto"/>
          <w:spacing w:val="7"/>
          <w:sz w:val="28"/>
          <w:szCs w:val="28"/>
          <w:u w:val="single"/>
        </w:rPr>
        <w:t xml:space="preserve">      </w:t>
      </w:r>
      <w:r>
        <w:rPr>
          <w:rFonts w:ascii="宋体" w:hAnsi="宋体" w:cs="宋体"/>
          <w:color w:val="auto"/>
          <w:sz w:val="24"/>
        </w:rPr>
        <w:t>)</w:t>
      </w:r>
      <w:r>
        <w:rPr>
          <w:rFonts w:hint="eastAsia" w:ascii="宋体" w:hAnsi="宋体" w:cs="宋体"/>
          <w:color w:val="auto"/>
          <w:sz w:val="24"/>
        </w:rPr>
        <w:t>的采购结果、采购文件、成交通知书及投标文件，经甲乙双方协商一致，签订本合同。</w:t>
      </w:r>
    </w:p>
    <w:p w14:paraId="20E9FC37">
      <w:pPr>
        <w:pStyle w:val="75"/>
        <w:numPr>
          <w:ilvl w:val="0"/>
          <w:numId w:val="3"/>
        </w:numPr>
        <w:spacing w:line="440" w:lineRule="exact"/>
        <w:ind w:firstLineChars="0"/>
        <w:rPr>
          <w:rFonts w:ascii="宋体" w:hAnsi="宋体" w:cs="宋体"/>
          <w:color w:val="auto"/>
          <w:sz w:val="24"/>
          <w:szCs w:val="24"/>
        </w:rPr>
      </w:pPr>
      <w:r>
        <w:rPr>
          <w:rFonts w:hint="eastAsia" w:ascii="宋体" w:hAnsi="宋体" w:cs="宋体"/>
          <w:color w:val="auto"/>
          <w:sz w:val="24"/>
          <w:szCs w:val="24"/>
        </w:rPr>
        <w:t>合同的标的物</w:t>
      </w:r>
    </w:p>
    <w:p w14:paraId="360D4DF7">
      <w:pPr>
        <w:spacing w:line="440" w:lineRule="exact"/>
        <w:ind w:firstLine="480" w:firstLineChars="200"/>
        <w:rPr>
          <w:rFonts w:ascii="宋体" w:hAnsi="宋体" w:cs="宋体"/>
          <w:color w:val="auto"/>
          <w:kern w:val="0"/>
          <w:sz w:val="24"/>
        </w:rPr>
      </w:pPr>
      <w:r>
        <w:rPr>
          <w:rFonts w:ascii="宋体" w:hAnsi="宋体" w:cs="宋体"/>
          <w:color w:val="auto"/>
          <w:kern w:val="0"/>
          <w:sz w:val="24"/>
        </w:rPr>
        <w:t>1.1</w:t>
      </w:r>
      <w:r>
        <w:rPr>
          <w:rFonts w:hint="eastAsia" w:ascii="宋体" w:hAnsi="宋体" w:cs="宋体"/>
          <w:color w:val="auto"/>
          <w:kern w:val="0"/>
          <w:sz w:val="24"/>
        </w:rPr>
        <w:t>甲方向乙方采购标的物，具体的品种、规格要求详见合同。</w:t>
      </w:r>
    </w:p>
    <w:p w14:paraId="7D5AAB54">
      <w:pPr>
        <w:spacing w:line="440" w:lineRule="exact"/>
        <w:ind w:firstLine="480" w:firstLineChars="200"/>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rPr>
        <w:t>2</w:t>
      </w:r>
      <w:r>
        <w:rPr>
          <w:rFonts w:ascii="宋体" w:hAnsi="宋体" w:cs="宋体"/>
          <w:color w:val="auto"/>
          <w:kern w:val="0"/>
          <w:sz w:val="24"/>
        </w:rPr>
        <w:t xml:space="preserve"> </w:t>
      </w:r>
      <w:r>
        <w:rPr>
          <w:rFonts w:hint="eastAsia" w:ascii="宋体" w:hAnsi="宋体" w:cs="宋体"/>
          <w:color w:val="auto"/>
          <w:kern w:val="0"/>
          <w:sz w:val="24"/>
        </w:rPr>
        <w:t>乙方对提供的标的物应当拥有完整的物权，并且负有保证第三人不得向甲方主张任何权利（包括知识产权）的义务。</w:t>
      </w:r>
    </w:p>
    <w:p w14:paraId="16A11154">
      <w:pPr>
        <w:spacing w:line="440" w:lineRule="exact"/>
        <w:ind w:firstLine="420"/>
        <w:rPr>
          <w:rFonts w:ascii="宋体"/>
          <w:color w:val="auto"/>
          <w:kern w:val="0"/>
          <w:sz w:val="24"/>
        </w:rPr>
      </w:pPr>
      <w:r>
        <w:rPr>
          <w:rFonts w:hint="eastAsia" w:ascii="宋体" w:hAnsi="宋体" w:cs="宋体"/>
          <w:color w:val="auto"/>
          <w:kern w:val="0"/>
          <w:sz w:val="24"/>
        </w:rPr>
        <w:t>二、合同价格与支付</w:t>
      </w:r>
    </w:p>
    <w:p w14:paraId="24121373">
      <w:pPr>
        <w:spacing w:line="440" w:lineRule="exact"/>
        <w:rPr>
          <w:rFonts w:ascii="宋体" w:hAnsi="宋体" w:cs="宋体"/>
          <w:color w:val="auto"/>
          <w:kern w:val="0"/>
          <w:sz w:val="24"/>
        </w:rPr>
      </w:pPr>
      <w:r>
        <w:rPr>
          <w:rFonts w:ascii="宋体" w:hAnsi="宋体" w:cs="宋体"/>
          <w:color w:val="auto"/>
          <w:kern w:val="0"/>
          <w:sz w:val="24"/>
        </w:rPr>
        <w:t xml:space="preserve">2.1 </w:t>
      </w:r>
      <w:r>
        <w:rPr>
          <w:rFonts w:hint="eastAsia" w:ascii="宋体" w:hAnsi="宋体" w:cs="宋体"/>
          <w:color w:val="auto"/>
          <w:kern w:val="0"/>
          <w:sz w:val="24"/>
        </w:rPr>
        <w:t>合同价格按此次成交价格执行，合同总金额为人民币</w:t>
      </w:r>
      <w:r>
        <w:rPr>
          <w:rFonts w:ascii="宋体" w:hAnsi="宋体" w:cs="宋体"/>
          <w:color w:val="auto"/>
          <w:sz w:val="24"/>
        </w:rPr>
        <w:t>¥</w:t>
      </w:r>
      <w:r>
        <w:rPr>
          <w:rFonts w:ascii="宋体" w:hAnsi="宋体" w:cs="宋体"/>
          <w:color w:val="auto"/>
          <w:kern w:val="0"/>
          <w:sz w:val="24"/>
          <w:u w:val="single"/>
        </w:rPr>
        <w:t xml:space="preserve">      </w:t>
      </w:r>
      <w:r>
        <w:rPr>
          <w:rFonts w:hint="eastAsia" w:ascii="宋体" w:hAnsi="宋体" w:cs="宋体"/>
          <w:color w:val="auto"/>
          <w:kern w:val="0"/>
          <w:sz w:val="24"/>
        </w:rPr>
        <w:t>元整，大写：</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r>
        <w:rPr>
          <w:rFonts w:hint="eastAsia" w:ascii="宋体" w:hAnsi="宋体" w:cs="宋体"/>
          <w:b/>
          <w:color w:val="auto"/>
          <w:sz w:val="24"/>
        </w:rPr>
        <w:t>(合同价应包含软件、安装、调试、使用培训、后台持续更新、质保期技术服务及合同包含的所有风险、责任等各项应有费用)。</w:t>
      </w:r>
      <w:r>
        <w:rPr>
          <w:rFonts w:hint="eastAsia" w:ascii="宋体" w:hAnsi="宋体" w:cs="宋体"/>
          <w:color w:val="auto"/>
          <w:kern w:val="0"/>
          <w:sz w:val="24"/>
        </w:rPr>
        <w:t>设备清单如下：</w:t>
      </w:r>
    </w:p>
    <w:tbl>
      <w:tblPr>
        <w:tblStyle w:val="36"/>
        <w:tblW w:w="520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55"/>
        <w:gridCol w:w="1103"/>
        <w:gridCol w:w="2824"/>
        <w:gridCol w:w="654"/>
        <w:gridCol w:w="654"/>
        <w:gridCol w:w="1641"/>
        <w:gridCol w:w="1634"/>
      </w:tblGrid>
      <w:tr w14:paraId="7EADDB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53" w:type="pct"/>
            <w:shd w:val="clear" w:color="auto" w:fill="FFFFFF"/>
            <w:tcMar>
              <w:top w:w="75" w:type="dxa"/>
              <w:left w:w="150" w:type="dxa"/>
              <w:bottom w:w="75" w:type="dxa"/>
              <w:right w:w="150" w:type="dxa"/>
            </w:tcMar>
            <w:vAlign w:val="center"/>
          </w:tcPr>
          <w:p w14:paraId="188B08D0">
            <w:pPr>
              <w:pStyle w:val="32"/>
              <w:spacing w:before="0" w:beforeAutospacing="0" w:after="0" w:afterAutospacing="0"/>
              <w:jc w:val="center"/>
              <w:rPr>
                <w:rStyle w:val="39"/>
                <w:rFonts w:ascii="仿宋" w:hAnsi="仿宋" w:eastAsia="仿宋" w:cs="仿宋"/>
                <w:color w:val="auto"/>
                <w:kern w:val="2"/>
              </w:rPr>
            </w:pPr>
            <w:r>
              <w:rPr>
                <w:rStyle w:val="39"/>
                <w:rFonts w:hint="eastAsia" w:ascii="仿宋" w:hAnsi="仿宋" w:eastAsia="仿宋" w:cs="仿宋"/>
                <w:color w:val="auto"/>
                <w:kern w:val="2"/>
              </w:rPr>
              <w:t>序号</w:t>
            </w:r>
          </w:p>
        </w:tc>
        <w:tc>
          <w:tcPr>
            <w:tcW w:w="615" w:type="pct"/>
            <w:tcBorders>
              <w:right w:val="single" w:color="auto" w:sz="4" w:space="0"/>
            </w:tcBorders>
            <w:shd w:val="clear" w:color="auto" w:fill="FFFFFF"/>
            <w:tcMar>
              <w:top w:w="75" w:type="dxa"/>
              <w:left w:w="150" w:type="dxa"/>
              <w:bottom w:w="75" w:type="dxa"/>
              <w:right w:w="150" w:type="dxa"/>
            </w:tcMar>
            <w:vAlign w:val="center"/>
          </w:tcPr>
          <w:p w14:paraId="3F380FA7">
            <w:pPr>
              <w:spacing w:line="360" w:lineRule="exact"/>
              <w:jc w:val="center"/>
              <w:rPr>
                <w:rFonts w:ascii="仿宋" w:hAnsi="仿宋" w:eastAsia="仿宋" w:cs="仿宋"/>
                <w:color w:val="auto"/>
                <w:sz w:val="24"/>
              </w:rPr>
            </w:pPr>
            <w:r>
              <w:rPr>
                <w:rFonts w:hint="eastAsia" w:ascii="仿宋" w:hAnsi="仿宋" w:eastAsia="仿宋" w:cs="仿宋"/>
                <w:color w:val="auto"/>
                <w:sz w:val="24"/>
              </w:rPr>
              <w:t xml:space="preserve">货物  </w:t>
            </w:r>
          </w:p>
          <w:p w14:paraId="12253F25">
            <w:pPr>
              <w:pStyle w:val="32"/>
              <w:spacing w:before="0" w:beforeAutospacing="0" w:after="0" w:afterAutospacing="0"/>
              <w:jc w:val="center"/>
              <w:rPr>
                <w:rFonts w:ascii="仿宋" w:hAnsi="仿宋" w:eastAsia="仿宋" w:cs="仿宋"/>
                <w:b/>
                <w:bCs/>
                <w:color w:val="auto"/>
                <w:kern w:val="2"/>
              </w:rPr>
            </w:pPr>
            <w:r>
              <w:rPr>
                <w:rFonts w:hint="eastAsia" w:ascii="仿宋" w:hAnsi="仿宋" w:eastAsia="仿宋" w:cs="仿宋"/>
                <w:color w:val="auto"/>
              </w:rPr>
              <w:t>名称</w:t>
            </w:r>
          </w:p>
        </w:tc>
        <w:tc>
          <w:tcPr>
            <w:tcW w:w="1575" w:type="pct"/>
            <w:tcBorders>
              <w:left w:val="single" w:color="auto" w:sz="4" w:space="0"/>
            </w:tcBorders>
            <w:shd w:val="clear" w:color="auto" w:fill="FFFFFF"/>
            <w:tcMar>
              <w:top w:w="75" w:type="dxa"/>
              <w:left w:w="150" w:type="dxa"/>
              <w:bottom w:w="75" w:type="dxa"/>
              <w:right w:w="150" w:type="dxa"/>
            </w:tcMar>
            <w:vAlign w:val="center"/>
          </w:tcPr>
          <w:p w14:paraId="66654161">
            <w:pPr>
              <w:pStyle w:val="32"/>
              <w:spacing w:before="0" w:beforeAutospacing="0" w:after="0" w:afterAutospacing="0"/>
              <w:jc w:val="center"/>
              <w:rPr>
                <w:rStyle w:val="39"/>
                <w:rFonts w:ascii="仿宋" w:hAnsi="仿宋" w:eastAsia="仿宋" w:cs="仿宋"/>
                <w:color w:val="auto"/>
                <w:kern w:val="2"/>
              </w:rPr>
            </w:pPr>
            <w:r>
              <w:rPr>
                <w:rFonts w:hint="eastAsia" w:ascii="仿宋" w:hAnsi="仿宋" w:eastAsia="仿宋" w:cs="仿宋"/>
                <w:color w:val="auto"/>
              </w:rPr>
              <w:t>品牌、规格、型号、配置</w:t>
            </w:r>
          </w:p>
        </w:tc>
        <w:tc>
          <w:tcPr>
            <w:tcW w:w="365" w:type="pct"/>
            <w:shd w:val="clear" w:color="auto" w:fill="FFFFFF"/>
            <w:tcMar>
              <w:top w:w="75" w:type="dxa"/>
              <w:left w:w="150" w:type="dxa"/>
              <w:bottom w:w="75" w:type="dxa"/>
              <w:right w:w="150" w:type="dxa"/>
            </w:tcMar>
            <w:vAlign w:val="center"/>
          </w:tcPr>
          <w:p w14:paraId="058E04FD">
            <w:pPr>
              <w:pStyle w:val="32"/>
              <w:spacing w:before="0" w:beforeAutospacing="0" w:after="0" w:afterAutospacing="0"/>
              <w:jc w:val="center"/>
              <w:rPr>
                <w:rFonts w:ascii="仿宋" w:hAnsi="仿宋" w:eastAsia="仿宋" w:cs="仿宋"/>
                <w:color w:val="auto"/>
                <w:kern w:val="2"/>
              </w:rPr>
            </w:pPr>
            <w:r>
              <w:rPr>
                <w:rStyle w:val="39"/>
                <w:rFonts w:hint="eastAsia" w:ascii="仿宋" w:hAnsi="仿宋" w:eastAsia="仿宋" w:cs="仿宋"/>
                <w:color w:val="auto"/>
                <w:kern w:val="2"/>
              </w:rPr>
              <w:t>数量</w:t>
            </w:r>
          </w:p>
        </w:tc>
        <w:tc>
          <w:tcPr>
            <w:tcW w:w="365" w:type="pct"/>
            <w:shd w:val="clear" w:color="auto" w:fill="FFFFFF"/>
            <w:tcMar>
              <w:top w:w="75" w:type="dxa"/>
              <w:left w:w="150" w:type="dxa"/>
              <w:bottom w:w="75" w:type="dxa"/>
              <w:right w:w="150" w:type="dxa"/>
            </w:tcMar>
            <w:vAlign w:val="center"/>
          </w:tcPr>
          <w:p w14:paraId="2F7F4579">
            <w:pPr>
              <w:pStyle w:val="32"/>
              <w:spacing w:before="0" w:beforeAutospacing="0" w:after="0" w:afterAutospacing="0"/>
              <w:jc w:val="center"/>
              <w:rPr>
                <w:rFonts w:ascii="仿宋" w:hAnsi="仿宋" w:eastAsia="仿宋" w:cs="仿宋"/>
                <w:color w:val="auto"/>
                <w:kern w:val="2"/>
              </w:rPr>
            </w:pPr>
            <w:r>
              <w:rPr>
                <w:rStyle w:val="39"/>
                <w:rFonts w:hint="eastAsia" w:ascii="仿宋" w:hAnsi="仿宋" w:eastAsia="仿宋" w:cs="仿宋"/>
                <w:color w:val="auto"/>
                <w:kern w:val="2"/>
              </w:rPr>
              <w:t>单位</w:t>
            </w:r>
          </w:p>
        </w:tc>
        <w:tc>
          <w:tcPr>
            <w:tcW w:w="915" w:type="pct"/>
            <w:shd w:val="clear" w:color="auto" w:fill="FFFFFF"/>
            <w:tcMar>
              <w:top w:w="75" w:type="dxa"/>
              <w:left w:w="150" w:type="dxa"/>
              <w:bottom w:w="75" w:type="dxa"/>
              <w:right w:w="150" w:type="dxa"/>
            </w:tcMar>
            <w:vAlign w:val="center"/>
          </w:tcPr>
          <w:p w14:paraId="0FE3E60D">
            <w:pPr>
              <w:pStyle w:val="32"/>
              <w:spacing w:before="0" w:beforeAutospacing="0" w:after="0" w:afterAutospacing="0"/>
              <w:jc w:val="center"/>
              <w:rPr>
                <w:rStyle w:val="39"/>
                <w:rFonts w:ascii="仿宋" w:hAnsi="仿宋" w:eastAsia="仿宋" w:cs="仿宋"/>
                <w:color w:val="auto"/>
                <w:kern w:val="2"/>
              </w:rPr>
            </w:pPr>
            <w:r>
              <w:rPr>
                <w:rStyle w:val="39"/>
                <w:rFonts w:hint="eastAsia" w:ascii="仿宋" w:hAnsi="仿宋" w:eastAsia="仿宋" w:cs="仿宋"/>
                <w:color w:val="auto"/>
                <w:kern w:val="2"/>
              </w:rPr>
              <w:t>单价</w:t>
            </w:r>
          </w:p>
        </w:tc>
        <w:tc>
          <w:tcPr>
            <w:tcW w:w="911" w:type="pct"/>
            <w:shd w:val="clear" w:color="auto" w:fill="FFFFFF"/>
            <w:tcMar>
              <w:top w:w="75" w:type="dxa"/>
              <w:left w:w="150" w:type="dxa"/>
              <w:bottom w:w="75" w:type="dxa"/>
              <w:right w:w="150" w:type="dxa"/>
            </w:tcMar>
            <w:vAlign w:val="center"/>
          </w:tcPr>
          <w:p w14:paraId="0536E44D">
            <w:pPr>
              <w:pStyle w:val="32"/>
              <w:spacing w:before="0" w:beforeAutospacing="0" w:after="0" w:afterAutospacing="0"/>
              <w:jc w:val="center"/>
              <w:rPr>
                <w:rStyle w:val="39"/>
                <w:rFonts w:ascii="仿宋" w:hAnsi="仿宋" w:eastAsia="仿宋" w:cs="仿宋"/>
                <w:color w:val="auto"/>
                <w:kern w:val="2"/>
              </w:rPr>
            </w:pPr>
            <w:r>
              <w:rPr>
                <w:rStyle w:val="39"/>
                <w:rFonts w:hint="eastAsia" w:ascii="仿宋" w:hAnsi="仿宋" w:eastAsia="仿宋" w:cs="仿宋"/>
                <w:color w:val="auto"/>
                <w:kern w:val="2"/>
              </w:rPr>
              <w:t>总价</w:t>
            </w:r>
          </w:p>
        </w:tc>
      </w:tr>
      <w:tr w14:paraId="6B706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53" w:type="pct"/>
            <w:shd w:val="clear" w:color="auto" w:fill="FFFFFF"/>
            <w:tcMar>
              <w:top w:w="75" w:type="dxa"/>
              <w:left w:w="150" w:type="dxa"/>
              <w:bottom w:w="75" w:type="dxa"/>
              <w:right w:w="150" w:type="dxa"/>
            </w:tcMar>
            <w:vAlign w:val="center"/>
          </w:tcPr>
          <w:p w14:paraId="5F701D9D">
            <w:pPr>
              <w:pStyle w:val="32"/>
              <w:spacing w:before="0" w:beforeAutospacing="0" w:after="0" w:afterAutospacing="0"/>
              <w:jc w:val="center"/>
              <w:rPr>
                <w:rFonts w:ascii="仿宋" w:hAnsi="仿宋" w:eastAsia="仿宋" w:cs="仿宋"/>
                <w:color w:val="auto"/>
                <w:kern w:val="2"/>
              </w:rPr>
            </w:pPr>
            <w:r>
              <w:rPr>
                <w:rFonts w:hint="eastAsia" w:ascii="仿宋" w:hAnsi="仿宋" w:eastAsia="仿宋" w:cs="仿宋"/>
                <w:color w:val="auto"/>
                <w:kern w:val="2"/>
              </w:rPr>
              <w:t>1</w:t>
            </w:r>
          </w:p>
        </w:tc>
        <w:tc>
          <w:tcPr>
            <w:tcW w:w="612" w:type="pct"/>
            <w:shd w:val="clear" w:color="auto" w:fill="FFFFFF"/>
            <w:tcMar>
              <w:top w:w="75" w:type="dxa"/>
              <w:left w:w="150" w:type="dxa"/>
              <w:bottom w:w="75" w:type="dxa"/>
              <w:right w:w="150" w:type="dxa"/>
            </w:tcMar>
            <w:vAlign w:val="center"/>
          </w:tcPr>
          <w:p w14:paraId="24C54C1E">
            <w:pPr>
              <w:pStyle w:val="32"/>
              <w:spacing w:before="0" w:beforeAutospacing="0" w:after="0" w:afterAutospacing="0"/>
              <w:jc w:val="center"/>
              <w:rPr>
                <w:rFonts w:ascii="仿宋" w:hAnsi="仿宋" w:eastAsia="仿宋" w:cs="仿宋"/>
                <w:color w:val="auto"/>
                <w:kern w:val="2"/>
              </w:rPr>
            </w:pPr>
          </w:p>
        </w:tc>
        <w:tc>
          <w:tcPr>
            <w:tcW w:w="1575" w:type="pct"/>
            <w:shd w:val="clear" w:color="auto" w:fill="FFFFFF"/>
            <w:vAlign w:val="center"/>
          </w:tcPr>
          <w:p w14:paraId="54E7C8B3">
            <w:pPr>
              <w:pStyle w:val="32"/>
              <w:spacing w:before="0" w:beforeAutospacing="0" w:after="0" w:afterAutospacing="0"/>
              <w:jc w:val="both"/>
              <w:rPr>
                <w:rFonts w:ascii="仿宋" w:hAnsi="仿宋" w:eastAsia="仿宋" w:cs="仿宋"/>
                <w:color w:val="auto"/>
                <w:kern w:val="2"/>
              </w:rPr>
            </w:pPr>
          </w:p>
        </w:tc>
        <w:tc>
          <w:tcPr>
            <w:tcW w:w="365" w:type="pct"/>
            <w:shd w:val="clear" w:color="auto" w:fill="FFFFFF"/>
            <w:tcMar>
              <w:top w:w="75" w:type="dxa"/>
              <w:left w:w="150" w:type="dxa"/>
              <w:bottom w:w="75" w:type="dxa"/>
              <w:right w:w="150" w:type="dxa"/>
            </w:tcMar>
            <w:vAlign w:val="center"/>
          </w:tcPr>
          <w:p w14:paraId="0AB2CD05">
            <w:pPr>
              <w:pStyle w:val="32"/>
              <w:spacing w:before="0" w:beforeAutospacing="0" w:after="0" w:afterAutospacing="0"/>
              <w:jc w:val="center"/>
              <w:rPr>
                <w:rFonts w:ascii="仿宋" w:hAnsi="仿宋" w:eastAsia="仿宋" w:cs="仿宋"/>
                <w:color w:val="auto"/>
                <w:kern w:val="2"/>
              </w:rPr>
            </w:pPr>
          </w:p>
        </w:tc>
        <w:tc>
          <w:tcPr>
            <w:tcW w:w="365" w:type="pct"/>
            <w:shd w:val="clear" w:color="auto" w:fill="FFFFFF"/>
            <w:tcMar>
              <w:top w:w="75" w:type="dxa"/>
              <w:left w:w="150" w:type="dxa"/>
              <w:bottom w:w="75" w:type="dxa"/>
              <w:right w:w="150" w:type="dxa"/>
            </w:tcMar>
            <w:vAlign w:val="center"/>
          </w:tcPr>
          <w:p w14:paraId="01259150">
            <w:pPr>
              <w:pStyle w:val="32"/>
              <w:spacing w:before="0" w:beforeAutospacing="0" w:after="0" w:afterAutospacing="0"/>
              <w:jc w:val="center"/>
              <w:rPr>
                <w:rFonts w:ascii="仿宋" w:hAnsi="仿宋" w:eastAsia="仿宋" w:cs="仿宋"/>
                <w:color w:val="auto"/>
                <w:kern w:val="2"/>
              </w:rPr>
            </w:pPr>
          </w:p>
        </w:tc>
        <w:tc>
          <w:tcPr>
            <w:tcW w:w="915" w:type="pct"/>
            <w:shd w:val="clear" w:color="auto" w:fill="FFFFFF"/>
            <w:tcMar>
              <w:top w:w="75" w:type="dxa"/>
              <w:left w:w="150" w:type="dxa"/>
              <w:bottom w:w="75" w:type="dxa"/>
              <w:right w:w="150" w:type="dxa"/>
            </w:tcMar>
            <w:vAlign w:val="center"/>
          </w:tcPr>
          <w:p w14:paraId="2FD01C9D">
            <w:pPr>
              <w:pStyle w:val="32"/>
              <w:spacing w:before="0" w:beforeAutospacing="0" w:after="0" w:afterAutospacing="0"/>
              <w:jc w:val="center"/>
              <w:rPr>
                <w:rFonts w:ascii="仿宋" w:hAnsi="仿宋" w:eastAsia="仿宋" w:cs="仿宋"/>
                <w:color w:val="auto"/>
                <w:kern w:val="2"/>
              </w:rPr>
            </w:pPr>
          </w:p>
        </w:tc>
        <w:tc>
          <w:tcPr>
            <w:tcW w:w="911" w:type="pct"/>
            <w:shd w:val="clear" w:color="auto" w:fill="FFFFFF"/>
            <w:tcMar>
              <w:top w:w="75" w:type="dxa"/>
              <w:left w:w="150" w:type="dxa"/>
              <w:bottom w:w="75" w:type="dxa"/>
              <w:right w:w="150" w:type="dxa"/>
            </w:tcMar>
            <w:vAlign w:val="center"/>
          </w:tcPr>
          <w:p w14:paraId="15B53597">
            <w:pPr>
              <w:pStyle w:val="32"/>
              <w:spacing w:before="0" w:beforeAutospacing="0" w:after="0" w:afterAutospacing="0"/>
              <w:jc w:val="center"/>
              <w:rPr>
                <w:rFonts w:ascii="仿宋" w:hAnsi="仿宋" w:eastAsia="仿宋" w:cs="仿宋"/>
                <w:color w:val="auto"/>
                <w:kern w:val="2"/>
              </w:rPr>
            </w:pPr>
          </w:p>
        </w:tc>
      </w:tr>
      <w:tr w14:paraId="77F548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53" w:type="pct"/>
            <w:shd w:val="clear" w:color="auto" w:fill="FFFFFF"/>
            <w:tcMar>
              <w:top w:w="75" w:type="dxa"/>
              <w:left w:w="150" w:type="dxa"/>
              <w:bottom w:w="75" w:type="dxa"/>
              <w:right w:w="150" w:type="dxa"/>
            </w:tcMar>
            <w:vAlign w:val="center"/>
          </w:tcPr>
          <w:p w14:paraId="5B58AA14">
            <w:pPr>
              <w:pStyle w:val="32"/>
              <w:spacing w:before="0" w:beforeAutospacing="0" w:after="0" w:afterAutospacing="0"/>
              <w:jc w:val="center"/>
              <w:rPr>
                <w:rFonts w:ascii="仿宋" w:hAnsi="仿宋" w:eastAsia="仿宋" w:cs="仿宋"/>
                <w:color w:val="auto"/>
                <w:kern w:val="2"/>
              </w:rPr>
            </w:pPr>
            <w:r>
              <w:rPr>
                <w:rFonts w:hint="eastAsia" w:ascii="仿宋" w:hAnsi="仿宋" w:eastAsia="仿宋" w:cs="仿宋"/>
                <w:color w:val="auto"/>
                <w:kern w:val="2"/>
              </w:rPr>
              <w:t>2</w:t>
            </w:r>
          </w:p>
        </w:tc>
        <w:tc>
          <w:tcPr>
            <w:tcW w:w="612" w:type="pct"/>
            <w:shd w:val="clear" w:color="auto" w:fill="FFFFFF"/>
            <w:tcMar>
              <w:top w:w="75" w:type="dxa"/>
              <w:left w:w="150" w:type="dxa"/>
              <w:bottom w:w="75" w:type="dxa"/>
              <w:right w:w="150" w:type="dxa"/>
            </w:tcMar>
            <w:vAlign w:val="center"/>
          </w:tcPr>
          <w:p w14:paraId="0DCC87EE">
            <w:pPr>
              <w:pStyle w:val="32"/>
              <w:spacing w:before="0" w:beforeAutospacing="0" w:after="0" w:afterAutospacing="0"/>
              <w:jc w:val="center"/>
              <w:rPr>
                <w:rFonts w:ascii="仿宋" w:hAnsi="仿宋" w:eastAsia="仿宋" w:cs="仿宋"/>
                <w:color w:val="auto"/>
                <w:kern w:val="2"/>
              </w:rPr>
            </w:pPr>
          </w:p>
        </w:tc>
        <w:tc>
          <w:tcPr>
            <w:tcW w:w="1575" w:type="pct"/>
            <w:shd w:val="clear" w:color="auto" w:fill="FFFFFF"/>
            <w:vAlign w:val="center"/>
          </w:tcPr>
          <w:p w14:paraId="04165BD9">
            <w:pPr>
              <w:pStyle w:val="32"/>
              <w:spacing w:before="0" w:beforeAutospacing="0" w:after="0" w:afterAutospacing="0"/>
              <w:jc w:val="both"/>
              <w:rPr>
                <w:rFonts w:ascii="仿宋" w:hAnsi="仿宋" w:eastAsia="仿宋" w:cs="仿宋"/>
                <w:color w:val="auto"/>
                <w:kern w:val="2"/>
              </w:rPr>
            </w:pPr>
          </w:p>
        </w:tc>
        <w:tc>
          <w:tcPr>
            <w:tcW w:w="365" w:type="pct"/>
            <w:shd w:val="clear" w:color="auto" w:fill="FFFFFF"/>
            <w:tcMar>
              <w:top w:w="75" w:type="dxa"/>
              <w:left w:w="150" w:type="dxa"/>
              <w:bottom w:w="75" w:type="dxa"/>
              <w:right w:w="150" w:type="dxa"/>
            </w:tcMar>
            <w:vAlign w:val="center"/>
          </w:tcPr>
          <w:p w14:paraId="49D8E3BE">
            <w:pPr>
              <w:pStyle w:val="32"/>
              <w:spacing w:before="0" w:beforeAutospacing="0" w:after="0" w:afterAutospacing="0"/>
              <w:jc w:val="center"/>
              <w:rPr>
                <w:rFonts w:ascii="仿宋" w:hAnsi="仿宋" w:eastAsia="仿宋" w:cs="仿宋"/>
                <w:color w:val="auto"/>
                <w:kern w:val="2"/>
              </w:rPr>
            </w:pPr>
          </w:p>
        </w:tc>
        <w:tc>
          <w:tcPr>
            <w:tcW w:w="365" w:type="pct"/>
            <w:shd w:val="clear" w:color="auto" w:fill="FFFFFF"/>
            <w:tcMar>
              <w:top w:w="75" w:type="dxa"/>
              <w:left w:w="150" w:type="dxa"/>
              <w:bottom w:w="75" w:type="dxa"/>
              <w:right w:w="150" w:type="dxa"/>
            </w:tcMar>
            <w:vAlign w:val="center"/>
          </w:tcPr>
          <w:p w14:paraId="799D066E">
            <w:pPr>
              <w:pStyle w:val="32"/>
              <w:spacing w:before="0" w:beforeAutospacing="0" w:after="0" w:afterAutospacing="0"/>
              <w:jc w:val="center"/>
              <w:rPr>
                <w:rFonts w:ascii="仿宋" w:hAnsi="仿宋" w:eastAsia="仿宋" w:cs="仿宋"/>
                <w:color w:val="auto"/>
                <w:kern w:val="2"/>
              </w:rPr>
            </w:pPr>
          </w:p>
        </w:tc>
        <w:tc>
          <w:tcPr>
            <w:tcW w:w="915" w:type="pct"/>
            <w:shd w:val="clear" w:color="auto" w:fill="FFFFFF"/>
            <w:tcMar>
              <w:top w:w="75" w:type="dxa"/>
              <w:left w:w="150" w:type="dxa"/>
              <w:bottom w:w="75" w:type="dxa"/>
              <w:right w:w="150" w:type="dxa"/>
            </w:tcMar>
            <w:vAlign w:val="center"/>
          </w:tcPr>
          <w:p w14:paraId="6B28A83D">
            <w:pPr>
              <w:pStyle w:val="32"/>
              <w:spacing w:before="0" w:beforeAutospacing="0" w:after="0" w:afterAutospacing="0"/>
              <w:jc w:val="center"/>
              <w:rPr>
                <w:rFonts w:ascii="仿宋" w:hAnsi="仿宋" w:eastAsia="仿宋" w:cs="仿宋"/>
                <w:color w:val="auto"/>
                <w:kern w:val="2"/>
              </w:rPr>
            </w:pPr>
          </w:p>
        </w:tc>
        <w:tc>
          <w:tcPr>
            <w:tcW w:w="911" w:type="pct"/>
            <w:shd w:val="clear" w:color="auto" w:fill="FFFFFF"/>
            <w:tcMar>
              <w:top w:w="75" w:type="dxa"/>
              <w:left w:w="150" w:type="dxa"/>
              <w:bottom w:w="75" w:type="dxa"/>
              <w:right w:w="150" w:type="dxa"/>
            </w:tcMar>
            <w:vAlign w:val="center"/>
          </w:tcPr>
          <w:p w14:paraId="2F638543">
            <w:pPr>
              <w:pStyle w:val="32"/>
              <w:spacing w:before="0" w:beforeAutospacing="0" w:after="0" w:afterAutospacing="0"/>
              <w:jc w:val="center"/>
              <w:rPr>
                <w:rFonts w:ascii="仿宋" w:hAnsi="仿宋" w:eastAsia="仿宋" w:cs="仿宋"/>
                <w:color w:val="auto"/>
                <w:kern w:val="2"/>
              </w:rPr>
            </w:pPr>
          </w:p>
        </w:tc>
      </w:tr>
      <w:tr w14:paraId="7DA602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53" w:type="pct"/>
            <w:shd w:val="clear" w:color="auto" w:fill="FFFFFF"/>
            <w:tcMar>
              <w:top w:w="75" w:type="dxa"/>
              <w:left w:w="150" w:type="dxa"/>
              <w:bottom w:w="75" w:type="dxa"/>
              <w:right w:w="150" w:type="dxa"/>
            </w:tcMar>
            <w:vAlign w:val="center"/>
          </w:tcPr>
          <w:p w14:paraId="24C4D89F">
            <w:pPr>
              <w:pStyle w:val="32"/>
              <w:spacing w:before="0" w:beforeAutospacing="0" w:after="0" w:afterAutospacing="0"/>
              <w:jc w:val="center"/>
              <w:rPr>
                <w:rFonts w:ascii="仿宋" w:hAnsi="仿宋" w:eastAsia="仿宋" w:cs="仿宋"/>
                <w:color w:val="auto"/>
                <w:kern w:val="2"/>
              </w:rPr>
            </w:pPr>
            <w:r>
              <w:rPr>
                <w:rFonts w:hint="eastAsia" w:ascii="仿宋" w:hAnsi="仿宋" w:eastAsia="仿宋" w:cs="仿宋"/>
                <w:color w:val="auto"/>
                <w:kern w:val="2"/>
              </w:rPr>
              <w:t>3</w:t>
            </w:r>
          </w:p>
        </w:tc>
        <w:tc>
          <w:tcPr>
            <w:tcW w:w="612" w:type="pct"/>
            <w:shd w:val="clear" w:color="auto" w:fill="FFFFFF"/>
            <w:tcMar>
              <w:top w:w="75" w:type="dxa"/>
              <w:left w:w="150" w:type="dxa"/>
              <w:bottom w:w="75" w:type="dxa"/>
              <w:right w:w="150" w:type="dxa"/>
            </w:tcMar>
            <w:vAlign w:val="center"/>
          </w:tcPr>
          <w:p w14:paraId="6AE3D337">
            <w:pPr>
              <w:pStyle w:val="32"/>
              <w:spacing w:before="0" w:beforeAutospacing="0" w:after="0" w:afterAutospacing="0"/>
              <w:jc w:val="center"/>
              <w:rPr>
                <w:rFonts w:ascii="仿宋" w:hAnsi="仿宋" w:eastAsia="仿宋" w:cs="仿宋"/>
                <w:color w:val="auto"/>
                <w:kern w:val="2"/>
              </w:rPr>
            </w:pPr>
          </w:p>
        </w:tc>
        <w:tc>
          <w:tcPr>
            <w:tcW w:w="1575" w:type="pct"/>
            <w:shd w:val="clear" w:color="auto" w:fill="FFFFFF"/>
            <w:vAlign w:val="center"/>
          </w:tcPr>
          <w:p w14:paraId="54685668">
            <w:pPr>
              <w:pStyle w:val="32"/>
              <w:spacing w:before="0" w:beforeAutospacing="0" w:after="0" w:afterAutospacing="0"/>
              <w:jc w:val="both"/>
              <w:rPr>
                <w:rFonts w:ascii="仿宋" w:hAnsi="仿宋" w:eastAsia="仿宋" w:cs="仿宋"/>
                <w:color w:val="auto"/>
                <w:kern w:val="2"/>
              </w:rPr>
            </w:pPr>
          </w:p>
        </w:tc>
        <w:tc>
          <w:tcPr>
            <w:tcW w:w="365" w:type="pct"/>
            <w:shd w:val="clear" w:color="auto" w:fill="FFFFFF"/>
            <w:tcMar>
              <w:top w:w="75" w:type="dxa"/>
              <w:left w:w="150" w:type="dxa"/>
              <w:bottom w:w="75" w:type="dxa"/>
              <w:right w:w="150" w:type="dxa"/>
            </w:tcMar>
            <w:vAlign w:val="center"/>
          </w:tcPr>
          <w:p w14:paraId="60B7054C">
            <w:pPr>
              <w:pStyle w:val="32"/>
              <w:spacing w:before="0" w:beforeAutospacing="0" w:after="0" w:afterAutospacing="0"/>
              <w:jc w:val="center"/>
              <w:rPr>
                <w:rFonts w:ascii="仿宋" w:hAnsi="仿宋" w:eastAsia="仿宋" w:cs="仿宋"/>
                <w:color w:val="auto"/>
                <w:kern w:val="2"/>
              </w:rPr>
            </w:pPr>
          </w:p>
        </w:tc>
        <w:tc>
          <w:tcPr>
            <w:tcW w:w="365" w:type="pct"/>
            <w:shd w:val="clear" w:color="auto" w:fill="FFFFFF"/>
            <w:tcMar>
              <w:top w:w="75" w:type="dxa"/>
              <w:left w:w="150" w:type="dxa"/>
              <w:bottom w:w="75" w:type="dxa"/>
              <w:right w:w="150" w:type="dxa"/>
            </w:tcMar>
            <w:vAlign w:val="center"/>
          </w:tcPr>
          <w:p w14:paraId="0E9593EB">
            <w:pPr>
              <w:pStyle w:val="32"/>
              <w:spacing w:before="0" w:beforeAutospacing="0" w:after="0" w:afterAutospacing="0"/>
              <w:jc w:val="center"/>
              <w:rPr>
                <w:rFonts w:ascii="仿宋" w:hAnsi="仿宋" w:eastAsia="仿宋" w:cs="仿宋"/>
                <w:color w:val="auto"/>
                <w:kern w:val="2"/>
              </w:rPr>
            </w:pPr>
          </w:p>
        </w:tc>
        <w:tc>
          <w:tcPr>
            <w:tcW w:w="915" w:type="pct"/>
            <w:shd w:val="clear" w:color="auto" w:fill="FFFFFF"/>
            <w:tcMar>
              <w:top w:w="75" w:type="dxa"/>
              <w:left w:w="150" w:type="dxa"/>
              <w:bottom w:w="75" w:type="dxa"/>
              <w:right w:w="150" w:type="dxa"/>
            </w:tcMar>
            <w:vAlign w:val="center"/>
          </w:tcPr>
          <w:p w14:paraId="4AD8A47B">
            <w:pPr>
              <w:pStyle w:val="32"/>
              <w:spacing w:before="0" w:beforeAutospacing="0" w:after="0" w:afterAutospacing="0"/>
              <w:jc w:val="center"/>
              <w:rPr>
                <w:rFonts w:ascii="仿宋" w:hAnsi="仿宋" w:eastAsia="仿宋" w:cs="仿宋"/>
                <w:color w:val="auto"/>
                <w:kern w:val="2"/>
              </w:rPr>
            </w:pPr>
          </w:p>
        </w:tc>
        <w:tc>
          <w:tcPr>
            <w:tcW w:w="911" w:type="pct"/>
            <w:shd w:val="clear" w:color="auto" w:fill="FFFFFF"/>
            <w:tcMar>
              <w:top w:w="75" w:type="dxa"/>
              <w:left w:w="150" w:type="dxa"/>
              <w:bottom w:w="75" w:type="dxa"/>
              <w:right w:w="150" w:type="dxa"/>
            </w:tcMar>
            <w:vAlign w:val="center"/>
          </w:tcPr>
          <w:p w14:paraId="36DEEA9D">
            <w:pPr>
              <w:pStyle w:val="32"/>
              <w:spacing w:before="0" w:beforeAutospacing="0" w:after="0" w:afterAutospacing="0"/>
              <w:jc w:val="center"/>
              <w:rPr>
                <w:rFonts w:ascii="仿宋" w:hAnsi="仿宋" w:eastAsia="仿宋" w:cs="仿宋"/>
                <w:color w:val="auto"/>
                <w:kern w:val="2"/>
              </w:rPr>
            </w:pPr>
          </w:p>
        </w:tc>
      </w:tr>
      <w:tr w14:paraId="0ED002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53" w:type="pct"/>
            <w:shd w:val="clear" w:color="auto" w:fill="FFFFFF"/>
            <w:tcMar>
              <w:top w:w="75" w:type="dxa"/>
              <w:left w:w="150" w:type="dxa"/>
              <w:bottom w:w="75" w:type="dxa"/>
              <w:right w:w="150" w:type="dxa"/>
            </w:tcMar>
            <w:vAlign w:val="center"/>
          </w:tcPr>
          <w:p w14:paraId="74E7A743">
            <w:pPr>
              <w:pStyle w:val="32"/>
              <w:spacing w:before="0" w:beforeAutospacing="0" w:after="0" w:afterAutospacing="0"/>
              <w:jc w:val="center"/>
              <w:rPr>
                <w:rFonts w:ascii="仿宋" w:hAnsi="仿宋" w:eastAsia="仿宋" w:cs="仿宋"/>
                <w:color w:val="auto"/>
                <w:kern w:val="2"/>
              </w:rPr>
            </w:pPr>
            <w:r>
              <w:rPr>
                <w:rFonts w:hint="eastAsia" w:ascii="仿宋" w:hAnsi="仿宋" w:eastAsia="仿宋" w:cs="仿宋"/>
                <w:color w:val="auto"/>
                <w:kern w:val="2"/>
              </w:rPr>
              <w:t>4</w:t>
            </w:r>
          </w:p>
        </w:tc>
        <w:tc>
          <w:tcPr>
            <w:tcW w:w="1" w:type="pct"/>
            <w:gridSpan w:val="6"/>
            <w:shd w:val="clear" w:color="auto" w:fill="FFFFFF"/>
            <w:tcMar>
              <w:top w:w="75" w:type="dxa"/>
              <w:left w:w="150" w:type="dxa"/>
              <w:bottom w:w="75" w:type="dxa"/>
              <w:right w:w="150" w:type="dxa"/>
            </w:tcMar>
            <w:vAlign w:val="center"/>
          </w:tcPr>
          <w:p w14:paraId="3F5C0D31">
            <w:pPr>
              <w:pStyle w:val="32"/>
              <w:spacing w:before="0" w:beforeAutospacing="0" w:after="0" w:afterAutospacing="0"/>
              <w:jc w:val="center"/>
              <w:rPr>
                <w:rFonts w:ascii="仿宋" w:hAnsi="仿宋" w:eastAsia="仿宋" w:cs="仿宋"/>
                <w:color w:val="auto"/>
                <w:kern w:val="2"/>
              </w:rPr>
            </w:pPr>
            <w:r>
              <w:rPr>
                <w:rFonts w:hint="eastAsia" w:ascii="仿宋" w:hAnsi="仿宋" w:eastAsia="仿宋" w:cs="仿宋"/>
                <w:color w:val="auto"/>
                <w:kern w:val="2"/>
              </w:rPr>
              <w:t>合计（人民币：小写：</w:t>
            </w:r>
            <w:r>
              <w:rPr>
                <w:rFonts w:ascii="仿宋" w:hAnsi="仿宋" w:eastAsia="仿宋" w:cs="仿宋"/>
                <w:color w:val="auto"/>
                <w:kern w:val="2"/>
              </w:rPr>
              <w:t xml:space="preserve">      </w:t>
            </w:r>
            <w:r>
              <w:rPr>
                <w:rFonts w:hint="eastAsia" w:ascii="仿宋" w:hAnsi="仿宋" w:eastAsia="仿宋" w:cs="仿宋"/>
                <w:color w:val="auto"/>
                <w:kern w:val="2"/>
              </w:rPr>
              <w:t xml:space="preserve">元        大写： </w:t>
            </w:r>
            <w:r>
              <w:rPr>
                <w:rFonts w:ascii="仿宋" w:hAnsi="仿宋" w:eastAsia="仿宋" w:cs="仿宋"/>
                <w:color w:val="auto"/>
                <w:kern w:val="2"/>
              </w:rPr>
              <w:t xml:space="preserve">     </w:t>
            </w:r>
            <w:r>
              <w:rPr>
                <w:rFonts w:hint="eastAsia" w:ascii="仿宋" w:hAnsi="仿宋" w:eastAsia="仿宋" w:cs="仿宋"/>
                <w:color w:val="auto"/>
                <w:kern w:val="2"/>
              </w:rPr>
              <w:t>）</w:t>
            </w:r>
          </w:p>
        </w:tc>
      </w:tr>
    </w:tbl>
    <w:p w14:paraId="35AF475E">
      <w:pPr>
        <w:snapToGrid w:val="0"/>
        <w:spacing w:line="440" w:lineRule="exact"/>
        <w:ind w:firstLine="420"/>
        <w:rPr>
          <w:rFonts w:ascii="宋体"/>
          <w:color w:val="auto"/>
          <w:sz w:val="24"/>
        </w:rPr>
      </w:pPr>
      <w:r>
        <w:rPr>
          <w:rFonts w:ascii="宋体" w:hAnsi="宋体" w:cs="宋体"/>
          <w:color w:val="auto"/>
          <w:sz w:val="24"/>
        </w:rPr>
        <w:t>2.2</w:t>
      </w:r>
      <w:r>
        <w:rPr>
          <w:rFonts w:hint="eastAsia" w:ascii="宋体" w:hAnsi="宋体" w:cs="宋体"/>
          <w:color w:val="auto"/>
          <w:sz w:val="24"/>
        </w:rPr>
        <w:t>付款方式：</w:t>
      </w:r>
    </w:p>
    <w:p w14:paraId="0C322211">
      <w:pPr>
        <w:pStyle w:val="32"/>
        <w:spacing w:before="0" w:beforeAutospacing="0" w:after="0" w:afterAutospacing="0" w:line="440" w:lineRule="exact"/>
        <w:ind w:firstLine="420"/>
        <w:jc w:val="both"/>
        <w:rPr>
          <w:color w:val="auto"/>
          <w:kern w:val="2"/>
        </w:rPr>
      </w:pPr>
      <w:r>
        <w:rPr>
          <w:rFonts w:hint="eastAsia"/>
          <w:color w:val="auto"/>
          <w:kern w:val="2"/>
        </w:rPr>
        <w:t>合同签订后, 产品设备安装调试完毕经验收合格后，采购单位将支付合同总额</w:t>
      </w:r>
      <w:r>
        <w:rPr>
          <w:color w:val="auto"/>
          <w:kern w:val="2"/>
        </w:rPr>
        <w:t>95</w:t>
      </w:r>
      <w:r>
        <w:rPr>
          <w:rFonts w:hint="eastAsia"/>
          <w:color w:val="auto"/>
          <w:kern w:val="2"/>
        </w:rPr>
        <w:t>%（同时退还履约保证金）。余款合同价5%待验收合格满伍年后一次性付清。</w:t>
      </w:r>
    </w:p>
    <w:p w14:paraId="3041BDF0">
      <w:pPr>
        <w:pStyle w:val="32"/>
        <w:spacing w:before="0" w:beforeAutospacing="0" w:after="0" w:afterAutospacing="0" w:line="440" w:lineRule="exact"/>
        <w:ind w:firstLine="420"/>
        <w:jc w:val="both"/>
        <w:rPr>
          <w:color w:val="auto"/>
          <w:kern w:val="2"/>
          <w:sz w:val="21"/>
          <w:szCs w:val="21"/>
        </w:rPr>
      </w:pPr>
      <w:r>
        <w:rPr>
          <w:rFonts w:hint="eastAsia"/>
          <w:color w:val="auto"/>
          <w:kern w:val="2"/>
        </w:rPr>
        <w:t>以上付款均不计利息。由甲方按相关财务支付规定办理支付手续。不得故意拖延支付时间。</w:t>
      </w:r>
    </w:p>
    <w:p w14:paraId="444A2EED">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三、质量要求</w:t>
      </w:r>
    </w:p>
    <w:p w14:paraId="703AECE5">
      <w:pPr>
        <w:spacing w:line="440" w:lineRule="exact"/>
        <w:ind w:firstLine="480" w:firstLineChars="200"/>
        <w:rPr>
          <w:rFonts w:ascii="宋体" w:hAnsi="宋体" w:cs="宋体"/>
          <w:color w:val="auto"/>
          <w:sz w:val="24"/>
        </w:rPr>
      </w:pPr>
      <w:r>
        <w:rPr>
          <w:rFonts w:hint="eastAsia" w:ascii="宋体" w:hAnsi="宋体" w:cs="宋体"/>
          <w:color w:val="auto"/>
          <w:sz w:val="24"/>
        </w:rPr>
        <w:t>3.1乙方提供的设备必须是原厂商全新、未使用过的原装合格正品，随机资料完整。型号、性能及指标满足招标文件提出的有关技术、质量、规格和性能的要求，达到国家或行业规定的标准，实行生产许可证制度的，应提供生产许可证；属于国家强制认证的产品，必须通过认证。</w:t>
      </w:r>
    </w:p>
    <w:p w14:paraId="013A77BF">
      <w:pPr>
        <w:spacing w:line="440" w:lineRule="exact"/>
        <w:ind w:firstLine="480" w:firstLineChars="200"/>
        <w:rPr>
          <w:rFonts w:ascii="宋体" w:hAnsi="宋体" w:cs="宋体"/>
          <w:color w:val="auto"/>
          <w:sz w:val="24"/>
        </w:rPr>
      </w:pPr>
      <w:r>
        <w:rPr>
          <w:rFonts w:hint="eastAsia" w:ascii="宋体" w:hAnsi="宋体" w:cs="宋体"/>
          <w:color w:val="auto"/>
          <w:sz w:val="24"/>
        </w:rPr>
        <w:t>3.2所有产品（设备）在开箱检验时必须完好，无破损，配置与装箱单相符。数量、质量及性能不低于本采购需求书中提出的要求。</w:t>
      </w:r>
    </w:p>
    <w:p w14:paraId="2068494F">
      <w:pPr>
        <w:spacing w:line="440" w:lineRule="exact"/>
        <w:ind w:firstLine="480" w:firstLineChars="200"/>
        <w:rPr>
          <w:rFonts w:ascii="宋体" w:hAnsi="宋体" w:cs="宋体"/>
          <w:color w:val="auto"/>
          <w:sz w:val="24"/>
        </w:rPr>
      </w:pPr>
      <w:r>
        <w:rPr>
          <w:rFonts w:hint="eastAsia" w:ascii="宋体" w:hAnsi="宋体" w:cs="宋体"/>
          <w:color w:val="auto"/>
          <w:sz w:val="24"/>
        </w:rPr>
        <w:t>3.3设备外观清洁，标记编号以及盘面显示等字体清晰，明确。铭牌、使用指示、警告指示应以中文或英文及易懂的通用符号来表示；应准确无误地表明设备之型号、规格、制造厂及生产或出厂日期。</w:t>
      </w:r>
    </w:p>
    <w:p w14:paraId="07408A4F">
      <w:pPr>
        <w:snapToGrid w:val="0"/>
        <w:spacing w:line="440" w:lineRule="exact"/>
        <w:ind w:firstLine="480" w:firstLineChars="200"/>
        <w:rPr>
          <w:rFonts w:ascii="宋体"/>
          <w:color w:val="auto"/>
          <w:sz w:val="24"/>
        </w:rPr>
      </w:pPr>
      <w:r>
        <w:rPr>
          <w:rFonts w:hint="eastAsia" w:ascii="宋体" w:hAnsi="宋体" w:cs="宋体"/>
          <w:color w:val="auto"/>
          <w:sz w:val="24"/>
        </w:rPr>
        <w:t>四、售后服务及其他</w:t>
      </w:r>
    </w:p>
    <w:p w14:paraId="02069E6C">
      <w:pPr>
        <w:spacing w:line="440" w:lineRule="exact"/>
        <w:ind w:firstLine="480" w:firstLineChars="200"/>
        <w:rPr>
          <w:rFonts w:ascii="宋体"/>
          <w:color w:val="auto"/>
          <w:sz w:val="24"/>
        </w:rPr>
      </w:pPr>
      <w:r>
        <w:rPr>
          <w:rFonts w:ascii="宋体" w:hAnsi="宋体" w:cs="宋体"/>
          <w:color w:val="auto"/>
          <w:sz w:val="24"/>
        </w:rPr>
        <w:t>4.</w:t>
      </w:r>
      <w:r>
        <w:rPr>
          <w:rFonts w:hint="eastAsia" w:ascii="宋体" w:hAnsi="宋体" w:cs="宋体"/>
          <w:color w:val="auto"/>
          <w:sz w:val="24"/>
        </w:rPr>
        <w:t>1 乙方负责安装、调试、验收，并承担因此发生的一切费用。</w:t>
      </w:r>
    </w:p>
    <w:p w14:paraId="7C65B410">
      <w:pPr>
        <w:spacing w:line="440" w:lineRule="exact"/>
        <w:ind w:firstLine="480" w:firstLineChars="200"/>
        <w:rPr>
          <w:rFonts w:ascii="宋体"/>
          <w:color w:val="auto"/>
          <w:sz w:val="24"/>
        </w:rPr>
      </w:pPr>
      <w:r>
        <w:rPr>
          <w:rFonts w:ascii="宋体" w:hAnsi="宋体" w:cs="宋体"/>
          <w:color w:val="auto"/>
          <w:sz w:val="24"/>
        </w:rPr>
        <w:t>4.</w:t>
      </w:r>
      <w:r>
        <w:rPr>
          <w:rFonts w:hint="eastAsia" w:ascii="宋体" w:hAnsi="宋体" w:cs="宋体"/>
          <w:color w:val="auto"/>
          <w:sz w:val="24"/>
        </w:rPr>
        <w:t xml:space="preserve">2 </w:t>
      </w:r>
      <w:r>
        <w:rPr>
          <w:rFonts w:hint="eastAsia" w:ascii="宋体"/>
          <w:color w:val="auto"/>
          <w:sz w:val="24"/>
        </w:rPr>
        <w:t>免费质保期自验收合格之日起计算，本项目乙方提供原厂整体</w:t>
      </w:r>
      <w:r>
        <w:rPr>
          <w:rFonts w:ascii="宋体"/>
          <w:color w:val="auto"/>
          <w:sz w:val="24"/>
          <w:u w:val="single"/>
        </w:rPr>
        <w:t xml:space="preserve">    </w:t>
      </w:r>
      <w:r>
        <w:rPr>
          <w:rFonts w:hint="eastAsia" w:ascii="宋体"/>
          <w:color w:val="auto"/>
          <w:sz w:val="24"/>
        </w:rPr>
        <w:t>年的免费质保。质保包括远程诊断服务、系统管理咨询服务、应急处理服务等，质保期内联系方式（7*24小时）联系人</w:t>
      </w:r>
      <w:r>
        <w:rPr>
          <w:rFonts w:hint="eastAsia" w:ascii="宋体"/>
          <w:color w:val="auto"/>
          <w:sz w:val="24"/>
          <w:u w:val="single"/>
        </w:rPr>
        <w:t xml:space="preserve">  </w:t>
      </w:r>
      <w:r>
        <w:rPr>
          <w:rFonts w:ascii="宋体"/>
          <w:color w:val="auto"/>
          <w:sz w:val="24"/>
          <w:u w:val="single"/>
        </w:rPr>
        <w:t xml:space="preserve">  </w:t>
      </w:r>
      <w:r>
        <w:rPr>
          <w:rFonts w:hint="eastAsia" w:ascii="宋体"/>
          <w:color w:val="auto"/>
          <w:sz w:val="24"/>
          <w:u w:val="single"/>
        </w:rPr>
        <w:t xml:space="preserve"> </w:t>
      </w:r>
      <w:r>
        <w:rPr>
          <w:rFonts w:hint="eastAsia" w:ascii="宋体"/>
          <w:color w:val="auto"/>
          <w:sz w:val="24"/>
        </w:rPr>
        <w:t>，联系电话</w:t>
      </w:r>
      <w:r>
        <w:rPr>
          <w:rFonts w:hint="eastAsia" w:ascii="宋体"/>
          <w:color w:val="auto"/>
          <w:sz w:val="24"/>
          <w:u w:val="single"/>
        </w:rPr>
        <w:t xml:space="preserve"> </w:t>
      </w:r>
      <w:r>
        <w:rPr>
          <w:rFonts w:ascii="宋体"/>
          <w:color w:val="auto"/>
          <w:sz w:val="24"/>
          <w:u w:val="single"/>
        </w:rPr>
        <w:t xml:space="preserve">    </w:t>
      </w:r>
      <w:r>
        <w:rPr>
          <w:rFonts w:hint="eastAsia" w:ascii="宋体"/>
          <w:color w:val="auto"/>
          <w:sz w:val="24"/>
          <w:u w:val="single"/>
        </w:rPr>
        <w:t xml:space="preserve"> </w:t>
      </w:r>
      <w:r>
        <w:rPr>
          <w:rFonts w:hint="eastAsia" w:ascii="宋体"/>
          <w:color w:val="auto"/>
          <w:sz w:val="24"/>
        </w:rPr>
        <w:t>；</w:t>
      </w:r>
      <w:r>
        <w:rPr>
          <w:rFonts w:ascii="宋体"/>
          <w:color w:val="auto"/>
          <w:sz w:val="24"/>
        </w:rPr>
        <w:t>提供终身7×24小时售后服务专线支持；质保期内在发生故障后接到用户通知后30分钟响应</w:t>
      </w:r>
      <w:r>
        <w:rPr>
          <w:rFonts w:hint="eastAsia" w:ascii="宋体"/>
          <w:color w:val="auto"/>
          <w:sz w:val="24"/>
        </w:rPr>
        <w:t>，1</w:t>
      </w:r>
      <w:r>
        <w:rPr>
          <w:rFonts w:ascii="宋体"/>
          <w:color w:val="auto"/>
          <w:sz w:val="24"/>
        </w:rPr>
        <w:t>小时内派出工程技术人员到达现场进行维护，24小时内排除故障</w:t>
      </w:r>
      <w:r>
        <w:rPr>
          <w:rFonts w:hint="eastAsia" w:ascii="宋体"/>
          <w:color w:val="auto"/>
          <w:sz w:val="24"/>
        </w:rPr>
        <w:t>；</w:t>
      </w:r>
      <w:r>
        <w:rPr>
          <w:rFonts w:ascii="宋体"/>
          <w:color w:val="auto"/>
          <w:sz w:val="24"/>
        </w:rPr>
        <w:t>如遇硬件产品（设备）故障，无法在4小时内修复的，应提供临时备件予以替换，确保系统8小时内正常运行</w:t>
      </w:r>
      <w:r>
        <w:rPr>
          <w:rFonts w:hint="eastAsia" w:ascii="宋体"/>
          <w:color w:val="auto"/>
          <w:sz w:val="24"/>
        </w:rPr>
        <w:t>；当涉及更换设备或备件时，所换设备或备件将自更换之日起继续享有规定的质保，以上服务所产生的所有费用由乙方承担。</w:t>
      </w:r>
    </w:p>
    <w:p w14:paraId="4F6F817F">
      <w:pPr>
        <w:pStyle w:val="32"/>
        <w:spacing w:before="0" w:beforeAutospacing="0" w:after="0" w:afterAutospacing="0" w:line="440" w:lineRule="exact"/>
        <w:ind w:firstLine="420"/>
        <w:jc w:val="both"/>
        <w:rPr>
          <w:color w:val="auto"/>
          <w:kern w:val="2"/>
        </w:rPr>
      </w:pPr>
      <w:r>
        <w:rPr>
          <w:rFonts w:hint="eastAsia"/>
          <w:color w:val="auto"/>
        </w:rPr>
        <w:t>4.3</w:t>
      </w:r>
      <w:r>
        <w:rPr>
          <w:rFonts w:hint="eastAsia"/>
          <w:color w:val="auto"/>
          <w:kern w:val="2"/>
        </w:rPr>
        <w:t>在质保期结束前，双方代表对产品进行一次全面检查，任何缺陷由乙方负责处理，将缺陷原因、修理内容、完成修理和恢复时间等以书面形式告知甲方，并须得到甲方认可。</w:t>
      </w:r>
    </w:p>
    <w:p w14:paraId="0B672D42">
      <w:pPr>
        <w:pStyle w:val="32"/>
        <w:spacing w:before="0" w:beforeAutospacing="0" w:after="0" w:afterAutospacing="0" w:line="440" w:lineRule="exact"/>
        <w:ind w:firstLine="420"/>
        <w:jc w:val="both"/>
        <w:rPr>
          <w:color w:val="auto"/>
          <w:kern w:val="2"/>
        </w:rPr>
      </w:pPr>
      <w:r>
        <w:rPr>
          <w:rFonts w:hint="eastAsia"/>
          <w:color w:val="auto"/>
          <w:kern w:val="2"/>
        </w:rPr>
        <w:t>4.4设备在质保期内发生产品设备及装修故障，乙方应及时予以响应，免费上门服务。质保期上述所有服务及零部件更换、运输等一切相关费用均为免费，否则甲方将自行采取必要的措施，由此产生风险和费用应由乙方承担。质保期满后仍需向甲方提供只计成本的维护服务。</w:t>
      </w:r>
    </w:p>
    <w:p w14:paraId="78BA9415">
      <w:pPr>
        <w:pStyle w:val="32"/>
        <w:spacing w:before="0" w:beforeAutospacing="0" w:after="0" w:afterAutospacing="0" w:line="440" w:lineRule="exact"/>
        <w:ind w:firstLine="420"/>
        <w:jc w:val="both"/>
        <w:rPr>
          <w:color w:val="auto"/>
          <w:kern w:val="2"/>
          <w:sz w:val="21"/>
          <w:szCs w:val="21"/>
        </w:rPr>
      </w:pPr>
      <w:r>
        <w:rPr>
          <w:rFonts w:hint="eastAsia"/>
          <w:color w:val="auto"/>
          <w:kern w:val="2"/>
        </w:rPr>
        <w:t>4.5在质保期内同一硬件一个月内连续3次出现同一故障，乙方须无偿更换同一档次设备。</w:t>
      </w:r>
    </w:p>
    <w:p w14:paraId="3C0A46F6">
      <w:pPr>
        <w:spacing w:line="440" w:lineRule="exact"/>
        <w:ind w:firstLine="480" w:firstLineChars="200"/>
        <w:rPr>
          <w:rFonts w:ascii="宋体"/>
          <w:color w:val="auto"/>
          <w:sz w:val="24"/>
        </w:rPr>
      </w:pPr>
      <w:r>
        <w:rPr>
          <w:rFonts w:hint="eastAsia" w:ascii="宋体" w:hAnsi="宋体" w:cs="宋体"/>
          <w:color w:val="auto"/>
          <w:sz w:val="24"/>
        </w:rPr>
        <w:t>五、交货及安装调试</w:t>
      </w:r>
    </w:p>
    <w:p w14:paraId="3FA07A9E">
      <w:pPr>
        <w:spacing w:line="440" w:lineRule="exact"/>
        <w:ind w:firstLine="480" w:firstLineChars="200"/>
        <w:rPr>
          <w:rFonts w:ascii="宋体"/>
          <w:color w:val="auto"/>
          <w:sz w:val="24"/>
        </w:rPr>
      </w:pPr>
      <w:r>
        <w:rPr>
          <w:rFonts w:ascii="宋体" w:hAnsi="宋体" w:cs="宋体"/>
          <w:color w:val="auto"/>
          <w:sz w:val="24"/>
        </w:rPr>
        <w:t>5.1</w:t>
      </w:r>
      <w:r>
        <w:rPr>
          <w:rFonts w:hint="eastAsia" w:ascii="宋体" w:hAnsi="宋体" w:cs="宋体"/>
          <w:color w:val="auto"/>
          <w:sz w:val="24"/>
        </w:rPr>
        <w:t xml:space="preserve"> 交货时间为合同签订之日起</w:t>
      </w:r>
      <w:r>
        <w:rPr>
          <w:rFonts w:ascii="宋体" w:hAnsi="宋体" w:cs="宋体"/>
          <w:color w:val="auto"/>
          <w:sz w:val="24"/>
          <w:u w:val="single"/>
        </w:rPr>
        <w:t xml:space="preserve">      </w:t>
      </w:r>
      <w:r>
        <w:rPr>
          <w:rFonts w:hint="eastAsia" w:ascii="宋体" w:hAnsi="宋体" w:cs="宋体"/>
          <w:color w:val="auto"/>
          <w:sz w:val="24"/>
        </w:rPr>
        <w:t>天（日历天）内安装调试结束并交付使用。安装调试工作不得干扰正常教学秩序。</w:t>
      </w:r>
    </w:p>
    <w:p w14:paraId="4D45A39E">
      <w:pPr>
        <w:spacing w:line="440" w:lineRule="exact"/>
        <w:ind w:firstLine="480" w:firstLineChars="200"/>
        <w:rPr>
          <w:rFonts w:ascii="宋体"/>
          <w:color w:val="auto"/>
          <w:sz w:val="24"/>
        </w:rPr>
      </w:pPr>
      <w:r>
        <w:rPr>
          <w:rFonts w:ascii="宋体" w:hAnsi="宋体" w:cs="宋体"/>
          <w:color w:val="auto"/>
          <w:sz w:val="24"/>
        </w:rPr>
        <w:t>5.2</w:t>
      </w:r>
      <w:r>
        <w:rPr>
          <w:rFonts w:hint="eastAsia" w:ascii="宋体" w:hAnsi="宋体" w:cs="宋体"/>
          <w:color w:val="auto"/>
          <w:sz w:val="24"/>
        </w:rPr>
        <w:t xml:space="preserve"> 所有货物须按合同指定地点、时间前安装调试合格并交付使用。</w:t>
      </w:r>
    </w:p>
    <w:p w14:paraId="509D2B39">
      <w:pPr>
        <w:spacing w:line="440" w:lineRule="exact"/>
        <w:ind w:firstLine="480" w:firstLineChars="200"/>
        <w:rPr>
          <w:rFonts w:ascii="宋体"/>
          <w:color w:val="auto"/>
          <w:sz w:val="24"/>
        </w:rPr>
      </w:pPr>
      <w:r>
        <w:rPr>
          <w:rFonts w:ascii="宋体" w:hAnsi="宋体" w:cs="宋体"/>
          <w:color w:val="auto"/>
          <w:sz w:val="24"/>
        </w:rPr>
        <w:t>5.3</w:t>
      </w:r>
      <w:r>
        <w:rPr>
          <w:rFonts w:hint="eastAsia" w:ascii="宋体" w:hAnsi="宋体" w:cs="宋体"/>
          <w:color w:val="auto"/>
          <w:sz w:val="24"/>
        </w:rPr>
        <w:t xml:space="preserve"> 须负责进行安装调试服务并承担因此发生的一切费用。</w:t>
      </w:r>
    </w:p>
    <w:p w14:paraId="02C0E903">
      <w:pPr>
        <w:spacing w:line="440" w:lineRule="exact"/>
        <w:ind w:firstLine="480" w:firstLineChars="200"/>
        <w:rPr>
          <w:rFonts w:ascii="宋体"/>
          <w:color w:val="auto"/>
          <w:sz w:val="24"/>
        </w:rPr>
      </w:pPr>
      <w:r>
        <w:rPr>
          <w:rFonts w:hint="eastAsia" w:ascii="宋体" w:hAnsi="宋体" w:cs="宋体"/>
          <w:color w:val="auto"/>
          <w:sz w:val="24"/>
        </w:rPr>
        <w:t>六、验收要求</w:t>
      </w:r>
    </w:p>
    <w:p w14:paraId="0F7D7119">
      <w:pPr>
        <w:spacing w:line="440" w:lineRule="exact"/>
        <w:ind w:firstLine="480" w:firstLineChars="200"/>
        <w:rPr>
          <w:rFonts w:ascii="宋体"/>
          <w:color w:val="auto"/>
          <w:sz w:val="24"/>
        </w:rPr>
      </w:pPr>
      <w:r>
        <w:rPr>
          <w:rFonts w:ascii="宋体" w:hAnsi="宋体" w:cs="宋体"/>
          <w:color w:val="auto"/>
          <w:sz w:val="24"/>
        </w:rPr>
        <w:t>6</w:t>
      </w:r>
      <w:r>
        <w:rPr>
          <w:rFonts w:hint="eastAsia" w:ascii="宋体" w:hAnsi="宋体" w:cs="宋体"/>
          <w:color w:val="auto"/>
          <w:sz w:val="24"/>
        </w:rPr>
        <w:t>.1甲方有权检测验收，如验收不合格，甲方有权终止合同，拒收未供产品，甲方保留追究因此造成的一切损失的权利。</w:t>
      </w:r>
    </w:p>
    <w:p w14:paraId="0F14141D">
      <w:pPr>
        <w:spacing w:line="440" w:lineRule="exact"/>
        <w:ind w:firstLine="480" w:firstLineChars="200"/>
        <w:rPr>
          <w:rFonts w:ascii="宋体" w:hAnsi="宋体" w:cs="宋体"/>
          <w:color w:val="auto"/>
          <w:sz w:val="24"/>
        </w:rPr>
      </w:pPr>
      <w:r>
        <w:rPr>
          <w:rFonts w:ascii="宋体" w:hAnsi="宋体" w:cs="宋体"/>
          <w:color w:val="auto"/>
          <w:sz w:val="24"/>
        </w:rPr>
        <w:t>6</w:t>
      </w:r>
      <w:r>
        <w:rPr>
          <w:rFonts w:hint="eastAsia" w:ascii="宋体" w:hAnsi="宋体" w:cs="宋体"/>
          <w:color w:val="auto"/>
          <w:sz w:val="24"/>
        </w:rPr>
        <w:t>.2如现场不能解决的故障问题，须提供故障不能排除时的解决方案。</w:t>
      </w:r>
    </w:p>
    <w:p w14:paraId="20EC69E0">
      <w:pPr>
        <w:spacing w:line="440" w:lineRule="exact"/>
        <w:ind w:firstLine="480" w:firstLineChars="200"/>
        <w:rPr>
          <w:rFonts w:ascii="宋体" w:hAnsi="宋体" w:cs="宋体"/>
          <w:color w:val="auto"/>
          <w:sz w:val="24"/>
        </w:rPr>
      </w:pPr>
      <w:r>
        <w:rPr>
          <w:rFonts w:hint="eastAsia" w:ascii="宋体" w:hAnsi="宋体" w:cs="宋体"/>
          <w:color w:val="auto"/>
          <w:sz w:val="24"/>
        </w:rPr>
        <w:t>6</w:t>
      </w:r>
      <w:r>
        <w:rPr>
          <w:rFonts w:ascii="宋体" w:hAnsi="宋体" w:cs="宋体"/>
          <w:color w:val="auto"/>
          <w:sz w:val="24"/>
        </w:rPr>
        <w:t>.3</w:t>
      </w:r>
      <w:r>
        <w:rPr>
          <w:rFonts w:hint="eastAsia" w:ascii="宋体" w:hAnsi="宋体" w:cs="宋体"/>
          <w:color w:val="auto"/>
          <w:sz w:val="24"/>
        </w:rPr>
        <w:t>项目交付前，乙方应向甲方提供完整的项目文件。</w:t>
      </w:r>
    </w:p>
    <w:p w14:paraId="5F83224A">
      <w:pPr>
        <w:spacing w:line="440" w:lineRule="exact"/>
        <w:ind w:firstLine="480" w:firstLineChars="200"/>
        <w:rPr>
          <w:rFonts w:ascii="宋体"/>
          <w:color w:val="auto"/>
          <w:sz w:val="24"/>
        </w:rPr>
      </w:pPr>
      <w:r>
        <w:rPr>
          <w:rFonts w:hint="eastAsia" w:ascii="宋体" w:hAnsi="宋体" w:cs="宋体"/>
          <w:color w:val="auto"/>
          <w:sz w:val="24"/>
          <w:szCs w:val="22"/>
        </w:rPr>
        <w:t>6.</w:t>
      </w:r>
      <w:r>
        <w:rPr>
          <w:rFonts w:ascii="宋体" w:hAnsi="宋体" w:cs="宋体"/>
          <w:color w:val="auto"/>
          <w:sz w:val="24"/>
          <w:szCs w:val="22"/>
        </w:rPr>
        <w:t>4</w:t>
      </w:r>
      <w:r>
        <w:rPr>
          <w:rFonts w:hint="eastAsia" w:ascii="宋体" w:hAnsi="宋体" w:cs="宋体"/>
          <w:color w:val="auto"/>
          <w:sz w:val="24"/>
          <w:szCs w:val="22"/>
        </w:rPr>
        <w:t>乙方</w:t>
      </w:r>
      <w:r>
        <w:rPr>
          <w:rFonts w:hint="eastAsia" w:ascii="宋体" w:hAnsi="宋体"/>
          <w:color w:val="auto"/>
          <w:kern w:val="0"/>
          <w:sz w:val="24"/>
        </w:rPr>
        <w:t>履约到位、以书面形式向甲方提出验收申请后，甲方及时组织相关专业技术人员共同参与验收，并出具验收报告，作为支付货款的依据。</w:t>
      </w:r>
    </w:p>
    <w:p w14:paraId="6447BAD5">
      <w:pPr>
        <w:spacing w:line="440" w:lineRule="exact"/>
        <w:ind w:firstLine="484" w:firstLineChars="202"/>
        <w:rPr>
          <w:rFonts w:ascii="宋体"/>
          <w:color w:val="auto"/>
          <w:kern w:val="0"/>
          <w:sz w:val="24"/>
        </w:rPr>
      </w:pPr>
      <w:r>
        <w:rPr>
          <w:rFonts w:hint="eastAsia" w:ascii="宋体" w:hAnsi="宋体" w:cs="宋体"/>
          <w:color w:val="auto"/>
          <w:kern w:val="0"/>
          <w:sz w:val="24"/>
        </w:rPr>
        <w:t>七、违约责任</w:t>
      </w:r>
    </w:p>
    <w:p w14:paraId="7F2C56F1">
      <w:pPr>
        <w:spacing w:line="440" w:lineRule="exact"/>
        <w:ind w:firstLine="484" w:firstLineChars="202"/>
        <w:rPr>
          <w:rFonts w:ascii="宋体"/>
          <w:color w:val="auto"/>
          <w:kern w:val="0"/>
          <w:sz w:val="24"/>
        </w:rPr>
      </w:pPr>
      <w:r>
        <w:rPr>
          <w:rFonts w:hint="eastAsia" w:ascii="宋体" w:hAnsi="宋体" w:cs="宋体"/>
          <w:color w:val="auto"/>
          <w:kern w:val="0"/>
          <w:sz w:val="24"/>
        </w:rPr>
        <w:t>合同一方不履行合同义务或者履行合同义务不符合约定的，应当承担继续履行、采取补救措施或赔偿损失等违约责任。</w:t>
      </w:r>
    </w:p>
    <w:p w14:paraId="6F04972A">
      <w:pPr>
        <w:spacing w:line="440" w:lineRule="exact"/>
        <w:ind w:firstLine="484" w:firstLineChars="202"/>
        <w:rPr>
          <w:rFonts w:ascii="宋体"/>
          <w:color w:val="auto"/>
          <w:kern w:val="0"/>
          <w:sz w:val="24"/>
        </w:rPr>
      </w:pPr>
      <w:r>
        <w:rPr>
          <w:rFonts w:ascii="宋体" w:hAnsi="宋体" w:cs="宋体"/>
          <w:color w:val="auto"/>
          <w:kern w:val="0"/>
          <w:sz w:val="24"/>
        </w:rPr>
        <w:t>7.1</w:t>
      </w:r>
      <w:r>
        <w:rPr>
          <w:rFonts w:hint="eastAsia" w:ascii="宋体" w:hAnsi="宋体" w:cs="宋体"/>
          <w:color w:val="auto"/>
          <w:kern w:val="0"/>
          <w:sz w:val="24"/>
        </w:rPr>
        <w:t>甲方违约责任</w:t>
      </w:r>
    </w:p>
    <w:p w14:paraId="6C3E0F39">
      <w:pPr>
        <w:spacing w:line="440" w:lineRule="exact"/>
        <w:ind w:firstLine="484" w:firstLineChars="202"/>
        <w:rPr>
          <w:rFonts w:ascii="宋体"/>
          <w:color w:val="auto"/>
          <w:kern w:val="0"/>
          <w:sz w:val="24"/>
        </w:rPr>
      </w:pPr>
      <w:r>
        <w:rPr>
          <w:rFonts w:ascii="宋体" w:hAnsi="宋体" w:cs="宋体"/>
          <w:color w:val="auto"/>
          <w:kern w:val="0"/>
          <w:sz w:val="24"/>
        </w:rPr>
        <w:t>7.1.1</w:t>
      </w:r>
      <w:r>
        <w:rPr>
          <w:rFonts w:hint="eastAsia" w:ascii="宋体" w:hAnsi="宋体" w:cs="宋体"/>
          <w:color w:val="auto"/>
          <w:kern w:val="0"/>
          <w:sz w:val="24"/>
        </w:rPr>
        <w:t>在合同生效后，非乙方原因甲方要求退货的，应向乙方偿付合同总价款的</w:t>
      </w:r>
      <w:r>
        <w:rPr>
          <w:rFonts w:ascii="宋体" w:hAnsi="宋体" w:cs="宋体"/>
          <w:color w:val="auto"/>
          <w:kern w:val="0"/>
          <w:sz w:val="24"/>
          <w:u w:val="single"/>
        </w:rPr>
        <w:t xml:space="preserve"> </w:t>
      </w:r>
      <w:r>
        <w:rPr>
          <w:rFonts w:hint="eastAsia" w:ascii="宋体" w:hAnsi="宋体" w:cs="宋体"/>
          <w:color w:val="auto"/>
          <w:kern w:val="0"/>
          <w:sz w:val="24"/>
          <w:u w:val="single"/>
        </w:rPr>
        <w:t>2</w:t>
      </w:r>
      <w:r>
        <w:rPr>
          <w:rFonts w:ascii="宋体" w:hAnsi="宋体" w:cs="宋体"/>
          <w:color w:val="auto"/>
          <w:kern w:val="0"/>
          <w:sz w:val="24"/>
          <w:u w:val="single"/>
        </w:rPr>
        <w:t xml:space="preserve"> </w:t>
      </w:r>
      <w:r>
        <w:rPr>
          <w:rFonts w:ascii="宋体" w:hAnsi="宋体" w:cs="宋体"/>
          <w:color w:val="auto"/>
          <w:kern w:val="0"/>
          <w:sz w:val="24"/>
        </w:rPr>
        <w:t>%</w:t>
      </w:r>
      <w:r>
        <w:rPr>
          <w:rFonts w:hint="eastAsia" w:ascii="宋体" w:hAnsi="宋体" w:cs="宋体"/>
          <w:color w:val="auto"/>
          <w:kern w:val="0"/>
          <w:sz w:val="24"/>
        </w:rPr>
        <w:t>，作为违约金，违约金不足以补偿损失的，乙方有权要求甲方补足。</w:t>
      </w:r>
      <w:r>
        <w:rPr>
          <w:rFonts w:ascii="宋体" w:hAnsi="宋体" w:cs="宋体"/>
          <w:color w:val="auto"/>
          <w:kern w:val="0"/>
          <w:sz w:val="24"/>
        </w:rPr>
        <w:t xml:space="preserve"> </w:t>
      </w:r>
    </w:p>
    <w:p w14:paraId="5C63CDBD">
      <w:pPr>
        <w:spacing w:line="440" w:lineRule="exact"/>
        <w:ind w:firstLine="484" w:firstLineChars="202"/>
        <w:rPr>
          <w:rFonts w:ascii="宋体"/>
          <w:color w:val="auto"/>
          <w:kern w:val="0"/>
          <w:sz w:val="24"/>
        </w:rPr>
      </w:pPr>
      <w:r>
        <w:rPr>
          <w:rFonts w:ascii="宋体" w:hAnsi="宋体" w:cs="宋体"/>
          <w:color w:val="auto"/>
          <w:kern w:val="0"/>
          <w:sz w:val="24"/>
        </w:rPr>
        <w:t>7.1.</w:t>
      </w:r>
      <w:r>
        <w:rPr>
          <w:rFonts w:hint="eastAsia" w:ascii="宋体" w:hAnsi="宋体" w:cs="宋体"/>
          <w:color w:val="auto"/>
          <w:kern w:val="0"/>
          <w:sz w:val="24"/>
        </w:rPr>
        <w:t>2甲方违反合同规定，拒绝接收乙方交付的合格标的物，应当承担乙方由此造成的损失。</w:t>
      </w:r>
    </w:p>
    <w:p w14:paraId="37E83FF4">
      <w:pPr>
        <w:spacing w:line="440" w:lineRule="exact"/>
        <w:ind w:firstLine="484" w:firstLineChars="202"/>
        <w:rPr>
          <w:rFonts w:ascii="宋体"/>
          <w:color w:val="auto"/>
          <w:kern w:val="0"/>
          <w:sz w:val="24"/>
        </w:rPr>
      </w:pPr>
      <w:r>
        <w:rPr>
          <w:rFonts w:ascii="宋体" w:hAnsi="宋体" w:cs="宋体"/>
          <w:color w:val="auto"/>
          <w:kern w:val="0"/>
          <w:sz w:val="24"/>
        </w:rPr>
        <w:t>7.2</w:t>
      </w:r>
      <w:r>
        <w:rPr>
          <w:rFonts w:hint="eastAsia" w:ascii="宋体" w:hAnsi="宋体" w:cs="宋体"/>
          <w:color w:val="auto"/>
          <w:kern w:val="0"/>
          <w:sz w:val="24"/>
        </w:rPr>
        <w:t>乙方违约责任</w:t>
      </w:r>
    </w:p>
    <w:p w14:paraId="56AC4D83">
      <w:pPr>
        <w:spacing w:line="440" w:lineRule="exact"/>
        <w:ind w:firstLine="484" w:firstLineChars="202"/>
        <w:rPr>
          <w:rFonts w:ascii="宋体"/>
          <w:color w:val="auto"/>
          <w:kern w:val="0"/>
          <w:sz w:val="24"/>
        </w:rPr>
      </w:pPr>
      <w:r>
        <w:rPr>
          <w:rFonts w:ascii="宋体" w:hAnsi="宋体" w:cs="宋体"/>
          <w:color w:val="auto"/>
          <w:kern w:val="0"/>
          <w:sz w:val="24"/>
        </w:rPr>
        <w:t>7.2.1</w:t>
      </w:r>
      <w:r>
        <w:rPr>
          <w:rFonts w:hint="eastAsia" w:ascii="宋体" w:hAnsi="宋体" w:cs="宋体"/>
          <w:color w:val="auto"/>
          <w:kern w:val="0"/>
          <w:sz w:val="24"/>
        </w:rPr>
        <w:t>乙方不能交货，或交货不合格从而影响甲方按期正常使用的，应向甲方偿付合同总价款</w:t>
      </w:r>
      <w:r>
        <w:rPr>
          <w:rFonts w:ascii="宋体" w:hAnsi="宋体" w:cs="宋体"/>
          <w:color w:val="auto"/>
          <w:kern w:val="0"/>
          <w:sz w:val="24"/>
          <w:u w:val="single"/>
        </w:rPr>
        <w:t xml:space="preserve">  </w:t>
      </w:r>
      <w:r>
        <w:rPr>
          <w:rFonts w:hint="eastAsia" w:ascii="宋体" w:hAnsi="宋体" w:cs="宋体"/>
          <w:color w:val="auto"/>
          <w:kern w:val="0"/>
          <w:sz w:val="24"/>
          <w:u w:val="single"/>
        </w:rPr>
        <w:t>2</w:t>
      </w:r>
      <w:r>
        <w:rPr>
          <w:rFonts w:ascii="宋体" w:hAnsi="宋体" w:cs="宋体"/>
          <w:color w:val="auto"/>
          <w:kern w:val="0"/>
          <w:sz w:val="24"/>
          <w:u w:val="single"/>
        </w:rPr>
        <w:t xml:space="preserve"> </w:t>
      </w:r>
      <w:r>
        <w:rPr>
          <w:rFonts w:ascii="宋体" w:hAnsi="宋体" w:cs="宋体"/>
          <w:color w:val="auto"/>
          <w:kern w:val="0"/>
          <w:sz w:val="24"/>
        </w:rPr>
        <w:t>%</w:t>
      </w:r>
      <w:r>
        <w:rPr>
          <w:rFonts w:hint="eastAsia" w:ascii="宋体" w:hAnsi="宋体" w:cs="宋体"/>
          <w:color w:val="auto"/>
          <w:kern w:val="0"/>
          <w:sz w:val="24"/>
        </w:rPr>
        <w:t>的违约金，违约金不足以补偿损失的，甲方有权要求乙方补足。</w:t>
      </w:r>
    </w:p>
    <w:p w14:paraId="7F1F2904">
      <w:pPr>
        <w:spacing w:line="440" w:lineRule="exact"/>
        <w:ind w:firstLine="484" w:firstLineChars="202"/>
        <w:rPr>
          <w:rFonts w:ascii="宋体" w:hAnsi="宋体" w:cs="宋体"/>
          <w:color w:val="auto"/>
          <w:kern w:val="0"/>
          <w:sz w:val="24"/>
        </w:rPr>
      </w:pPr>
      <w:r>
        <w:rPr>
          <w:rFonts w:ascii="宋体" w:hAnsi="宋体" w:cs="宋体"/>
          <w:color w:val="auto"/>
          <w:kern w:val="0"/>
          <w:sz w:val="24"/>
        </w:rPr>
        <w:t>7.2.2</w:t>
      </w:r>
      <w:r>
        <w:rPr>
          <w:rFonts w:hint="eastAsia" w:ascii="宋体" w:hAnsi="宋体" w:cs="宋体"/>
          <w:color w:val="auto"/>
          <w:kern w:val="0"/>
          <w:sz w:val="24"/>
        </w:rPr>
        <w:t>乙方逾期交付的，应提前与甲方协商、说明原因，如甲方不认可，乙方应仍按合同约定工期交付，逾期交付的按合同总价款金额以每天</w:t>
      </w:r>
      <w:r>
        <w:rPr>
          <w:rFonts w:hint="eastAsia" w:ascii="宋体" w:hAnsi="宋体" w:cs="宋体"/>
          <w:color w:val="auto"/>
          <w:kern w:val="0"/>
          <w:sz w:val="24"/>
          <w:u w:val="single"/>
        </w:rPr>
        <w:t xml:space="preserve"> 0.05% </w:t>
      </w:r>
      <w:r>
        <w:rPr>
          <w:rFonts w:hint="eastAsia" w:ascii="宋体" w:hAnsi="宋体" w:cs="宋体"/>
          <w:color w:val="auto"/>
          <w:kern w:val="0"/>
          <w:sz w:val="24"/>
        </w:rPr>
        <w:t xml:space="preserve"> 的标准支付逾期违约金，同时承担甲方因此遭致的全部损失费用，包括但不限于甲方为实现债权而支出的诉讼费、律师费、保全费、保险费、公证费、鉴定费等全部费用。</w:t>
      </w:r>
    </w:p>
    <w:p w14:paraId="662C7D9C">
      <w:pPr>
        <w:spacing w:line="440" w:lineRule="exact"/>
        <w:ind w:firstLine="484" w:firstLineChars="202"/>
        <w:rPr>
          <w:rFonts w:ascii="宋体"/>
          <w:color w:val="auto"/>
          <w:kern w:val="0"/>
          <w:sz w:val="24"/>
        </w:rPr>
      </w:pPr>
      <w:r>
        <w:rPr>
          <w:rFonts w:hint="eastAsia" w:ascii="宋体" w:hAnsi="宋体" w:cs="宋体"/>
          <w:color w:val="auto"/>
          <w:kern w:val="0"/>
          <w:sz w:val="24"/>
        </w:rPr>
        <w:t>7.2.3质保期内乙方质保服务响应不及时，达不到投标时候承诺时间修复或提供备件的，每次处罚违约金</w:t>
      </w:r>
      <w:r>
        <w:rPr>
          <w:rFonts w:hint="eastAsia" w:ascii="宋体" w:hAnsi="宋体" w:cs="宋体"/>
          <w:color w:val="auto"/>
          <w:kern w:val="0"/>
          <w:sz w:val="24"/>
          <w:u w:val="single"/>
        </w:rPr>
        <w:t xml:space="preserve"> 500.00</w:t>
      </w:r>
      <w:r>
        <w:rPr>
          <w:rFonts w:hint="eastAsia" w:ascii="宋体" w:hAnsi="宋体" w:cs="宋体"/>
          <w:color w:val="auto"/>
          <w:kern w:val="0"/>
          <w:sz w:val="24"/>
        </w:rPr>
        <w:t>元，从尾款中扣除。</w:t>
      </w:r>
    </w:p>
    <w:p w14:paraId="2801C505">
      <w:pPr>
        <w:spacing w:line="440" w:lineRule="exact"/>
        <w:ind w:firstLine="484" w:firstLineChars="202"/>
        <w:rPr>
          <w:rFonts w:ascii="宋体"/>
          <w:color w:val="auto"/>
          <w:kern w:val="0"/>
          <w:sz w:val="24"/>
        </w:rPr>
      </w:pPr>
      <w:r>
        <w:rPr>
          <w:rFonts w:hint="eastAsia" w:ascii="宋体" w:hAnsi="宋体" w:cs="宋体"/>
          <w:color w:val="auto"/>
          <w:sz w:val="24"/>
        </w:rPr>
        <w:t>八、</w:t>
      </w:r>
      <w:r>
        <w:rPr>
          <w:rFonts w:hint="eastAsia" w:ascii="宋体" w:hAnsi="宋体" w:cs="宋体"/>
          <w:color w:val="auto"/>
          <w:kern w:val="0"/>
          <w:sz w:val="24"/>
        </w:rPr>
        <w:t>不可抗力</w:t>
      </w:r>
    </w:p>
    <w:p w14:paraId="2BB9E602">
      <w:pPr>
        <w:spacing w:line="440" w:lineRule="exact"/>
        <w:ind w:firstLine="484" w:firstLineChars="202"/>
        <w:rPr>
          <w:rFonts w:ascii="宋体"/>
          <w:color w:val="auto"/>
          <w:kern w:val="0"/>
          <w:sz w:val="24"/>
        </w:rPr>
      </w:pPr>
      <w:r>
        <w:rPr>
          <w:rFonts w:ascii="宋体" w:hAnsi="宋体" w:cs="宋体"/>
          <w:color w:val="auto"/>
          <w:kern w:val="0"/>
          <w:sz w:val="24"/>
        </w:rPr>
        <w:t>8.1</w:t>
      </w:r>
      <w:r>
        <w:rPr>
          <w:rFonts w:hint="eastAsia" w:ascii="宋体" w:hAnsi="宋体" w:cs="宋体"/>
          <w:color w:val="auto"/>
          <w:kern w:val="0"/>
          <w:sz w:val="24"/>
        </w:rPr>
        <w:t>因不可抗力不能履行合同的，根据不可抗力的影响，部分或者全部免除责任。但合同一方延迟履行后发生不可抗力的，不能免除责任。</w:t>
      </w:r>
    </w:p>
    <w:p w14:paraId="4B63915B">
      <w:pPr>
        <w:spacing w:line="440" w:lineRule="exact"/>
        <w:ind w:firstLine="484" w:firstLineChars="202"/>
        <w:rPr>
          <w:rFonts w:ascii="宋体"/>
          <w:color w:val="auto"/>
          <w:kern w:val="0"/>
          <w:sz w:val="24"/>
        </w:rPr>
      </w:pPr>
      <w:r>
        <w:rPr>
          <w:rFonts w:ascii="宋体" w:hAnsi="宋体" w:cs="宋体"/>
          <w:color w:val="auto"/>
          <w:kern w:val="0"/>
          <w:sz w:val="24"/>
        </w:rPr>
        <w:t>8.2</w:t>
      </w:r>
      <w:r>
        <w:rPr>
          <w:rFonts w:hint="eastAsia" w:ascii="宋体" w:hAnsi="宋体" w:cs="宋体"/>
          <w:color w:val="auto"/>
          <w:kern w:val="0"/>
          <w:sz w:val="24"/>
        </w:rPr>
        <w:t>合同一方因不可抗力不能履行合同的，应当及时通知对方，以减轻可能给对方造成的损失，并应当在合理期限内提供证明。</w:t>
      </w:r>
    </w:p>
    <w:p w14:paraId="76F826D2">
      <w:pPr>
        <w:spacing w:line="440" w:lineRule="exact"/>
        <w:ind w:firstLine="484" w:firstLineChars="202"/>
        <w:rPr>
          <w:rFonts w:ascii="宋体"/>
          <w:color w:val="auto"/>
          <w:kern w:val="0"/>
          <w:sz w:val="24"/>
        </w:rPr>
      </w:pPr>
      <w:r>
        <w:rPr>
          <w:rFonts w:hint="eastAsia" w:ascii="宋体" w:hAnsi="宋体" w:cs="宋体"/>
          <w:color w:val="auto"/>
          <w:kern w:val="0"/>
          <w:sz w:val="24"/>
        </w:rPr>
        <w:t>九、索赔</w:t>
      </w:r>
    </w:p>
    <w:p w14:paraId="61530818">
      <w:pPr>
        <w:spacing w:line="440" w:lineRule="exact"/>
        <w:ind w:firstLine="484" w:firstLineChars="202"/>
        <w:rPr>
          <w:rFonts w:ascii="宋体"/>
          <w:color w:val="auto"/>
          <w:kern w:val="0"/>
          <w:sz w:val="24"/>
        </w:rPr>
      </w:pPr>
      <w:r>
        <w:rPr>
          <w:rFonts w:ascii="宋体" w:hAnsi="宋体" w:cs="宋体"/>
          <w:color w:val="auto"/>
          <w:kern w:val="0"/>
          <w:sz w:val="24"/>
        </w:rPr>
        <w:t>9.1</w:t>
      </w:r>
      <w:r>
        <w:rPr>
          <w:rFonts w:hint="eastAsia" w:ascii="宋体" w:hAnsi="宋体" w:cs="宋体"/>
          <w:color w:val="auto"/>
          <w:kern w:val="0"/>
          <w:sz w:val="24"/>
        </w:rPr>
        <w:t>甲方有权根据当地产品质量检验机构或其他有权部门出具的检验证书向乙方提出索赔。</w:t>
      </w:r>
    </w:p>
    <w:p w14:paraId="1426B200">
      <w:pPr>
        <w:spacing w:line="440" w:lineRule="exact"/>
        <w:ind w:firstLine="484" w:firstLineChars="202"/>
        <w:rPr>
          <w:rFonts w:ascii="宋体"/>
          <w:color w:val="auto"/>
          <w:kern w:val="0"/>
          <w:sz w:val="24"/>
        </w:rPr>
      </w:pPr>
      <w:r>
        <w:rPr>
          <w:rFonts w:ascii="宋体" w:hAnsi="宋体" w:cs="宋体"/>
          <w:color w:val="auto"/>
          <w:kern w:val="0"/>
          <w:sz w:val="24"/>
        </w:rPr>
        <w:t>9.2</w:t>
      </w:r>
      <w:r>
        <w:rPr>
          <w:rFonts w:hint="eastAsia" w:ascii="宋体" w:hAnsi="宋体" w:cs="宋体"/>
          <w:color w:val="auto"/>
          <w:kern w:val="0"/>
          <w:sz w:val="24"/>
        </w:rPr>
        <w:t>在本合同规定的检验期限和质保期内，如果乙方对甲方提出的索赔或差异有责任，则乙方应按甲方同意的下列一种或多种方式解决索赔事宜：</w:t>
      </w:r>
    </w:p>
    <w:p w14:paraId="76580F82">
      <w:pPr>
        <w:spacing w:line="440" w:lineRule="exact"/>
        <w:ind w:firstLine="484" w:firstLineChars="202"/>
        <w:rPr>
          <w:rFonts w:ascii="宋体"/>
          <w:color w:val="auto"/>
          <w:kern w:val="0"/>
          <w:sz w:val="24"/>
        </w:rPr>
      </w:pPr>
      <w:r>
        <w:rPr>
          <w:rFonts w:ascii="宋体" w:hAnsi="宋体" w:cs="宋体"/>
          <w:color w:val="auto"/>
          <w:kern w:val="0"/>
          <w:sz w:val="24"/>
        </w:rPr>
        <w:t>9.2.1</w:t>
      </w:r>
      <w:r>
        <w:rPr>
          <w:rFonts w:hint="eastAsia" w:ascii="宋体" w:hAnsi="宋体" w:cs="宋体"/>
          <w:color w:val="auto"/>
          <w:kern w:val="0"/>
          <w:sz w:val="24"/>
        </w:rPr>
        <w:t>乙方同意退货，并按合同规定的货币将货款退还给甲方，并且承担由此发生的一切损失和费用，包括利息、银行手续费、运费、保险费、检验费、仓储费、装卸费以及为保护退回标的物所需的其他必要费用。</w:t>
      </w:r>
    </w:p>
    <w:p w14:paraId="462A6219">
      <w:pPr>
        <w:spacing w:line="440" w:lineRule="exact"/>
        <w:ind w:firstLine="484" w:firstLineChars="202"/>
        <w:rPr>
          <w:rFonts w:ascii="宋体"/>
          <w:color w:val="auto"/>
          <w:kern w:val="0"/>
          <w:sz w:val="24"/>
        </w:rPr>
      </w:pPr>
      <w:r>
        <w:rPr>
          <w:rFonts w:ascii="宋体" w:hAnsi="宋体" w:cs="宋体"/>
          <w:color w:val="auto"/>
          <w:kern w:val="0"/>
          <w:sz w:val="24"/>
        </w:rPr>
        <w:t>9.2.2</w:t>
      </w:r>
      <w:r>
        <w:rPr>
          <w:rFonts w:hint="eastAsia" w:ascii="宋体" w:hAnsi="宋体" w:cs="宋体"/>
          <w:color w:val="auto"/>
          <w:kern w:val="0"/>
          <w:sz w:val="24"/>
        </w:rPr>
        <w:t>根据标的物的低劣程度、损坏程度以及甲方遭受损失的数额，经双方协商确定降低标的物的价格。</w:t>
      </w:r>
    </w:p>
    <w:p w14:paraId="5EB0C063">
      <w:pPr>
        <w:spacing w:line="440" w:lineRule="exact"/>
        <w:ind w:firstLine="484" w:firstLineChars="202"/>
        <w:rPr>
          <w:rFonts w:ascii="宋体"/>
          <w:color w:val="auto"/>
          <w:kern w:val="0"/>
          <w:sz w:val="24"/>
        </w:rPr>
      </w:pPr>
      <w:r>
        <w:rPr>
          <w:rFonts w:ascii="宋体" w:hAnsi="宋体" w:cs="宋体"/>
          <w:color w:val="auto"/>
          <w:kern w:val="0"/>
          <w:sz w:val="24"/>
        </w:rPr>
        <w:t>9.</w:t>
      </w:r>
      <w:r>
        <w:rPr>
          <w:rFonts w:hint="eastAsia" w:ascii="宋体" w:hAnsi="宋体" w:cs="宋体"/>
          <w:color w:val="auto"/>
          <w:kern w:val="0"/>
          <w:sz w:val="24"/>
        </w:rPr>
        <w:t>2.</w:t>
      </w:r>
      <w:r>
        <w:rPr>
          <w:rFonts w:ascii="宋体" w:hAnsi="宋体" w:cs="宋体"/>
          <w:color w:val="auto"/>
          <w:kern w:val="0"/>
          <w:sz w:val="24"/>
        </w:rPr>
        <w:t>3</w:t>
      </w:r>
      <w:r>
        <w:rPr>
          <w:rFonts w:hint="eastAsia" w:ascii="宋体" w:hAnsi="宋体" w:cs="宋体"/>
          <w:color w:val="auto"/>
          <w:kern w:val="0"/>
          <w:sz w:val="24"/>
        </w:rPr>
        <w:t>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r>
        <w:rPr>
          <w:rFonts w:ascii="宋体" w:hAnsi="宋体" w:cs="宋体"/>
          <w:color w:val="auto"/>
          <w:kern w:val="0"/>
          <w:sz w:val="24"/>
        </w:rPr>
        <w:t xml:space="preserve"> </w:t>
      </w:r>
    </w:p>
    <w:p w14:paraId="1A3FDA0B">
      <w:pPr>
        <w:spacing w:line="440" w:lineRule="exact"/>
        <w:ind w:firstLine="484" w:firstLineChars="202"/>
        <w:rPr>
          <w:rFonts w:ascii="宋体" w:hAnsi="宋体" w:cs="宋体"/>
          <w:color w:val="auto"/>
          <w:kern w:val="0"/>
          <w:sz w:val="24"/>
        </w:rPr>
      </w:pPr>
      <w:r>
        <w:rPr>
          <w:rFonts w:hint="eastAsia" w:ascii="宋体" w:hAnsi="宋体" w:cs="宋体"/>
          <w:color w:val="auto"/>
          <w:kern w:val="0"/>
          <w:sz w:val="24"/>
        </w:rPr>
        <w:t>十、履约保证金</w:t>
      </w:r>
    </w:p>
    <w:p w14:paraId="08EAB081">
      <w:pPr>
        <w:spacing w:line="440" w:lineRule="exact"/>
        <w:ind w:firstLine="484" w:firstLineChars="202"/>
        <w:rPr>
          <w:rFonts w:ascii="宋体" w:hAnsi="宋体" w:cs="宋体"/>
          <w:color w:val="auto"/>
          <w:kern w:val="0"/>
          <w:sz w:val="24"/>
        </w:rPr>
      </w:pPr>
      <w:r>
        <w:rPr>
          <w:rFonts w:ascii="宋体" w:hAnsi="宋体" w:cs="宋体"/>
          <w:color w:val="auto"/>
          <w:kern w:val="0"/>
          <w:sz w:val="24"/>
        </w:rPr>
        <w:t>10.1</w:t>
      </w:r>
      <w:r>
        <w:rPr>
          <w:rFonts w:hint="eastAsia" w:ascii="宋体" w:hAnsi="宋体" w:cs="宋体"/>
          <w:color w:val="auto"/>
          <w:kern w:val="0"/>
          <w:sz w:val="24"/>
        </w:rPr>
        <w:t>乙方按采购文件规定缴纳履约保证金¥</w:t>
      </w:r>
      <w:r>
        <w:rPr>
          <w:rFonts w:ascii="宋体" w:hAnsi="宋体" w:cs="宋体"/>
          <w:color w:val="auto"/>
          <w:kern w:val="0"/>
          <w:sz w:val="24"/>
          <w:u w:val="single"/>
        </w:rPr>
        <w:t xml:space="preserve">       </w:t>
      </w:r>
      <w:r>
        <w:rPr>
          <w:rFonts w:hint="eastAsia" w:ascii="宋体" w:hAnsi="宋体" w:cs="宋体"/>
          <w:color w:val="auto"/>
          <w:kern w:val="0"/>
          <w:sz w:val="24"/>
        </w:rPr>
        <w:t>元（合同价的10%），大写：</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r>
        <w:rPr>
          <w:rFonts w:hint="eastAsia" w:ascii="宋体" w:hAnsi="宋体" w:cs="宋体"/>
          <w:color w:val="auto"/>
          <w:kern w:val="0"/>
          <w:sz w:val="24"/>
        </w:rPr>
        <w:t>。</w:t>
      </w:r>
    </w:p>
    <w:p w14:paraId="5C57A23A">
      <w:pPr>
        <w:spacing w:line="440" w:lineRule="exact"/>
        <w:ind w:firstLine="484" w:firstLineChars="202"/>
        <w:rPr>
          <w:rFonts w:ascii="宋体" w:hAnsi="宋体" w:cs="宋体"/>
          <w:color w:val="auto"/>
          <w:kern w:val="0"/>
          <w:sz w:val="24"/>
        </w:rPr>
      </w:pPr>
      <w:r>
        <w:rPr>
          <w:rFonts w:hint="eastAsia" w:ascii="宋体" w:hAnsi="宋体" w:cs="宋体"/>
          <w:color w:val="auto"/>
          <w:kern w:val="0"/>
          <w:sz w:val="24"/>
        </w:rPr>
        <w:t>10.2乙方在按要求保质保量的完成该项目合同并通过验收后，甲方凭乙方提交的申请，一次性无息退还该合同项目的履约保证金，不计利息。</w:t>
      </w:r>
    </w:p>
    <w:p w14:paraId="1A6F93C0">
      <w:pPr>
        <w:spacing w:line="440" w:lineRule="exact"/>
        <w:ind w:firstLine="484" w:firstLineChars="202"/>
        <w:rPr>
          <w:rFonts w:ascii="宋体" w:hAnsi="宋体" w:cs="宋体"/>
          <w:color w:val="auto"/>
          <w:kern w:val="0"/>
          <w:sz w:val="24"/>
        </w:rPr>
      </w:pPr>
      <w:r>
        <w:rPr>
          <w:rFonts w:hint="eastAsia" w:ascii="宋体" w:hAnsi="宋体" w:cs="宋体"/>
          <w:color w:val="auto"/>
          <w:kern w:val="0"/>
          <w:sz w:val="24"/>
        </w:rPr>
        <w:t>10.3乙方在履约过程中发生违约行为，给甲方造成损失的，甲方有权在乙方缴纳的履约保证金中予以扣款，以弥补甲方经济损失，不足的乙方另外补齐。</w:t>
      </w:r>
    </w:p>
    <w:p w14:paraId="3AE8B0BB">
      <w:pPr>
        <w:spacing w:line="440" w:lineRule="exact"/>
        <w:ind w:firstLine="484" w:firstLineChars="202"/>
        <w:rPr>
          <w:rFonts w:ascii="宋体" w:hAnsi="宋体" w:cs="宋体"/>
          <w:color w:val="auto"/>
          <w:kern w:val="0"/>
          <w:sz w:val="24"/>
        </w:rPr>
      </w:pPr>
      <w:r>
        <w:rPr>
          <w:rFonts w:ascii="宋体" w:hAnsi="宋体" w:cs="宋体"/>
          <w:color w:val="auto"/>
          <w:kern w:val="0"/>
          <w:sz w:val="24"/>
        </w:rPr>
        <w:t>10.</w:t>
      </w:r>
      <w:r>
        <w:rPr>
          <w:rFonts w:hint="eastAsia" w:ascii="宋体" w:hAnsi="宋体" w:cs="宋体"/>
          <w:color w:val="auto"/>
          <w:kern w:val="0"/>
          <w:sz w:val="24"/>
        </w:rPr>
        <w:t>4由于乙方原因，在签订合同后出现不按合同履行的情况，甲方有权将履约保证金作为违约金，全额不予退还，同时甲方亦有权终止合同，乙方还须承担相应的法律赔偿责任，并赔偿甲方一切损失，包括但不限于甲方为实现债权而支出的诉讼费、律师费、保全费、保险费、公证费、鉴定费等全部费用。</w:t>
      </w:r>
    </w:p>
    <w:p w14:paraId="4326E4E6">
      <w:pPr>
        <w:spacing w:line="440" w:lineRule="exact"/>
        <w:ind w:firstLine="484" w:firstLineChars="202"/>
        <w:rPr>
          <w:rFonts w:ascii="宋体"/>
          <w:color w:val="auto"/>
          <w:kern w:val="0"/>
          <w:sz w:val="24"/>
        </w:rPr>
      </w:pPr>
      <w:r>
        <w:rPr>
          <w:rFonts w:hint="eastAsia" w:ascii="宋体" w:hAnsi="宋体" w:cs="宋体"/>
          <w:color w:val="auto"/>
          <w:kern w:val="0"/>
          <w:sz w:val="24"/>
        </w:rPr>
        <w:t>十一、合同的解除和转让</w:t>
      </w:r>
    </w:p>
    <w:p w14:paraId="3E8E2E9E">
      <w:pPr>
        <w:spacing w:line="440" w:lineRule="exact"/>
        <w:ind w:firstLine="484" w:firstLineChars="202"/>
        <w:rPr>
          <w:rFonts w:ascii="宋体"/>
          <w:color w:val="auto"/>
          <w:kern w:val="0"/>
          <w:sz w:val="24"/>
        </w:rPr>
      </w:pPr>
      <w:r>
        <w:rPr>
          <w:rFonts w:ascii="宋体" w:hAnsi="宋体" w:cs="宋体"/>
          <w:color w:val="auto"/>
          <w:kern w:val="0"/>
          <w:sz w:val="24"/>
        </w:rPr>
        <w:t>11.1</w:t>
      </w:r>
      <w:r>
        <w:rPr>
          <w:rFonts w:hint="eastAsia" w:ascii="宋体" w:hAnsi="宋体" w:cs="宋体"/>
          <w:color w:val="auto"/>
          <w:kern w:val="0"/>
          <w:sz w:val="24"/>
        </w:rPr>
        <w:t>甲方和乙方协商一致，可以解除合同。</w:t>
      </w:r>
    </w:p>
    <w:p w14:paraId="2DB7E04B">
      <w:pPr>
        <w:spacing w:line="440" w:lineRule="exact"/>
        <w:ind w:firstLine="484" w:firstLineChars="202"/>
        <w:rPr>
          <w:rFonts w:ascii="宋体"/>
          <w:color w:val="auto"/>
          <w:kern w:val="0"/>
          <w:sz w:val="24"/>
        </w:rPr>
      </w:pPr>
      <w:r>
        <w:rPr>
          <w:rFonts w:ascii="宋体" w:hAnsi="宋体" w:cs="宋体"/>
          <w:color w:val="auto"/>
          <w:kern w:val="0"/>
          <w:sz w:val="24"/>
        </w:rPr>
        <w:t>11.2</w:t>
      </w:r>
      <w:r>
        <w:rPr>
          <w:rFonts w:hint="eastAsia" w:ascii="宋体" w:hAnsi="宋体" w:cs="宋体"/>
          <w:color w:val="auto"/>
          <w:kern w:val="0"/>
          <w:sz w:val="24"/>
        </w:rPr>
        <w:t>有下列情形之一，合同一方可以解除合同：</w:t>
      </w:r>
    </w:p>
    <w:p w14:paraId="25B55049">
      <w:pPr>
        <w:spacing w:line="440" w:lineRule="exact"/>
        <w:ind w:firstLine="484" w:firstLineChars="202"/>
        <w:rPr>
          <w:rFonts w:ascii="宋体"/>
          <w:color w:val="auto"/>
          <w:kern w:val="0"/>
          <w:sz w:val="24"/>
        </w:rPr>
      </w:pPr>
      <w:r>
        <w:rPr>
          <w:rFonts w:ascii="宋体" w:hAnsi="宋体" w:cs="宋体"/>
          <w:color w:val="auto"/>
          <w:kern w:val="0"/>
          <w:sz w:val="24"/>
        </w:rPr>
        <w:t>11.2.1</w:t>
      </w:r>
      <w:r>
        <w:rPr>
          <w:rFonts w:hint="eastAsia" w:ascii="宋体" w:hAnsi="宋体" w:cs="宋体"/>
          <w:color w:val="auto"/>
          <w:kern w:val="0"/>
          <w:sz w:val="24"/>
        </w:rPr>
        <w:t>因不可抗力致使不能实现合同目的，未受不可抗力影响的一方有权解除合同；</w:t>
      </w:r>
    </w:p>
    <w:p w14:paraId="6E444797">
      <w:pPr>
        <w:spacing w:line="440" w:lineRule="exact"/>
        <w:ind w:firstLine="480" w:firstLineChars="200"/>
        <w:rPr>
          <w:rFonts w:ascii="宋体"/>
          <w:color w:val="auto"/>
          <w:kern w:val="0"/>
          <w:sz w:val="24"/>
        </w:rPr>
      </w:pPr>
      <w:r>
        <w:rPr>
          <w:rFonts w:ascii="宋体" w:hAnsi="宋体" w:cs="宋体"/>
          <w:color w:val="auto"/>
          <w:kern w:val="0"/>
          <w:sz w:val="24"/>
        </w:rPr>
        <w:t>11.2.2</w:t>
      </w:r>
      <w:r>
        <w:rPr>
          <w:rFonts w:hint="eastAsia" w:ascii="宋体" w:hAnsi="宋体" w:cs="宋体"/>
          <w:color w:val="auto"/>
          <w:kern w:val="0"/>
          <w:sz w:val="24"/>
        </w:rPr>
        <w:t>因合同一方违约导致合同不能履行，另一方有权解除合同；</w:t>
      </w:r>
    </w:p>
    <w:p w14:paraId="0E6B92E5">
      <w:pPr>
        <w:spacing w:line="440" w:lineRule="exact"/>
        <w:ind w:firstLine="484" w:firstLineChars="202"/>
        <w:rPr>
          <w:rFonts w:ascii="宋体"/>
          <w:color w:val="auto"/>
          <w:kern w:val="0"/>
          <w:sz w:val="24"/>
        </w:rPr>
      </w:pPr>
      <w:r>
        <w:rPr>
          <w:rFonts w:ascii="宋体" w:hAnsi="宋体" w:cs="宋体"/>
          <w:color w:val="auto"/>
          <w:kern w:val="0"/>
          <w:sz w:val="24"/>
        </w:rPr>
        <w:t>11.2.3</w:t>
      </w:r>
      <w:r>
        <w:rPr>
          <w:rFonts w:hint="eastAsia" w:ascii="宋体" w:hAnsi="宋体" w:cs="宋体"/>
          <w:color w:val="auto"/>
          <w:kern w:val="0"/>
          <w:sz w:val="24"/>
        </w:rPr>
        <w:t>有权解除合同的一方，应当在违约事实或不可抗力发生之后三十天内书面通知对方以主张解除合同，合同在书面通知到达对方时解除。</w:t>
      </w:r>
    </w:p>
    <w:p w14:paraId="4990F701">
      <w:pPr>
        <w:spacing w:line="440" w:lineRule="exact"/>
        <w:ind w:firstLine="484" w:firstLineChars="202"/>
        <w:rPr>
          <w:rFonts w:ascii="宋体"/>
          <w:color w:val="auto"/>
          <w:kern w:val="0"/>
          <w:sz w:val="24"/>
        </w:rPr>
      </w:pPr>
      <w:r>
        <w:rPr>
          <w:rFonts w:ascii="宋体" w:hAnsi="宋体" w:cs="宋体"/>
          <w:color w:val="auto"/>
          <w:kern w:val="0"/>
          <w:sz w:val="24"/>
        </w:rPr>
        <w:t>11.3</w:t>
      </w:r>
      <w:r>
        <w:rPr>
          <w:rFonts w:hint="eastAsia" w:ascii="宋体" w:hAnsi="宋体" w:cs="宋体"/>
          <w:color w:val="auto"/>
          <w:kern w:val="0"/>
          <w:sz w:val="24"/>
        </w:rPr>
        <w:t>合同的部分和全部都不得转让。</w:t>
      </w:r>
    </w:p>
    <w:p w14:paraId="2EE6D92D">
      <w:pPr>
        <w:spacing w:line="440" w:lineRule="exact"/>
        <w:ind w:firstLine="484" w:firstLineChars="202"/>
        <w:rPr>
          <w:rFonts w:ascii="宋体"/>
          <w:color w:val="auto"/>
          <w:kern w:val="0"/>
          <w:sz w:val="24"/>
        </w:rPr>
      </w:pPr>
      <w:r>
        <w:rPr>
          <w:rFonts w:hint="eastAsia" w:ascii="宋体" w:hAnsi="宋体" w:cs="宋体"/>
          <w:color w:val="auto"/>
          <w:kern w:val="0"/>
          <w:sz w:val="24"/>
        </w:rPr>
        <w:t>十二、合同的生效</w:t>
      </w:r>
    </w:p>
    <w:p w14:paraId="0297A999">
      <w:pPr>
        <w:spacing w:line="440" w:lineRule="exact"/>
        <w:ind w:firstLine="484" w:firstLineChars="202"/>
        <w:rPr>
          <w:rFonts w:ascii="宋体"/>
          <w:color w:val="auto"/>
          <w:kern w:val="0"/>
          <w:sz w:val="24"/>
        </w:rPr>
      </w:pPr>
      <w:r>
        <w:rPr>
          <w:rFonts w:hint="eastAsia" w:ascii="宋体" w:hAnsi="宋体" w:cs="宋体"/>
          <w:color w:val="auto"/>
          <w:kern w:val="0"/>
          <w:sz w:val="24"/>
        </w:rPr>
        <w:t>本合同在乙方按规定缴纳了履约保证金且甲乙双方签字盖章后即生效。</w:t>
      </w:r>
      <w:r>
        <w:rPr>
          <w:rFonts w:ascii="宋体" w:hAnsi="宋体" w:cs="宋体"/>
          <w:color w:val="auto"/>
          <w:kern w:val="0"/>
          <w:sz w:val="24"/>
        </w:rPr>
        <w:t xml:space="preserve">   </w:t>
      </w:r>
    </w:p>
    <w:p w14:paraId="53856CC1">
      <w:pPr>
        <w:spacing w:line="440" w:lineRule="exact"/>
        <w:ind w:firstLine="484" w:firstLineChars="202"/>
        <w:rPr>
          <w:rFonts w:ascii="宋体"/>
          <w:color w:val="auto"/>
          <w:kern w:val="0"/>
          <w:sz w:val="24"/>
        </w:rPr>
      </w:pPr>
      <w:r>
        <w:rPr>
          <w:rFonts w:hint="eastAsia" w:ascii="宋体" w:hAnsi="宋体" w:cs="宋体"/>
          <w:color w:val="auto"/>
          <w:kern w:val="0"/>
          <w:sz w:val="24"/>
        </w:rPr>
        <w:t>十三、争议的解决</w:t>
      </w:r>
    </w:p>
    <w:p w14:paraId="4776553E">
      <w:pPr>
        <w:spacing w:line="440" w:lineRule="exact"/>
        <w:ind w:firstLine="484" w:firstLineChars="202"/>
        <w:rPr>
          <w:rFonts w:ascii="宋体"/>
          <w:color w:val="auto"/>
          <w:kern w:val="0"/>
          <w:sz w:val="24"/>
        </w:rPr>
      </w:pPr>
      <w:r>
        <w:rPr>
          <w:rFonts w:hint="eastAsia" w:ascii="宋体" w:hAnsi="宋体" w:cs="宋体"/>
          <w:color w:val="auto"/>
          <w:kern w:val="0"/>
          <w:sz w:val="24"/>
        </w:rPr>
        <w:t>甲乙双方因合同发生争议，应在采购人的主持下进行调解，协商不成，任何一方可以向甲方所在地人民法院起诉。</w:t>
      </w:r>
    </w:p>
    <w:p w14:paraId="310DC45C">
      <w:pPr>
        <w:spacing w:line="440" w:lineRule="exact"/>
        <w:ind w:firstLine="484" w:firstLineChars="202"/>
        <w:rPr>
          <w:rFonts w:ascii="宋体"/>
          <w:color w:val="auto"/>
          <w:kern w:val="0"/>
          <w:sz w:val="24"/>
        </w:rPr>
      </w:pPr>
      <w:r>
        <w:rPr>
          <w:rFonts w:hint="eastAsia" w:ascii="宋体" w:hAnsi="宋体" w:cs="宋体"/>
          <w:color w:val="auto"/>
          <w:kern w:val="0"/>
          <w:sz w:val="24"/>
        </w:rPr>
        <w:t>十四、附则</w:t>
      </w:r>
    </w:p>
    <w:p w14:paraId="52105E64">
      <w:pPr>
        <w:spacing w:line="440" w:lineRule="exact"/>
        <w:ind w:firstLine="484" w:firstLineChars="202"/>
        <w:rPr>
          <w:rFonts w:ascii="宋体" w:hAnsi="宋体" w:cs="宋体"/>
          <w:color w:val="auto"/>
          <w:sz w:val="24"/>
        </w:rPr>
      </w:pPr>
      <w:r>
        <w:rPr>
          <w:rFonts w:ascii="宋体" w:hAnsi="宋体" w:cs="宋体"/>
          <w:color w:val="auto"/>
          <w:kern w:val="0"/>
          <w:sz w:val="24"/>
        </w:rPr>
        <w:t>14.1</w:t>
      </w:r>
      <w:r>
        <w:rPr>
          <w:rFonts w:hint="eastAsia" w:ascii="宋体" w:hAnsi="宋体" w:cs="宋体"/>
          <w:color w:val="auto"/>
          <w:sz w:val="24"/>
        </w:rPr>
        <w:t>合同份数：本合同一式陆份，甲方伍份，乙方壹份。</w:t>
      </w:r>
    </w:p>
    <w:p w14:paraId="4E8D3B79">
      <w:pPr>
        <w:spacing w:line="440" w:lineRule="exact"/>
        <w:ind w:firstLine="484" w:firstLineChars="202"/>
        <w:rPr>
          <w:rFonts w:ascii="宋体"/>
          <w:color w:val="auto"/>
          <w:kern w:val="0"/>
          <w:sz w:val="24"/>
        </w:rPr>
      </w:pPr>
      <w:r>
        <w:rPr>
          <w:rFonts w:ascii="宋体" w:hAnsi="宋体" w:cs="宋体"/>
          <w:color w:val="auto"/>
          <w:kern w:val="0"/>
          <w:sz w:val="24"/>
        </w:rPr>
        <w:t>14.2</w:t>
      </w:r>
      <w:r>
        <w:rPr>
          <w:rFonts w:hint="eastAsia" w:ascii="宋体" w:hAnsi="宋体" w:cs="宋体"/>
          <w:color w:val="auto"/>
          <w:kern w:val="0"/>
          <w:sz w:val="24"/>
        </w:rPr>
        <w:t>本合同文件使用中文书写、解释和说明。</w:t>
      </w:r>
    </w:p>
    <w:p w14:paraId="21D55CB8">
      <w:pPr>
        <w:spacing w:line="440" w:lineRule="exact"/>
        <w:ind w:firstLine="484" w:firstLineChars="202"/>
        <w:rPr>
          <w:rFonts w:ascii="宋体"/>
          <w:color w:val="auto"/>
          <w:kern w:val="0"/>
          <w:sz w:val="24"/>
        </w:rPr>
      </w:pPr>
      <w:r>
        <w:rPr>
          <w:rFonts w:ascii="宋体" w:hAnsi="宋体" w:cs="宋体"/>
          <w:color w:val="auto"/>
          <w:kern w:val="0"/>
          <w:sz w:val="24"/>
        </w:rPr>
        <w:t>14.3</w:t>
      </w:r>
      <w:r>
        <w:rPr>
          <w:rFonts w:hint="eastAsia" w:ascii="宋体" w:hAnsi="宋体" w:cs="宋体"/>
          <w:color w:val="auto"/>
          <w:kern w:val="0"/>
          <w:sz w:val="24"/>
        </w:rPr>
        <w:t>本合同履行过程中产生的纪要、协议以及中标通知书、询价响应文件和采购文件为本合同的附件，与合同具有同等效力。</w:t>
      </w:r>
    </w:p>
    <w:p w14:paraId="50C90770">
      <w:pPr>
        <w:spacing w:line="440" w:lineRule="exact"/>
        <w:ind w:firstLine="484" w:firstLineChars="202"/>
        <w:rPr>
          <w:rFonts w:ascii="宋体"/>
          <w:color w:val="auto"/>
          <w:kern w:val="0"/>
          <w:sz w:val="24"/>
        </w:rPr>
      </w:pPr>
      <w:r>
        <w:rPr>
          <w:rFonts w:ascii="宋体" w:hAnsi="宋体" w:cs="宋体"/>
          <w:color w:val="auto"/>
          <w:kern w:val="0"/>
          <w:sz w:val="24"/>
        </w:rPr>
        <w:t>14.4</w:t>
      </w:r>
      <w:r>
        <w:rPr>
          <w:rFonts w:hint="eastAsia" w:ascii="宋体" w:hAnsi="宋体" w:cs="宋体"/>
          <w:color w:val="auto"/>
          <w:kern w:val="0"/>
          <w:sz w:val="24"/>
        </w:rPr>
        <w:t>未尽事宜</w:t>
      </w:r>
    </w:p>
    <w:p w14:paraId="13E3D5E2">
      <w:pPr>
        <w:spacing w:line="440" w:lineRule="exact"/>
        <w:ind w:firstLine="484" w:firstLineChars="202"/>
        <w:rPr>
          <w:rFonts w:ascii="宋体"/>
          <w:color w:val="auto"/>
          <w:kern w:val="0"/>
          <w:sz w:val="24"/>
        </w:rPr>
      </w:pPr>
      <w:r>
        <w:rPr>
          <w:rFonts w:hint="eastAsia" w:ascii="宋体" w:hAnsi="宋体" w:cs="宋体"/>
          <w:color w:val="auto"/>
          <w:kern w:val="0"/>
          <w:sz w:val="24"/>
        </w:rPr>
        <w:t>本合同未尽事宜应按照《中华人民共和国民法典》、《中华人民共和国产品质量法》及其相关配套法律法规之规定解释。</w:t>
      </w:r>
    </w:p>
    <w:p w14:paraId="41D97E64">
      <w:pPr>
        <w:spacing w:line="360" w:lineRule="auto"/>
        <w:rPr>
          <w:rFonts w:ascii="宋体"/>
          <w:color w:val="auto"/>
          <w:kern w:val="0"/>
          <w:sz w:val="24"/>
        </w:rPr>
      </w:pPr>
    </w:p>
    <w:p w14:paraId="271B7CCD">
      <w:pPr>
        <w:spacing w:line="500" w:lineRule="exact"/>
        <w:ind w:left="5760" w:hanging="5760" w:hangingChars="2400"/>
        <w:rPr>
          <w:rFonts w:ascii="宋体" w:hAnsi="宋体" w:cs="宋体"/>
          <w:color w:val="auto"/>
          <w:sz w:val="24"/>
        </w:rPr>
      </w:pPr>
      <w:r>
        <w:rPr>
          <w:rFonts w:hint="eastAsia" w:ascii="宋体" w:hAnsi="宋体" w:cs="宋体"/>
          <w:color w:val="auto"/>
          <w:sz w:val="24"/>
        </w:rPr>
        <w:t xml:space="preserve">甲 </w:t>
      </w:r>
      <w:r>
        <w:rPr>
          <w:rFonts w:ascii="宋体" w:hAnsi="宋体" w:cs="宋体"/>
          <w:color w:val="auto"/>
          <w:sz w:val="24"/>
        </w:rPr>
        <w:t xml:space="preserve">     </w:t>
      </w:r>
      <w:r>
        <w:rPr>
          <w:rFonts w:hint="eastAsia" w:ascii="宋体" w:hAnsi="宋体" w:cs="宋体"/>
          <w:color w:val="auto"/>
          <w:sz w:val="24"/>
        </w:rPr>
        <w:t>方：江苏商贸职业学院</w:t>
      </w:r>
      <w:r>
        <w:rPr>
          <w:rFonts w:ascii="宋体" w:hAnsi="宋体" w:cs="宋体"/>
          <w:color w:val="auto"/>
          <w:sz w:val="24"/>
        </w:rPr>
        <w:t xml:space="preserve">          </w:t>
      </w:r>
      <w:r>
        <w:rPr>
          <w:rFonts w:hint="eastAsia" w:ascii="宋体" w:hAnsi="宋体" w:cs="宋体"/>
          <w:color w:val="auto"/>
          <w:sz w:val="24"/>
        </w:rPr>
        <w:t xml:space="preserve">乙 </w:t>
      </w:r>
      <w:r>
        <w:rPr>
          <w:rFonts w:ascii="宋体" w:hAnsi="宋体" w:cs="宋体"/>
          <w:color w:val="auto"/>
          <w:sz w:val="24"/>
        </w:rPr>
        <w:t xml:space="preserve">     </w:t>
      </w:r>
      <w:r>
        <w:rPr>
          <w:rFonts w:hint="eastAsia" w:ascii="宋体" w:hAnsi="宋体" w:cs="宋体"/>
          <w:color w:val="auto"/>
          <w:sz w:val="24"/>
        </w:rPr>
        <w:t xml:space="preserve">方： </w:t>
      </w:r>
    </w:p>
    <w:p w14:paraId="4CE51B6A">
      <w:pPr>
        <w:spacing w:line="500" w:lineRule="exact"/>
        <w:jc w:val="left"/>
        <w:rPr>
          <w:rFonts w:ascii="宋体"/>
          <w:color w:val="auto"/>
          <w:sz w:val="24"/>
        </w:rPr>
      </w:pPr>
      <w:r>
        <w:rPr>
          <w:rFonts w:hint="eastAsia" w:ascii="宋体" w:hAnsi="宋体" w:cs="宋体"/>
          <w:color w:val="auto"/>
          <w:sz w:val="24"/>
        </w:rPr>
        <w:t>开户银行：中国银行南通金海岸支行</w:t>
      </w:r>
      <w:r>
        <w:rPr>
          <w:rFonts w:ascii="宋体" w:hAnsi="宋体" w:cs="宋体"/>
          <w:color w:val="auto"/>
          <w:sz w:val="24"/>
        </w:rPr>
        <w:t xml:space="preserve">      </w:t>
      </w:r>
      <w:r>
        <w:rPr>
          <w:rFonts w:hint="eastAsia" w:ascii="宋体" w:hAnsi="宋体" w:cs="宋体"/>
          <w:color w:val="auto"/>
          <w:sz w:val="24"/>
        </w:rPr>
        <w:t xml:space="preserve">开户银行： </w:t>
      </w:r>
      <w:r>
        <w:rPr>
          <w:rFonts w:ascii="宋体"/>
          <w:color w:val="auto"/>
          <w:sz w:val="24"/>
        </w:rPr>
        <w:t xml:space="preserve"> </w:t>
      </w:r>
    </w:p>
    <w:p w14:paraId="49F0AE12">
      <w:pPr>
        <w:spacing w:line="500" w:lineRule="exact"/>
        <w:jc w:val="left"/>
        <w:rPr>
          <w:rFonts w:ascii="宋体" w:hAnsi="宋体" w:cs="宋体"/>
          <w:color w:val="auto"/>
          <w:sz w:val="24"/>
        </w:rPr>
      </w:pPr>
      <w:r>
        <w:rPr>
          <w:rFonts w:hint="eastAsia" w:ascii="宋体" w:hAnsi="宋体" w:cs="宋体"/>
          <w:color w:val="auto"/>
          <w:sz w:val="24"/>
        </w:rPr>
        <w:t>帐</w:t>
      </w:r>
      <w:r>
        <w:rPr>
          <w:rFonts w:ascii="宋体" w:hAnsi="宋体" w:cs="宋体"/>
          <w:color w:val="auto"/>
          <w:sz w:val="24"/>
        </w:rPr>
        <w:t xml:space="preserve">    </w:t>
      </w:r>
      <w:r>
        <w:rPr>
          <w:rFonts w:hint="eastAsia" w:ascii="宋体" w:hAnsi="宋体" w:cs="宋体"/>
          <w:color w:val="auto"/>
          <w:sz w:val="24"/>
        </w:rPr>
        <w:t>号：5</w:t>
      </w:r>
      <w:r>
        <w:rPr>
          <w:rFonts w:ascii="宋体" w:hAnsi="宋体" w:cs="宋体"/>
          <w:color w:val="auto"/>
          <w:sz w:val="24"/>
        </w:rPr>
        <w:t xml:space="preserve">22258202631                </w:t>
      </w:r>
      <w:r>
        <w:rPr>
          <w:rFonts w:hint="eastAsia" w:ascii="宋体" w:hAnsi="宋体" w:cs="宋体"/>
          <w:color w:val="auto"/>
          <w:sz w:val="24"/>
        </w:rPr>
        <w:t>帐</w:t>
      </w:r>
      <w:r>
        <w:rPr>
          <w:rFonts w:ascii="宋体" w:hAnsi="宋体" w:cs="宋体"/>
          <w:color w:val="auto"/>
          <w:sz w:val="24"/>
        </w:rPr>
        <w:t xml:space="preserve">    </w:t>
      </w:r>
      <w:r>
        <w:rPr>
          <w:rFonts w:hint="eastAsia" w:ascii="宋体" w:hAnsi="宋体" w:cs="宋体"/>
          <w:color w:val="auto"/>
          <w:sz w:val="24"/>
        </w:rPr>
        <w:t>号：</w:t>
      </w:r>
      <w:r>
        <w:rPr>
          <w:rFonts w:ascii="宋体" w:hAnsi="宋体" w:cs="宋体"/>
          <w:color w:val="auto"/>
          <w:sz w:val="24"/>
        </w:rPr>
        <w:t xml:space="preserve"> </w:t>
      </w:r>
    </w:p>
    <w:p w14:paraId="37FCC827">
      <w:pPr>
        <w:spacing w:line="500" w:lineRule="exact"/>
        <w:jc w:val="left"/>
        <w:rPr>
          <w:rFonts w:ascii="宋体"/>
          <w:color w:val="auto"/>
          <w:sz w:val="24"/>
        </w:rPr>
      </w:pPr>
      <w:r>
        <w:rPr>
          <w:rFonts w:hint="eastAsia" w:ascii="宋体" w:hAnsi="宋体" w:cs="宋体"/>
          <w:color w:val="auto"/>
          <w:sz w:val="24"/>
        </w:rPr>
        <w:t>法定代表人：</w:t>
      </w:r>
      <w:r>
        <w:rPr>
          <w:rFonts w:ascii="宋体" w:hAnsi="宋体" w:cs="宋体"/>
          <w:color w:val="auto"/>
          <w:sz w:val="24"/>
        </w:rPr>
        <w:t xml:space="preserve">                          </w:t>
      </w:r>
      <w:r>
        <w:rPr>
          <w:rFonts w:hint="eastAsia" w:ascii="宋体" w:hAnsi="宋体" w:cs="宋体"/>
          <w:color w:val="auto"/>
          <w:sz w:val="24"/>
        </w:rPr>
        <w:t>法定代表人：</w:t>
      </w:r>
      <w:r>
        <w:rPr>
          <w:rFonts w:ascii="宋体" w:hAnsi="宋体" w:cs="宋体"/>
          <w:color w:val="auto"/>
          <w:sz w:val="24"/>
        </w:rPr>
        <w:t xml:space="preserve"> </w:t>
      </w:r>
    </w:p>
    <w:p w14:paraId="55F7F947">
      <w:pPr>
        <w:spacing w:line="500" w:lineRule="exact"/>
        <w:jc w:val="left"/>
        <w:rPr>
          <w:rFonts w:ascii="宋体" w:hAnsi="宋体" w:cs="宋体"/>
          <w:color w:val="auto"/>
          <w:sz w:val="24"/>
        </w:rPr>
      </w:pPr>
      <w:r>
        <w:rPr>
          <w:rFonts w:hint="eastAsia" w:ascii="宋体" w:hAnsi="宋体" w:cs="宋体"/>
          <w:color w:val="auto"/>
          <w:sz w:val="24"/>
        </w:rPr>
        <w:t>委托代理人：</w:t>
      </w:r>
      <w:r>
        <w:rPr>
          <w:rFonts w:ascii="宋体" w:hAnsi="宋体" w:cs="宋体"/>
          <w:color w:val="auto"/>
          <w:sz w:val="24"/>
        </w:rPr>
        <w:t xml:space="preserve">                          </w:t>
      </w:r>
      <w:r>
        <w:rPr>
          <w:rFonts w:hint="eastAsia" w:ascii="宋体" w:hAnsi="宋体" w:cs="宋体"/>
          <w:color w:val="auto"/>
          <w:sz w:val="24"/>
        </w:rPr>
        <w:t>委托代理人：</w:t>
      </w:r>
    </w:p>
    <w:p w14:paraId="24F4E420">
      <w:pPr>
        <w:spacing w:line="500" w:lineRule="exact"/>
        <w:jc w:val="left"/>
        <w:rPr>
          <w:rFonts w:ascii="宋体" w:hAnsi="宋体" w:cs="宋体"/>
          <w:color w:val="auto"/>
          <w:sz w:val="24"/>
        </w:rPr>
      </w:pPr>
      <w:r>
        <w:rPr>
          <w:rFonts w:hint="eastAsia" w:ascii="宋体" w:hAnsi="宋体" w:cs="宋体"/>
          <w:color w:val="auto"/>
          <w:sz w:val="24"/>
        </w:rPr>
        <w:t xml:space="preserve">日 </w:t>
      </w:r>
      <w:r>
        <w:rPr>
          <w:rFonts w:ascii="宋体" w:hAnsi="宋体" w:cs="宋体"/>
          <w:color w:val="auto"/>
          <w:sz w:val="24"/>
        </w:rPr>
        <w:t xml:space="preserve">     </w:t>
      </w:r>
      <w:r>
        <w:rPr>
          <w:rFonts w:hint="eastAsia" w:ascii="宋体" w:hAnsi="宋体" w:cs="宋体"/>
          <w:color w:val="auto"/>
          <w:sz w:val="24"/>
        </w:rPr>
        <w:t xml:space="preserve">期： </w:t>
      </w:r>
      <w:r>
        <w:rPr>
          <w:rFonts w:ascii="宋体" w:hAnsi="宋体" w:cs="宋体"/>
          <w:color w:val="auto"/>
          <w:sz w:val="24"/>
        </w:rPr>
        <w:t xml:space="preserve">                         </w:t>
      </w:r>
      <w:r>
        <w:rPr>
          <w:rFonts w:hint="eastAsia" w:ascii="宋体" w:hAnsi="宋体" w:cs="宋体"/>
          <w:color w:val="auto"/>
          <w:sz w:val="24"/>
        </w:rPr>
        <w:t xml:space="preserve">日 </w:t>
      </w:r>
      <w:r>
        <w:rPr>
          <w:rFonts w:ascii="宋体" w:hAnsi="宋体" w:cs="宋体"/>
          <w:color w:val="auto"/>
          <w:sz w:val="24"/>
        </w:rPr>
        <w:t xml:space="preserve">     </w:t>
      </w:r>
      <w:r>
        <w:rPr>
          <w:rFonts w:hint="eastAsia" w:ascii="宋体" w:hAnsi="宋体" w:cs="宋体"/>
          <w:color w:val="auto"/>
          <w:sz w:val="24"/>
        </w:rPr>
        <w:t>期：</w:t>
      </w:r>
      <w:r>
        <w:rPr>
          <w:rFonts w:ascii="宋体" w:hAnsi="宋体" w:cs="宋体"/>
          <w:color w:val="auto"/>
          <w:sz w:val="24"/>
        </w:rPr>
        <w:t xml:space="preserve">         </w:t>
      </w:r>
    </w:p>
    <w:p w14:paraId="2BBE17FD">
      <w:pPr>
        <w:rPr>
          <w:color w:val="auto"/>
        </w:rPr>
      </w:pPr>
    </w:p>
    <w:p w14:paraId="5A426D65">
      <w:pPr>
        <w:adjustRightInd w:val="0"/>
        <w:snapToGrid w:val="0"/>
        <w:spacing w:line="500" w:lineRule="exact"/>
        <w:jc w:val="center"/>
        <w:outlineLvl w:val="0"/>
        <w:rPr>
          <w:rFonts w:ascii="宋体" w:hAnsi="宋体" w:cs="宋体"/>
          <w:bCs/>
          <w:color w:val="auto"/>
          <w:sz w:val="32"/>
          <w:szCs w:val="32"/>
        </w:rPr>
        <w:sectPr>
          <w:pgSz w:w="11906" w:h="16838"/>
          <w:pgMar w:top="1440" w:right="1800" w:bottom="1440" w:left="1800" w:header="851" w:footer="992" w:gutter="0"/>
          <w:cols w:space="720" w:num="1"/>
          <w:docGrid w:type="lines" w:linePitch="312" w:charSpace="0"/>
        </w:sectPr>
      </w:pPr>
    </w:p>
    <w:p w14:paraId="682F4D39">
      <w:pPr>
        <w:numPr>
          <w:ilvl w:val="0"/>
          <w:numId w:val="2"/>
        </w:numPr>
        <w:adjustRightInd w:val="0"/>
        <w:snapToGrid w:val="0"/>
        <w:spacing w:line="460" w:lineRule="exact"/>
        <w:jc w:val="center"/>
        <w:textAlignment w:val="baseline"/>
        <w:outlineLvl w:val="0"/>
        <w:rPr>
          <w:rFonts w:ascii="宋体" w:hAnsi="宋体" w:cs="宋体"/>
          <w:bCs/>
          <w:color w:val="auto"/>
          <w:sz w:val="32"/>
          <w:szCs w:val="32"/>
        </w:rPr>
      </w:pPr>
      <w:r>
        <w:rPr>
          <w:rFonts w:hint="eastAsia" w:ascii="宋体" w:hAnsi="宋体" w:cs="宋体"/>
          <w:bCs/>
          <w:color w:val="auto"/>
          <w:sz w:val="32"/>
          <w:szCs w:val="32"/>
        </w:rPr>
        <w:t xml:space="preserve">  质疑与投诉</w:t>
      </w:r>
    </w:p>
    <w:p w14:paraId="2F0894C7">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一、质疑的提出</w:t>
      </w:r>
    </w:p>
    <w:p w14:paraId="3293996C">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1.质疑人必须是直接参加本次投标活动的当事人。</w:t>
      </w:r>
    </w:p>
    <w:p w14:paraId="4FF2D75A">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3B0E9E1E">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5E362D9F">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4F93258F">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对不能提供相关佐证材料的、涉及商业秘密的、非书面形式的、非送达的、匿名的《质疑函》将不予受理。</w:t>
      </w:r>
    </w:p>
    <w:p w14:paraId="37768543">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相关佐证材料要具备客观性、关联性、合法性，无法查实的（如宣传册、媒体报道、猜测、推理等）不能作为佐证材料。</w:t>
      </w:r>
    </w:p>
    <w:p w14:paraId="634AE60A">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招标单位或代理机构不负责搜集相关佐证材料等工作。</w:t>
      </w:r>
    </w:p>
    <w:p w14:paraId="0E22D14C">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二、《质疑函》的受理和回复</w:t>
      </w:r>
    </w:p>
    <w:p w14:paraId="59E79EFA">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1.《质疑函》须由质疑人的法定代表人或参加本次投标授权人送达招标单位和代理机构。</w:t>
      </w:r>
    </w:p>
    <w:p w14:paraId="35DDFDF0">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03A361EE">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3.对不符合提出质疑要求的，出具《质疑退回通知书》并提出相关补充材料要求，质疑人未在规定的时间内提供补充佐证材料的，视同放弃质疑。</w:t>
      </w:r>
    </w:p>
    <w:p w14:paraId="0D59D1B2">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4.招标单位、代理机构负责将质疑人提出的质疑相关材料提供给相关专家或评标小组审核，并将审核意见回复质疑人。</w:t>
      </w:r>
    </w:p>
    <w:p w14:paraId="2135EC38">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0F3577AE">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5.因质疑情况复杂，组织论证或审查时间较长的，招标人、代理机构以书面形式通知质疑人，可适当延长质疑回复处理时间。</w:t>
      </w:r>
    </w:p>
    <w:p w14:paraId="57037765">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三、质疑处理</w:t>
      </w:r>
    </w:p>
    <w:p w14:paraId="55100389">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1.质疑成立的处理。招标人或代理机构终止招标，并建议有关部门给相关当事人予以处理。</w:t>
      </w:r>
    </w:p>
    <w:p w14:paraId="19CAAFC3">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2.质疑不成立的处理。</w:t>
      </w:r>
    </w:p>
    <w:p w14:paraId="62A53F5A">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1）质疑人书面《申请撤回质疑函》的，不作违约处理。</w:t>
      </w:r>
    </w:p>
    <w:p w14:paraId="3C5B6F39">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2）质疑人在规定的时间内不配合进行质疑调查处理的，按自动撤回《质疑函》处理。</w:t>
      </w:r>
    </w:p>
    <w:p w14:paraId="3C9EBEAA">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3）质疑人不按《质疑函》格式就提出质疑的，作违约处理。同时，视情列入不良投标人名单。</w:t>
      </w:r>
    </w:p>
    <w:p w14:paraId="25E144C2">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4）质疑人虽提供了相关佐证材料，但不能证明其质疑成立的，招标人或代理机构请质疑人补充相关佐证材料，仍不能证明其质疑成立的，作违约处理。</w:t>
      </w:r>
    </w:p>
    <w:p w14:paraId="1526D6F1">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5）质疑人不能提供相关佐证材料的，招标人、代理机构已指出，质疑人仍然坚持提出质疑的，作违约处理。</w:t>
      </w:r>
    </w:p>
    <w:p w14:paraId="648ED10F">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6）对明显有违事实的、经相关专家或评标小组认定无依据的、经其他投标人举证无依据的质疑，作违约处理，视情在招标人官网媒体予以披露。</w:t>
      </w:r>
    </w:p>
    <w:p w14:paraId="0F1D51FF">
      <w:pPr>
        <w:adjustRightInd w:val="0"/>
        <w:snapToGrid w:val="0"/>
        <w:spacing w:line="460" w:lineRule="exact"/>
        <w:ind w:firstLine="240" w:firstLineChars="100"/>
        <w:contextualSpacing/>
        <w:rPr>
          <w:rFonts w:ascii="宋体" w:hAnsi="宋体" w:cs="宋体"/>
          <w:color w:val="auto"/>
          <w:sz w:val="24"/>
        </w:rPr>
      </w:pPr>
      <w:r>
        <w:rPr>
          <w:rFonts w:hint="eastAsia" w:ascii="宋体" w:hAnsi="宋体" w:cs="宋体"/>
          <w:color w:val="auto"/>
          <w:sz w:val="24"/>
        </w:rPr>
        <w:t>（7）质疑人承担使用虚假材料或恶意方式质疑的法律责任。</w:t>
      </w:r>
    </w:p>
    <w:p w14:paraId="4EC58DB4">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四、无佐证材料的举报作违约处理。投标人不得进行不提供相关佐证材料（含无法查实的如宣传册、媒体报道、猜测、推理等）向有关部门的举报，否则作违约处理。</w:t>
      </w:r>
    </w:p>
    <w:p w14:paraId="4DB83E92">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五、投诉不成立的作违约处理。投标人进行质疑后，招标人回复质疑不成立，投标人仍进行投诉的，并最终投诉不成立的，作违约处理。</w:t>
      </w:r>
    </w:p>
    <w:p w14:paraId="7D5BDE72">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六、《质疑函》、《质疑回复函》，质疑、举报、投诉不成立的等相关情况，视情在招标人官网等相关媒体予以披露。</w:t>
      </w:r>
    </w:p>
    <w:p w14:paraId="2875ABEF">
      <w:pPr>
        <w:adjustRightInd w:val="0"/>
        <w:snapToGrid w:val="0"/>
        <w:spacing w:line="460" w:lineRule="exact"/>
        <w:ind w:firstLine="480" w:firstLineChars="200"/>
        <w:jc w:val="left"/>
        <w:rPr>
          <w:rFonts w:ascii="宋体" w:hAnsi="宋体" w:cs="宋体"/>
          <w:color w:val="auto"/>
          <w:sz w:val="24"/>
        </w:rPr>
      </w:pPr>
      <w:r>
        <w:rPr>
          <w:rFonts w:hint="eastAsia" w:ascii="宋体" w:hAnsi="宋体" w:cs="宋体"/>
          <w:color w:val="auto"/>
          <w:sz w:val="24"/>
        </w:rPr>
        <w:t>七、质疑人对招标人或代理机构的答复不满意或者招标人、代理机构未在规定的时间内作出答复的，可以在答复期满后15个工作日内向相关监督管理部门投诉。</w:t>
      </w:r>
    </w:p>
    <w:p w14:paraId="3872FFF1">
      <w:pPr>
        <w:adjustRightInd w:val="0"/>
        <w:snapToGrid w:val="0"/>
        <w:spacing w:line="460" w:lineRule="exact"/>
        <w:ind w:firstLine="482" w:firstLineChars="200"/>
        <w:jc w:val="center"/>
        <w:rPr>
          <w:rFonts w:ascii="宋体" w:hAnsi="宋体" w:cs="宋体"/>
          <w:bCs/>
          <w:color w:val="auto"/>
          <w:sz w:val="36"/>
          <w:szCs w:val="36"/>
        </w:rPr>
      </w:pPr>
      <w:r>
        <w:rPr>
          <w:rFonts w:hint="eastAsia" w:ascii="宋体" w:hAnsi="宋体" w:cs="宋体"/>
          <w:b/>
          <w:color w:val="auto"/>
          <w:sz w:val="24"/>
        </w:rPr>
        <w:br w:type="page"/>
      </w:r>
      <w:r>
        <w:rPr>
          <w:rFonts w:hint="eastAsia" w:ascii="宋体" w:hAnsi="宋体" w:cs="宋体"/>
          <w:bCs/>
          <w:color w:val="auto"/>
          <w:sz w:val="36"/>
          <w:szCs w:val="36"/>
        </w:rPr>
        <w:t>第七部分  投标文件组成</w:t>
      </w:r>
    </w:p>
    <w:p w14:paraId="4A458949">
      <w:pPr>
        <w:adjustRightInd w:val="0"/>
        <w:snapToGrid w:val="0"/>
        <w:spacing w:line="460" w:lineRule="exact"/>
        <w:ind w:firstLine="482" w:firstLineChars="200"/>
        <w:jc w:val="left"/>
        <w:rPr>
          <w:rFonts w:ascii="宋体" w:hAnsi="宋体" w:cs="宋体"/>
          <w:b/>
          <w:color w:val="auto"/>
          <w:sz w:val="24"/>
        </w:rPr>
      </w:pPr>
      <w:r>
        <w:rPr>
          <w:rFonts w:hint="eastAsia" w:ascii="宋体" w:hAnsi="宋体" w:cs="宋体"/>
          <w:b/>
          <w:color w:val="auto"/>
          <w:sz w:val="24"/>
        </w:rPr>
        <w:t>投标文件由资格审查文件、商务技术标、价格标、电子响应文件四部分组成。</w:t>
      </w:r>
    </w:p>
    <w:p w14:paraId="0ED8E592">
      <w:pPr>
        <w:adjustRightInd w:val="0"/>
        <w:snapToGrid w:val="0"/>
        <w:spacing w:line="460" w:lineRule="exact"/>
        <w:ind w:firstLine="482" w:firstLineChars="200"/>
        <w:rPr>
          <w:rFonts w:ascii="宋体" w:hAnsi="宋体" w:cs="宋体"/>
          <w:b/>
          <w:bCs/>
          <w:color w:val="auto"/>
          <w:kern w:val="0"/>
          <w:sz w:val="24"/>
          <w:lang w:val="zh-CN"/>
        </w:rPr>
      </w:pPr>
      <w:r>
        <w:rPr>
          <w:rFonts w:hint="eastAsia" w:ascii="宋体" w:hAnsi="宋体" w:cs="宋体"/>
          <w:b/>
          <w:bCs/>
          <w:color w:val="auto"/>
          <w:kern w:val="0"/>
          <w:sz w:val="24"/>
          <w:lang w:val="zh-CN"/>
        </w:rPr>
        <w:t>一、资格审查文件（不能出现商务技术标、价格标）</w:t>
      </w:r>
    </w:p>
    <w:p w14:paraId="31E7E4F0">
      <w:pPr>
        <w:adjustRightInd w:val="0"/>
        <w:snapToGrid w:val="0"/>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rPr>
        <w:t>符合投标人资格要求的承诺函（格式见附件1）</w:t>
      </w:r>
      <w:r>
        <w:rPr>
          <w:rFonts w:hint="eastAsia" w:ascii="宋体" w:hAnsi="宋体" w:cs="宋体"/>
          <w:color w:val="auto"/>
          <w:kern w:val="0"/>
          <w:sz w:val="24"/>
          <w:lang w:val="zh-CN"/>
        </w:rPr>
        <w:t>；</w:t>
      </w:r>
    </w:p>
    <w:p w14:paraId="111591E8">
      <w:pPr>
        <w:adjustRightInd w:val="0"/>
        <w:snapToGrid w:val="0"/>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lang w:val="zh-CN"/>
        </w:rPr>
        <w:t>2.必须提供法定代表人身份证明及法定代表人本人身份证复印件（格式见附件</w:t>
      </w:r>
      <w:r>
        <w:rPr>
          <w:rFonts w:hint="eastAsia" w:ascii="宋体" w:hAnsi="宋体" w:cs="宋体"/>
          <w:color w:val="auto"/>
          <w:kern w:val="0"/>
          <w:sz w:val="24"/>
        </w:rPr>
        <w:t>2</w:t>
      </w:r>
      <w:r>
        <w:rPr>
          <w:rFonts w:hint="eastAsia" w:ascii="宋体" w:hAnsi="宋体" w:cs="宋体"/>
          <w:color w:val="auto"/>
          <w:kern w:val="0"/>
          <w:sz w:val="24"/>
          <w:lang w:val="zh-CN"/>
        </w:rPr>
        <w:t>）；非法定代表人参加投标的，</w:t>
      </w:r>
      <w:r>
        <w:rPr>
          <w:rFonts w:hint="eastAsia" w:ascii="宋体" w:hAnsi="宋体" w:cs="宋体"/>
          <w:color w:val="auto"/>
          <w:kern w:val="0"/>
          <w:sz w:val="24"/>
        </w:rPr>
        <w:t>还</w:t>
      </w:r>
      <w:r>
        <w:rPr>
          <w:rFonts w:hint="eastAsia" w:ascii="宋体" w:hAnsi="宋体" w:cs="宋体"/>
          <w:color w:val="auto"/>
          <w:kern w:val="0"/>
          <w:sz w:val="24"/>
          <w:lang w:val="zh-CN"/>
        </w:rPr>
        <w:t>必须提供法定代表人身份证明、法定代表人签名或盖章的授权委托书及法定代表人和委托代理人（以下称被授权人）两个人的身份证复印件（格式见附件</w:t>
      </w:r>
      <w:r>
        <w:rPr>
          <w:rFonts w:hint="eastAsia" w:ascii="宋体" w:hAnsi="宋体" w:cs="宋体"/>
          <w:color w:val="auto"/>
          <w:kern w:val="0"/>
          <w:sz w:val="24"/>
        </w:rPr>
        <w:t>3</w:t>
      </w:r>
      <w:r>
        <w:rPr>
          <w:rFonts w:hint="eastAsia" w:ascii="宋体" w:hAnsi="宋体" w:cs="宋体"/>
          <w:color w:val="auto"/>
          <w:kern w:val="0"/>
          <w:sz w:val="24"/>
          <w:lang w:val="zh-CN"/>
        </w:rPr>
        <w:t>）。</w:t>
      </w:r>
    </w:p>
    <w:p w14:paraId="60C7487B">
      <w:pPr>
        <w:adjustRightInd w:val="0"/>
        <w:snapToGrid w:val="0"/>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rPr>
        <w:t>3</w:t>
      </w:r>
      <w:r>
        <w:rPr>
          <w:rFonts w:hint="eastAsia" w:ascii="宋体" w:hAnsi="宋体" w:cs="宋体"/>
          <w:color w:val="auto"/>
          <w:kern w:val="0"/>
          <w:sz w:val="24"/>
          <w:lang w:val="zh-CN"/>
        </w:rPr>
        <w:t>.有效的营业执照副本复印件并加盖投标单位公章；</w:t>
      </w:r>
    </w:p>
    <w:p w14:paraId="36069BC0">
      <w:pPr>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4.具备履行合同所必需的设备和专业技术能力的书面声明（</w:t>
      </w:r>
      <w:r>
        <w:rPr>
          <w:rFonts w:hint="eastAsia" w:ascii="宋体" w:hAnsi="宋体" w:cs="宋体"/>
          <w:color w:val="auto"/>
          <w:kern w:val="0"/>
          <w:sz w:val="24"/>
          <w:lang w:val="zh-CN"/>
        </w:rPr>
        <w:t>格式见附件</w:t>
      </w:r>
      <w:r>
        <w:rPr>
          <w:rFonts w:hint="eastAsia" w:ascii="宋体" w:hAnsi="宋体" w:cs="宋体"/>
          <w:color w:val="auto"/>
          <w:kern w:val="0"/>
          <w:sz w:val="24"/>
        </w:rPr>
        <w:t>4）；</w:t>
      </w:r>
    </w:p>
    <w:p w14:paraId="0A260A51">
      <w:pPr>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5.未被“信用中国”网站列入失信被执行人、重大税收违法案件当事人名单、采购不良行为记录名单，提供无重大违法记录声明（</w:t>
      </w:r>
      <w:r>
        <w:rPr>
          <w:rFonts w:hint="eastAsia" w:ascii="宋体" w:hAnsi="宋体" w:cs="宋体"/>
          <w:color w:val="auto"/>
          <w:kern w:val="0"/>
          <w:sz w:val="24"/>
          <w:lang w:val="zh-CN"/>
        </w:rPr>
        <w:t>格式见附件</w:t>
      </w:r>
      <w:r>
        <w:rPr>
          <w:rFonts w:hint="eastAsia" w:ascii="宋体" w:hAnsi="宋体" w:cs="宋体"/>
          <w:color w:val="auto"/>
          <w:kern w:val="0"/>
          <w:sz w:val="24"/>
        </w:rPr>
        <w:t>5）；</w:t>
      </w:r>
    </w:p>
    <w:p w14:paraId="5B2FFF04">
      <w:pPr>
        <w:adjustRightInd w:val="0"/>
        <w:snapToGrid w:val="0"/>
        <w:spacing w:line="460" w:lineRule="exact"/>
        <w:ind w:firstLine="482" w:firstLineChars="200"/>
        <w:rPr>
          <w:rFonts w:ascii="宋体" w:hAnsi="宋体" w:cs="宋体"/>
          <w:b/>
          <w:bCs/>
          <w:color w:val="auto"/>
          <w:kern w:val="0"/>
          <w:sz w:val="24"/>
          <w:lang w:val="zh-CN"/>
        </w:rPr>
      </w:pPr>
      <w:r>
        <w:rPr>
          <w:rFonts w:hint="eastAsia" w:ascii="宋体" w:hAnsi="宋体" w:cs="宋体"/>
          <w:b/>
          <w:bCs/>
          <w:color w:val="auto"/>
          <w:kern w:val="0"/>
          <w:sz w:val="24"/>
          <w:lang w:val="zh-CN"/>
        </w:rPr>
        <w:t>二、商务技术标（不能出现价格标）</w:t>
      </w:r>
    </w:p>
    <w:p w14:paraId="7C1FEA90">
      <w:pPr>
        <w:adjustRightInd w:val="0"/>
        <w:snapToGrid w:val="0"/>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sz w:val="24"/>
        </w:rPr>
        <w:t>投标响应函</w:t>
      </w:r>
      <w:r>
        <w:rPr>
          <w:rFonts w:hint="eastAsia" w:ascii="宋体" w:hAnsi="宋体" w:cs="宋体"/>
          <w:color w:val="auto"/>
          <w:kern w:val="0"/>
          <w:sz w:val="24"/>
          <w:lang w:val="zh-CN"/>
        </w:rPr>
        <w:t>（格式见附件</w:t>
      </w:r>
      <w:r>
        <w:rPr>
          <w:rFonts w:hint="eastAsia" w:ascii="宋体" w:hAnsi="宋体" w:cs="宋体"/>
          <w:color w:val="auto"/>
          <w:kern w:val="0"/>
          <w:sz w:val="24"/>
        </w:rPr>
        <w:t>6</w:t>
      </w:r>
      <w:r>
        <w:rPr>
          <w:rFonts w:hint="eastAsia" w:ascii="宋体" w:hAnsi="宋体" w:cs="宋体"/>
          <w:color w:val="auto"/>
          <w:kern w:val="0"/>
          <w:sz w:val="24"/>
          <w:lang w:val="zh-CN"/>
        </w:rPr>
        <w:t>）</w:t>
      </w:r>
    </w:p>
    <w:p w14:paraId="4DD91246">
      <w:pPr>
        <w:adjustRightInd w:val="0"/>
        <w:snapToGrid w:val="0"/>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rPr>
        <w:t>2.</w:t>
      </w:r>
      <w:r>
        <w:rPr>
          <w:rFonts w:hint="eastAsia" w:ascii="宋体" w:hAnsi="宋体" w:cs="宋体"/>
          <w:color w:val="auto"/>
          <w:kern w:val="0"/>
          <w:sz w:val="24"/>
          <w:lang w:val="zh-CN"/>
        </w:rPr>
        <w:t>商务部分正负偏离表（格式见附件</w:t>
      </w:r>
      <w:r>
        <w:rPr>
          <w:rFonts w:hint="eastAsia" w:ascii="宋体" w:hAnsi="宋体" w:cs="宋体"/>
          <w:color w:val="auto"/>
          <w:kern w:val="0"/>
          <w:sz w:val="24"/>
        </w:rPr>
        <w:t>7</w:t>
      </w:r>
      <w:r>
        <w:rPr>
          <w:rFonts w:hint="eastAsia" w:ascii="宋体" w:hAnsi="宋体" w:cs="宋体"/>
          <w:color w:val="auto"/>
          <w:kern w:val="0"/>
          <w:sz w:val="24"/>
          <w:lang w:val="zh-CN"/>
        </w:rPr>
        <w:t>）；</w:t>
      </w:r>
    </w:p>
    <w:p w14:paraId="5A13446C">
      <w:pPr>
        <w:adjustRightInd w:val="0"/>
        <w:snapToGrid w:val="0"/>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rPr>
        <w:t>3.</w:t>
      </w:r>
      <w:r>
        <w:rPr>
          <w:rFonts w:hint="eastAsia" w:ascii="宋体" w:hAnsi="宋体" w:cs="宋体"/>
          <w:color w:val="auto"/>
          <w:kern w:val="0"/>
          <w:sz w:val="24"/>
          <w:lang w:val="zh-CN"/>
        </w:rPr>
        <w:t>技术部分正负偏离表（格式见附件</w:t>
      </w:r>
      <w:r>
        <w:rPr>
          <w:rFonts w:hint="eastAsia" w:ascii="宋体" w:hAnsi="宋体" w:cs="宋体"/>
          <w:color w:val="auto"/>
          <w:kern w:val="0"/>
          <w:sz w:val="24"/>
        </w:rPr>
        <w:t>8</w:t>
      </w:r>
      <w:r>
        <w:rPr>
          <w:rFonts w:hint="eastAsia" w:ascii="宋体" w:hAnsi="宋体" w:cs="宋体"/>
          <w:color w:val="auto"/>
          <w:kern w:val="0"/>
          <w:sz w:val="24"/>
          <w:lang w:val="zh-CN"/>
        </w:rPr>
        <w:t>）；</w:t>
      </w:r>
    </w:p>
    <w:p w14:paraId="1DD6407D">
      <w:pPr>
        <w:adjustRightInd w:val="0"/>
        <w:snapToGrid w:val="0"/>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rPr>
        <w:t>4.</w:t>
      </w:r>
      <w:r>
        <w:rPr>
          <w:rFonts w:hint="eastAsia" w:ascii="宋体" w:hAnsi="宋体" w:cs="宋体"/>
          <w:color w:val="auto"/>
          <w:kern w:val="0"/>
          <w:sz w:val="24"/>
          <w:lang w:val="zh-CN"/>
        </w:rPr>
        <w:t>商务技术评分标准中须提供的相关得分佐证材料；</w:t>
      </w:r>
    </w:p>
    <w:p w14:paraId="00DE4AFD">
      <w:pPr>
        <w:adjustRightInd w:val="0"/>
        <w:snapToGrid w:val="0"/>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rPr>
        <w:t>5.</w:t>
      </w:r>
      <w:r>
        <w:rPr>
          <w:rFonts w:hint="eastAsia" w:ascii="宋体" w:hAnsi="宋体" w:cs="宋体"/>
          <w:color w:val="auto"/>
          <w:kern w:val="0"/>
          <w:sz w:val="24"/>
          <w:lang w:val="zh-CN"/>
        </w:rPr>
        <w:t>投标人认为需要提交的其他商务技术材料。</w:t>
      </w:r>
    </w:p>
    <w:p w14:paraId="38E9EF26">
      <w:pPr>
        <w:adjustRightInd w:val="0"/>
        <w:snapToGrid w:val="0"/>
        <w:spacing w:line="460" w:lineRule="exact"/>
        <w:ind w:firstLine="482" w:firstLineChars="200"/>
        <w:rPr>
          <w:rFonts w:ascii="宋体" w:hAnsi="宋体" w:cs="宋体"/>
          <w:b/>
          <w:bCs/>
          <w:color w:val="auto"/>
          <w:kern w:val="0"/>
          <w:sz w:val="24"/>
          <w:lang w:val="zh-CN"/>
        </w:rPr>
      </w:pPr>
      <w:r>
        <w:rPr>
          <w:rFonts w:hint="eastAsia" w:ascii="宋体" w:hAnsi="宋体" w:cs="宋体"/>
          <w:b/>
          <w:bCs/>
          <w:color w:val="auto"/>
          <w:kern w:val="0"/>
          <w:sz w:val="24"/>
          <w:lang w:val="zh-CN"/>
        </w:rPr>
        <w:t>三、价格标</w:t>
      </w:r>
    </w:p>
    <w:p w14:paraId="7EF4B8F4">
      <w:pPr>
        <w:adjustRightInd w:val="0"/>
        <w:snapToGrid w:val="0"/>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rPr>
        <w:t>价格表响应文件</w:t>
      </w:r>
      <w:r>
        <w:rPr>
          <w:rFonts w:hint="eastAsia" w:ascii="宋体" w:hAnsi="宋体" w:cs="宋体"/>
          <w:color w:val="auto"/>
          <w:kern w:val="0"/>
          <w:sz w:val="24"/>
          <w:lang w:val="zh-CN"/>
        </w:rPr>
        <w:t>（格式见附件</w:t>
      </w:r>
      <w:r>
        <w:rPr>
          <w:rFonts w:hint="eastAsia" w:ascii="宋体" w:hAnsi="宋体" w:cs="宋体"/>
          <w:color w:val="auto"/>
          <w:kern w:val="0"/>
          <w:sz w:val="24"/>
        </w:rPr>
        <w:t>9</w:t>
      </w:r>
      <w:r>
        <w:rPr>
          <w:rFonts w:hint="eastAsia" w:ascii="宋体" w:hAnsi="宋体" w:cs="宋体"/>
          <w:color w:val="auto"/>
          <w:kern w:val="0"/>
          <w:sz w:val="24"/>
          <w:lang w:val="zh-CN"/>
        </w:rPr>
        <w:t>）；</w:t>
      </w:r>
    </w:p>
    <w:p w14:paraId="7A3AA9A3">
      <w:pPr>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2.分项报价表（格式见附件10）；</w:t>
      </w:r>
    </w:p>
    <w:p w14:paraId="5BCAACB8">
      <w:pPr>
        <w:adjustRightInd w:val="0"/>
        <w:snapToGrid w:val="0"/>
        <w:spacing w:line="460" w:lineRule="exact"/>
        <w:ind w:firstLine="480" w:firstLineChars="200"/>
        <w:rPr>
          <w:rFonts w:ascii="宋体" w:hAnsi="宋体" w:cs="宋体"/>
          <w:b/>
          <w:bCs/>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zh-CN"/>
        </w:rPr>
        <w:t>.小微企业声明函（格式见附件</w:t>
      </w:r>
      <w:r>
        <w:rPr>
          <w:rFonts w:hint="eastAsia" w:ascii="宋体" w:hAnsi="宋体" w:cs="宋体"/>
          <w:color w:val="auto"/>
          <w:kern w:val="0"/>
          <w:sz w:val="24"/>
        </w:rPr>
        <w:t>11）</w:t>
      </w:r>
      <w:r>
        <w:rPr>
          <w:rFonts w:hint="eastAsia" w:ascii="宋体" w:hAnsi="宋体" w:cs="宋体"/>
          <w:color w:val="auto"/>
          <w:kern w:val="0"/>
          <w:sz w:val="24"/>
          <w:lang w:val="zh-CN"/>
        </w:rPr>
        <w:t>或残疾人福利性单位声明函（格式见附件</w:t>
      </w:r>
      <w:r>
        <w:rPr>
          <w:rFonts w:hint="eastAsia" w:ascii="宋体" w:hAnsi="宋体" w:cs="宋体"/>
          <w:color w:val="auto"/>
          <w:kern w:val="0"/>
          <w:sz w:val="24"/>
        </w:rPr>
        <w:t>12</w:t>
      </w:r>
      <w:r>
        <w:rPr>
          <w:rFonts w:hint="eastAsia" w:ascii="宋体" w:hAnsi="宋体" w:cs="宋体"/>
          <w:color w:val="auto"/>
          <w:kern w:val="0"/>
          <w:sz w:val="24"/>
          <w:lang w:val="zh-CN"/>
        </w:rPr>
        <w:t>）或监狱和戒毒企业证明材料（格式见附件</w:t>
      </w:r>
      <w:r>
        <w:rPr>
          <w:rFonts w:hint="eastAsia" w:ascii="宋体" w:hAnsi="宋体" w:cs="宋体"/>
          <w:color w:val="auto"/>
          <w:kern w:val="0"/>
          <w:sz w:val="24"/>
        </w:rPr>
        <w:t>13</w:t>
      </w:r>
      <w:r>
        <w:rPr>
          <w:rFonts w:hint="eastAsia" w:ascii="宋体" w:hAnsi="宋体" w:cs="宋体"/>
          <w:color w:val="auto"/>
          <w:kern w:val="0"/>
          <w:sz w:val="24"/>
          <w:lang w:val="zh-CN"/>
        </w:rPr>
        <w:t>）</w:t>
      </w:r>
    </w:p>
    <w:p w14:paraId="3FAA3F38">
      <w:pPr>
        <w:adjustRightInd w:val="0"/>
        <w:snapToGrid w:val="0"/>
        <w:spacing w:line="460" w:lineRule="exact"/>
        <w:ind w:firstLine="482" w:firstLineChars="200"/>
        <w:rPr>
          <w:rFonts w:ascii="宋体" w:hAnsi="宋体" w:cs="宋体"/>
          <w:b/>
          <w:bCs/>
          <w:color w:val="auto"/>
          <w:kern w:val="0"/>
          <w:sz w:val="24"/>
        </w:rPr>
      </w:pPr>
      <w:r>
        <w:rPr>
          <w:rFonts w:hint="eastAsia" w:ascii="宋体" w:hAnsi="宋体" w:cs="宋体"/>
          <w:b/>
          <w:bCs/>
          <w:color w:val="auto"/>
          <w:kern w:val="0"/>
          <w:sz w:val="24"/>
        </w:rPr>
        <w:t>四、电子响应文件（一份、单独密封提交）</w:t>
      </w:r>
    </w:p>
    <w:p w14:paraId="4F3BBEDF">
      <w:pPr>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电子响应文件的内容为“资格审查文件、商务技术标、价格标”的打印盖章（或电子签章）后的响应文件的扫描件（资格审查文件、商务技术标、价格标需分别逐页连续扫描为三个独立的PDF文件）。</w:t>
      </w:r>
    </w:p>
    <w:p w14:paraId="67748909">
      <w:pPr>
        <w:snapToGrid w:val="0"/>
        <w:spacing w:line="460" w:lineRule="exact"/>
        <w:contextualSpacing/>
        <w:rPr>
          <w:rFonts w:ascii="宋体" w:hAnsi="宋体" w:cs="宋体"/>
          <w:color w:val="auto"/>
          <w:kern w:val="0"/>
          <w:sz w:val="32"/>
          <w:szCs w:val="32"/>
          <w:lang w:val="zh-CN"/>
        </w:rPr>
      </w:pPr>
      <w:r>
        <w:rPr>
          <w:rFonts w:hint="eastAsia" w:ascii="宋体" w:hAnsi="宋体" w:cs="宋体"/>
          <w:color w:val="auto"/>
          <w:kern w:val="0"/>
          <w:sz w:val="32"/>
          <w:szCs w:val="32"/>
          <w:lang w:val="zh-CN"/>
        </w:rPr>
        <w:br w:type="page"/>
      </w:r>
      <w:r>
        <w:rPr>
          <w:rFonts w:hint="eastAsia" w:ascii="宋体" w:hAnsi="宋体" w:cs="宋体"/>
          <w:color w:val="auto"/>
          <w:kern w:val="0"/>
          <w:sz w:val="32"/>
          <w:szCs w:val="32"/>
          <w:lang w:val="zh-CN"/>
        </w:rPr>
        <w:t>附件1</w:t>
      </w:r>
    </w:p>
    <w:p w14:paraId="392A0810">
      <w:pPr>
        <w:spacing w:line="460" w:lineRule="exact"/>
        <w:jc w:val="center"/>
        <w:rPr>
          <w:rFonts w:ascii="宋体" w:hAnsi="宋体" w:cs="宋体"/>
          <w:b/>
          <w:color w:val="auto"/>
          <w:sz w:val="30"/>
          <w:szCs w:val="30"/>
        </w:rPr>
      </w:pPr>
    </w:p>
    <w:p w14:paraId="2C385935">
      <w:pPr>
        <w:spacing w:line="460" w:lineRule="exact"/>
        <w:jc w:val="center"/>
        <w:rPr>
          <w:rFonts w:ascii="宋体" w:hAnsi="宋体" w:cs="宋体"/>
          <w:b/>
          <w:color w:val="auto"/>
          <w:sz w:val="30"/>
          <w:szCs w:val="30"/>
        </w:rPr>
      </w:pPr>
    </w:p>
    <w:p w14:paraId="6CC3C0D1">
      <w:pPr>
        <w:spacing w:line="460" w:lineRule="exact"/>
        <w:jc w:val="center"/>
        <w:rPr>
          <w:rFonts w:ascii="宋体" w:hAnsi="宋体" w:cs="宋体"/>
          <w:b/>
          <w:color w:val="auto"/>
          <w:sz w:val="30"/>
          <w:szCs w:val="30"/>
        </w:rPr>
      </w:pPr>
      <w:r>
        <w:rPr>
          <w:rFonts w:hint="eastAsia" w:ascii="宋体" w:hAnsi="宋体" w:cs="宋体"/>
          <w:b/>
          <w:color w:val="auto"/>
          <w:sz w:val="30"/>
          <w:szCs w:val="30"/>
        </w:rPr>
        <w:t>符合投标人资格要求的承诺函</w:t>
      </w:r>
    </w:p>
    <w:p w14:paraId="3F087856">
      <w:pPr>
        <w:spacing w:line="460" w:lineRule="exact"/>
        <w:rPr>
          <w:rFonts w:ascii="宋体" w:hAnsi="宋体" w:cs="宋体"/>
          <w:b/>
          <w:bCs/>
          <w:color w:val="auto"/>
          <w:sz w:val="44"/>
          <w:szCs w:val="44"/>
        </w:rPr>
      </w:pPr>
      <w:r>
        <w:rPr>
          <w:rFonts w:hint="eastAsia" w:ascii="宋体" w:hAnsi="宋体" w:cs="宋体"/>
          <w:b/>
          <w:bCs/>
          <w:color w:val="auto"/>
          <w:sz w:val="24"/>
          <w:szCs w:val="21"/>
        </w:rPr>
        <w:t xml:space="preserve">                       </w:t>
      </w:r>
      <w:r>
        <w:rPr>
          <w:rFonts w:hint="eastAsia" w:ascii="宋体" w:hAnsi="宋体" w:cs="宋体"/>
          <w:b/>
          <w:bCs/>
          <w:color w:val="auto"/>
          <w:sz w:val="44"/>
          <w:szCs w:val="44"/>
        </w:rPr>
        <w:t xml:space="preserve">   </w:t>
      </w:r>
    </w:p>
    <w:p w14:paraId="7D311161">
      <w:pPr>
        <w:spacing w:line="460" w:lineRule="exact"/>
        <w:ind w:firstLine="480" w:firstLineChars="200"/>
        <w:rPr>
          <w:rFonts w:ascii="宋体" w:hAnsi="宋体" w:cs="宋体"/>
          <w:b/>
          <w:bCs/>
          <w:color w:val="auto"/>
          <w:sz w:val="24"/>
        </w:rPr>
      </w:pPr>
      <w:r>
        <w:rPr>
          <w:rFonts w:hint="eastAsia" w:ascii="宋体" w:hAnsi="宋体" w:cs="宋体"/>
          <w:bCs/>
          <w:color w:val="auto"/>
          <w:sz w:val="24"/>
        </w:rPr>
        <w:t>我单位参加</w:t>
      </w:r>
      <w:r>
        <w:rPr>
          <w:rFonts w:hint="eastAsia" w:ascii="宋体" w:hAnsi="宋体" w:cs="宋体"/>
          <w:bCs/>
          <w:color w:val="auto"/>
          <w:sz w:val="24"/>
          <w:szCs w:val="21"/>
          <w:u w:val="single"/>
        </w:rPr>
        <w:t>________________ _</w:t>
      </w:r>
      <w:r>
        <w:rPr>
          <w:rFonts w:hint="eastAsia" w:ascii="宋体" w:hAnsi="宋体" w:cs="宋体"/>
          <w:bCs/>
          <w:color w:val="auto"/>
          <w:sz w:val="24"/>
          <w:szCs w:val="21"/>
        </w:rPr>
        <w:t>（项目名称），</w:t>
      </w:r>
      <w:r>
        <w:rPr>
          <w:rFonts w:hint="eastAsia" w:ascii="宋体" w:hAnsi="宋体" w:cs="宋体"/>
          <w:bCs/>
          <w:color w:val="auto"/>
          <w:sz w:val="24"/>
          <w:szCs w:val="21"/>
          <w:u w:val="single"/>
        </w:rPr>
        <w:t>_______ __________</w:t>
      </w:r>
      <w:r>
        <w:rPr>
          <w:rFonts w:hint="eastAsia" w:ascii="宋体" w:hAnsi="宋体" w:cs="宋体"/>
          <w:bCs/>
          <w:color w:val="auto"/>
          <w:sz w:val="24"/>
          <w:szCs w:val="21"/>
        </w:rPr>
        <w:t>（项目编号）投标活动。现做出如下承诺：</w:t>
      </w:r>
    </w:p>
    <w:p w14:paraId="0A2172DF">
      <w:pPr>
        <w:spacing w:line="460" w:lineRule="exact"/>
        <w:ind w:firstLine="480" w:firstLineChars="200"/>
        <w:rPr>
          <w:rFonts w:ascii="宋体" w:hAnsi="宋体" w:cs="宋体"/>
          <w:color w:val="auto"/>
          <w:sz w:val="24"/>
        </w:rPr>
      </w:pPr>
      <w:r>
        <w:rPr>
          <w:rFonts w:hint="eastAsia" w:ascii="宋体" w:hAnsi="宋体" w:cs="宋体"/>
          <w:bCs/>
          <w:color w:val="auto"/>
          <w:sz w:val="24"/>
          <w:szCs w:val="21"/>
        </w:rPr>
        <w:t>1.我单位具有独立承担民事责任的能力；</w:t>
      </w:r>
    </w:p>
    <w:p w14:paraId="0EBE0FF2">
      <w:pPr>
        <w:spacing w:line="460" w:lineRule="exact"/>
        <w:ind w:firstLine="480" w:firstLineChars="200"/>
        <w:rPr>
          <w:rFonts w:ascii="宋体" w:hAnsi="宋体" w:cs="宋体"/>
          <w:color w:val="auto"/>
          <w:sz w:val="24"/>
        </w:rPr>
      </w:pPr>
      <w:r>
        <w:rPr>
          <w:rFonts w:hint="eastAsia" w:ascii="宋体" w:hAnsi="宋体" w:cs="宋体"/>
          <w:color w:val="auto"/>
          <w:sz w:val="24"/>
        </w:rPr>
        <w:t>2.我单位具有良好的商业信誉和健全的财务会计制度；</w:t>
      </w:r>
    </w:p>
    <w:p w14:paraId="1BB686E5">
      <w:pPr>
        <w:spacing w:line="460" w:lineRule="exact"/>
        <w:ind w:firstLine="480" w:firstLineChars="200"/>
        <w:rPr>
          <w:rFonts w:ascii="宋体" w:hAnsi="宋体" w:cs="宋体"/>
          <w:color w:val="auto"/>
          <w:sz w:val="24"/>
        </w:rPr>
      </w:pPr>
      <w:r>
        <w:rPr>
          <w:rFonts w:hint="eastAsia" w:ascii="宋体" w:hAnsi="宋体" w:cs="宋体"/>
          <w:color w:val="auto"/>
          <w:sz w:val="24"/>
        </w:rPr>
        <w:t>3.我单位具有履行合同所必需的设备和专业技术能力；</w:t>
      </w:r>
    </w:p>
    <w:p w14:paraId="362F05A9">
      <w:pPr>
        <w:spacing w:line="460" w:lineRule="exact"/>
        <w:ind w:firstLine="480" w:firstLineChars="200"/>
        <w:rPr>
          <w:rFonts w:ascii="宋体" w:hAnsi="宋体" w:cs="宋体"/>
          <w:color w:val="auto"/>
          <w:sz w:val="24"/>
        </w:rPr>
      </w:pPr>
      <w:r>
        <w:rPr>
          <w:rFonts w:hint="eastAsia" w:ascii="宋体" w:hAnsi="宋体" w:cs="宋体"/>
          <w:color w:val="auto"/>
          <w:sz w:val="24"/>
        </w:rPr>
        <w:t>4.我单位有依法缴纳税收和社会保障资金的良好记录；</w:t>
      </w:r>
    </w:p>
    <w:p w14:paraId="37909EDE">
      <w:pPr>
        <w:spacing w:line="460" w:lineRule="exact"/>
        <w:ind w:firstLine="480" w:firstLineChars="200"/>
        <w:rPr>
          <w:rFonts w:ascii="宋体" w:hAnsi="宋体" w:cs="宋体"/>
          <w:color w:val="auto"/>
          <w:sz w:val="24"/>
        </w:rPr>
      </w:pPr>
      <w:r>
        <w:rPr>
          <w:rFonts w:hint="eastAsia" w:ascii="宋体" w:hAnsi="宋体" w:cs="宋体"/>
          <w:color w:val="auto"/>
          <w:sz w:val="24"/>
        </w:rPr>
        <w:t>5.我单位参加采购活动前三年内，在经营活动中没有重大违法记录。</w:t>
      </w:r>
    </w:p>
    <w:p w14:paraId="13B1F0A9">
      <w:pPr>
        <w:spacing w:line="460" w:lineRule="exact"/>
        <w:ind w:firstLine="480" w:firstLineChars="200"/>
        <w:rPr>
          <w:rFonts w:ascii="宋体" w:hAnsi="宋体" w:cs="宋体"/>
          <w:color w:val="auto"/>
          <w:sz w:val="24"/>
        </w:rPr>
      </w:pPr>
      <w:r>
        <w:rPr>
          <w:rFonts w:hint="eastAsia" w:ascii="宋体" w:hAnsi="宋体" w:cs="宋体"/>
          <w:color w:val="auto"/>
          <w:sz w:val="24"/>
        </w:rPr>
        <w:t>6.我单位满足法律、行政法规规定的其他条件。</w:t>
      </w:r>
    </w:p>
    <w:p w14:paraId="7397516E">
      <w:pPr>
        <w:spacing w:line="460" w:lineRule="exact"/>
        <w:ind w:firstLine="480" w:firstLineChars="200"/>
        <w:rPr>
          <w:rFonts w:ascii="宋体" w:hAnsi="宋体" w:cs="宋体"/>
          <w:color w:val="auto"/>
          <w:sz w:val="24"/>
        </w:rPr>
      </w:pPr>
    </w:p>
    <w:p w14:paraId="46735544">
      <w:pPr>
        <w:spacing w:line="460" w:lineRule="exact"/>
        <w:ind w:firstLine="480" w:firstLineChars="200"/>
        <w:rPr>
          <w:rFonts w:ascii="宋体" w:hAnsi="宋体" w:cs="宋体"/>
          <w:color w:val="auto"/>
          <w:sz w:val="24"/>
        </w:rPr>
      </w:pPr>
    </w:p>
    <w:p w14:paraId="251646AF">
      <w:pPr>
        <w:spacing w:line="460" w:lineRule="exact"/>
        <w:ind w:firstLine="480" w:firstLineChars="200"/>
        <w:rPr>
          <w:rFonts w:ascii="宋体" w:hAnsi="宋体" w:cs="宋体"/>
          <w:bCs/>
          <w:color w:val="auto"/>
          <w:sz w:val="24"/>
          <w:szCs w:val="21"/>
        </w:rPr>
      </w:pPr>
    </w:p>
    <w:p w14:paraId="0D2F1696">
      <w:pPr>
        <w:spacing w:line="460" w:lineRule="exact"/>
        <w:ind w:firstLine="480" w:firstLineChars="200"/>
        <w:rPr>
          <w:rFonts w:ascii="宋体" w:hAnsi="宋体" w:cs="宋体"/>
          <w:bCs/>
          <w:color w:val="auto"/>
          <w:sz w:val="24"/>
          <w:szCs w:val="21"/>
        </w:rPr>
      </w:pPr>
    </w:p>
    <w:p w14:paraId="5C0EDA09">
      <w:pPr>
        <w:spacing w:line="460" w:lineRule="exact"/>
        <w:ind w:firstLine="480" w:firstLineChars="200"/>
        <w:rPr>
          <w:rFonts w:ascii="宋体" w:hAnsi="宋体" w:cs="宋体"/>
          <w:bCs/>
          <w:color w:val="auto"/>
          <w:sz w:val="24"/>
          <w:szCs w:val="21"/>
        </w:rPr>
      </w:pPr>
    </w:p>
    <w:p w14:paraId="5D056E9F">
      <w:pPr>
        <w:spacing w:line="460" w:lineRule="exact"/>
        <w:ind w:firstLine="480" w:firstLineChars="200"/>
        <w:jc w:val="center"/>
        <w:rPr>
          <w:rFonts w:ascii="宋体" w:hAnsi="宋体" w:cs="宋体"/>
          <w:bCs/>
          <w:color w:val="auto"/>
          <w:sz w:val="24"/>
          <w:szCs w:val="21"/>
        </w:rPr>
      </w:pPr>
      <w:r>
        <w:rPr>
          <w:rFonts w:hint="eastAsia" w:ascii="宋体" w:hAnsi="宋体" w:cs="宋体"/>
          <w:bCs/>
          <w:color w:val="auto"/>
          <w:sz w:val="24"/>
          <w:szCs w:val="21"/>
        </w:rPr>
        <w:t xml:space="preserve">                                             承诺人名称（公章）：</w:t>
      </w:r>
    </w:p>
    <w:p w14:paraId="2BBE4848">
      <w:pPr>
        <w:spacing w:line="460" w:lineRule="exact"/>
        <w:ind w:firstLine="480" w:firstLineChars="200"/>
        <w:jc w:val="right"/>
        <w:rPr>
          <w:rFonts w:ascii="宋体" w:hAnsi="宋体" w:cs="宋体"/>
          <w:bCs/>
          <w:color w:val="auto"/>
          <w:sz w:val="24"/>
          <w:szCs w:val="21"/>
        </w:rPr>
      </w:pPr>
      <w:r>
        <w:rPr>
          <w:rFonts w:hint="eastAsia" w:ascii="宋体" w:hAnsi="宋体" w:cs="宋体"/>
          <w:bCs/>
          <w:color w:val="auto"/>
          <w:sz w:val="24"/>
          <w:szCs w:val="21"/>
        </w:rPr>
        <w:t xml:space="preserve">    </w:t>
      </w:r>
    </w:p>
    <w:p w14:paraId="1B66410E">
      <w:pPr>
        <w:spacing w:line="460" w:lineRule="exact"/>
        <w:ind w:firstLine="480" w:firstLineChars="200"/>
        <w:jc w:val="right"/>
        <w:rPr>
          <w:rFonts w:ascii="宋体" w:hAnsi="宋体" w:cs="宋体"/>
          <w:bCs/>
          <w:color w:val="auto"/>
          <w:sz w:val="24"/>
          <w:szCs w:val="21"/>
        </w:rPr>
      </w:pPr>
      <w:r>
        <w:rPr>
          <w:rFonts w:hint="eastAsia" w:ascii="宋体" w:hAnsi="宋体" w:cs="宋体"/>
          <w:bCs/>
          <w:color w:val="auto"/>
          <w:sz w:val="24"/>
          <w:szCs w:val="21"/>
        </w:rPr>
        <w:t xml:space="preserve">                                 日期：</w:t>
      </w:r>
      <w:r>
        <w:rPr>
          <w:rFonts w:hint="eastAsia" w:ascii="宋体" w:hAnsi="宋体" w:cs="宋体"/>
          <w:bCs/>
          <w:color w:val="auto"/>
          <w:sz w:val="24"/>
          <w:szCs w:val="21"/>
          <w:u w:val="single"/>
        </w:rPr>
        <w:t>______</w:t>
      </w:r>
      <w:r>
        <w:rPr>
          <w:rFonts w:hint="eastAsia" w:ascii="宋体" w:hAnsi="宋体" w:cs="宋体"/>
          <w:bCs/>
          <w:color w:val="auto"/>
          <w:sz w:val="24"/>
          <w:szCs w:val="21"/>
        </w:rPr>
        <w:t>年</w:t>
      </w:r>
      <w:r>
        <w:rPr>
          <w:rFonts w:hint="eastAsia" w:ascii="宋体" w:hAnsi="宋体" w:cs="宋体"/>
          <w:bCs/>
          <w:color w:val="auto"/>
          <w:sz w:val="24"/>
          <w:szCs w:val="21"/>
          <w:u w:val="single"/>
        </w:rPr>
        <w:t xml:space="preserve">    </w:t>
      </w:r>
      <w:r>
        <w:rPr>
          <w:rFonts w:hint="eastAsia" w:ascii="宋体" w:hAnsi="宋体" w:cs="宋体"/>
          <w:bCs/>
          <w:color w:val="auto"/>
          <w:sz w:val="24"/>
          <w:szCs w:val="21"/>
        </w:rPr>
        <w:t>月</w:t>
      </w:r>
      <w:r>
        <w:rPr>
          <w:rFonts w:hint="eastAsia" w:ascii="宋体" w:hAnsi="宋体" w:cs="宋体"/>
          <w:bCs/>
          <w:color w:val="auto"/>
          <w:sz w:val="24"/>
          <w:szCs w:val="21"/>
          <w:u w:val="single"/>
        </w:rPr>
        <w:t xml:space="preserve">    </w:t>
      </w:r>
      <w:r>
        <w:rPr>
          <w:rFonts w:hint="eastAsia" w:ascii="宋体" w:hAnsi="宋体" w:cs="宋体"/>
          <w:bCs/>
          <w:color w:val="auto"/>
          <w:sz w:val="24"/>
          <w:szCs w:val="21"/>
        </w:rPr>
        <w:t>日</w:t>
      </w:r>
    </w:p>
    <w:p w14:paraId="4E2054E0">
      <w:pPr>
        <w:snapToGrid w:val="0"/>
        <w:spacing w:line="400" w:lineRule="exact"/>
        <w:contextualSpacing/>
        <w:rPr>
          <w:rFonts w:ascii="宋体" w:hAnsi="宋体" w:cs="宋体"/>
          <w:b/>
          <w:color w:val="auto"/>
          <w:kern w:val="0"/>
          <w:sz w:val="28"/>
          <w:szCs w:val="28"/>
          <w:lang w:val="zh-CN"/>
        </w:rPr>
      </w:pPr>
    </w:p>
    <w:p w14:paraId="171C5C8E">
      <w:pPr>
        <w:pStyle w:val="12"/>
        <w:rPr>
          <w:rFonts w:ascii="宋体" w:hAnsi="宋体" w:cs="宋体"/>
          <w:b/>
          <w:color w:val="auto"/>
          <w:kern w:val="0"/>
          <w:sz w:val="28"/>
          <w:szCs w:val="28"/>
          <w:lang w:val="zh-CN"/>
        </w:rPr>
      </w:pPr>
    </w:p>
    <w:p w14:paraId="44FBBA13">
      <w:pPr>
        <w:rPr>
          <w:rFonts w:ascii="宋体" w:hAnsi="宋体" w:cs="宋体"/>
          <w:b/>
          <w:color w:val="auto"/>
          <w:kern w:val="0"/>
          <w:sz w:val="28"/>
          <w:szCs w:val="28"/>
          <w:lang w:val="zh-CN"/>
        </w:rPr>
      </w:pPr>
    </w:p>
    <w:p w14:paraId="21DBEBA1">
      <w:pPr>
        <w:snapToGrid w:val="0"/>
        <w:spacing w:line="400" w:lineRule="exact"/>
        <w:contextualSpacing/>
        <w:rPr>
          <w:rFonts w:ascii="宋体" w:hAnsi="宋体" w:cs="宋体"/>
          <w:b/>
          <w:color w:val="auto"/>
          <w:kern w:val="0"/>
          <w:sz w:val="28"/>
          <w:szCs w:val="28"/>
          <w:lang w:val="zh-CN"/>
        </w:rPr>
      </w:pPr>
    </w:p>
    <w:p w14:paraId="1174D251">
      <w:pPr>
        <w:snapToGrid w:val="0"/>
        <w:spacing w:line="300" w:lineRule="auto"/>
        <w:outlineLvl w:val="0"/>
        <w:rPr>
          <w:rFonts w:ascii="宋体" w:hAnsi="宋体" w:cs="宋体"/>
          <w:color w:val="auto"/>
          <w:sz w:val="32"/>
          <w:szCs w:val="32"/>
          <w:lang w:val="zh-CN"/>
        </w:rPr>
      </w:pPr>
      <w:r>
        <w:rPr>
          <w:rFonts w:hint="eastAsia" w:ascii="宋体" w:hAnsi="宋体" w:cs="宋体"/>
          <w:color w:val="auto"/>
          <w:sz w:val="32"/>
          <w:szCs w:val="32"/>
          <w:lang w:val="zh-CN"/>
        </w:rPr>
        <w:br w:type="column"/>
      </w:r>
      <w:r>
        <w:rPr>
          <w:rFonts w:hint="eastAsia" w:ascii="宋体" w:hAnsi="宋体" w:cs="宋体"/>
          <w:color w:val="auto"/>
          <w:sz w:val="32"/>
          <w:szCs w:val="32"/>
          <w:lang w:val="zh-CN"/>
        </w:rPr>
        <w:t>附件2</w:t>
      </w:r>
    </w:p>
    <w:p w14:paraId="5874158C">
      <w:pPr>
        <w:spacing w:line="360" w:lineRule="auto"/>
        <w:jc w:val="center"/>
        <w:rPr>
          <w:rFonts w:ascii="宋体" w:hAnsi="宋体" w:cs="宋体"/>
          <w:b/>
          <w:bCs/>
          <w:color w:val="auto"/>
          <w:sz w:val="32"/>
          <w:szCs w:val="32"/>
        </w:rPr>
      </w:pPr>
      <w:r>
        <w:rPr>
          <w:rFonts w:hint="eastAsia" w:ascii="宋体" w:hAnsi="宋体" w:cs="宋体"/>
          <w:b/>
          <w:bCs/>
          <w:color w:val="auto"/>
          <w:sz w:val="32"/>
          <w:szCs w:val="32"/>
        </w:rPr>
        <w:t>法定代表人身份证明</w:t>
      </w:r>
    </w:p>
    <w:p w14:paraId="6DD53314">
      <w:pPr>
        <w:spacing w:line="360" w:lineRule="auto"/>
        <w:rPr>
          <w:rFonts w:ascii="宋体" w:hAnsi="宋体" w:cs="宋体"/>
          <w:color w:val="auto"/>
          <w:sz w:val="24"/>
        </w:rPr>
      </w:pPr>
    </w:p>
    <w:p w14:paraId="52E5BABA">
      <w:pPr>
        <w:spacing w:line="360" w:lineRule="auto"/>
        <w:rPr>
          <w:rFonts w:ascii="宋体" w:hAnsi="宋体" w:cs="宋体"/>
          <w:color w:val="auto"/>
          <w:sz w:val="24"/>
        </w:rPr>
      </w:pPr>
      <w:r>
        <w:rPr>
          <w:rFonts w:hint="eastAsia" w:ascii="宋体" w:hAnsi="宋体" w:cs="宋体"/>
          <w:color w:val="auto"/>
          <w:sz w:val="24"/>
        </w:rPr>
        <w:t>江苏商贸职业学院：</w:t>
      </w:r>
    </w:p>
    <w:p w14:paraId="69C9AA1E">
      <w:pPr>
        <w:spacing w:line="360" w:lineRule="auto"/>
        <w:ind w:firstLine="480" w:firstLineChars="200"/>
        <w:rPr>
          <w:rFonts w:ascii="宋体" w:hAnsi="宋体" w:cs="宋体"/>
          <w:color w:val="auto"/>
          <w:sz w:val="24"/>
        </w:rPr>
      </w:pPr>
      <w:r>
        <w:rPr>
          <w:rFonts w:hint="eastAsia" w:ascii="宋体" w:hAnsi="宋体" w:cs="宋体"/>
          <w:color w:val="auto"/>
          <w:sz w:val="24"/>
        </w:rPr>
        <w:t>我公司法定代表人</w:t>
      </w:r>
      <w:r>
        <w:rPr>
          <w:rFonts w:hint="eastAsia" w:ascii="宋体" w:hAnsi="宋体" w:cs="宋体"/>
          <w:color w:val="auto"/>
          <w:sz w:val="24"/>
          <w:u w:val="single"/>
        </w:rPr>
        <w:t xml:space="preserve">           </w:t>
      </w:r>
      <w:r>
        <w:rPr>
          <w:rFonts w:hint="eastAsia" w:ascii="宋体" w:hAnsi="宋体" w:cs="宋体"/>
          <w:color w:val="auto"/>
          <w:sz w:val="24"/>
        </w:rPr>
        <w:t>参加贵单位组织的</w:t>
      </w:r>
      <w:r>
        <w:rPr>
          <w:rFonts w:hint="eastAsia" w:ascii="宋体" w:hAnsi="宋体" w:cs="宋体"/>
          <w:color w:val="auto"/>
          <w:sz w:val="24"/>
          <w:u w:val="single"/>
        </w:rPr>
        <w:t xml:space="preserve">     </w:t>
      </w:r>
      <w:r>
        <w:rPr>
          <w:rFonts w:hint="eastAsia" w:ascii="宋体" w:hAnsi="宋体" w:cs="宋体"/>
          <w:color w:val="auto"/>
          <w:sz w:val="24"/>
        </w:rPr>
        <w:t>（采购项目名称及项目编号)项目公开招标采购活动，全权代表我公司处理投标的有关事宜。</w:t>
      </w:r>
    </w:p>
    <w:p w14:paraId="6DCA5BC7">
      <w:pPr>
        <w:spacing w:line="360" w:lineRule="auto"/>
        <w:ind w:firstLine="480" w:firstLineChars="200"/>
        <w:rPr>
          <w:rFonts w:ascii="宋体" w:hAnsi="宋体" w:cs="宋体"/>
          <w:color w:val="auto"/>
          <w:sz w:val="24"/>
        </w:rPr>
      </w:pPr>
    </w:p>
    <w:p w14:paraId="4AD8EEAE">
      <w:pPr>
        <w:spacing w:line="360" w:lineRule="auto"/>
        <w:rPr>
          <w:rFonts w:ascii="宋体" w:hAnsi="宋体" w:cs="宋体"/>
          <w:color w:val="auto"/>
          <w:sz w:val="24"/>
        </w:rPr>
      </w:pPr>
      <w:r>
        <w:rPr>
          <w:rFonts w:hint="eastAsia" w:ascii="宋体" w:hAnsi="宋体" w:cs="宋体"/>
          <w:color w:val="auto"/>
          <w:sz w:val="24"/>
        </w:rPr>
        <w:t>附：法定代表人情况：</w:t>
      </w:r>
    </w:p>
    <w:p w14:paraId="4691B8DF">
      <w:pPr>
        <w:spacing w:line="360" w:lineRule="auto"/>
        <w:rPr>
          <w:rFonts w:ascii="宋体" w:hAnsi="宋体" w:cs="宋体"/>
          <w:color w:val="auto"/>
          <w:sz w:val="24"/>
          <w:u w:val="single"/>
        </w:rPr>
      </w:pPr>
      <w:r>
        <w:rPr>
          <w:rFonts w:hint="eastAsia" w:ascii="宋体" w:hAnsi="宋体" w:cs="宋体"/>
          <w:color w:val="auto"/>
          <w:sz w:val="24"/>
        </w:rPr>
        <w:t>姓名：</w:t>
      </w:r>
      <w:r>
        <w:rPr>
          <w:rFonts w:hint="eastAsia" w:ascii="宋体" w:hAnsi="宋体" w:cs="宋体"/>
          <w:color w:val="auto"/>
          <w:sz w:val="24"/>
          <w:u w:val="single"/>
        </w:rPr>
        <w:t xml:space="preserve">            </w:t>
      </w:r>
      <w:r>
        <w:rPr>
          <w:rFonts w:hint="eastAsia" w:ascii="宋体" w:hAnsi="宋体" w:cs="宋体"/>
          <w:color w:val="auto"/>
          <w:sz w:val="24"/>
        </w:rPr>
        <w:t xml:space="preserve"> 性别：</w:t>
      </w:r>
      <w:r>
        <w:rPr>
          <w:rFonts w:hint="eastAsia" w:ascii="宋体" w:hAnsi="宋体" w:cs="宋体"/>
          <w:color w:val="auto"/>
          <w:sz w:val="24"/>
          <w:u w:val="single"/>
        </w:rPr>
        <w:t xml:space="preserve">            </w:t>
      </w:r>
      <w:r>
        <w:rPr>
          <w:rFonts w:hint="eastAsia" w:ascii="宋体" w:hAnsi="宋体" w:cs="宋体"/>
          <w:color w:val="auto"/>
          <w:sz w:val="24"/>
        </w:rPr>
        <w:t xml:space="preserve"> 年龄：</w:t>
      </w:r>
      <w:r>
        <w:rPr>
          <w:rFonts w:hint="eastAsia" w:ascii="宋体" w:hAnsi="宋体" w:cs="宋体"/>
          <w:color w:val="auto"/>
          <w:sz w:val="24"/>
          <w:u w:val="single"/>
        </w:rPr>
        <w:t xml:space="preserve">            </w:t>
      </w:r>
      <w:r>
        <w:rPr>
          <w:rFonts w:hint="eastAsia" w:ascii="宋体" w:hAnsi="宋体" w:cs="宋体"/>
          <w:color w:val="auto"/>
          <w:sz w:val="24"/>
        </w:rPr>
        <w:t xml:space="preserve">  职务：</w:t>
      </w:r>
      <w:r>
        <w:rPr>
          <w:rFonts w:hint="eastAsia" w:ascii="宋体" w:hAnsi="宋体" w:cs="宋体"/>
          <w:color w:val="auto"/>
          <w:sz w:val="24"/>
          <w:u w:val="single"/>
        </w:rPr>
        <w:t xml:space="preserve">              </w:t>
      </w:r>
    </w:p>
    <w:p w14:paraId="503723B2">
      <w:pPr>
        <w:spacing w:line="360" w:lineRule="auto"/>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14:paraId="46B688BF">
      <w:pPr>
        <w:spacing w:line="360" w:lineRule="auto"/>
        <w:rPr>
          <w:rFonts w:ascii="宋体" w:hAnsi="宋体" w:cs="宋体"/>
          <w:color w:val="auto"/>
          <w:sz w:val="24"/>
        </w:rPr>
      </w:pPr>
      <w:r>
        <w:rPr>
          <w:rFonts w:hint="eastAsia" w:ascii="宋体" w:hAnsi="宋体" w:cs="宋体"/>
          <w:color w:val="auto"/>
          <w:sz w:val="24"/>
        </w:rPr>
        <w:t xml:space="preserve">手机： </w:t>
      </w:r>
      <w:r>
        <w:rPr>
          <w:rFonts w:hint="eastAsia" w:ascii="宋体" w:hAnsi="宋体" w:cs="宋体"/>
          <w:color w:val="auto"/>
          <w:sz w:val="24"/>
          <w:u w:val="single"/>
        </w:rPr>
        <w:t xml:space="preserve">            </w:t>
      </w:r>
      <w:r>
        <w:rPr>
          <w:rFonts w:hint="eastAsia" w:ascii="宋体" w:hAnsi="宋体" w:cs="宋体"/>
          <w:color w:val="auto"/>
          <w:sz w:val="24"/>
        </w:rPr>
        <w:t xml:space="preserve">  传真：</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5FEEE0FD">
      <w:pPr>
        <w:spacing w:line="360" w:lineRule="auto"/>
        <w:rPr>
          <w:rFonts w:ascii="宋体" w:hAnsi="宋体" w:cs="宋体"/>
          <w:color w:val="auto"/>
          <w:sz w:val="24"/>
        </w:rPr>
      </w:pPr>
      <w:r>
        <w:rPr>
          <w:rFonts w:hint="eastAsia" w:ascii="宋体" w:hAnsi="宋体" w:cs="宋体"/>
          <w:color w:val="auto"/>
          <w:sz w:val="24"/>
        </w:rPr>
        <w:t>单位名称（公章）             法定代表人（签字或盖章）</w:t>
      </w:r>
    </w:p>
    <w:p w14:paraId="76A6F9D3">
      <w:pPr>
        <w:spacing w:line="360" w:lineRule="auto"/>
        <w:ind w:firstLine="1200" w:firstLineChars="500"/>
        <w:rPr>
          <w:rFonts w:ascii="宋体" w:hAnsi="宋体" w:cs="宋体"/>
          <w:color w:val="auto"/>
          <w:sz w:val="24"/>
        </w:rPr>
      </w:pPr>
      <w:r>
        <w:rPr>
          <w:rFonts w:hint="eastAsia" w:ascii="宋体" w:hAnsi="宋体" w:cs="宋体"/>
          <w:color w:val="auto"/>
          <w:sz w:val="24"/>
        </w:rPr>
        <w:t xml:space="preserve">年   月   日                 年   月    日  </w:t>
      </w:r>
    </w:p>
    <w:p w14:paraId="562FD572">
      <w:pPr>
        <w:spacing w:line="360" w:lineRule="auto"/>
        <w:rPr>
          <w:rFonts w:ascii="宋体" w:hAnsi="宋体" w:cs="宋体"/>
          <w:color w:val="auto"/>
          <w:sz w:val="24"/>
        </w:rPr>
      </w:pPr>
      <w:r>
        <w:rPr>
          <w:rFonts w:hint="eastAsia" w:ascii="宋体" w:hAnsi="宋体" w:cs="宋体"/>
          <w:color w:val="auto"/>
          <w:sz w:val="24"/>
        </w:rPr>
        <w:t xml:space="preserve"> </w:t>
      </w:r>
    </w:p>
    <w:p w14:paraId="4BCC2D5B">
      <w:pPr>
        <w:spacing w:line="360" w:lineRule="auto"/>
        <w:rPr>
          <w:rFonts w:ascii="宋体" w:hAnsi="宋体" w:cs="宋体"/>
          <w:color w:val="auto"/>
          <w:sz w:val="24"/>
        </w:rPr>
      </w:pPr>
      <w:r>
        <w:rPr>
          <w:rFonts w:hint="eastAsia" w:ascii="宋体" w:hAnsi="宋体" w:cs="宋体"/>
          <w:color w:val="auto"/>
          <w:sz w:val="24"/>
        </w:rPr>
        <w:t xml:space="preserve"> </w:t>
      </w:r>
    </w:p>
    <w:p w14:paraId="7DF9407B">
      <w:pPr>
        <w:spacing w:line="360" w:lineRule="auto"/>
        <w:rPr>
          <w:rFonts w:ascii="宋体" w:hAnsi="宋体" w:cs="宋体"/>
          <w:color w:val="auto"/>
          <w:sz w:val="24"/>
        </w:rPr>
      </w:pPr>
      <w:r>
        <w:rPr>
          <w:rFonts w:hint="eastAsia" w:ascii="宋体" w:hAnsi="宋体" w:cs="宋体"/>
          <w:color w:val="auto"/>
          <w:sz w:val="24"/>
        </w:rPr>
        <w:t>法定代表人身份证复印件</w:t>
      </w:r>
    </w:p>
    <w:p w14:paraId="2CBD0A42">
      <w:pPr>
        <w:spacing w:line="360" w:lineRule="auto"/>
        <w:rPr>
          <w:rFonts w:ascii="宋体" w:hAnsi="宋体" w:cs="宋体"/>
          <w:color w:val="auto"/>
          <w:sz w:val="24"/>
        </w:rPr>
      </w:pPr>
      <w:r>
        <w:rPr>
          <w:rFonts w:hint="eastAsia" w:ascii="宋体" w:hAnsi="宋体" w:cs="宋体"/>
          <w:color w:val="auto"/>
          <w:sz w:val="24"/>
        </w:rPr>
        <w:t xml:space="preserve"> </w:t>
      </w:r>
    </w:p>
    <w:p w14:paraId="7254E88A">
      <w:pPr>
        <w:spacing w:line="360" w:lineRule="auto"/>
        <w:ind w:firstLine="2280" w:firstLineChars="950"/>
        <w:rPr>
          <w:rFonts w:ascii="宋体" w:hAnsi="宋体" w:cs="宋体"/>
          <w:color w:val="auto"/>
          <w:sz w:val="24"/>
        </w:rPr>
      </w:pPr>
      <w:r>
        <w:rPr>
          <w:rFonts w:hint="eastAsia" w:ascii="宋体" w:hAnsi="宋体" w:cs="宋体"/>
          <w:color w:val="auto"/>
          <w:sz w:val="24"/>
        </w:rPr>
        <w:t>（粘贴此处）</w:t>
      </w:r>
    </w:p>
    <w:p w14:paraId="4DF687EC">
      <w:pPr>
        <w:rPr>
          <w:rFonts w:ascii="宋体" w:hAnsi="宋体" w:cs="宋体"/>
          <w:color w:val="auto"/>
        </w:rPr>
      </w:pPr>
      <w:r>
        <w:rPr>
          <w:rFonts w:hint="eastAsia" w:ascii="宋体" w:hAnsi="宋体" w:cs="宋体"/>
          <w:color w:val="auto"/>
        </w:rPr>
        <w:t xml:space="preserve">     </w:t>
      </w:r>
    </w:p>
    <w:p w14:paraId="41FFCD6E">
      <w:pPr>
        <w:snapToGrid w:val="0"/>
        <w:spacing w:line="400" w:lineRule="exact"/>
        <w:ind w:firstLine="540" w:firstLineChars="192"/>
        <w:contextualSpacing/>
        <w:rPr>
          <w:rFonts w:ascii="宋体" w:hAnsi="宋体" w:cs="宋体"/>
          <w:b/>
          <w:color w:val="auto"/>
          <w:kern w:val="0"/>
          <w:sz w:val="28"/>
          <w:szCs w:val="28"/>
        </w:rPr>
      </w:pPr>
    </w:p>
    <w:p w14:paraId="3DECFDA2">
      <w:pPr>
        <w:snapToGrid w:val="0"/>
        <w:spacing w:line="400" w:lineRule="exact"/>
        <w:ind w:firstLine="540" w:firstLineChars="192"/>
        <w:contextualSpacing/>
        <w:rPr>
          <w:rFonts w:ascii="宋体" w:hAnsi="宋体" w:cs="宋体"/>
          <w:b/>
          <w:color w:val="auto"/>
          <w:kern w:val="0"/>
          <w:sz w:val="28"/>
          <w:szCs w:val="28"/>
          <w:lang w:val="zh-CN"/>
        </w:rPr>
      </w:pPr>
    </w:p>
    <w:p w14:paraId="3753ACE2">
      <w:pPr>
        <w:snapToGrid w:val="0"/>
        <w:spacing w:line="400" w:lineRule="exact"/>
        <w:ind w:firstLine="540" w:firstLineChars="192"/>
        <w:contextualSpacing/>
        <w:rPr>
          <w:rFonts w:ascii="宋体" w:hAnsi="宋体" w:cs="宋体"/>
          <w:b/>
          <w:color w:val="auto"/>
          <w:kern w:val="0"/>
          <w:sz w:val="28"/>
          <w:szCs w:val="28"/>
          <w:lang w:val="zh-CN"/>
        </w:rPr>
      </w:pPr>
    </w:p>
    <w:p w14:paraId="28F23D89">
      <w:pPr>
        <w:snapToGrid w:val="0"/>
        <w:spacing w:line="400" w:lineRule="exact"/>
        <w:ind w:firstLine="540" w:firstLineChars="192"/>
        <w:contextualSpacing/>
        <w:rPr>
          <w:rFonts w:ascii="宋体" w:hAnsi="宋体" w:cs="宋体"/>
          <w:b/>
          <w:color w:val="auto"/>
          <w:kern w:val="0"/>
          <w:sz w:val="28"/>
          <w:szCs w:val="28"/>
          <w:lang w:val="zh-CN"/>
        </w:rPr>
      </w:pPr>
    </w:p>
    <w:p w14:paraId="2A46126C">
      <w:pPr>
        <w:snapToGrid w:val="0"/>
        <w:spacing w:line="400" w:lineRule="exact"/>
        <w:ind w:firstLine="540" w:firstLineChars="192"/>
        <w:contextualSpacing/>
        <w:rPr>
          <w:rFonts w:ascii="宋体" w:hAnsi="宋体" w:cs="宋体"/>
          <w:b/>
          <w:color w:val="auto"/>
          <w:kern w:val="0"/>
          <w:sz w:val="28"/>
          <w:szCs w:val="28"/>
          <w:lang w:val="zh-CN"/>
        </w:rPr>
      </w:pPr>
    </w:p>
    <w:p w14:paraId="712EFDB4">
      <w:pPr>
        <w:snapToGrid w:val="0"/>
        <w:spacing w:line="400" w:lineRule="exact"/>
        <w:ind w:firstLine="540" w:firstLineChars="192"/>
        <w:contextualSpacing/>
        <w:rPr>
          <w:rFonts w:ascii="宋体" w:hAnsi="宋体" w:cs="宋体"/>
          <w:b/>
          <w:color w:val="auto"/>
          <w:kern w:val="0"/>
          <w:sz w:val="28"/>
          <w:szCs w:val="28"/>
          <w:lang w:val="zh-CN"/>
        </w:rPr>
      </w:pPr>
    </w:p>
    <w:p w14:paraId="70F6EBED">
      <w:pPr>
        <w:snapToGrid w:val="0"/>
        <w:spacing w:line="400" w:lineRule="exact"/>
        <w:contextualSpacing/>
        <w:rPr>
          <w:rFonts w:ascii="宋体" w:hAnsi="宋体" w:cs="宋体"/>
          <w:b/>
          <w:color w:val="auto"/>
          <w:kern w:val="0"/>
          <w:sz w:val="28"/>
          <w:szCs w:val="28"/>
          <w:lang w:val="zh-CN"/>
        </w:rPr>
      </w:pPr>
    </w:p>
    <w:p w14:paraId="05CB16DC">
      <w:pPr>
        <w:snapToGrid w:val="0"/>
        <w:spacing w:line="300" w:lineRule="auto"/>
        <w:outlineLvl w:val="0"/>
        <w:rPr>
          <w:rFonts w:ascii="宋体" w:hAnsi="宋体" w:cs="宋体"/>
          <w:color w:val="auto"/>
          <w:sz w:val="32"/>
          <w:szCs w:val="32"/>
          <w:lang w:val="zh-CN"/>
        </w:rPr>
      </w:pPr>
      <w:r>
        <w:rPr>
          <w:rFonts w:hint="eastAsia" w:ascii="宋体" w:hAnsi="宋体" w:cs="宋体"/>
          <w:color w:val="auto"/>
          <w:sz w:val="32"/>
          <w:szCs w:val="32"/>
          <w:lang w:val="zh-CN"/>
        </w:rPr>
        <w:br w:type="page"/>
      </w:r>
      <w:r>
        <w:rPr>
          <w:rFonts w:hint="eastAsia" w:ascii="宋体" w:hAnsi="宋体" w:cs="宋体"/>
          <w:color w:val="auto"/>
          <w:sz w:val="32"/>
          <w:szCs w:val="32"/>
          <w:lang w:val="zh-CN"/>
        </w:rPr>
        <w:t>附件3</w:t>
      </w:r>
    </w:p>
    <w:p w14:paraId="1AF95DAF">
      <w:pPr>
        <w:jc w:val="center"/>
        <w:rPr>
          <w:rFonts w:ascii="宋体" w:hAnsi="宋体" w:cs="宋体"/>
          <w:color w:val="auto"/>
          <w:sz w:val="32"/>
          <w:szCs w:val="32"/>
        </w:rPr>
      </w:pPr>
      <w:r>
        <w:rPr>
          <w:rFonts w:hint="eastAsia" w:ascii="宋体" w:hAnsi="宋体" w:cs="宋体"/>
          <w:color w:val="auto"/>
          <w:sz w:val="32"/>
          <w:szCs w:val="32"/>
        </w:rPr>
        <w:t>法定代表人授权委托书</w:t>
      </w:r>
    </w:p>
    <w:p w14:paraId="53E728C4">
      <w:pPr>
        <w:jc w:val="center"/>
        <w:rPr>
          <w:rFonts w:ascii="宋体" w:hAnsi="宋体" w:cs="宋体"/>
          <w:color w:val="auto"/>
          <w:sz w:val="32"/>
          <w:szCs w:val="32"/>
        </w:rPr>
      </w:pPr>
      <w:r>
        <w:rPr>
          <w:rFonts w:hint="eastAsia" w:ascii="宋体" w:hAnsi="宋体" w:cs="宋体"/>
          <w:color w:val="auto"/>
          <w:sz w:val="28"/>
          <w:szCs w:val="28"/>
        </w:rPr>
        <w:t>（如法人参加投标，无需提供）</w:t>
      </w:r>
    </w:p>
    <w:p w14:paraId="4F3F75F5">
      <w:pPr>
        <w:snapToGrid w:val="0"/>
        <w:spacing w:line="360" w:lineRule="auto"/>
        <w:rPr>
          <w:rFonts w:ascii="宋体" w:hAnsi="宋体" w:cs="宋体"/>
          <w:color w:val="auto"/>
          <w:sz w:val="24"/>
        </w:rPr>
      </w:pPr>
      <w:r>
        <w:rPr>
          <w:rFonts w:hint="eastAsia" w:ascii="宋体" w:hAnsi="宋体" w:cs="宋体"/>
          <w:color w:val="auto"/>
          <w:sz w:val="24"/>
        </w:rPr>
        <w:t>江苏商贸职业学院：</w:t>
      </w:r>
    </w:p>
    <w:p w14:paraId="1F7247D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兹授权</w:t>
      </w:r>
      <w:r>
        <w:rPr>
          <w:rFonts w:hint="eastAsia" w:ascii="宋体" w:hAnsi="宋体" w:cs="宋体"/>
          <w:color w:val="auto"/>
          <w:sz w:val="24"/>
          <w:u w:val="single"/>
        </w:rPr>
        <w:t xml:space="preserve">               （</w:t>
      </w:r>
      <w:r>
        <w:rPr>
          <w:rFonts w:hint="eastAsia" w:ascii="宋体" w:hAnsi="宋体" w:cs="宋体"/>
          <w:color w:val="auto"/>
          <w:sz w:val="24"/>
        </w:rPr>
        <w:t>被授权人的姓名）代表我公司参加</w:t>
      </w:r>
      <w:r>
        <w:rPr>
          <w:rFonts w:hint="eastAsia" w:ascii="宋体" w:hAnsi="宋体" w:cs="宋体"/>
          <w:color w:val="auto"/>
          <w:sz w:val="24"/>
          <w:u w:val="single"/>
        </w:rPr>
        <w:t xml:space="preserve">    </w:t>
      </w:r>
      <w:r>
        <w:rPr>
          <w:rFonts w:hint="eastAsia" w:ascii="宋体" w:hAnsi="宋体" w:cs="宋体"/>
          <w:color w:val="auto"/>
          <w:sz w:val="24"/>
        </w:rPr>
        <w:t>（采购项目名称及项目编号)项目的政府采购活动，全权处理一切与该项目公开招标有关的事务。其在办理上述事宜过程中所签署的所有文件我公司均予以承认。</w:t>
      </w:r>
    </w:p>
    <w:p w14:paraId="53735D54">
      <w:pPr>
        <w:pStyle w:val="22"/>
        <w:adjustRightInd w:val="0"/>
        <w:snapToGrid w:val="0"/>
        <w:spacing w:line="360" w:lineRule="auto"/>
        <w:ind w:firstLine="480" w:firstLineChars="200"/>
        <w:jc w:val="left"/>
        <w:rPr>
          <w:rFonts w:hAnsi="宋体" w:cs="宋体"/>
          <w:color w:val="auto"/>
          <w:sz w:val="24"/>
          <w:szCs w:val="24"/>
        </w:rPr>
      </w:pPr>
      <w:r>
        <w:rPr>
          <w:rFonts w:hint="eastAsia" w:hAnsi="宋体" w:cs="宋体"/>
          <w:color w:val="auto"/>
          <w:sz w:val="24"/>
          <w:szCs w:val="24"/>
        </w:rPr>
        <w:t>被授权人无转委托权，特此委托。</w:t>
      </w:r>
    </w:p>
    <w:p w14:paraId="31937CDF">
      <w:pPr>
        <w:pStyle w:val="22"/>
        <w:adjustRightInd w:val="0"/>
        <w:snapToGrid w:val="0"/>
        <w:spacing w:line="360" w:lineRule="auto"/>
        <w:ind w:firstLine="480" w:firstLineChars="200"/>
        <w:jc w:val="left"/>
        <w:rPr>
          <w:rFonts w:hAnsi="宋体" w:cs="宋体"/>
          <w:color w:val="auto"/>
          <w:sz w:val="24"/>
          <w:szCs w:val="24"/>
        </w:rPr>
      </w:pPr>
    </w:p>
    <w:p w14:paraId="4F7DF8B9">
      <w:pPr>
        <w:spacing w:line="360" w:lineRule="auto"/>
        <w:rPr>
          <w:rFonts w:ascii="宋体" w:hAnsi="宋体" w:cs="宋体"/>
          <w:color w:val="auto"/>
          <w:sz w:val="24"/>
        </w:rPr>
      </w:pPr>
      <w:r>
        <w:rPr>
          <w:rFonts w:hint="eastAsia" w:ascii="宋体" w:hAnsi="宋体" w:cs="宋体"/>
          <w:color w:val="auto"/>
          <w:sz w:val="24"/>
        </w:rPr>
        <w:t>附：被授权人情况：</w:t>
      </w:r>
    </w:p>
    <w:p w14:paraId="122047BA">
      <w:pPr>
        <w:spacing w:line="360" w:lineRule="auto"/>
        <w:rPr>
          <w:rFonts w:ascii="宋体" w:hAnsi="宋体" w:cs="宋体"/>
          <w:color w:val="auto"/>
          <w:sz w:val="24"/>
          <w:u w:val="single"/>
        </w:rPr>
      </w:pPr>
      <w:r>
        <w:rPr>
          <w:rFonts w:hint="eastAsia" w:ascii="宋体" w:hAnsi="宋体" w:cs="宋体"/>
          <w:color w:val="auto"/>
          <w:sz w:val="24"/>
        </w:rPr>
        <w:t>姓名：</w:t>
      </w:r>
      <w:r>
        <w:rPr>
          <w:rFonts w:hint="eastAsia" w:ascii="宋体" w:hAnsi="宋体" w:cs="宋体"/>
          <w:color w:val="auto"/>
          <w:sz w:val="24"/>
          <w:u w:val="single"/>
        </w:rPr>
        <w:t xml:space="preserve">            </w:t>
      </w:r>
      <w:r>
        <w:rPr>
          <w:rFonts w:hint="eastAsia" w:ascii="宋体" w:hAnsi="宋体" w:cs="宋体"/>
          <w:color w:val="auto"/>
          <w:sz w:val="24"/>
        </w:rPr>
        <w:t xml:space="preserve"> 性别：</w:t>
      </w:r>
      <w:r>
        <w:rPr>
          <w:rFonts w:hint="eastAsia" w:ascii="宋体" w:hAnsi="宋体" w:cs="宋体"/>
          <w:color w:val="auto"/>
          <w:sz w:val="24"/>
          <w:u w:val="single"/>
        </w:rPr>
        <w:t xml:space="preserve">            </w:t>
      </w:r>
      <w:r>
        <w:rPr>
          <w:rFonts w:hint="eastAsia" w:ascii="宋体" w:hAnsi="宋体" w:cs="宋体"/>
          <w:color w:val="auto"/>
          <w:sz w:val="24"/>
        </w:rPr>
        <w:t xml:space="preserve"> 年龄：</w:t>
      </w:r>
      <w:r>
        <w:rPr>
          <w:rFonts w:hint="eastAsia" w:ascii="宋体" w:hAnsi="宋体" w:cs="宋体"/>
          <w:color w:val="auto"/>
          <w:sz w:val="24"/>
          <w:u w:val="single"/>
        </w:rPr>
        <w:t xml:space="preserve">            </w:t>
      </w:r>
      <w:r>
        <w:rPr>
          <w:rFonts w:hint="eastAsia" w:ascii="宋体" w:hAnsi="宋体" w:cs="宋体"/>
          <w:color w:val="auto"/>
          <w:sz w:val="24"/>
        </w:rPr>
        <w:t xml:space="preserve"> 职务：</w:t>
      </w:r>
      <w:r>
        <w:rPr>
          <w:rFonts w:hint="eastAsia" w:ascii="宋体" w:hAnsi="宋体" w:cs="宋体"/>
          <w:color w:val="auto"/>
          <w:sz w:val="24"/>
          <w:u w:val="single"/>
        </w:rPr>
        <w:t xml:space="preserve">          </w:t>
      </w:r>
    </w:p>
    <w:p w14:paraId="3ED63E26">
      <w:pPr>
        <w:spacing w:line="360" w:lineRule="auto"/>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14:paraId="67060A51">
      <w:pPr>
        <w:spacing w:line="360" w:lineRule="auto"/>
        <w:rPr>
          <w:rFonts w:ascii="宋体" w:hAnsi="宋体" w:cs="宋体"/>
          <w:color w:val="auto"/>
          <w:sz w:val="24"/>
        </w:rPr>
      </w:pPr>
      <w:r>
        <w:rPr>
          <w:rFonts w:hint="eastAsia" w:ascii="宋体" w:hAnsi="宋体" w:cs="宋体"/>
          <w:color w:val="auto"/>
          <w:sz w:val="24"/>
        </w:rPr>
        <w:t>手机：</w:t>
      </w:r>
      <w:r>
        <w:rPr>
          <w:rFonts w:hint="eastAsia" w:ascii="宋体" w:hAnsi="宋体" w:cs="宋体"/>
          <w:color w:val="auto"/>
          <w:sz w:val="24"/>
          <w:u w:val="single"/>
        </w:rPr>
        <w:t xml:space="preserve">             </w:t>
      </w:r>
      <w:r>
        <w:rPr>
          <w:rFonts w:hint="eastAsia" w:ascii="宋体" w:hAnsi="宋体" w:cs="宋体"/>
          <w:color w:val="auto"/>
          <w:sz w:val="24"/>
        </w:rPr>
        <w:t xml:space="preserve">  传真：</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2AC8E5DB">
      <w:pPr>
        <w:spacing w:line="360" w:lineRule="auto"/>
        <w:rPr>
          <w:rFonts w:ascii="宋体" w:hAnsi="宋体" w:cs="宋体"/>
          <w:color w:val="auto"/>
          <w:sz w:val="24"/>
        </w:rPr>
      </w:pPr>
      <w:r>
        <w:rPr>
          <w:rFonts w:hint="eastAsia" w:ascii="宋体" w:hAnsi="宋体" w:cs="宋体"/>
          <w:color w:val="auto"/>
          <w:sz w:val="24"/>
        </w:rPr>
        <w:t>单位名称（公章）             法定代表人（签字或盖章）</w:t>
      </w:r>
    </w:p>
    <w:p w14:paraId="66611AAF">
      <w:pPr>
        <w:spacing w:line="360" w:lineRule="auto"/>
        <w:ind w:firstLine="1200" w:firstLineChars="500"/>
        <w:rPr>
          <w:rFonts w:ascii="宋体" w:hAnsi="宋体" w:cs="宋体"/>
          <w:color w:val="auto"/>
          <w:sz w:val="24"/>
        </w:rPr>
      </w:pPr>
      <w:r>
        <w:rPr>
          <w:rFonts w:hint="eastAsia" w:ascii="宋体" w:hAnsi="宋体" w:cs="宋体"/>
          <w:color w:val="auto"/>
          <w:sz w:val="24"/>
        </w:rPr>
        <w:t xml:space="preserve">年   月   日                 年   月    日  </w:t>
      </w:r>
    </w:p>
    <w:p w14:paraId="49D9DFD0">
      <w:pPr>
        <w:spacing w:line="360" w:lineRule="auto"/>
        <w:rPr>
          <w:rFonts w:ascii="宋体" w:hAnsi="宋体" w:cs="宋体"/>
          <w:color w:val="auto"/>
          <w:sz w:val="24"/>
        </w:rPr>
      </w:pPr>
      <w:r>
        <w:rPr>
          <w:rFonts w:hint="eastAsia" w:ascii="宋体" w:hAnsi="宋体" w:cs="宋体"/>
          <w:color w:val="auto"/>
          <w:sz w:val="24"/>
        </w:rPr>
        <w:t xml:space="preserve"> </w:t>
      </w:r>
    </w:p>
    <w:p w14:paraId="16CC07FC">
      <w:pPr>
        <w:spacing w:line="360" w:lineRule="auto"/>
        <w:rPr>
          <w:rFonts w:ascii="宋体" w:hAnsi="宋体" w:cs="宋体"/>
          <w:color w:val="auto"/>
          <w:sz w:val="24"/>
        </w:rPr>
      </w:pPr>
      <w:r>
        <w:rPr>
          <w:rFonts w:hint="eastAsia" w:ascii="宋体" w:hAnsi="宋体" w:cs="宋体"/>
          <w:color w:val="auto"/>
          <w:sz w:val="24"/>
        </w:rPr>
        <w:t xml:space="preserve"> </w:t>
      </w:r>
    </w:p>
    <w:p w14:paraId="46864EA6">
      <w:pPr>
        <w:spacing w:line="360" w:lineRule="auto"/>
        <w:rPr>
          <w:rFonts w:ascii="宋体" w:hAnsi="宋体" w:cs="宋体"/>
          <w:color w:val="auto"/>
          <w:sz w:val="24"/>
        </w:rPr>
      </w:pPr>
      <w:r>
        <w:rPr>
          <w:rFonts w:hint="eastAsia" w:ascii="宋体" w:hAnsi="宋体" w:cs="宋体"/>
          <w:color w:val="auto"/>
          <w:sz w:val="24"/>
        </w:rPr>
        <w:t>法定代表人身份证复印件</w:t>
      </w:r>
    </w:p>
    <w:p w14:paraId="16EF7AC5">
      <w:pPr>
        <w:spacing w:line="360" w:lineRule="auto"/>
        <w:rPr>
          <w:rFonts w:ascii="宋体" w:hAnsi="宋体" w:cs="宋体"/>
          <w:color w:val="auto"/>
          <w:sz w:val="24"/>
        </w:rPr>
      </w:pPr>
    </w:p>
    <w:p w14:paraId="29E7C78A">
      <w:pPr>
        <w:spacing w:line="360" w:lineRule="auto"/>
        <w:rPr>
          <w:rFonts w:ascii="宋体" w:hAnsi="宋体" w:cs="宋体"/>
          <w:color w:val="auto"/>
          <w:sz w:val="24"/>
        </w:rPr>
      </w:pPr>
    </w:p>
    <w:p w14:paraId="4F3B8B98">
      <w:pPr>
        <w:spacing w:line="360" w:lineRule="auto"/>
        <w:rPr>
          <w:rFonts w:ascii="宋体" w:hAnsi="宋体" w:cs="宋体"/>
          <w:color w:val="auto"/>
          <w:sz w:val="24"/>
        </w:rPr>
      </w:pPr>
    </w:p>
    <w:p w14:paraId="001A4773">
      <w:pPr>
        <w:spacing w:line="360" w:lineRule="auto"/>
        <w:rPr>
          <w:rFonts w:ascii="宋体" w:hAnsi="宋体" w:cs="宋体"/>
          <w:color w:val="auto"/>
          <w:sz w:val="24"/>
        </w:rPr>
      </w:pPr>
    </w:p>
    <w:p w14:paraId="7D072230">
      <w:pPr>
        <w:spacing w:line="360" w:lineRule="auto"/>
        <w:rPr>
          <w:rFonts w:ascii="宋体" w:hAnsi="宋体" w:cs="宋体"/>
          <w:color w:val="auto"/>
          <w:sz w:val="24"/>
        </w:rPr>
      </w:pPr>
      <w:r>
        <w:rPr>
          <w:rFonts w:hint="eastAsia" w:ascii="宋体" w:hAnsi="宋体" w:cs="宋体"/>
          <w:color w:val="auto"/>
          <w:sz w:val="24"/>
        </w:rPr>
        <w:t>被授权人身份证复印件</w:t>
      </w:r>
    </w:p>
    <w:p w14:paraId="0D663A6D">
      <w:pPr>
        <w:spacing w:line="360" w:lineRule="auto"/>
        <w:rPr>
          <w:rFonts w:ascii="宋体" w:hAnsi="宋体" w:cs="宋体"/>
          <w:color w:val="auto"/>
          <w:sz w:val="24"/>
        </w:rPr>
      </w:pPr>
    </w:p>
    <w:p w14:paraId="2B5E3445">
      <w:pPr>
        <w:spacing w:line="360" w:lineRule="auto"/>
        <w:rPr>
          <w:rFonts w:ascii="宋体" w:hAnsi="宋体" w:cs="宋体"/>
          <w:color w:val="auto"/>
          <w:sz w:val="24"/>
        </w:rPr>
      </w:pPr>
      <w:r>
        <w:rPr>
          <w:rFonts w:hint="eastAsia" w:ascii="宋体" w:hAnsi="宋体" w:cs="宋体"/>
          <w:color w:val="auto"/>
          <w:sz w:val="24"/>
        </w:rPr>
        <w:t xml:space="preserve"> </w:t>
      </w:r>
    </w:p>
    <w:p w14:paraId="0D3009B8">
      <w:pPr>
        <w:spacing w:line="360" w:lineRule="auto"/>
        <w:ind w:firstLine="2280" w:firstLineChars="950"/>
        <w:rPr>
          <w:rFonts w:ascii="宋体" w:hAnsi="宋体" w:cs="宋体"/>
          <w:color w:val="auto"/>
          <w:sz w:val="24"/>
        </w:rPr>
      </w:pPr>
      <w:r>
        <w:rPr>
          <w:rFonts w:hint="eastAsia" w:ascii="宋体" w:hAnsi="宋体" w:cs="宋体"/>
          <w:color w:val="auto"/>
          <w:sz w:val="24"/>
        </w:rPr>
        <w:t>（粘贴此处）</w:t>
      </w:r>
    </w:p>
    <w:p w14:paraId="19FF4126">
      <w:pPr>
        <w:spacing w:line="360" w:lineRule="auto"/>
        <w:ind w:firstLine="2289" w:firstLineChars="950"/>
        <w:rPr>
          <w:rFonts w:ascii="宋体" w:hAnsi="宋体" w:cs="宋体"/>
          <w:b/>
          <w:bCs/>
          <w:color w:val="auto"/>
          <w:sz w:val="24"/>
        </w:rPr>
      </w:pPr>
    </w:p>
    <w:p w14:paraId="247BFD39">
      <w:pPr>
        <w:snapToGrid w:val="0"/>
        <w:spacing w:line="400" w:lineRule="exact"/>
        <w:contextualSpacing/>
        <w:rPr>
          <w:rFonts w:ascii="宋体" w:hAnsi="宋体" w:cs="宋体"/>
          <w:b/>
          <w:color w:val="auto"/>
          <w:kern w:val="0"/>
          <w:sz w:val="28"/>
          <w:szCs w:val="28"/>
        </w:rPr>
      </w:pPr>
    </w:p>
    <w:p w14:paraId="50964B19">
      <w:pPr>
        <w:snapToGrid w:val="0"/>
        <w:spacing w:line="460" w:lineRule="exact"/>
        <w:jc w:val="left"/>
        <w:outlineLvl w:val="1"/>
        <w:rPr>
          <w:rFonts w:ascii="宋体" w:hAnsi="宋体" w:cs="宋体"/>
          <w:color w:val="auto"/>
          <w:sz w:val="32"/>
          <w:szCs w:val="32"/>
        </w:rPr>
      </w:pPr>
    </w:p>
    <w:p w14:paraId="2B25086B">
      <w:pPr>
        <w:snapToGrid w:val="0"/>
        <w:spacing w:line="460" w:lineRule="exact"/>
        <w:jc w:val="left"/>
        <w:outlineLvl w:val="1"/>
        <w:rPr>
          <w:rFonts w:ascii="宋体" w:hAnsi="宋体" w:cs="宋体"/>
          <w:b/>
          <w:color w:val="auto"/>
          <w:kern w:val="0"/>
          <w:sz w:val="28"/>
          <w:szCs w:val="28"/>
        </w:rPr>
      </w:pPr>
      <w:r>
        <w:rPr>
          <w:rFonts w:hint="eastAsia" w:ascii="宋体" w:hAnsi="宋体" w:cs="宋体"/>
          <w:color w:val="auto"/>
          <w:sz w:val="32"/>
          <w:szCs w:val="32"/>
        </w:rPr>
        <w:t>附件4</w:t>
      </w:r>
    </w:p>
    <w:p w14:paraId="01DB54A2">
      <w:pPr>
        <w:snapToGrid w:val="0"/>
        <w:spacing w:line="460" w:lineRule="exact"/>
        <w:jc w:val="center"/>
        <w:outlineLvl w:val="1"/>
        <w:rPr>
          <w:rFonts w:ascii="宋体" w:hAnsi="宋体" w:cs="宋体"/>
          <w:b/>
          <w:color w:val="auto"/>
          <w:sz w:val="28"/>
          <w:szCs w:val="28"/>
        </w:rPr>
      </w:pPr>
      <w:r>
        <w:rPr>
          <w:rFonts w:hint="eastAsia" w:ascii="宋体" w:hAnsi="宋体" w:cs="宋体"/>
          <w:b/>
          <w:bCs/>
          <w:color w:val="auto"/>
          <w:sz w:val="28"/>
          <w:szCs w:val="28"/>
        </w:rPr>
        <w:t>具备履行合同所必需的设备和专业技术能力的书面声明</w:t>
      </w:r>
    </w:p>
    <w:p w14:paraId="55D77BD3">
      <w:pPr>
        <w:snapToGrid w:val="0"/>
        <w:spacing w:line="460" w:lineRule="exact"/>
        <w:ind w:firstLine="560" w:firstLineChars="200"/>
        <w:rPr>
          <w:rFonts w:ascii="宋体" w:hAnsi="宋体" w:cs="宋体"/>
          <w:color w:val="auto"/>
          <w:sz w:val="28"/>
          <w:szCs w:val="28"/>
        </w:rPr>
      </w:pPr>
    </w:p>
    <w:p w14:paraId="5479A68C">
      <w:pPr>
        <w:snapToGrid w:val="0"/>
        <w:spacing w:line="460" w:lineRule="exact"/>
        <w:rPr>
          <w:rFonts w:ascii="宋体" w:hAnsi="宋体" w:cs="宋体"/>
          <w:color w:val="auto"/>
          <w:sz w:val="28"/>
          <w:szCs w:val="28"/>
        </w:rPr>
      </w:pPr>
      <w:r>
        <w:rPr>
          <w:rFonts w:hint="eastAsia" w:ascii="宋体" w:hAnsi="宋体" w:cs="宋体"/>
          <w:color w:val="auto"/>
          <w:sz w:val="28"/>
          <w:szCs w:val="28"/>
        </w:rPr>
        <w:t>江苏商贸职业学院：</w:t>
      </w:r>
    </w:p>
    <w:p w14:paraId="2E1741F1">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我单位</w:t>
      </w:r>
      <w:r>
        <w:rPr>
          <w:rFonts w:hint="eastAsia" w:ascii="宋体" w:hAnsi="宋体" w:cs="宋体"/>
          <w:color w:val="auto"/>
          <w:sz w:val="28"/>
          <w:szCs w:val="28"/>
          <w:u w:val="single"/>
        </w:rPr>
        <w:t xml:space="preserve"> （投标单位名称） </w:t>
      </w:r>
      <w:r>
        <w:rPr>
          <w:rFonts w:hint="eastAsia" w:ascii="宋体" w:hAnsi="宋体" w:cs="宋体"/>
          <w:color w:val="auto"/>
          <w:sz w:val="28"/>
          <w:szCs w:val="28"/>
        </w:rPr>
        <w:t>郑重承诺：</w:t>
      </w:r>
    </w:p>
    <w:p w14:paraId="04C3CCB3">
      <w:pPr>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贵方组织的</w:t>
      </w:r>
      <w:r>
        <w:rPr>
          <w:rFonts w:hint="eastAsia" w:ascii="宋体" w:hAnsi="宋体" w:cs="宋体"/>
          <w:color w:val="auto"/>
          <w:sz w:val="28"/>
          <w:szCs w:val="28"/>
          <w:u w:val="single"/>
        </w:rPr>
        <w:t xml:space="preserve"> (项目名称） </w:t>
      </w:r>
      <w:r>
        <w:rPr>
          <w:rFonts w:hint="eastAsia" w:ascii="宋体" w:hAnsi="宋体" w:cs="宋体"/>
          <w:color w:val="auto"/>
          <w:sz w:val="28"/>
          <w:szCs w:val="28"/>
        </w:rPr>
        <w:t>，我单位</w:t>
      </w:r>
      <w:r>
        <w:rPr>
          <w:rFonts w:hint="eastAsia" w:ascii="宋体" w:hAnsi="宋体" w:cs="宋体"/>
          <w:color w:val="auto"/>
          <w:sz w:val="28"/>
          <w:szCs w:val="28"/>
          <w:u w:val="single"/>
        </w:rPr>
        <w:t xml:space="preserve"> (在下划线上如实填写：有或没有） </w:t>
      </w:r>
      <w:r>
        <w:rPr>
          <w:rFonts w:hint="eastAsia" w:ascii="宋体" w:hAnsi="宋体" w:cs="宋体"/>
          <w:color w:val="auto"/>
          <w:sz w:val="28"/>
          <w:szCs w:val="28"/>
        </w:rPr>
        <w:t>履行合同所必需的设备和专业技术能力。</w:t>
      </w:r>
    </w:p>
    <w:p w14:paraId="71708771">
      <w:pPr>
        <w:spacing w:line="460" w:lineRule="exact"/>
        <w:rPr>
          <w:rFonts w:ascii="宋体" w:hAnsi="宋体" w:cs="宋体"/>
          <w:b/>
          <w:bCs/>
          <w:color w:val="auto"/>
          <w:sz w:val="32"/>
          <w:szCs w:val="32"/>
        </w:rPr>
      </w:pPr>
    </w:p>
    <w:p w14:paraId="14BB0DD5">
      <w:pPr>
        <w:spacing w:line="460" w:lineRule="exact"/>
        <w:rPr>
          <w:rFonts w:ascii="宋体" w:hAnsi="宋体" w:cs="宋体"/>
          <w:b/>
          <w:bCs/>
          <w:color w:val="auto"/>
          <w:sz w:val="32"/>
          <w:szCs w:val="32"/>
        </w:rPr>
      </w:pPr>
    </w:p>
    <w:p w14:paraId="7B9B238E">
      <w:pPr>
        <w:spacing w:line="460" w:lineRule="exact"/>
        <w:rPr>
          <w:rFonts w:ascii="宋体" w:hAnsi="宋体" w:cs="宋体"/>
          <w:b/>
          <w:bCs/>
          <w:color w:val="auto"/>
          <w:sz w:val="32"/>
          <w:szCs w:val="32"/>
        </w:rPr>
      </w:pPr>
    </w:p>
    <w:p w14:paraId="6D503B61">
      <w:pPr>
        <w:spacing w:line="460" w:lineRule="exact"/>
        <w:rPr>
          <w:rFonts w:ascii="宋体" w:hAnsi="宋体" w:cs="宋体"/>
          <w:b/>
          <w:bCs/>
          <w:color w:val="auto"/>
          <w:sz w:val="32"/>
          <w:szCs w:val="32"/>
        </w:rPr>
      </w:pPr>
    </w:p>
    <w:p w14:paraId="72404661">
      <w:pPr>
        <w:spacing w:line="460" w:lineRule="exact"/>
        <w:ind w:firstLine="560" w:firstLineChars="200"/>
        <w:jc w:val="right"/>
        <w:rPr>
          <w:rFonts w:ascii="宋体" w:hAnsi="宋体" w:cs="宋体"/>
          <w:color w:val="auto"/>
          <w:sz w:val="28"/>
          <w:szCs w:val="28"/>
        </w:rPr>
      </w:pPr>
      <w:r>
        <w:rPr>
          <w:rFonts w:hint="eastAsia" w:ascii="宋体" w:hAnsi="宋体" w:cs="宋体"/>
          <w:color w:val="auto"/>
          <w:sz w:val="28"/>
          <w:szCs w:val="28"/>
        </w:rPr>
        <w:t>投标人：</w:t>
      </w:r>
      <w:r>
        <w:rPr>
          <w:rFonts w:hint="eastAsia" w:ascii="宋体" w:hAnsi="宋体" w:cs="宋体"/>
          <w:color w:val="auto"/>
          <w:sz w:val="28"/>
          <w:szCs w:val="28"/>
          <w:u w:val="single"/>
        </w:rPr>
        <w:t xml:space="preserve">                    </w:t>
      </w:r>
      <w:r>
        <w:rPr>
          <w:rFonts w:hint="eastAsia" w:ascii="宋体" w:hAnsi="宋体" w:cs="宋体"/>
          <w:color w:val="auto"/>
          <w:sz w:val="28"/>
          <w:szCs w:val="28"/>
        </w:rPr>
        <w:t>（加盖公章）</w:t>
      </w:r>
    </w:p>
    <w:p w14:paraId="41A47E98">
      <w:pPr>
        <w:spacing w:line="460" w:lineRule="exact"/>
        <w:ind w:firstLine="560" w:firstLineChars="200"/>
        <w:jc w:val="right"/>
        <w:rPr>
          <w:rFonts w:ascii="宋体" w:hAnsi="宋体" w:cs="宋体"/>
          <w:color w:val="auto"/>
          <w:sz w:val="28"/>
          <w:szCs w:val="28"/>
        </w:rPr>
      </w:pPr>
      <w:r>
        <w:rPr>
          <w:rFonts w:hint="eastAsia" w:ascii="宋体" w:hAnsi="宋体" w:cs="宋体"/>
          <w:color w:val="auto"/>
          <w:sz w:val="28"/>
          <w:szCs w:val="28"/>
        </w:rPr>
        <w:t>法定代表人或被授权人：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（签字或盖章）</w:t>
      </w:r>
    </w:p>
    <w:p w14:paraId="411DE91B">
      <w:pPr>
        <w:spacing w:line="360" w:lineRule="auto"/>
        <w:jc w:val="right"/>
        <w:outlineLvl w:val="2"/>
        <w:rPr>
          <w:rFonts w:ascii="宋体" w:hAnsi="宋体" w:cs="宋体"/>
          <w:color w:val="auto"/>
          <w:sz w:val="28"/>
          <w:szCs w:val="28"/>
        </w:rPr>
      </w:pPr>
      <w:r>
        <w:rPr>
          <w:rFonts w:hint="eastAsia" w:ascii="宋体" w:hAnsi="宋体" w:cs="宋体"/>
          <w:color w:val="auto"/>
          <w:sz w:val="28"/>
          <w:szCs w:val="28"/>
        </w:rPr>
        <w:t>年      月     日</w:t>
      </w:r>
    </w:p>
    <w:p w14:paraId="7E8DFBE2">
      <w:pPr>
        <w:spacing w:line="360" w:lineRule="auto"/>
        <w:jc w:val="left"/>
        <w:outlineLvl w:val="2"/>
        <w:rPr>
          <w:rFonts w:ascii="宋体" w:hAnsi="宋体" w:cs="宋体"/>
          <w:b/>
          <w:color w:val="auto"/>
          <w:kern w:val="0"/>
          <w:sz w:val="28"/>
          <w:szCs w:val="28"/>
        </w:rPr>
      </w:pPr>
      <w:r>
        <w:rPr>
          <w:rFonts w:hint="eastAsia" w:ascii="宋体" w:hAnsi="宋体" w:cs="宋体"/>
          <w:b/>
          <w:color w:val="auto"/>
          <w:kern w:val="0"/>
          <w:sz w:val="28"/>
          <w:szCs w:val="28"/>
        </w:rPr>
        <w:br w:type="page"/>
      </w:r>
      <w:r>
        <w:rPr>
          <w:rFonts w:hint="eastAsia" w:ascii="宋体" w:hAnsi="宋体" w:cs="宋体"/>
          <w:color w:val="auto"/>
          <w:sz w:val="32"/>
          <w:szCs w:val="32"/>
        </w:rPr>
        <w:t>附件5</w:t>
      </w:r>
    </w:p>
    <w:p w14:paraId="577DEA8A">
      <w:pPr>
        <w:snapToGrid w:val="0"/>
        <w:spacing w:line="360" w:lineRule="auto"/>
        <w:jc w:val="center"/>
        <w:outlineLvl w:val="4"/>
        <w:rPr>
          <w:rFonts w:ascii="宋体" w:hAnsi="宋体" w:cs="宋体"/>
          <w:b/>
          <w:bCs/>
          <w:color w:val="auto"/>
          <w:sz w:val="28"/>
          <w:szCs w:val="28"/>
        </w:rPr>
      </w:pPr>
      <w:r>
        <w:rPr>
          <w:rFonts w:hint="eastAsia" w:ascii="宋体" w:hAnsi="宋体" w:cs="宋体"/>
          <w:b/>
          <w:bCs/>
          <w:color w:val="auto"/>
          <w:sz w:val="28"/>
          <w:szCs w:val="28"/>
        </w:rPr>
        <w:t>无重大违法记录声明</w:t>
      </w:r>
    </w:p>
    <w:p w14:paraId="4C7C20FF">
      <w:pPr>
        <w:spacing w:line="360" w:lineRule="auto"/>
        <w:rPr>
          <w:rFonts w:ascii="宋体" w:hAnsi="宋体" w:cs="宋体"/>
          <w:color w:val="auto"/>
          <w:sz w:val="28"/>
          <w:szCs w:val="28"/>
        </w:rPr>
      </w:pPr>
      <w:r>
        <w:rPr>
          <w:rFonts w:hint="eastAsia" w:ascii="宋体" w:hAnsi="宋体" w:cs="宋体"/>
          <w:color w:val="auto"/>
          <w:sz w:val="28"/>
          <w:szCs w:val="28"/>
        </w:rPr>
        <w:t>江苏商贸职业学院：</w:t>
      </w:r>
    </w:p>
    <w:p w14:paraId="11C3A48A">
      <w:pPr>
        <w:spacing w:line="360" w:lineRule="auto"/>
        <w:rPr>
          <w:rFonts w:ascii="宋体" w:hAnsi="宋体" w:cs="宋体"/>
          <w:color w:val="auto"/>
          <w:sz w:val="28"/>
          <w:szCs w:val="28"/>
        </w:rPr>
      </w:pPr>
      <w:r>
        <w:rPr>
          <w:rFonts w:hint="eastAsia" w:ascii="宋体" w:hAnsi="宋体" w:cs="宋体"/>
          <w:color w:val="auto"/>
          <w:sz w:val="28"/>
          <w:szCs w:val="28"/>
        </w:rPr>
        <w:t xml:space="preserve">    我单位</w:t>
      </w:r>
      <w:r>
        <w:rPr>
          <w:rFonts w:hint="eastAsia" w:ascii="宋体" w:hAnsi="宋体" w:cs="宋体"/>
          <w:color w:val="auto"/>
          <w:sz w:val="28"/>
          <w:szCs w:val="28"/>
          <w:u w:val="single"/>
        </w:rPr>
        <w:t xml:space="preserve">               </w:t>
      </w:r>
      <w:r>
        <w:rPr>
          <w:rFonts w:hint="eastAsia" w:ascii="宋体" w:hAnsi="宋体" w:cs="宋体"/>
          <w:color w:val="auto"/>
          <w:sz w:val="28"/>
          <w:szCs w:val="28"/>
        </w:rPr>
        <w:t>（投标人名称）郑重声明：</w:t>
      </w:r>
    </w:p>
    <w:p w14:paraId="01F9EEEF">
      <w:pPr>
        <w:spacing w:line="360" w:lineRule="auto"/>
        <w:rPr>
          <w:rFonts w:ascii="宋体" w:hAnsi="宋体" w:cs="宋体"/>
          <w:color w:val="auto"/>
          <w:sz w:val="28"/>
          <w:szCs w:val="28"/>
        </w:rPr>
      </w:pPr>
      <w:r>
        <w:rPr>
          <w:rFonts w:hint="eastAsia" w:ascii="宋体" w:hAnsi="宋体" w:cs="宋体"/>
          <w:color w:val="auto"/>
          <w:sz w:val="28"/>
          <w:szCs w:val="28"/>
        </w:rPr>
        <w:t xml:space="preserve">    参加政府采购活动前3年内在经营活动中</w:t>
      </w:r>
      <w:r>
        <w:rPr>
          <w:rFonts w:hint="eastAsia" w:ascii="宋体" w:hAnsi="宋体" w:cs="宋体"/>
          <w:color w:val="auto"/>
          <w:sz w:val="28"/>
          <w:szCs w:val="28"/>
          <w:u w:val="single"/>
        </w:rPr>
        <w:t xml:space="preserve">        </w:t>
      </w:r>
      <w:r>
        <w:rPr>
          <w:rFonts w:hint="eastAsia" w:ascii="宋体" w:hAnsi="宋体" w:cs="宋体"/>
          <w:color w:val="auto"/>
          <w:sz w:val="28"/>
          <w:szCs w:val="28"/>
        </w:rPr>
        <w:t>（在下划线上如实填写：有或没有）重大违法记录。</w:t>
      </w:r>
    </w:p>
    <w:p w14:paraId="5DAC7EB6">
      <w:pPr>
        <w:spacing w:line="360" w:lineRule="auto"/>
        <w:ind w:firstLine="480"/>
        <w:jc w:val="left"/>
        <w:rPr>
          <w:rFonts w:ascii="宋体" w:hAnsi="宋体" w:cs="宋体"/>
          <w:color w:val="auto"/>
          <w:sz w:val="28"/>
          <w:szCs w:val="28"/>
        </w:rPr>
      </w:pPr>
      <w:r>
        <w:rPr>
          <w:rFonts w:hint="eastAsia" w:ascii="宋体" w:hAnsi="宋体" w:cs="宋体"/>
          <w:color w:val="auto"/>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14:paraId="6D3E50AD">
      <w:pPr>
        <w:spacing w:line="360" w:lineRule="auto"/>
        <w:ind w:firstLine="480"/>
        <w:rPr>
          <w:rFonts w:ascii="宋体" w:hAnsi="宋体" w:cs="宋体"/>
          <w:color w:val="auto"/>
          <w:sz w:val="28"/>
          <w:szCs w:val="28"/>
        </w:rPr>
      </w:pPr>
    </w:p>
    <w:p w14:paraId="24CABC37">
      <w:pPr>
        <w:spacing w:line="360" w:lineRule="auto"/>
        <w:ind w:firstLine="480"/>
        <w:rPr>
          <w:rFonts w:ascii="宋体" w:hAnsi="宋体" w:cs="宋体"/>
          <w:color w:val="auto"/>
          <w:sz w:val="28"/>
          <w:szCs w:val="28"/>
        </w:rPr>
      </w:pPr>
      <w:r>
        <w:rPr>
          <w:rFonts w:hint="eastAsia" w:ascii="宋体" w:hAnsi="宋体" w:cs="宋体"/>
          <w:color w:val="auto"/>
          <w:sz w:val="28"/>
          <w:szCs w:val="28"/>
        </w:rPr>
        <w:t>（说明：政府采购法第二十二条第一款第五项所称重大违法记录，是指供应商因违法经营受到刑事处罚或者责令停产停业、吊销许可证或者执照、较大数额罚款等行政处罚。）</w:t>
      </w:r>
    </w:p>
    <w:p w14:paraId="23F9B3C3">
      <w:pPr>
        <w:spacing w:line="360" w:lineRule="auto"/>
        <w:ind w:firstLine="560" w:firstLineChars="200"/>
        <w:jc w:val="right"/>
        <w:rPr>
          <w:rFonts w:ascii="宋体" w:hAnsi="宋体" w:cs="宋体"/>
          <w:color w:val="auto"/>
          <w:sz w:val="28"/>
          <w:szCs w:val="28"/>
        </w:rPr>
      </w:pPr>
      <w:r>
        <w:rPr>
          <w:rFonts w:hint="eastAsia" w:ascii="宋体" w:hAnsi="宋体" w:cs="宋体"/>
          <w:color w:val="auto"/>
          <w:sz w:val="28"/>
          <w:szCs w:val="28"/>
        </w:rPr>
        <w:t xml:space="preserve">                                  投标人：</w:t>
      </w:r>
      <w:r>
        <w:rPr>
          <w:rFonts w:hint="eastAsia" w:ascii="宋体" w:hAnsi="宋体" w:cs="宋体"/>
          <w:color w:val="auto"/>
          <w:sz w:val="28"/>
          <w:szCs w:val="28"/>
          <w:u w:val="single"/>
        </w:rPr>
        <w:t xml:space="preserve">             </w:t>
      </w:r>
      <w:r>
        <w:rPr>
          <w:rFonts w:hint="eastAsia" w:ascii="宋体" w:hAnsi="宋体" w:cs="宋体"/>
          <w:color w:val="auto"/>
          <w:sz w:val="28"/>
          <w:szCs w:val="28"/>
        </w:rPr>
        <w:t>（加盖公章）</w:t>
      </w:r>
    </w:p>
    <w:p w14:paraId="64078B0A">
      <w:pPr>
        <w:spacing w:line="360" w:lineRule="auto"/>
        <w:ind w:firstLine="560" w:firstLineChars="200"/>
        <w:jc w:val="right"/>
        <w:rPr>
          <w:rFonts w:ascii="宋体" w:hAnsi="宋体" w:cs="宋体"/>
          <w:color w:val="auto"/>
          <w:sz w:val="28"/>
          <w:szCs w:val="28"/>
        </w:rPr>
      </w:pPr>
      <w:r>
        <w:rPr>
          <w:rFonts w:hint="eastAsia" w:ascii="宋体" w:hAnsi="宋体" w:cs="宋体"/>
          <w:color w:val="auto"/>
          <w:sz w:val="28"/>
          <w:szCs w:val="28"/>
        </w:rPr>
        <w:t>法定代表人或被授权人：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（签字或盖章）</w:t>
      </w:r>
    </w:p>
    <w:p w14:paraId="4A9D8F98">
      <w:pPr>
        <w:spacing w:line="360" w:lineRule="auto"/>
        <w:ind w:firstLine="1540" w:firstLineChars="550"/>
        <w:jc w:val="right"/>
        <w:rPr>
          <w:rFonts w:ascii="宋体" w:hAnsi="宋体" w:cs="宋体"/>
          <w:color w:val="auto"/>
          <w:sz w:val="28"/>
          <w:szCs w:val="28"/>
        </w:rPr>
      </w:pPr>
      <w:r>
        <w:rPr>
          <w:rFonts w:hint="eastAsia" w:ascii="宋体" w:hAnsi="宋体" w:cs="宋体"/>
          <w:color w:val="auto"/>
          <w:sz w:val="28"/>
          <w:szCs w:val="28"/>
        </w:rPr>
        <w:t>年      月     日</w:t>
      </w:r>
    </w:p>
    <w:p w14:paraId="79AFF6FB">
      <w:pPr>
        <w:rPr>
          <w:rFonts w:ascii="宋体" w:hAnsi="宋体" w:cs="宋体"/>
          <w:color w:val="auto"/>
          <w:sz w:val="32"/>
          <w:szCs w:val="32"/>
        </w:rPr>
      </w:pPr>
    </w:p>
    <w:p w14:paraId="5ED05446">
      <w:pPr>
        <w:spacing w:line="360" w:lineRule="auto"/>
        <w:jc w:val="left"/>
        <w:rPr>
          <w:rFonts w:ascii="宋体" w:hAnsi="宋体" w:cs="宋体"/>
          <w:color w:val="auto"/>
          <w:sz w:val="32"/>
          <w:szCs w:val="32"/>
        </w:rPr>
      </w:pPr>
    </w:p>
    <w:p w14:paraId="53988B5D">
      <w:pPr>
        <w:spacing w:line="360" w:lineRule="auto"/>
        <w:jc w:val="left"/>
        <w:rPr>
          <w:rFonts w:ascii="宋体" w:hAnsi="宋体" w:cs="宋体"/>
          <w:color w:val="auto"/>
          <w:sz w:val="32"/>
          <w:szCs w:val="32"/>
        </w:rPr>
      </w:pPr>
    </w:p>
    <w:p w14:paraId="595F00CB">
      <w:pPr>
        <w:spacing w:line="360" w:lineRule="auto"/>
        <w:jc w:val="left"/>
        <w:rPr>
          <w:rFonts w:ascii="宋体" w:hAnsi="宋体" w:cs="宋体"/>
          <w:color w:val="auto"/>
          <w:sz w:val="32"/>
          <w:szCs w:val="32"/>
        </w:rPr>
      </w:pPr>
      <w:r>
        <w:rPr>
          <w:rFonts w:hint="eastAsia" w:ascii="宋体" w:hAnsi="宋体" w:cs="宋体"/>
          <w:color w:val="auto"/>
          <w:sz w:val="32"/>
          <w:szCs w:val="32"/>
        </w:rPr>
        <w:t>附件6</w:t>
      </w:r>
    </w:p>
    <w:p w14:paraId="2411C7B1">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投标响应函</w:t>
      </w:r>
    </w:p>
    <w:p w14:paraId="160DC901">
      <w:pPr>
        <w:spacing w:line="360" w:lineRule="auto"/>
        <w:rPr>
          <w:rFonts w:ascii="宋体" w:hAnsi="宋体" w:cs="宋体"/>
          <w:color w:val="auto"/>
          <w:sz w:val="24"/>
        </w:rPr>
      </w:pPr>
      <w:r>
        <w:rPr>
          <w:rFonts w:hint="eastAsia" w:ascii="宋体" w:hAnsi="宋体" w:cs="宋体"/>
          <w:color w:val="auto"/>
          <w:sz w:val="24"/>
        </w:rPr>
        <w:t>江苏商贸职业学院：</w:t>
      </w:r>
    </w:p>
    <w:p w14:paraId="66746ACE">
      <w:pPr>
        <w:spacing w:line="360" w:lineRule="auto"/>
        <w:ind w:firstLine="480" w:firstLineChars="200"/>
        <w:rPr>
          <w:rFonts w:ascii="宋体" w:hAnsi="宋体" w:cs="宋体"/>
          <w:color w:val="auto"/>
          <w:sz w:val="24"/>
        </w:rPr>
      </w:pPr>
      <w:r>
        <w:rPr>
          <w:rFonts w:hint="eastAsia" w:ascii="宋体" w:hAnsi="宋体" w:cs="宋体"/>
          <w:color w:val="auto"/>
          <w:sz w:val="24"/>
        </w:rPr>
        <w:t>依据贵单位</w:t>
      </w:r>
      <w:r>
        <w:rPr>
          <w:rFonts w:hint="eastAsia" w:ascii="宋体" w:hAnsi="宋体" w:cs="宋体"/>
          <w:color w:val="auto"/>
          <w:sz w:val="24"/>
          <w:u w:val="single"/>
        </w:rPr>
        <w:t xml:space="preserve">                       </w:t>
      </w:r>
      <w:r>
        <w:rPr>
          <w:rFonts w:hint="eastAsia" w:ascii="宋体" w:hAnsi="宋体" w:cs="宋体"/>
          <w:color w:val="auto"/>
          <w:sz w:val="24"/>
        </w:rPr>
        <w:t xml:space="preserve">（投标项目名称及项目编号）项目采购的邀请，我方授权 </w:t>
      </w:r>
      <w:r>
        <w:rPr>
          <w:rFonts w:hint="eastAsia" w:ascii="宋体" w:hAnsi="宋体" w:cs="宋体"/>
          <w:color w:val="auto"/>
          <w:sz w:val="24"/>
          <w:u w:val="single"/>
        </w:rPr>
        <w:t xml:space="preserve">      </w:t>
      </w:r>
      <w:r>
        <w:rPr>
          <w:rFonts w:hint="eastAsia" w:ascii="宋体" w:hAnsi="宋体" w:cs="宋体"/>
          <w:color w:val="auto"/>
          <w:sz w:val="24"/>
        </w:rPr>
        <w:t>（姓名）</w:t>
      </w:r>
      <w:r>
        <w:rPr>
          <w:rFonts w:hint="eastAsia" w:ascii="宋体" w:hAnsi="宋体" w:cs="宋体"/>
          <w:color w:val="auto"/>
          <w:sz w:val="24"/>
          <w:u w:val="single"/>
        </w:rPr>
        <w:t xml:space="preserve">     </w:t>
      </w:r>
      <w:r>
        <w:rPr>
          <w:rFonts w:hint="eastAsia" w:ascii="宋体" w:hAnsi="宋体" w:cs="宋体"/>
          <w:color w:val="auto"/>
          <w:sz w:val="24"/>
        </w:rPr>
        <w:t>（职务）为全权代表参加该项目的投标工作，全权处理本次采购的有关事宜。同时，我公司声明如下：</w:t>
      </w:r>
    </w:p>
    <w:p w14:paraId="03814A99">
      <w:pPr>
        <w:spacing w:line="360" w:lineRule="auto"/>
        <w:ind w:firstLine="480" w:firstLineChars="200"/>
        <w:rPr>
          <w:rFonts w:ascii="宋体" w:hAnsi="宋体" w:cs="宋体"/>
          <w:color w:val="auto"/>
          <w:sz w:val="24"/>
        </w:rPr>
      </w:pPr>
      <w:r>
        <w:rPr>
          <w:rFonts w:hint="eastAsia" w:ascii="宋体" w:hAnsi="宋体" w:cs="宋体"/>
          <w:color w:val="auto"/>
          <w:sz w:val="24"/>
        </w:rPr>
        <w:t>1、同意并接受招标文件的各项要求，遵守招标文件中的各项规定，按招标文件的要求提供报价。</w:t>
      </w:r>
    </w:p>
    <w:p w14:paraId="6D282788">
      <w:pPr>
        <w:spacing w:line="360" w:lineRule="auto"/>
        <w:ind w:firstLine="480" w:firstLineChars="200"/>
        <w:rPr>
          <w:rFonts w:ascii="宋体" w:hAnsi="宋体" w:cs="宋体"/>
          <w:color w:val="auto"/>
          <w:sz w:val="24"/>
        </w:rPr>
      </w:pPr>
      <w:r>
        <w:rPr>
          <w:rFonts w:hint="eastAsia" w:ascii="宋体" w:hAnsi="宋体" w:cs="宋体"/>
          <w:color w:val="auto"/>
          <w:sz w:val="24"/>
        </w:rPr>
        <w:t>2、我方已经详细阅读了全部招标文件及其附件，完全清晰理解招标文件的要求，不存在任何含糊不清和误解之处，同意放弃对这些文件所提出的异议和质疑的权利。</w:t>
      </w:r>
    </w:p>
    <w:p w14:paraId="309DD23A">
      <w:pPr>
        <w:spacing w:line="360" w:lineRule="auto"/>
        <w:ind w:firstLine="480" w:firstLineChars="200"/>
        <w:rPr>
          <w:rFonts w:ascii="宋体" w:hAnsi="宋体" w:cs="宋体"/>
          <w:color w:val="auto"/>
          <w:sz w:val="24"/>
        </w:rPr>
      </w:pPr>
      <w:r>
        <w:rPr>
          <w:rFonts w:hint="eastAsia" w:ascii="宋体" w:hAnsi="宋体" w:cs="宋体"/>
          <w:color w:val="auto"/>
          <w:sz w:val="24"/>
        </w:rPr>
        <w:t>3、我方已毫无保留地向贵方提供一切所需的证明材料。</w:t>
      </w:r>
    </w:p>
    <w:p w14:paraId="3EED6D00">
      <w:pPr>
        <w:spacing w:line="360" w:lineRule="auto"/>
        <w:ind w:firstLine="480" w:firstLineChars="200"/>
        <w:rPr>
          <w:rFonts w:ascii="宋体" w:hAnsi="宋体" w:cs="宋体"/>
          <w:color w:val="auto"/>
          <w:sz w:val="24"/>
        </w:rPr>
      </w:pPr>
      <w:r>
        <w:rPr>
          <w:rFonts w:hint="eastAsia" w:ascii="宋体" w:hAnsi="宋体" w:cs="宋体"/>
          <w:color w:val="auto"/>
          <w:sz w:val="24"/>
        </w:rPr>
        <w:t>4、我公司承诺在本次投标响应中提供的一切文件，无论是原件还是复印件均真实有效，绝无任何虚假、伪造和夸大的成份。否则，愿承担相应的后果和法律责任。</w:t>
      </w:r>
    </w:p>
    <w:p w14:paraId="2CB973FF">
      <w:pPr>
        <w:spacing w:line="360" w:lineRule="auto"/>
        <w:ind w:firstLine="480" w:firstLineChars="200"/>
        <w:rPr>
          <w:rFonts w:ascii="宋体" w:hAnsi="宋体" w:cs="宋体"/>
          <w:color w:val="auto"/>
          <w:sz w:val="24"/>
        </w:rPr>
      </w:pPr>
      <w:r>
        <w:rPr>
          <w:rFonts w:hint="eastAsia" w:ascii="宋体" w:hAnsi="宋体" w:cs="宋体"/>
          <w:color w:val="auto"/>
          <w:sz w:val="24"/>
        </w:rPr>
        <w:t>5、我方尊重评标委员会所作的评定结果，同时清楚理解到报价最低并非意味着必定获得成交资格。</w:t>
      </w:r>
    </w:p>
    <w:p w14:paraId="00287067">
      <w:pPr>
        <w:spacing w:line="360" w:lineRule="auto"/>
        <w:ind w:firstLine="480" w:firstLineChars="200"/>
        <w:rPr>
          <w:rFonts w:ascii="宋体" w:hAnsi="宋体" w:cs="宋体"/>
          <w:color w:val="auto"/>
          <w:sz w:val="24"/>
        </w:rPr>
      </w:pPr>
      <w:r>
        <w:rPr>
          <w:rFonts w:hint="eastAsia" w:ascii="宋体" w:hAnsi="宋体" w:cs="宋体"/>
          <w:color w:val="auto"/>
          <w:sz w:val="24"/>
        </w:rPr>
        <w:t>6、一旦我方成交,我方将根据招标文件的规定，严格履行合同的责任和义务,并保证按招标文件规定的项目工期时间内完成，交付采购人验收、使用。</w:t>
      </w:r>
    </w:p>
    <w:p w14:paraId="2887F9C3">
      <w:pPr>
        <w:spacing w:line="360" w:lineRule="auto"/>
        <w:ind w:firstLine="480" w:firstLineChars="200"/>
        <w:jc w:val="right"/>
        <w:rPr>
          <w:rFonts w:ascii="宋体" w:hAnsi="宋体" w:cs="宋体"/>
          <w:color w:val="auto"/>
          <w:sz w:val="24"/>
        </w:rPr>
      </w:pPr>
      <w:r>
        <w:rPr>
          <w:rFonts w:hint="eastAsia" w:ascii="宋体" w:hAnsi="宋体" w:cs="宋体"/>
          <w:color w:val="auto"/>
          <w:sz w:val="24"/>
        </w:rPr>
        <w:t>投标服务商：</w:t>
      </w:r>
      <w:r>
        <w:rPr>
          <w:rFonts w:hint="eastAsia" w:ascii="宋体" w:hAnsi="宋体" w:cs="宋体"/>
          <w:color w:val="auto"/>
          <w:sz w:val="24"/>
          <w:u w:val="single"/>
        </w:rPr>
        <w:t xml:space="preserve">                    </w:t>
      </w:r>
      <w:r>
        <w:rPr>
          <w:rFonts w:hint="eastAsia" w:ascii="宋体" w:hAnsi="宋体" w:cs="宋体"/>
          <w:color w:val="auto"/>
          <w:sz w:val="24"/>
        </w:rPr>
        <w:t>（加盖公章）</w:t>
      </w:r>
    </w:p>
    <w:p w14:paraId="22A86012">
      <w:pPr>
        <w:spacing w:line="360" w:lineRule="auto"/>
        <w:ind w:firstLine="480" w:firstLineChars="200"/>
        <w:jc w:val="right"/>
        <w:rPr>
          <w:rFonts w:ascii="宋体" w:hAnsi="宋体" w:cs="宋体"/>
          <w:color w:val="auto"/>
          <w:sz w:val="24"/>
        </w:rPr>
      </w:pPr>
      <w:r>
        <w:rPr>
          <w:rFonts w:hint="eastAsia" w:ascii="宋体" w:hAnsi="宋体" w:cs="宋体"/>
          <w:color w:val="auto"/>
          <w:sz w:val="24"/>
        </w:rPr>
        <w:t>法定代表人或被授权人：</w:t>
      </w:r>
      <w:r>
        <w:rPr>
          <w:rFonts w:hint="eastAsia" w:ascii="宋体" w:hAnsi="宋体" w:cs="宋体"/>
          <w:color w:val="auto"/>
          <w:sz w:val="24"/>
          <w:u w:val="single"/>
        </w:rPr>
        <w:t xml:space="preserve">          </w:t>
      </w:r>
      <w:r>
        <w:rPr>
          <w:rFonts w:hint="eastAsia" w:ascii="宋体" w:hAnsi="宋体" w:cs="宋体"/>
          <w:color w:val="auto"/>
          <w:sz w:val="24"/>
        </w:rPr>
        <w:t>（签字或盖章）</w:t>
      </w:r>
    </w:p>
    <w:p w14:paraId="641A17DD">
      <w:pPr>
        <w:spacing w:line="360" w:lineRule="auto"/>
        <w:ind w:firstLine="1320" w:firstLineChars="550"/>
        <w:jc w:val="right"/>
        <w:rPr>
          <w:rFonts w:ascii="宋体" w:hAnsi="宋体" w:cs="宋体"/>
          <w:color w:val="auto"/>
          <w:sz w:val="24"/>
        </w:rPr>
      </w:pPr>
      <w:r>
        <w:rPr>
          <w:rFonts w:hint="eastAsia" w:ascii="宋体" w:hAnsi="宋体" w:cs="宋体"/>
          <w:color w:val="auto"/>
          <w:sz w:val="24"/>
        </w:rPr>
        <w:t>年      月     日</w:t>
      </w:r>
    </w:p>
    <w:p w14:paraId="5E0F7606">
      <w:pPr>
        <w:snapToGrid w:val="0"/>
        <w:spacing w:line="300" w:lineRule="auto"/>
        <w:outlineLvl w:val="0"/>
        <w:rPr>
          <w:rFonts w:ascii="宋体" w:hAnsi="宋体" w:cs="宋体"/>
          <w:color w:val="auto"/>
          <w:sz w:val="32"/>
          <w:szCs w:val="32"/>
        </w:rPr>
      </w:pPr>
    </w:p>
    <w:p w14:paraId="1971E30D">
      <w:pPr>
        <w:snapToGrid w:val="0"/>
        <w:spacing w:line="300" w:lineRule="auto"/>
        <w:outlineLvl w:val="0"/>
        <w:rPr>
          <w:rFonts w:ascii="宋体" w:hAnsi="宋体" w:cs="宋体"/>
          <w:color w:val="auto"/>
          <w:sz w:val="32"/>
          <w:szCs w:val="32"/>
        </w:rPr>
      </w:pPr>
    </w:p>
    <w:p w14:paraId="7DDFC411">
      <w:pPr>
        <w:snapToGrid w:val="0"/>
        <w:spacing w:line="300" w:lineRule="auto"/>
        <w:outlineLvl w:val="0"/>
        <w:rPr>
          <w:rFonts w:ascii="宋体" w:hAnsi="宋体" w:cs="宋体"/>
          <w:color w:val="auto"/>
          <w:sz w:val="32"/>
          <w:szCs w:val="32"/>
        </w:rPr>
      </w:pPr>
    </w:p>
    <w:p w14:paraId="3EF54066">
      <w:pPr>
        <w:snapToGrid w:val="0"/>
        <w:spacing w:line="300" w:lineRule="auto"/>
        <w:outlineLvl w:val="0"/>
        <w:rPr>
          <w:rFonts w:ascii="宋体" w:hAnsi="宋体" w:cs="宋体"/>
          <w:color w:val="auto"/>
          <w:sz w:val="32"/>
          <w:szCs w:val="32"/>
        </w:rPr>
      </w:pPr>
    </w:p>
    <w:p w14:paraId="6FDDD0D9">
      <w:pPr>
        <w:snapToGrid w:val="0"/>
        <w:spacing w:line="300" w:lineRule="auto"/>
        <w:outlineLvl w:val="0"/>
        <w:rPr>
          <w:rFonts w:ascii="宋体" w:hAnsi="宋体" w:cs="宋体"/>
          <w:color w:val="auto"/>
          <w:sz w:val="32"/>
          <w:szCs w:val="32"/>
        </w:rPr>
      </w:pPr>
    </w:p>
    <w:p w14:paraId="25026F95">
      <w:pPr>
        <w:snapToGrid w:val="0"/>
        <w:spacing w:line="300" w:lineRule="auto"/>
        <w:outlineLvl w:val="0"/>
        <w:rPr>
          <w:rFonts w:ascii="宋体" w:hAnsi="宋体" w:cs="宋体"/>
          <w:color w:val="auto"/>
          <w:sz w:val="32"/>
          <w:szCs w:val="32"/>
        </w:rPr>
      </w:pPr>
    </w:p>
    <w:p w14:paraId="63C8FED8">
      <w:pPr>
        <w:snapToGrid w:val="0"/>
        <w:spacing w:line="300" w:lineRule="auto"/>
        <w:outlineLvl w:val="0"/>
        <w:rPr>
          <w:rFonts w:ascii="宋体" w:hAnsi="宋体" w:cs="宋体"/>
          <w:color w:val="auto"/>
          <w:sz w:val="32"/>
          <w:szCs w:val="32"/>
        </w:rPr>
      </w:pPr>
    </w:p>
    <w:p w14:paraId="779F434B">
      <w:pPr>
        <w:snapToGrid w:val="0"/>
        <w:spacing w:line="300" w:lineRule="auto"/>
        <w:contextualSpacing/>
        <w:jc w:val="left"/>
        <w:rPr>
          <w:rFonts w:ascii="宋体" w:hAnsi="宋体" w:cs="宋体"/>
          <w:b/>
          <w:color w:val="auto"/>
          <w:sz w:val="32"/>
          <w:szCs w:val="32"/>
        </w:rPr>
      </w:pPr>
      <w:r>
        <w:rPr>
          <w:rFonts w:hint="eastAsia" w:ascii="宋体" w:hAnsi="宋体" w:cs="宋体"/>
          <w:color w:val="auto"/>
          <w:sz w:val="32"/>
          <w:szCs w:val="32"/>
        </w:rPr>
        <w:t>附件7</w:t>
      </w:r>
    </w:p>
    <w:p w14:paraId="5BE6284B">
      <w:pPr>
        <w:snapToGrid w:val="0"/>
        <w:spacing w:line="300" w:lineRule="auto"/>
        <w:contextualSpacing/>
        <w:jc w:val="center"/>
        <w:rPr>
          <w:rFonts w:ascii="宋体" w:hAnsi="宋体" w:cs="宋体"/>
          <w:b/>
          <w:color w:val="auto"/>
          <w:sz w:val="32"/>
          <w:szCs w:val="32"/>
        </w:rPr>
      </w:pPr>
      <w:r>
        <w:rPr>
          <w:rFonts w:hint="eastAsia" w:ascii="宋体" w:hAnsi="宋体" w:cs="宋体"/>
          <w:b/>
          <w:color w:val="auto"/>
          <w:sz w:val="32"/>
          <w:szCs w:val="32"/>
        </w:rPr>
        <w:t>商务部分正负偏离表</w:t>
      </w:r>
    </w:p>
    <w:p w14:paraId="391A8D3D">
      <w:pPr>
        <w:ind w:firstLine="560" w:firstLineChars="200"/>
        <w:jc w:val="center"/>
        <w:rPr>
          <w:rFonts w:ascii="宋体" w:hAnsi="宋体" w:cs="宋体"/>
          <w:color w:val="auto"/>
          <w:sz w:val="28"/>
          <w:szCs w:val="28"/>
        </w:rPr>
      </w:pPr>
      <w:r>
        <w:rPr>
          <w:rFonts w:hint="eastAsia" w:ascii="宋体" w:hAnsi="宋体" w:cs="宋体"/>
          <w:color w:val="auto"/>
          <w:sz w:val="28"/>
          <w:szCs w:val="28"/>
        </w:rPr>
        <w:t>（由供应商据实填写，表格不够自行添加）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9"/>
        <w:gridCol w:w="2151"/>
        <w:gridCol w:w="1878"/>
        <w:gridCol w:w="2424"/>
        <w:gridCol w:w="1334"/>
      </w:tblGrid>
      <w:tr w14:paraId="70396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0CA2C28">
            <w:pPr>
              <w:spacing w:line="340" w:lineRule="exact"/>
              <w:jc w:val="center"/>
              <w:rPr>
                <w:rFonts w:ascii="宋体" w:hAnsi="宋体" w:cs="宋体"/>
                <w:color w:val="auto"/>
                <w:sz w:val="24"/>
              </w:rPr>
            </w:pPr>
            <w:r>
              <w:rPr>
                <w:rFonts w:hint="eastAsia" w:ascii="宋体" w:hAnsi="宋体" w:cs="宋体"/>
                <w:color w:val="auto"/>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0EDC216">
            <w:pPr>
              <w:spacing w:line="340" w:lineRule="exact"/>
              <w:jc w:val="center"/>
              <w:rPr>
                <w:rFonts w:ascii="宋体" w:hAnsi="宋体" w:cs="宋体"/>
                <w:color w:val="auto"/>
                <w:sz w:val="24"/>
              </w:rPr>
            </w:pPr>
            <w:r>
              <w:rPr>
                <w:rFonts w:hint="eastAsia" w:ascii="宋体" w:hAnsi="宋体" w:cs="宋体"/>
                <w:color w:val="auto"/>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A2D28F8">
            <w:pPr>
              <w:spacing w:line="340" w:lineRule="exact"/>
              <w:jc w:val="center"/>
              <w:rPr>
                <w:rFonts w:ascii="宋体" w:hAnsi="宋体" w:cs="宋体"/>
                <w:color w:val="auto"/>
                <w:sz w:val="24"/>
              </w:rPr>
            </w:pPr>
            <w:r>
              <w:rPr>
                <w:rFonts w:hint="eastAsia" w:ascii="宋体" w:hAnsi="宋体" w:cs="宋体"/>
                <w:color w:val="auto"/>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A4A59BB">
            <w:pPr>
              <w:spacing w:line="340" w:lineRule="exact"/>
              <w:jc w:val="center"/>
              <w:rPr>
                <w:rFonts w:ascii="宋体" w:hAnsi="宋体" w:cs="宋体"/>
                <w:color w:val="auto"/>
                <w:sz w:val="24"/>
              </w:rPr>
            </w:pPr>
            <w:r>
              <w:rPr>
                <w:rFonts w:hint="eastAsia" w:ascii="宋体" w:hAnsi="宋体" w:cs="宋体"/>
                <w:color w:val="auto"/>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E884E12">
            <w:pPr>
              <w:spacing w:line="340" w:lineRule="exact"/>
              <w:jc w:val="center"/>
              <w:rPr>
                <w:rFonts w:ascii="宋体" w:hAnsi="宋体" w:cs="宋体"/>
                <w:color w:val="auto"/>
                <w:sz w:val="24"/>
              </w:rPr>
            </w:pPr>
          </w:p>
          <w:p w14:paraId="5465B6E2">
            <w:pPr>
              <w:spacing w:line="340" w:lineRule="exact"/>
              <w:jc w:val="center"/>
              <w:rPr>
                <w:rFonts w:ascii="宋体" w:hAnsi="宋体" w:cs="宋体"/>
                <w:color w:val="auto"/>
                <w:sz w:val="24"/>
              </w:rPr>
            </w:pPr>
            <w:r>
              <w:rPr>
                <w:rFonts w:hint="eastAsia" w:ascii="宋体" w:hAnsi="宋体" w:cs="宋体"/>
                <w:color w:val="auto"/>
                <w:sz w:val="24"/>
              </w:rPr>
              <w:t>偏离说明</w:t>
            </w:r>
          </w:p>
        </w:tc>
      </w:tr>
      <w:tr w14:paraId="2D498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5961616">
            <w:pPr>
              <w:spacing w:line="340" w:lineRule="exact"/>
              <w:jc w:val="center"/>
              <w:rPr>
                <w:rFonts w:ascii="宋体" w:hAnsi="宋体" w:cs="宋体"/>
                <w:color w:val="auto"/>
                <w:sz w:val="24"/>
              </w:rPr>
            </w:pPr>
            <w:r>
              <w:rPr>
                <w:rFonts w:hint="eastAsia" w:ascii="宋体" w:hAnsi="宋体" w:cs="宋体"/>
                <w:color w:val="auto"/>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01EC377B">
            <w:pPr>
              <w:spacing w:line="340" w:lineRule="exact"/>
              <w:jc w:val="left"/>
              <w:rPr>
                <w:rFonts w:ascii="宋体" w:hAnsi="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B3F6C26">
            <w:pPr>
              <w:spacing w:line="340" w:lineRule="exact"/>
              <w:jc w:val="left"/>
              <w:rPr>
                <w:rFonts w:ascii="宋体" w:hAnsi="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1896CD1">
            <w:pPr>
              <w:spacing w:line="340" w:lineRule="exact"/>
              <w:jc w:val="left"/>
              <w:rPr>
                <w:rFonts w:ascii="宋体" w:hAnsi="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43D329DC">
            <w:pPr>
              <w:spacing w:line="340" w:lineRule="exact"/>
              <w:jc w:val="left"/>
              <w:rPr>
                <w:rFonts w:ascii="宋体" w:hAnsi="宋体" w:cs="宋体"/>
                <w:color w:val="auto"/>
                <w:sz w:val="24"/>
              </w:rPr>
            </w:pPr>
          </w:p>
        </w:tc>
      </w:tr>
      <w:tr w14:paraId="6D088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6BF0EB2">
            <w:pPr>
              <w:spacing w:line="340" w:lineRule="exact"/>
              <w:jc w:val="center"/>
              <w:rPr>
                <w:rFonts w:ascii="宋体" w:hAnsi="宋体" w:cs="宋体"/>
                <w:color w:val="auto"/>
                <w:sz w:val="24"/>
              </w:rPr>
            </w:pPr>
            <w:r>
              <w:rPr>
                <w:rFonts w:hint="eastAsia" w:ascii="宋体" w:hAnsi="宋体" w:cs="宋体"/>
                <w:color w:val="auto"/>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5EC1F885">
            <w:pPr>
              <w:spacing w:line="340" w:lineRule="exact"/>
              <w:jc w:val="left"/>
              <w:rPr>
                <w:rFonts w:ascii="宋体" w:hAnsi="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11A74DD">
            <w:pPr>
              <w:spacing w:line="340" w:lineRule="exact"/>
              <w:jc w:val="left"/>
              <w:rPr>
                <w:rFonts w:ascii="宋体" w:hAnsi="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159F67F">
            <w:pPr>
              <w:spacing w:line="340" w:lineRule="exact"/>
              <w:jc w:val="left"/>
              <w:rPr>
                <w:rFonts w:ascii="宋体" w:hAnsi="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3B881645">
            <w:pPr>
              <w:spacing w:line="340" w:lineRule="exact"/>
              <w:jc w:val="left"/>
              <w:rPr>
                <w:rFonts w:ascii="宋体" w:hAnsi="宋体" w:cs="宋体"/>
                <w:color w:val="auto"/>
                <w:sz w:val="24"/>
              </w:rPr>
            </w:pPr>
          </w:p>
        </w:tc>
      </w:tr>
      <w:tr w14:paraId="268F6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BD09B47">
            <w:pPr>
              <w:spacing w:line="340" w:lineRule="exact"/>
              <w:jc w:val="center"/>
              <w:rPr>
                <w:rFonts w:ascii="宋体" w:hAnsi="宋体" w:cs="宋体"/>
                <w:color w:val="auto"/>
                <w:sz w:val="24"/>
              </w:rPr>
            </w:pPr>
            <w:r>
              <w:rPr>
                <w:rFonts w:hint="eastAsia" w:ascii="宋体" w:hAnsi="宋体" w:cs="宋体"/>
                <w:color w:val="auto"/>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4AB16CF1">
            <w:pPr>
              <w:spacing w:line="340" w:lineRule="exact"/>
              <w:jc w:val="left"/>
              <w:rPr>
                <w:rFonts w:ascii="宋体" w:hAnsi="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2F3547B">
            <w:pPr>
              <w:spacing w:line="340" w:lineRule="exact"/>
              <w:jc w:val="left"/>
              <w:rPr>
                <w:rFonts w:ascii="宋体" w:hAnsi="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61F5E81">
            <w:pPr>
              <w:spacing w:line="340" w:lineRule="exact"/>
              <w:jc w:val="left"/>
              <w:rPr>
                <w:rFonts w:ascii="宋体" w:hAnsi="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36CEC4C6">
            <w:pPr>
              <w:spacing w:line="340" w:lineRule="exact"/>
              <w:jc w:val="left"/>
              <w:rPr>
                <w:rFonts w:ascii="宋体" w:hAnsi="宋体" w:cs="宋体"/>
                <w:color w:val="auto"/>
                <w:sz w:val="24"/>
              </w:rPr>
            </w:pPr>
          </w:p>
        </w:tc>
      </w:tr>
      <w:tr w14:paraId="55C82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979FF43">
            <w:pPr>
              <w:spacing w:line="340" w:lineRule="exact"/>
              <w:jc w:val="center"/>
              <w:rPr>
                <w:rFonts w:ascii="宋体" w:hAnsi="宋体" w:cs="宋体"/>
                <w:color w:val="auto"/>
                <w:sz w:val="24"/>
              </w:rPr>
            </w:pPr>
            <w:r>
              <w:rPr>
                <w:rFonts w:hint="eastAsia" w:ascii="宋体" w:hAnsi="宋体" w:cs="宋体"/>
                <w:color w:val="auto"/>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4AB3B569">
            <w:pPr>
              <w:spacing w:line="340" w:lineRule="exact"/>
              <w:jc w:val="left"/>
              <w:rPr>
                <w:rFonts w:ascii="宋体" w:hAnsi="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130A045">
            <w:pPr>
              <w:spacing w:line="340" w:lineRule="exact"/>
              <w:jc w:val="left"/>
              <w:rPr>
                <w:rFonts w:ascii="宋体" w:hAnsi="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23BBDB7">
            <w:pPr>
              <w:spacing w:line="340" w:lineRule="exact"/>
              <w:jc w:val="left"/>
              <w:rPr>
                <w:rFonts w:ascii="宋体" w:hAnsi="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1DE34CCE">
            <w:pPr>
              <w:spacing w:line="340" w:lineRule="exact"/>
              <w:jc w:val="left"/>
              <w:rPr>
                <w:rFonts w:ascii="宋体" w:hAnsi="宋体" w:cs="宋体"/>
                <w:color w:val="auto"/>
                <w:sz w:val="24"/>
              </w:rPr>
            </w:pPr>
          </w:p>
        </w:tc>
      </w:tr>
    </w:tbl>
    <w:p w14:paraId="77CE9E52">
      <w:pPr>
        <w:snapToGrid w:val="0"/>
        <w:spacing w:line="300" w:lineRule="auto"/>
        <w:contextualSpacing/>
        <w:rPr>
          <w:rFonts w:ascii="宋体" w:hAnsi="宋体" w:cs="宋体"/>
          <w:b/>
          <w:color w:val="auto"/>
          <w:sz w:val="24"/>
        </w:rPr>
      </w:pPr>
      <w:r>
        <w:rPr>
          <w:rFonts w:hint="eastAsia" w:ascii="宋体" w:hAnsi="宋体" w:cs="宋体"/>
          <w:b/>
          <w:color w:val="auto"/>
          <w:sz w:val="24"/>
        </w:rPr>
        <w:t>注：</w:t>
      </w:r>
    </w:p>
    <w:p w14:paraId="0D275B87">
      <w:pPr>
        <w:snapToGrid w:val="0"/>
        <w:spacing w:line="300" w:lineRule="auto"/>
        <w:ind w:firstLine="480" w:firstLineChars="200"/>
        <w:contextualSpacing/>
        <w:rPr>
          <w:rFonts w:ascii="宋体" w:hAnsi="宋体" w:cs="宋体"/>
          <w:color w:val="auto"/>
          <w:sz w:val="24"/>
        </w:rPr>
      </w:pPr>
      <w:r>
        <w:rPr>
          <w:rFonts w:hint="eastAsia" w:ascii="宋体" w:hAnsi="宋体" w:cs="宋体"/>
          <w:color w:val="auto"/>
          <w:sz w:val="24"/>
        </w:rPr>
        <w:t>1.供应商提交的响应文件中与招标文件第三部分“项目需求”中的商务部分的要求，应逐条填列在偏离表中。</w:t>
      </w:r>
    </w:p>
    <w:p w14:paraId="45D09E7D">
      <w:pPr>
        <w:snapToGrid w:val="0"/>
        <w:spacing w:line="300" w:lineRule="auto"/>
        <w:ind w:firstLine="480" w:firstLineChars="200"/>
        <w:contextualSpacing/>
        <w:rPr>
          <w:rFonts w:ascii="宋体" w:hAnsi="宋体" w:cs="宋体"/>
          <w:bCs/>
          <w:color w:val="auto"/>
          <w:sz w:val="24"/>
        </w:rPr>
      </w:pPr>
      <w:r>
        <w:rPr>
          <w:rFonts w:hint="eastAsia" w:ascii="宋体" w:hAnsi="宋体" w:cs="宋体"/>
          <w:color w:val="auto"/>
          <w:sz w:val="24"/>
        </w:rPr>
        <w:t>2.“偏离说明”一栏选择“正偏离”、“负偏离”、“无偏离”进行填写。正</w:t>
      </w:r>
      <w:r>
        <w:rPr>
          <w:rFonts w:hint="eastAsia" w:ascii="宋体" w:hAnsi="宋体" w:cs="宋体"/>
          <w:bCs/>
          <w:color w:val="auto"/>
          <w:sz w:val="24"/>
        </w:rPr>
        <w:t>偏离、负偏离、无偏离的确认，由评标小组认定。</w:t>
      </w:r>
    </w:p>
    <w:p w14:paraId="2FA0CAC6">
      <w:pPr>
        <w:snapToGrid w:val="0"/>
        <w:spacing w:line="300" w:lineRule="auto"/>
        <w:ind w:firstLine="480" w:firstLineChars="200"/>
        <w:contextualSpacing/>
        <w:rPr>
          <w:rFonts w:ascii="宋体" w:hAnsi="宋体" w:cs="宋体"/>
          <w:bCs/>
          <w:color w:val="auto"/>
          <w:sz w:val="24"/>
        </w:rPr>
      </w:pPr>
      <w:r>
        <w:rPr>
          <w:rFonts w:hint="eastAsia" w:ascii="宋体" w:hAnsi="宋体" w:cs="宋体"/>
          <w:bCs/>
          <w:color w:val="auto"/>
          <w:sz w:val="24"/>
        </w:rPr>
        <w:t>3.供应商若提供其他增值服务，可以在表中自行据实填写。</w:t>
      </w:r>
    </w:p>
    <w:p w14:paraId="629848F6">
      <w:pPr>
        <w:snapToGrid w:val="0"/>
        <w:spacing w:line="300" w:lineRule="auto"/>
        <w:ind w:firstLine="480" w:firstLineChars="200"/>
        <w:contextualSpacing/>
        <w:rPr>
          <w:rFonts w:ascii="宋体" w:hAnsi="宋体" w:cs="宋体"/>
          <w:color w:val="auto"/>
          <w:sz w:val="28"/>
          <w:szCs w:val="28"/>
        </w:rPr>
      </w:pPr>
      <w:r>
        <w:rPr>
          <w:rFonts w:hint="eastAsia" w:ascii="宋体" w:hAnsi="宋体" w:cs="宋体"/>
          <w:bCs/>
          <w:color w:val="auto"/>
          <w:sz w:val="24"/>
        </w:rPr>
        <w:t>4.若完全响应本项目需求且无偏离，投标时本表可空白盖章提供。</w:t>
      </w:r>
    </w:p>
    <w:p w14:paraId="3F410723">
      <w:pPr>
        <w:snapToGrid w:val="0"/>
        <w:spacing w:line="300" w:lineRule="auto"/>
        <w:ind w:firstLine="480" w:firstLineChars="200"/>
        <w:contextualSpacing/>
        <w:rPr>
          <w:rFonts w:ascii="宋体" w:hAnsi="宋体" w:cs="宋体"/>
          <w:bCs/>
          <w:color w:val="auto"/>
          <w:sz w:val="24"/>
        </w:rPr>
      </w:pPr>
    </w:p>
    <w:p w14:paraId="28C871FA">
      <w:pPr>
        <w:snapToGrid w:val="0"/>
        <w:spacing w:line="400" w:lineRule="exact"/>
        <w:ind w:firstLine="540" w:firstLineChars="192"/>
        <w:contextualSpacing/>
        <w:rPr>
          <w:rFonts w:ascii="宋体" w:hAnsi="宋体" w:cs="宋体"/>
          <w:b/>
          <w:color w:val="auto"/>
          <w:kern w:val="0"/>
          <w:sz w:val="28"/>
          <w:szCs w:val="28"/>
        </w:rPr>
      </w:pPr>
    </w:p>
    <w:p w14:paraId="162D7212">
      <w:pPr>
        <w:snapToGrid w:val="0"/>
        <w:spacing w:line="400" w:lineRule="exact"/>
        <w:ind w:firstLine="540" w:firstLineChars="192"/>
        <w:contextualSpacing/>
        <w:rPr>
          <w:rFonts w:ascii="宋体" w:hAnsi="宋体" w:cs="宋体"/>
          <w:b/>
          <w:color w:val="auto"/>
          <w:kern w:val="0"/>
          <w:sz w:val="28"/>
          <w:szCs w:val="28"/>
        </w:rPr>
      </w:pPr>
    </w:p>
    <w:p w14:paraId="0A215D62">
      <w:pPr>
        <w:snapToGrid w:val="0"/>
        <w:spacing w:line="400" w:lineRule="exact"/>
        <w:ind w:firstLine="540" w:firstLineChars="192"/>
        <w:contextualSpacing/>
        <w:rPr>
          <w:rFonts w:ascii="宋体" w:hAnsi="宋体" w:cs="宋体"/>
          <w:b/>
          <w:color w:val="auto"/>
          <w:kern w:val="0"/>
          <w:sz w:val="28"/>
          <w:szCs w:val="28"/>
        </w:rPr>
      </w:pPr>
    </w:p>
    <w:p w14:paraId="221095B4">
      <w:pPr>
        <w:snapToGrid w:val="0"/>
        <w:spacing w:line="400" w:lineRule="exact"/>
        <w:ind w:firstLine="540" w:firstLineChars="192"/>
        <w:contextualSpacing/>
        <w:rPr>
          <w:rFonts w:ascii="宋体" w:hAnsi="宋体" w:cs="宋体"/>
          <w:b/>
          <w:color w:val="auto"/>
          <w:kern w:val="0"/>
          <w:sz w:val="28"/>
          <w:szCs w:val="28"/>
        </w:rPr>
      </w:pPr>
    </w:p>
    <w:p w14:paraId="2E2C4F8F">
      <w:pPr>
        <w:snapToGrid w:val="0"/>
        <w:spacing w:line="400" w:lineRule="exact"/>
        <w:ind w:firstLine="540" w:firstLineChars="192"/>
        <w:contextualSpacing/>
        <w:rPr>
          <w:rFonts w:ascii="宋体" w:hAnsi="宋体" w:cs="宋体"/>
          <w:b/>
          <w:color w:val="auto"/>
          <w:kern w:val="0"/>
          <w:sz w:val="28"/>
          <w:szCs w:val="28"/>
        </w:rPr>
      </w:pPr>
    </w:p>
    <w:p w14:paraId="0C721163">
      <w:pPr>
        <w:snapToGrid w:val="0"/>
        <w:spacing w:line="400" w:lineRule="exact"/>
        <w:ind w:firstLine="540" w:firstLineChars="192"/>
        <w:contextualSpacing/>
        <w:rPr>
          <w:rFonts w:ascii="宋体" w:hAnsi="宋体" w:cs="宋体"/>
          <w:b/>
          <w:color w:val="auto"/>
          <w:kern w:val="0"/>
          <w:sz w:val="28"/>
          <w:szCs w:val="28"/>
        </w:rPr>
      </w:pPr>
    </w:p>
    <w:p w14:paraId="183CABA9">
      <w:pPr>
        <w:snapToGrid w:val="0"/>
        <w:spacing w:line="400" w:lineRule="exact"/>
        <w:ind w:firstLine="540" w:firstLineChars="192"/>
        <w:contextualSpacing/>
        <w:rPr>
          <w:rFonts w:ascii="宋体" w:hAnsi="宋体" w:cs="宋体"/>
          <w:b/>
          <w:color w:val="auto"/>
          <w:kern w:val="0"/>
          <w:sz w:val="28"/>
          <w:szCs w:val="28"/>
        </w:rPr>
      </w:pPr>
    </w:p>
    <w:p w14:paraId="462DD785">
      <w:pPr>
        <w:snapToGrid w:val="0"/>
        <w:spacing w:line="400" w:lineRule="exact"/>
        <w:ind w:firstLine="540" w:firstLineChars="192"/>
        <w:contextualSpacing/>
        <w:rPr>
          <w:rFonts w:ascii="宋体" w:hAnsi="宋体" w:cs="宋体"/>
          <w:b/>
          <w:color w:val="auto"/>
          <w:kern w:val="0"/>
          <w:sz w:val="28"/>
          <w:szCs w:val="28"/>
        </w:rPr>
      </w:pPr>
    </w:p>
    <w:p w14:paraId="0572A9CC">
      <w:pPr>
        <w:snapToGrid w:val="0"/>
        <w:spacing w:line="400" w:lineRule="exact"/>
        <w:ind w:firstLine="540" w:firstLineChars="192"/>
        <w:contextualSpacing/>
        <w:rPr>
          <w:rFonts w:ascii="宋体" w:hAnsi="宋体" w:cs="宋体"/>
          <w:b/>
          <w:color w:val="auto"/>
          <w:kern w:val="0"/>
          <w:sz w:val="28"/>
          <w:szCs w:val="28"/>
        </w:rPr>
      </w:pPr>
    </w:p>
    <w:p w14:paraId="4711F3F9">
      <w:pPr>
        <w:snapToGrid w:val="0"/>
        <w:spacing w:line="400" w:lineRule="exact"/>
        <w:ind w:firstLine="540" w:firstLineChars="192"/>
        <w:contextualSpacing/>
        <w:rPr>
          <w:rFonts w:ascii="宋体" w:hAnsi="宋体" w:cs="宋体"/>
          <w:b/>
          <w:color w:val="auto"/>
          <w:kern w:val="0"/>
          <w:sz w:val="28"/>
          <w:szCs w:val="28"/>
        </w:rPr>
      </w:pPr>
    </w:p>
    <w:p w14:paraId="5AE7C59A">
      <w:pPr>
        <w:snapToGrid w:val="0"/>
        <w:spacing w:line="400" w:lineRule="exact"/>
        <w:ind w:firstLine="540" w:firstLineChars="192"/>
        <w:contextualSpacing/>
        <w:rPr>
          <w:rFonts w:ascii="宋体" w:hAnsi="宋体" w:cs="宋体"/>
          <w:b/>
          <w:color w:val="auto"/>
          <w:kern w:val="0"/>
          <w:sz w:val="28"/>
          <w:szCs w:val="28"/>
        </w:rPr>
      </w:pPr>
    </w:p>
    <w:p w14:paraId="2F8672F2">
      <w:pPr>
        <w:snapToGrid w:val="0"/>
        <w:spacing w:line="400" w:lineRule="exact"/>
        <w:ind w:firstLine="540" w:firstLineChars="192"/>
        <w:contextualSpacing/>
        <w:rPr>
          <w:rFonts w:ascii="宋体" w:hAnsi="宋体" w:cs="宋体"/>
          <w:b/>
          <w:color w:val="auto"/>
          <w:kern w:val="0"/>
          <w:sz w:val="28"/>
          <w:szCs w:val="28"/>
        </w:rPr>
      </w:pPr>
    </w:p>
    <w:p w14:paraId="52D0E597">
      <w:pPr>
        <w:snapToGrid w:val="0"/>
        <w:spacing w:line="400" w:lineRule="exact"/>
        <w:ind w:firstLine="540" w:firstLineChars="192"/>
        <w:contextualSpacing/>
        <w:rPr>
          <w:rFonts w:ascii="宋体" w:hAnsi="宋体" w:cs="宋体"/>
          <w:b/>
          <w:color w:val="auto"/>
          <w:kern w:val="0"/>
          <w:sz w:val="28"/>
          <w:szCs w:val="28"/>
        </w:rPr>
      </w:pPr>
    </w:p>
    <w:p w14:paraId="0A818BD3">
      <w:pPr>
        <w:snapToGrid w:val="0"/>
        <w:spacing w:line="400" w:lineRule="exact"/>
        <w:ind w:firstLine="540" w:firstLineChars="192"/>
        <w:contextualSpacing/>
        <w:rPr>
          <w:rFonts w:ascii="宋体" w:hAnsi="宋体" w:cs="宋体"/>
          <w:b/>
          <w:color w:val="auto"/>
          <w:kern w:val="0"/>
          <w:sz w:val="28"/>
          <w:szCs w:val="28"/>
        </w:rPr>
      </w:pPr>
    </w:p>
    <w:p w14:paraId="6BA35EC6">
      <w:pPr>
        <w:snapToGrid w:val="0"/>
        <w:spacing w:line="400" w:lineRule="exact"/>
        <w:contextualSpacing/>
        <w:rPr>
          <w:rFonts w:ascii="宋体" w:hAnsi="宋体" w:cs="宋体"/>
          <w:color w:val="auto"/>
          <w:kern w:val="0"/>
          <w:sz w:val="28"/>
          <w:szCs w:val="28"/>
        </w:rPr>
      </w:pPr>
    </w:p>
    <w:p w14:paraId="33888FF2">
      <w:pPr>
        <w:snapToGrid w:val="0"/>
        <w:spacing w:line="300" w:lineRule="auto"/>
        <w:contextualSpacing/>
        <w:rPr>
          <w:rFonts w:ascii="宋体" w:hAnsi="宋体" w:cs="宋体"/>
          <w:color w:val="auto"/>
          <w:sz w:val="32"/>
          <w:szCs w:val="32"/>
        </w:rPr>
      </w:pPr>
      <w:r>
        <w:rPr>
          <w:rFonts w:hint="eastAsia" w:ascii="宋体" w:hAnsi="宋体" w:cs="宋体"/>
          <w:color w:val="auto"/>
          <w:sz w:val="32"/>
          <w:szCs w:val="32"/>
        </w:rPr>
        <w:t>附件8</w:t>
      </w:r>
    </w:p>
    <w:p w14:paraId="66159E96">
      <w:pPr>
        <w:snapToGrid w:val="0"/>
        <w:spacing w:line="300" w:lineRule="auto"/>
        <w:contextualSpacing/>
        <w:jc w:val="center"/>
        <w:rPr>
          <w:rFonts w:ascii="宋体" w:hAnsi="宋体" w:cs="宋体"/>
          <w:b/>
          <w:color w:val="auto"/>
          <w:sz w:val="32"/>
          <w:szCs w:val="32"/>
        </w:rPr>
      </w:pPr>
      <w:r>
        <w:rPr>
          <w:rFonts w:hint="eastAsia" w:ascii="宋体" w:hAnsi="宋体" w:cs="宋体"/>
          <w:b/>
          <w:color w:val="auto"/>
          <w:sz w:val="32"/>
          <w:szCs w:val="32"/>
        </w:rPr>
        <w:t>技术部分正负偏离表</w:t>
      </w:r>
    </w:p>
    <w:p w14:paraId="5EDE40A3">
      <w:pPr>
        <w:ind w:firstLine="560" w:firstLineChars="200"/>
        <w:jc w:val="center"/>
        <w:rPr>
          <w:rFonts w:ascii="宋体" w:hAnsi="宋体" w:cs="宋体"/>
          <w:color w:val="auto"/>
          <w:sz w:val="28"/>
          <w:szCs w:val="28"/>
        </w:rPr>
      </w:pPr>
      <w:r>
        <w:rPr>
          <w:rFonts w:hint="eastAsia" w:ascii="宋体" w:hAnsi="宋体" w:cs="宋体"/>
          <w:color w:val="auto"/>
          <w:sz w:val="28"/>
          <w:szCs w:val="28"/>
        </w:rPr>
        <w:t>（由供应商据实填写，表格不够自行添加）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9"/>
        <w:gridCol w:w="2151"/>
        <w:gridCol w:w="1878"/>
        <w:gridCol w:w="2424"/>
        <w:gridCol w:w="1334"/>
      </w:tblGrid>
      <w:tr w14:paraId="10589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5419F51">
            <w:pPr>
              <w:spacing w:line="340" w:lineRule="exact"/>
              <w:jc w:val="center"/>
              <w:rPr>
                <w:rFonts w:ascii="宋体" w:hAnsi="宋体" w:cs="宋体"/>
                <w:color w:val="auto"/>
                <w:sz w:val="24"/>
              </w:rPr>
            </w:pPr>
            <w:r>
              <w:rPr>
                <w:rFonts w:hint="eastAsia" w:ascii="宋体" w:hAnsi="宋体" w:cs="宋体"/>
                <w:color w:val="auto"/>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A45886F">
            <w:pPr>
              <w:spacing w:line="340" w:lineRule="exact"/>
              <w:jc w:val="center"/>
              <w:rPr>
                <w:rFonts w:ascii="宋体" w:hAnsi="宋体" w:cs="宋体"/>
                <w:color w:val="auto"/>
                <w:sz w:val="24"/>
              </w:rPr>
            </w:pPr>
            <w:r>
              <w:rPr>
                <w:rFonts w:hint="eastAsia" w:ascii="宋体" w:hAnsi="宋体" w:cs="宋体"/>
                <w:color w:val="auto"/>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D340A40">
            <w:pPr>
              <w:spacing w:line="340" w:lineRule="exact"/>
              <w:jc w:val="center"/>
              <w:rPr>
                <w:rFonts w:ascii="宋体" w:hAnsi="宋体" w:cs="宋体"/>
                <w:color w:val="auto"/>
                <w:sz w:val="24"/>
              </w:rPr>
            </w:pPr>
            <w:r>
              <w:rPr>
                <w:rFonts w:hint="eastAsia" w:ascii="宋体" w:hAnsi="宋体" w:cs="宋体"/>
                <w:color w:val="auto"/>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78F1551D">
            <w:pPr>
              <w:spacing w:line="340" w:lineRule="exact"/>
              <w:jc w:val="center"/>
              <w:rPr>
                <w:rFonts w:ascii="宋体" w:hAnsi="宋体" w:cs="宋体"/>
                <w:color w:val="auto"/>
                <w:sz w:val="24"/>
              </w:rPr>
            </w:pPr>
            <w:r>
              <w:rPr>
                <w:rFonts w:hint="eastAsia" w:ascii="宋体" w:hAnsi="宋体" w:cs="宋体"/>
                <w:color w:val="auto"/>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801ABB6">
            <w:pPr>
              <w:spacing w:line="340" w:lineRule="exact"/>
              <w:jc w:val="center"/>
              <w:rPr>
                <w:rFonts w:ascii="宋体" w:hAnsi="宋体" w:cs="宋体"/>
                <w:color w:val="auto"/>
                <w:sz w:val="24"/>
              </w:rPr>
            </w:pPr>
          </w:p>
          <w:p w14:paraId="2E2D82C5">
            <w:pPr>
              <w:spacing w:line="340" w:lineRule="exact"/>
              <w:jc w:val="center"/>
              <w:rPr>
                <w:rFonts w:ascii="宋体" w:hAnsi="宋体" w:cs="宋体"/>
                <w:color w:val="auto"/>
                <w:sz w:val="24"/>
              </w:rPr>
            </w:pPr>
            <w:r>
              <w:rPr>
                <w:rFonts w:hint="eastAsia" w:ascii="宋体" w:hAnsi="宋体" w:cs="宋体"/>
                <w:color w:val="auto"/>
                <w:sz w:val="24"/>
              </w:rPr>
              <w:t>偏离说明</w:t>
            </w:r>
          </w:p>
        </w:tc>
      </w:tr>
      <w:tr w14:paraId="3E053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7086BD2">
            <w:pPr>
              <w:spacing w:line="340" w:lineRule="exact"/>
              <w:jc w:val="center"/>
              <w:rPr>
                <w:rFonts w:ascii="宋体" w:hAnsi="宋体" w:cs="宋体"/>
                <w:color w:val="auto"/>
                <w:sz w:val="24"/>
              </w:rPr>
            </w:pPr>
            <w:r>
              <w:rPr>
                <w:rFonts w:hint="eastAsia" w:ascii="宋体" w:hAnsi="宋体" w:cs="宋体"/>
                <w:color w:val="auto"/>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6EA7A2F3">
            <w:pPr>
              <w:spacing w:line="340" w:lineRule="exact"/>
              <w:jc w:val="left"/>
              <w:rPr>
                <w:rFonts w:ascii="宋体" w:hAnsi="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333B800">
            <w:pPr>
              <w:spacing w:line="340" w:lineRule="exact"/>
              <w:jc w:val="left"/>
              <w:rPr>
                <w:rFonts w:ascii="宋体" w:hAnsi="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C0E561A">
            <w:pPr>
              <w:spacing w:line="340" w:lineRule="exact"/>
              <w:jc w:val="left"/>
              <w:rPr>
                <w:rFonts w:ascii="宋体" w:hAnsi="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101835A6">
            <w:pPr>
              <w:spacing w:line="340" w:lineRule="exact"/>
              <w:jc w:val="left"/>
              <w:rPr>
                <w:rFonts w:ascii="宋体" w:hAnsi="宋体" w:cs="宋体"/>
                <w:color w:val="auto"/>
                <w:sz w:val="24"/>
              </w:rPr>
            </w:pPr>
          </w:p>
        </w:tc>
      </w:tr>
      <w:tr w14:paraId="10EFE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7153D43">
            <w:pPr>
              <w:spacing w:line="340" w:lineRule="exact"/>
              <w:jc w:val="center"/>
              <w:rPr>
                <w:rFonts w:ascii="宋体" w:hAnsi="宋体" w:cs="宋体"/>
                <w:color w:val="auto"/>
                <w:sz w:val="24"/>
              </w:rPr>
            </w:pPr>
            <w:r>
              <w:rPr>
                <w:rFonts w:hint="eastAsia" w:ascii="宋体" w:hAnsi="宋体" w:cs="宋体"/>
                <w:color w:val="auto"/>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5F9FAF8A">
            <w:pPr>
              <w:spacing w:line="340" w:lineRule="exact"/>
              <w:jc w:val="left"/>
              <w:rPr>
                <w:rFonts w:ascii="宋体" w:hAnsi="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5127539">
            <w:pPr>
              <w:spacing w:line="340" w:lineRule="exact"/>
              <w:jc w:val="left"/>
              <w:rPr>
                <w:rFonts w:ascii="宋体" w:hAnsi="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C86793D">
            <w:pPr>
              <w:spacing w:line="340" w:lineRule="exact"/>
              <w:jc w:val="left"/>
              <w:rPr>
                <w:rFonts w:ascii="宋体" w:hAnsi="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30529E84">
            <w:pPr>
              <w:spacing w:line="340" w:lineRule="exact"/>
              <w:jc w:val="left"/>
              <w:rPr>
                <w:rFonts w:ascii="宋体" w:hAnsi="宋体" w:cs="宋体"/>
                <w:color w:val="auto"/>
                <w:sz w:val="24"/>
              </w:rPr>
            </w:pPr>
          </w:p>
        </w:tc>
      </w:tr>
      <w:tr w14:paraId="7E0C9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CAF2A9F">
            <w:pPr>
              <w:spacing w:line="340" w:lineRule="exact"/>
              <w:jc w:val="center"/>
              <w:rPr>
                <w:rFonts w:ascii="宋体" w:hAnsi="宋体" w:cs="宋体"/>
                <w:color w:val="auto"/>
                <w:sz w:val="24"/>
              </w:rPr>
            </w:pPr>
            <w:r>
              <w:rPr>
                <w:rFonts w:hint="eastAsia" w:ascii="宋体" w:hAnsi="宋体" w:cs="宋体"/>
                <w:color w:val="auto"/>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60B08F76">
            <w:pPr>
              <w:spacing w:line="340" w:lineRule="exact"/>
              <w:jc w:val="left"/>
              <w:rPr>
                <w:rFonts w:ascii="宋体" w:hAnsi="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BF57387">
            <w:pPr>
              <w:spacing w:line="340" w:lineRule="exact"/>
              <w:jc w:val="left"/>
              <w:rPr>
                <w:rFonts w:ascii="宋体" w:hAnsi="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A2B701F">
            <w:pPr>
              <w:spacing w:line="340" w:lineRule="exact"/>
              <w:jc w:val="left"/>
              <w:rPr>
                <w:rFonts w:ascii="宋体" w:hAnsi="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01925789">
            <w:pPr>
              <w:spacing w:line="340" w:lineRule="exact"/>
              <w:jc w:val="left"/>
              <w:rPr>
                <w:rFonts w:ascii="宋体" w:hAnsi="宋体" w:cs="宋体"/>
                <w:color w:val="auto"/>
                <w:sz w:val="24"/>
              </w:rPr>
            </w:pPr>
          </w:p>
        </w:tc>
      </w:tr>
      <w:tr w14:paraId="5B654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45D93D3">
            <w:pPr>
              <w:spacing w:line="340" w:lineRule="exact"/>
              <w:jc w:val="center"/>
              <w:rPr>
                <w:rFonts w:ascii="宋体" w:hAnsi="宋体" w:cs="宋体"/>
                <w:color w:val="auto"/>
                <w:sz w:val="24"/>
              </w:rPr>
            </w:pPr>
            <w:r>
              <w:rPr>
                <w:rFonts w:hint="eastAsia" w:ascii="宋体" w:hAnsi="宋体" w:cs="宋体"/>
                <w:color w:val="auto"/>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07341D60">
            <w:pPr>
              <w:spacing w:line="340" w:lineRule="exact"/>
              <w:jc w:val="left"/>
              <w:rPr>
                <w:rFonts w:ascii="宋体" w:hAnsi="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08348FF">
            <w:pPr>
              <w:spacing w:line="340" w:lineRule="exact"/>
              <w:jc w:val="left"/>
              <w:rPr>
                <w:rFonts w:ascii="宋体" w:hAnsi="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F42CD89">
            <w:pPr>
              <w:spacing w:line="340" w:lineRule="exact"/>
              <w:jc w:val="left"/>
              <w:rPr>
                <w:rFonts w:ascii="宋体" w:hAnsi="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114C50E9">
            <w:pPr>
              <w:spacing w:line="340" w:lineRule="exact"/>
              <w:jc w:val="left"/>
              <w:rPr>
                <w:rFonts w:ascii="宋体" w:hAnsi="宋体" w:cs="宋体"/>
                <w:color w:val="auto"/>
                <w:sz w:val="24"/>
              </w:rPr>
            </w:pPr>
          </w:p>
        </w:tc>
      </w:tr>
    </w:tbl>
    <w:p w14:paraId="7B49FD75">
      <w:pPr>
        <w:snapToGrid w:val="0"/>
        <w:spacing w:line="300" w:lineRule="auto"/>
        <w:contextualSpacing/>
        <w:rPr>
          <w:rFonts w:ascii="宋体" w:hAnsi="宋体" w:cs="宋体"/>
          <w:b/>
          <w:color w:val="auto"/>
          <w:sz w:val="24"/>
        </w:rPr>
      </w:pPr>
      <w:r>
        <w:rPr>
          <w:rFonts w:hint="eastAsia" w:ascii="宋体" w:hAnsi="宋体" w:cs="宋体"/>
          <w:b/>
          <w:color w:val="auto"/>
          <w:sz w:val="24"/>
        </w:rPr>
        <w:t>注：</w:t>
      </w:r>
    </w:p>
    <w:p w14:paraId="050A804B">
      <w:pPr>
        <w:snapToGrid w:val="0"/>
        <w:spacing w:line="300" w:lineRule="auto"/>
        <w:ind w:firstLine="480" w:firstLineChars="200"/>
        <w:contextualSpacing/>
        <w:rPr>
          <w:rFonts w:ascii="宋体" w:hAnsi="宋体" w:cs="宋体"/>
          <w:color w:val="auto"/>
          <w:sz w:val="24"/>
        </w:rPr>
      </w:pPr>
      <w:r>
        <w:rPr>
          <w:rFonts w:hint="eastAsia" w:ascii="宋体" w:hAnsi="宋体" w:cs="宋体"/>
          <w:color w:val="auto"/>
          <w:sz w:val="24"/>
        </w:rPr>
        <w:t>1.供应商提交的响应文件中与招标文件第三部分“项目需求”中的技术部分的要求，应逐条填列在偏离表中。</w:t>
      </w:r>
    </w:p>
    <w:p w14:paraId="3C96FFB8">
      <w:pPr>
        <w:snapToGrid w:val="0"/>
        <w:spacing w:line="300" w:lineRule="auto"/>
        <w:ind w:firstLine="480" w:firstLineChars="200"/>
        <w:contextualSpacing/>
        <w:rPr>
          <w:rFonts w:ascii="宋体" w:hAnsi="宋体" w:cs="宋体"/>
          <w:color w:val="auto"/>
          <w:sz w:val="24"/>
        </w:rPr>
      </w:pPr>
      <w:r>
        <w:rPr>
          <w:rFonts w:hint="eastAsia" w:ascii="宋体" w:hAnsi="宋体" w:cs="宋体"/>
          <w:color w:val="auto"/>
          <w:sz w:val="24"/>
        </w:rPr>
        <w:t>2.“偏离说明”一栏选择“正偏离”、“负偏离”、“无偏离”进行填写。正偏离、负偏离、无偏离的确认，由评标小组认定。</w:t>
      </w:r>
    </w:p>
    <w:p w14:paraId="47898B6D">
      <w:pPr>
        <w:snapToGrid w:val="0"/>
        <w:spacing w:line="300" w:lineRule="auto"/>
        <w:ind w:firstLine="480" w:firstLineChars="200"/>
        <w:contextualSpacing/>
        <w:rPr>
          <w:rFonts w:ascii="宋体" w:hAnsi="宋体" w:cs="宋体"/>
          <w:bCs/>
          <w:color w:val="auto"/>
          <w:sz w:val="24"/>
        </w:rPr>
      </w:pPr>
      <w:r>
        <w:rPr>
          <w:rFonts w:hint="eastAsia" w:ascii="宋体" w:hAnsi="宋体" w:cs="宋体"/>
          <w:bCs/>
          <w:color w:val="auto"/>
          <w:sz w:val="24"/>
        </w:rPr>
        <w:t>3.供应商若提供其他增值服务，可以在表中自行据实填写。</w:t>
      </w:r>
    </w:p>
    <w:p w14:paraId="61B6D51B">
      <w:pPr>
        <w:snapToGrid w:val="0"/>
        <w:spacing w:line="300" w:lineRule="auto"/>
        <w:ind w:firstLine="480" w:firstLineChars="200"/>
        <w:contextualSpacing/>
        <w:rPr>
          <w:rFonts w:ascii="宋体" w:hAnsi="宋体" w:cs="宋体"/>
          <w:bCs/>
          <w:color w:val="auto"/>
          <w:sz w:val="24"/>
        </w:rPr>
        <w:sectPr>
          <w:headerReference r:id="rId5" w:type="default"/>
          <w:pgSz w:w="11906" w:h="16838"/>
          <w:pgMar w:top="1440" w:right="1800" w:bottom="1440" w:left="1746" w:header="851" w:footer="992" w:gutter="0"/>
          <w:cols w:space="720" w:num="1"/>
          <w:docGrid w:type="lines" w:linePitch="312" w:charSpace="0"/>
        </w:sectPr>
      </w:pPr>
    </w:p>
    <w:p w14:paraId="1A7410EC">
      <w:pPr>
        <w:pStyle w:val="71"/>
        <w:ind w:left="0"/>
        <w:rPr>
          <w:rFonts w:ascii="宋体" w:hAnsi="宋体" w:cs="宋体"/>
          <w:color w:val="auto"/>
          <w:sz w:val="32"/>
          <w:szCs w:val="32"/>
          <w:lang w:eastAsia="zh-CN"/>
        </w:rPr>
      </w:pPr>
      <w:r>
        <w:rPr>
          <w:rFonts w:hint="eastAsia" w:ascii="宋体" w:hAnsi="宋体" w:cs="宋体"/>
          <w:color w:val="auto"/>
          <w:sz w:val="32"/>
          <w:szCs w:val="32"/>
          <w:lang w:eastAsia="zh-CN"/>
        </w:rPr>
        <w:t>附件9</w:t>
      </w:r>
    </w:p>
    <w:p w14:paraId="6DE53AA4">
      <w:pPr>
        <w:pStyle w:val="71"/>
        <w:rPr>
          <w:rFonts w:ascii="宋体" w:hAnsi="宋体" w:cs="宋体"/>
          <w:color w:val="auto"/>
          <w:sz w:val="32"/>
          <w:szCs w:val="32"/>
        </w:rPr>
      </w:pPr>
    </w:p>
    <w:p w14:paraId="2B759CAE">
      <w:pPr>
        <w:pStyle w:val="71"/>
        <w:rPr>
          <w:rFonts w:ascii="宋体" w:hAnsi="宋体" w:cs="宋体"/>
          <w:color w:val="auto"/>
          <w:sz w:val="32"/>
          <w:szCs w:val="32"/>
        </w:rPr>
      </w:pPr>
    </w:p>
    <w:p w14:paraId="074D07DF">
      <w:pPr>
        <w:pStyle w:val="82"/>
        <w:snapToGrid w:val="0"/>
        <w:spacing w:line="300" w:lineRule="auto"/>
        <w:ind w:firstLine="643" w:firstLineChars="200"/>
        <w:jc w:val="center"/>
        <w:outlineLvl w:val="0"/>
        <w:rPr>
          <w:rFonts w:ascii="宋体" w:eastAsia="宋体" w:cs="宋体"/>
          <w:b/>
          <w:bCs/>
          <w:color w:val="auto"/>
          <w:sz w:val="32"/>
          <w:szCs w:val="32"/>
        </w:rPr>
      </w:pPr>
      <w:bookmarkStart w:id="104" w:name="_Toc23203"/>
      <w:r>
        <w:rPr>
          <w:rFonts w:hint="eastAsia" w:ascii="宋体" w:eastAsia="宋体" w:cs="宋体"/>
          <w:b/>
          <w:bCs/>
          <w:color w:val="auto"/>
          <w:sz w:val="32"/>
          <w:szCs w:val="32"/>
        </w:rPr>
        <w:t>价格标响应文件</w:t>
      </w:r>
      <w:bookmarkEnd w:id="104"/>
    </w:p>
    <w:tbl>
      <w:tblPr>
        <w:tblStyle w:val="36"/>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21D83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526AFA93">
            <w:pPr>
              <w:kinsoku w:val="0"/>
              <w:topLinePunct/>
              <w:spacing w:line="440" w:lineRule="exact"/>
              <w:jc w:val="center"/>
              <w:rPr>
                <w:rFonts w:ascii="宋体" w:hAnsi="宋体" w:cs="宋体"/>
                <w:color w:val="auto"/>
                <w:sz w:val="24"/>
              </w:rPr>
            </w:pPr>
            <w:r>
              <w:rPr>
                <w:rFonts w:hint="eastAsia" w:ascii="宋体" w:hAnsi="宋体" w:cs="宋体"/>
                <w:color w:val="auto"/>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72D775D2">
            <w:pPr>
              <w:kinsoku w:val="0"/>
              <w:topLinePunct/>
              <w:spacing w:line="440" w:lineRule="exact"/>
              <w:jc w:val="center"/>
              <w:rPr>
                <w:rFonts w:ascii="宋体" w:hAnsi="宋体" w:cs="宋体"/>
                <w:color w:val="auto"/>
                <w:sz w:val="24"/>
              </w:rPr>
            </w:pPr>
            <w:r>
              <w:rPr>
                <w:rFonts w:hint="eastAsia" w:ascii="宋体" w:hAnsi="宋体" w:cs="宋体"/>
                <w:color w:val="auto"/>
                <w:sz w:val="24"/>
              </w:rPr>
              <w:t>投标报价（元）</w:t>
            </w:r>
          </w:p>
        </w:tc>
        <w:tc>
          <w:tcPr>
            <w:tcW w:w="1990" w:type="dxa"/>
            <w:tcBorders>
              <w:top w:val="single" w:color="auto" w:sz="4" w:space="0"/>
              <w:left w:val="single" w:color="auto" w:sz="4" w:space="0"/>
              <w:bottom w:val="single" w:color="auto" w:sz="4" w:space="0"/>
              <w:right w:val="single" w:color="auto" w:sz="4" w:space="0"/>
            </w:tcBorders>
            <w:vAlign w:val="center"/>
          </w:tcPr>
          <w:p w14:paraId="4FC879F8">
            <w:pPr>
              <w:kinsoku w:val="0"/>
              <w:topLinePunct/>
              <w:spacing w:line="440" w:lineRule="exact"/>
              <w:jc w:val="center"/>
              <w:rPr>
                <w:rFonts w:ascii="宋体" w:hAnsi="宋体" w:cs="宋体"/>
                <w:color w:val="auto"/>
                <w:sz w:val="24"/>
              </w:rPr>
            </w:pPr>
            <w:r>
              <w:rPr>
                <w:rFonts w:hint="eastAsia" w:ascii="宋体" w:hAnsi="宋体" w:cs="宋体"/>
                <w:color w:val="auto"/>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658D0349">
            <w:pPr>
              <w:kinsoku w:val="0"/>
              <w:topLinePunct/>
              <w:spacing w:line="440" w:lineRule="exact"/>
              <w:jc w:val="center"/>
              <w:rPr>
                <w:rFonts w:ascii="宋体" w:hAnsi="宋体" w:cs="宋体"/>
                <w:color w:val="auto"/>
                <w:sz w:val="24"/>
              </w:rPr>
            </w:pPr>
            <w:r>
              <w:rPr>
                <w:rFonts w:hint="eastAsia" w:ascii="宋体" w:hAnsi="宋体" w:cs="宋体"/>
                <w:color w:val="auto"/>
                <w:sz w:val="24"/>
              </w:rPr>
              <w:t>付款方式</w:t>
            </w:r>
          </w:p>
        </w:tc>
      </w:tr>
      <w:tr w14:paraId="785CF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406556C2">
            <w:pPr>
              <w:kinsoku w:val="0"/>
              <w:topLinePunct/>
              <w:spacing w:line="440" w:lineRule="exact"/>
              <w:rPr>
                <w:rFonts w:ascii="宋体" w:hAnsi="宋体" w:cs="宋体"/>
                <w:b/>
                <w:bCs/>
                <w:color w:val="auto"/>
                <w:sz w:val="24"/>
              </w:rPr>
            </w:pPr>
            <w:r>
              <w:rPr>
                <w:rFonts w:hint="eastAsia" w:ascii="宋体" w:hAnsi="宋体" w:cs="宋体"/>
                <w:color w:val="auto"/>
                <w:sz w:val="24"/>
              </w:rPr>
              <w:t>江苏商贸职业学院校园一卡通超融合一体机采购项目</w:t>
            </w:r>
          </w:p>
        </w:tc>
        <w:tc>
          <w:tcPr>
            <w:tcW w:w="2400" w:type="dxa"/>
            <w:tcBorders>
              <w:top w:val="single" w:color="auto" w:sz="4" w:space="0"/>
              <w:left w:val="single" w:color="auto" w:sz="4" w:space="0"/>
              <w:bottom w:val="single" w:color="auto" w:sz="4" w:space="0"/>
              <w:right w:val="single" w:color="auto" w:sz="4" w:space="0"/>
            </w:tcBorders>
            <w:vAlign w:val="center"/>
          </w:tcPr>
          <w:p w14:paraId="1BDC9677">
            <w:pPr>
              <w:kinsoku w:val="0"/>
              <w:topLinePunct/>
              <w:spacing w:line="440" w:lineRule="exact"/>
              <w:ind w:left="960" w:hanging="960" w:hangingChars="400"/>
              <w:rPr>
                <w:rFonts w:ascii="宋体" w:hAnsi="宋体" w:cs="宋体"/>
                <w:color w:val="auto"/>
                <w:sz w:val="24"/>
                <w:u w:val="single"/>
              </w:rPr>
            </w:pPr>
            <w:r>
              <w:rPr>
                <w:rFonts w:hint="eastAsia" w:ascii="宋体" w:hAnsi="宋体" w:cs="宋体"/>
                <w:color w:val="auto"/>
                <w:sz w:val="24"/>
              </w:rPr>
              <w:t>大写：</w:t>
            </w:r>
            <w:r>
              <w:rPr>
                <w:rFonts w:hint="eastAsia" w:ascii="宋体" w:hAnsi="宋体" w:cs="宋体"/>
                <w:color w:val="auto"/>
                <w:sz w:val="24"/>
                <w:u w:val="single"/>
              </w:rPr>
              <w:t xml:space="preserve">     元</w:t>
            </w:r>
          </w:p>
          <w:p w14:paraId="38EBC371">
            <w:pPr>
              <w:pStyle w:val="72"/>
              <w:rPr>
                <w:rFonts w:ascii="宋体" w:hAnsi="宋体" w:cs="宋体"/>
                <w:color w:val="auto"/>
                <w:sz w:val="24"/>
                <w:szCs w:val="24"/>
              </w:rPr>
            </w:pPr>
            <w:r>
              <w:rPr>
                <w:rFonts w:hint="eastAsia" w:ascii="宋体" w:hAnsi="宋体" w:cs="宋体"/>
                <w:color w:val="auto"/>
                <w:sz w:val="24"/>
                <w:szCs w:val="24"/>
              </w:rPr>
              <w:t>小写：</w:t>
            </w:r>
            <w:r>
              <w:rPr>
                <w:rFonts w:hint="eastAsia" w:ascii="宋体" w:hAnsi="宋体" w:cs="宋体"/>
                <w:color w:val="auto"/>
                <w:sz w:val="24"/>
                <w:szCs w:val="24"/>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5CBD46C1">
            <w:pPr>
              <w:kinsoku w:val="0"/>
              <w:topLinePunct/>
              <w:spacing w:line="440" w:lineRule="exact"/>
              <w:rPr>
                <w:rFonts w:ascii="宋体" w:hAnsi="宋体" w:cs="宋体"/>
                <w:color w:val="auto"/>
                <w:sz w:val="24"/>
              </w:rPr>
            </w:pPr>
            <w:r>
              <w:rPr>
                <w:rFonts w:hint="eastAsia" w:ascii="宋体" w:hAnsi="宋体" w:cs="宋体"/>
                <w:color w:val="auto"/>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760012FC">
            <w:pPr>
              <w:kinsoku w:val="0"/>
              <w:topLinePunct/>
              <w:spacing w:line="440" w:lineRule="exact"/>
              <w:rPr>
                <w:rFonts w:ascii="宋体" w:hAnsi="宋体" w:cs="宋体"/>
                <w:color w:val="auto"/>
                <w:sz w:val="24"/>
              </w:rPr>
            </w:pPr>
            <w:r>
              <w:rPr>
                <w:rFonts w:hint="eastAsia" w:ascii="宋体" w:hAnsi="宋体" w:cs="宋体"/>
                <w:color w:val="auto"/>
                <w:sz w:val="24"/>
              </w:rPr>
              <w:t>完全响应招标文件要求的付款方式</w:t>
            </w:r>
          </w:p>
        </w:tc>
      </w:tr>
    </w:tbl>
    <w:p w14:paraId="6145D82A">
      <w:pPr>
        <w:widowControl/>
        <w:spacing w:line="440" w:lineRule="exact"/>
        <w:jc w:val="left"/>
        <w:rPr>
          <w:rFonts w:ascii="宋体" w:hAnsi="宋体" w:cs="宋体"/>
          <w:color w:val="auto"/>
          <w:kern w:val="0"/>
          <w:sz w:val="28"/>
          <w:szCs w:val="28"/>
        </w:rPr>
      </w:pPr>
    </w:p>
    <w:p w14:paraId="1E79F738">
      <w:pPr>
        <w:snapToGrid w:val="0"/>
        <w:spacing w:line="460" w:lineRule="exact"/>
        <w:ind w:firstLine="470" w:firstLineChars="196"/>
        <w:outlineLvl w:val="1"/>
        <w:rPr>
          <w:rFonts w:ascii="宋体" w:hAnsi="宋体" w:cs="宋体"/>
          <w:color w:val="auto"/>
          <w:kern w:val="0"/>
          <w:sz w:val="24"/>
        </w:rPr>
      </w:pPr>
      <w:r>
        <w:rPr>
          <w:rFonts w:hint="eastAsia" w:ascii="宋体" w:hAnsi="宋体" w:cs="宋体"/>
          <w:color w:val="auto"/>
          <w:kern w:val="0"/>
          <w:sz w:val="24"/>
        </w:rPr>
        <w:t>1.本表为格式表，不得自行改动，必须提供，否则视为未实质性响应招标文件。</w:t>
      </w:r>
    </w:p>
    <w:p w14:paraId="2804B1E8">
      <w:pPr>
        <w:snapToGrid w:val="0"/>
        <w:spacing w:line="460" w:lineRule="exact"/>
        <w:ind w:firstLine="470" w:firstLineChars="196"/>
        <w:outlineLvl w:val="1"/>
        <w:rPr>
          <w:rFonts w:ascii="宋体" w:hAnsi="宋体" w:cs="宋体"/>
          <w:color w:val="auto"/>
          <w:kern w:val="0"/>
          <w:sz w:val="24"/>
        </w:rPr>
      </w:pPr>
    </w:p>
    <w:p w14:paraId="496BC9ED">
      <w:pPr>
        <w:spacing w:line="480" w:lineRule="exact"/>
        <w:rPr>
          <w:rFonts w:ascii="宋体" w:hAnsi="宋体" w:cs="宋体"/>
          <w:color w:val="auto"/>
          <w:kern w:val="0"/>
          <w:sz w:val="24"/>
        </w:rPr>
      </w:pPr>
    </w:p>
    <w:p w14:paraId="72E5807E">
      <w:pPr>
        <w:snapToGrid w:val="0"/>
        <w:spacing w:line="480" w:lineRule="exact"/>
        <w:ind w:firstLine="463" w:firstLineChars="192"/>
        <w:contextualSpacing/>
        <w:rPr>
          <w:rFonts w:ascii="宋体" w:hAnsi="宋体" w:cs="宋体"/>
          <w:b/>
          <w:color w:val="auto"/>
          <w:kern w:val="0"/>
          <w:sz w:val="24"/>
        </w:rPr>
      </w:pPr>
    </w:p>
    <w:p w14:paraId="48C53F39">
      <w:pPr>
        <w:snapToGrid w:val="0"/>
        <w:spacing w:line="500" w:lineRule="exact"/>
        <w:ind w:left="1133" w:hanging="1132" w:hangingChars="472"/>
        <w:jc w:val="center"/>
        <w:rPr>
          <w:rFonts w:ascii="宋体" w:hAnsi="宋体" w:cs="宋体"/>
          <w:color w:val="auto"/>
          <w:sz w:val="24"/>
        </w:rPr>
      </w:pPr>
      <w:r>
        <w:rPr>
          <w:rFonts w:hint="eastAsia" w:ascii="宋体" w:hAnsi="宋体" w:cs="宋体"/>
          <w:color w:val="auto"/>
          <w:sz w:val="24"/>
        </w:rPr>
        <w:t xml:space="preserve">              投标人名称：（盖章）</w:t>
      </w:r>
    </w:p>
    <w:p w14:paraId="682831B5">
      <w:pPr>
        <w:snapToGrid w:val="0"/>
        <w:spacing w:line="500" w:lineRule="exact"/>
        <w:ind w:left="1133" w:hanging="1132" w:hangingChars="472"/>
        <w:jc w:val="center"/>
        <w:rPr>
          <w:rFonts w:ascii="宋体" w:hAnsi="宋体" w:cs="宋体"/>
          <w:color w:val="auto"/>
          <w:sz w:val="24"/>
        </w:rPr>
      </w:pPr>
      <w:r>
        <w:rPr>
          <w:rFonts w:hint="eastAsia" w:ascii="宋体" w:hAnsi="宋体" w:cs="宋体"/>
          <w:color w:val="auto"/>
          <w:sz w:val="24"/>
        </w:rPr>
        <w:t xml:space="preserve">                          法定代表人或授权委托人（签字）：</w:t>
      </w:r>
    </w:p>
    <w:p w14:paraId="5E969ED7">
      <w:pPr>
        <w:snapToGrid w:val="0"/>
        <w:spacing w:line="500" w:lineRule="exact"/>
        <w:ind w:left="1133" w:hanging="1132" w:hangingChars="472"/>
        <w:jc w:val="center"/>
        <w:rPr>
          <w:rFonts w:ascii="宋体" w:hAnsi="宋体" w:cs="宋体"/>
          <w:color w:val="auto"/>
          <w:sz w:val="24"/>
        </w:rPr>
      </w:pPr>
      <w:r>
        <w:rPr>
          <w:rFonts w:hint="eastAsia" w:ascii="宋体" w:hAnsi="宋体" w:cs="宋体"/>
          <w:color w:val="auto"/>
          <w:sz w:val="24"/>
        </w:rPr>
        <w:t>日期：</w:t>
      </w:r>
    </w:p>
    <w:p w14:paraId="326C523F">
      <w:pPr>
        <w:snapToGrid w:val="0"/>
        <w:spacing w:line="400" w:lineRule="exact"/>
        <w:ind w:firstLine="540" w:firstLineChars="192"/>
        <w:contextualSpacing/>
        <w:rPr>
          <w:rFonts w:ascii="宋体" w:hAnsi="宋体" w:cs="宋体"/>
          <w:b/>
          <w:color w:val="auto"/>
          <w:kern w:val="0"/>
          <w:sz w:val="28"/>
          <w:szCs w:val="28"/>
        </w:rPr>
      </w:pPr>
    </w:p>
    <w:p w14:paraId="34DD62A3">
      <w:pPr>
        <w:snapToGrid w:val="0"/>
        <w:spacing w:line="400" w:lineRule="exact"/>
        <w:ind w:firstLine="540" w:firstLineChars="192"/>
        <w:contextualSpacing/>
        <w:rPr>
          <w:rFonts w:ascii="宋体" w:hAnsi="宋体" w:cs="宋体"/>
          <w:b/>
          <w:color w:val="auto"/>
          <w:kern w:val="0"/>
          <w:sz w:val="28"/>
          <w:szCs w:val="28"/>
        </w:rPr>
      </w:pPr>
    </w:p>
    <w:p w14:paraId="33ED814A">
      <w:pPr>
        <w:snapToGrid w:val="0"/>
        <w:spacing w:line="400" w:lineRule="exact"/>
        <w:ind w:firstLine="540" w:firstLineChars="192"/>
        <w:contextualSpacing/>
        <w:rPr>
          <w:rFonts w:ascii="宋体" w:hAnsi="宋体" w:cs="宋体"/>
          <w:b/>
          <w:color w:val="auto"/>
          <w:kern w:val="0"/>
          <w:sz w:val="28"/>
          <w:szCs w:val="28"/>
        </w:rPr>
      </w:pPr>
    </w:p>
    <w:p w14:paraId="5F423C04">
      <w:pPr>
        <w:snapToGrid w:val="0"/>
        <w:spacing w:line="400" w:lineRule="exact"/>
        <w:ind w:firstLine="540" w:firstLineChars="192"/>
        <w:contextualSpacing/>
        <w:rPr>
          <w:rFonts w:ascii="宋体" w:hAnsi="宋体" w:cs="宋体"/>
          <w:b/>
          <w:color w:val="auto"/>
          <w:kern w:val="0"/>
          <w:sz w:val="28"/>
          <w:szCs w:val="28"/>
        </w:rPr>
      </w:pPr>
    </w:p>
    <w:p w14:paraId="280F6892">
      <w:pPr>
        <w:pStyle w:val="12"/>
        <w:rPr>
          <w:rFonts w:ascii="宋体" w:hAnsi="宋体" w:cs="宋体"/>
          <w:color w:val="auto"/>
        </w:rPr>
      </w:pPr>
    </w:p>
    <w:p w14:paraId="3773C64A">
      <w:pPr>
        <w:snapToGrid w:val="0"/>
        <w:spacing w:line="400" w:lineRule="exact"/>
        <w:ind w:firstLine="540" w:firstLineChars="192"/>
        <w:contextualSpacing/>
        <w:rPr>
          <w:rFonts w:ascii="宋体" w:hAnsi="宋体" w:cs="宋体"/>
          <w:b/>
          <w:color w:val="auto"/>
          <w:kern w:val="0"/>
          <w:sz w:val="28"/>
          <w:szCs w:val="28"/>
        </w:rPr>
      </w:pPr>
    </w:p>
    <w:p w14:paraId="3E14F00C">
      <w:pPr>
        <w:pStyle w:val="71"/>
        <w:ind w:left="0"/>
        <w:rPr>
          <w:rFonts w:ascii="宋体" w:hAnsi="宋体" w:cs="宋体"/>
          <w:color w:val="auto"/>
          <w:sz w:val="32"/>
          <w:szCs w:val="32"/>
          <w:lang w:eastAsia="zh-CN"/>
        </w:rPr>
      </w:pPr>
      <w:r>
        <w:rPr>
          <w:rFonts w:hint="eastAsia" w:ascii="宋体" w:hAnsi="宋体" w:cs="宋体"/>
          <w:color w:val="auto"/>
          <w:sz w:val="32"/>
          <w:szCs w:val="32"/>
          <w:lang w:eastAsia="zh-CN"/>
        </w:rPr>
        <w:br w:type="page"/>
      </w:r>
      <w:r>
        <w:rPr>
          <w:rFonts w:hint="eastAsia" w:ascii="宋体" w:hAnsi="宋体" w:cs="宋体"/>
          <w:color w:val="auto"/>
          <w:sz w:val="32"/>
          <w:szCs w:val="32"/>
          <w:lang w:eastAsia="zh-CN"/>
        </w:rPr>
        <w:t>附件10</w:t>
      </w:r>
    </w:p>
    <w:p w14:paraId="04F097F0">
      <w:pPr>
        <w:snapToGrid w:val="0"/>
        <w:spacing w:line="460" w:lineRule="exact"/>
        <w:ind w:firstLine="627" w:firstLineChars="196"/>
        <w:jc w:val="center"/>
        <w:outlineLvl w:val="1"/>
        <w:rPr>
          <w:rFonts w:ascii="宋体" w:hAnsi="宋体" w:cs="宋体"/>
          <w:color w:val="auto"/>
          <w:kern w:val="0"/>
          <w:sz w:val="32"/>
          <w:szCs w:val="32"/>
        </w:rPr>
      </w:pPr>
      <w:r>
        <w:rPr>
          <w:rFonts w:hint="eastAsia" w:ascii="宋体" w:hAnsi="宋体" w:cs="宋体"/>
          <w:color w:val="auto"/>
          <w:kern w:val="0"/>
          <w:sz w:val="32"/>
          <w:szCs w:val="32"/>
        </w:rPr>
        <w:t>分项报价表</w:t>
      </w:r>
    </w:p>
    <w:p w14:paraId="326FAF1E">
      <w:pPr>
        <w:snapToGrid w:val="0"/>
        <w:spacing w:line="460" w:lineRule="exact"/>
        <w:ind w:firstLine="630" w:firstLineChars="196"/>
        <w:outlineLvl w:val="1"/>
        <w:rPr>
          <w:rFonts w:ascii="宋体" w:hAnsi="宋体" w:cs="宋体"/>
          <w:b/>
          <w:color w:val="auto"/>
          <w:kern w:val="0"/>
          <w:sz w:val="32"/>
          <w:szCs w:val="32"/>
        </w:rPr>
      </w:pP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685"/>
        <w:gridCol w:w="1067"/>
        <w:gridCol w:w="1679"/>
        <w:gridCol w:w="846"/>
        <w:gridCol w:w="864"/>
        <w:gridCol w:w="1386"/>
        <w:gridCol w:w="1382"/>
      </w:tblGrid>
      <w:tr w14:paraId="56D8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25" w:type="pct"/>
            <w:shd w:val="clear" w:color="auto" w:fill="auto"/>
            <w:vAlign w:val="center"/>
          </w:tcPr>
          <w:p w14:paraId="0850F6D2">
            <w:pPr>
              <w:widowControl/>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序号</w:t>
            </w:r>
          </w:p>
        </w:tc>
        <w:tc>
          <w:tcPr>
            <w:tcW w:w="846" w:type="pct"/>
            <w:shd w:val="clear" w:color="auto" w:fill="auto"/>
            <w:vAlign w:val="center"/>
          </w:tcPr>
          <w:p w14:paraId="6E8C077A">
            <w:pPr>
              <w:widowControl/>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设备名称</w:t>
            </w:r>
          </w:p>
        </w:tc>
        <w:tc>
          <w:tcPr>
            <w:tcW w:w="536" w:type="pct"/>
            <w:shd w:val="clear" w:color="auto" w:fill="auto"/>
            <w:vAlign w:val="center"/>
          </w:tcPr>
          <w:p w14:paraId="75574DDA">
            <w:pPr>
              <w:widowControl/>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品牌</w:t>
            </w:r>
          </w:p>
        </w:tc>
        <w:tc>
          <w:tcPr>
            <w:tcW w:w="843" w:type="pct"/>
            <w:shd w:val="clear" w:color="auto" w:fill="auto"/>
            <w:vAlign w:val="center"/>
          </w:tcPr>
          <w:p w14:paraId="2E354450">
            <w:pPr>
              <w:widowControl/>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规格参数</w:t>
            </w:r>
          </w:p>
        </w:tc>
        <w:tc>
          <w:tcPr>
            <w:tcW w:w="425" w:type="pct"/>
            <w:vAlign w:val="center"/>
          </w:tcPr>
          <w:p w14:paraId="608185A8">
            <w:pPr>
              <w:widowControl/>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单位</w:t>
            </w:r>
          </w:p>
        </w:tc>
        <w:tc>
          <w:tcPr>
            <w:tcW w:w="434" w:type="pct"/>
            <w:shd w:val="clear" w:color="auto" w:fill="auto"/>
            <w:vAlign w:val="center"/>
          </w:tcPr>
          <w:p w14:paraId="6BC6F7EB">
            <w:pPr>
              <w:widowControl/>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数量</w:t>
            </w:r>
          </w:p>
        </w:tc>
        <w:tc>
          <w:tcPr>
            <w:tcW w:w="694" w:type="pct"/>
            <w:shd w:val="clear" w:color="auto" w:fill="auto"/>
            <w:vAlign w:val="center"/>
          </w:tcPr>
          <w:p w14:paraId="1C3FF85D">
            <w:pPr>
              <w:widowControl/>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投标单价（元）</w:t>
            </w:r>
          </w:p>
        </w:tc>
        <w:tc>
          <w:tcPr>
            <w:tcW w:w="694" w:type="pct"/>
            <w:shd w:val="clear" w:color="auto" w:fill="auto"/>
            <w:vAlign w:val="center"/>
          </w:tcPr>
          <w:p w14:paraId="465C219A">
            <w:pPr>
              <w:widowControl/>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投标总价（元）</w:t>
            </w:r>
          </w:p>
        </w:tc>
      </w:tr>
      <w:tr w14:paraId="6169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25" w:type="pct"/>
            <w:shd w:val="clear" w:color="auto" w:fill="auto"/>
            <w:vAlign w:val="center"/>
          </w:tcPr>
          <w:p w14:paraId="3D0A89FF">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846" w:type="pct"/>
            <w:shd w:val="clear" w:color="auto" w:fill="auto"/>
            <w:vAlign w:val="center"/>
          </w:tcPr>
          <w:p w14:paraId="61959241">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超融合服务器</w:t>
            </w:r>
          </w:p>
        </w:tc>
        <w:tc>
          <w:tcPr>
            <w:tcW w:w="536" w:type="pct"/>
            <w:shd w:val="clear" w:color="auto" w:fill="auto"/>
            <w:vAlign w:val="center"/>
          </w:tcPr>
          <w:p w14:paraId="1F405A47">
            <w:pPr>
              <w:widowControl/>
              <w:jc w:val="center"/>
              <w:rPr>
                <w:rFonts w:asciiTheme="minorEastAsia" w:hAnsiTheme="minorEastAsia" w:eastAsiaTheme="minorEastAsia"/>
                <w:color w:val="auto"/>
                <w:sz w:val="24"/>
              </w:rPr>
            </w:pPr>
          </w:p>
        </w:tc>
        <w:tc>
          <w:tcPr>
            <w:tcW w:w="843" w:type="pct"/>
            <w:shd w:val="clear" w:color="auto" w:fill="auto"/>
            <w:vAlign w:val="center"/>
          </w:tcPr>
          <w:p w14:paraId="417A747D">
            <w:pPr>
              <w:widowControl/>
              <w:jc w:val="center"/>
              <w:rPr>
                <w:rFonts w:asciiTheme="minorEastAsia" w:hAnsiTheme="minorEastAsia" w:eastAsiaTheme="minorEastAsia"/>
                <w:color w:val="auto"/>
                <w:sz w:val="24"/>
              </w:rPr>
            </w:pPr>
          </w:p>
        </w:tc>
        <w:tc>
          <w:tcPr>
            <w:tcW w:w="425" w:type="pct"/>
            <w:vAlign w:val="center"/>
          </w:tcPr>
          <w:p w14:paraId="05E88457">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台</w:t>
            </w:r>
          </w:p>
        </w:tc>
        <w:tc>
          <w:tcPr>
            <w:tcW w:w="434" w:type="pct"/>
            <w:shd w:val="clear" w:color="auto" w:fill="auto"/>
            <w:vAlign w:val="center"/>
          </w:tcPr>
          <w:p w14:paraId="1E5F4416">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4</w:t>
            </w:r>
          </w:p>
        </w:tc>
        <w:tc>
          <w:tcPr>
            <w:tcW w:w="694" w:type="pct"/>
            <w:shd w:val="clear" w:color="auto" w:fill="auto"/>
            <w:vAlign w:val="center"/>
          </w:tcPr>
          <w:p w14:paraId="05D3AA5F">
            <w:pPr>
              <w:widowControl/>
              <w:jc w:val="center"/>
              <w:rPr>
                <w:rFonts w:asciiTheme="minorEastAsia" w:hAnsiTheme="minorEastAsia" w:eastAsiaTheme="minorEastAsia"/>
                <w:color w:val="auto"/>
                <w:sz w:val="24"/>
              </w:rPr>
            </w:pPr>
          </w:p>
        </w:tc>
        <w:tc>
          <w:tcPr>
            <w:tcW w:w="694" w:type="pct"/>
            <w:shd w:val="clear" w:color="auto" w:fill="auto"/>
            <w:vAlign w:val="center"/>
          </w:tcPr>
          <w:p w14:paraId="5AEE492B">
            <w:pPr>
              <w:widowControl/>
              <w:jc w:val="center"/>
              <w:rPr>
                <w:rFonts w:asciiTheme="minorEastAsia" w:hAnsiTheme="minorEastAsia" w:eastAsiaTheme="minorEastAsia"/>
                <w:color w:val="auto"/>
                <w:sz w:val="24"/>
              </w:rPr>
            </w:pPr>
          </w:p>
        </w:tc>
      </w:tr>
      <w:tr w14:paraId="05EA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25" w:type="pct"/>
            <w:shd w:val="clear" w:color="auto" w:fill="auto"/>
            <w:vAlign w:val="center"/>
          </w:tcPr>
          <w:p w14:paraId="6B38CF47">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846" w:type="pct"/>
            <w:shd w:val="clear" w:color="auto" w:fill="auto"/>
            <w:vAlign w:val="center"/>
          </w:tcPr>
          <w:p w14:paraId="1AB585F1">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▲超融合软件</w:t>
            </w:r>
          </w:p>
        </w:tc>
        <w:tc>
          <w:tcPr>
            <w:tcW w:w="536" w:type="pct"/>
            <w:shd w:val="clear" w:color="auto" w:fill="auto"/>
            <w:vAlign w:val="center"/>
          </w:tcPr>
          <w:p w14:paraId="6B6C41EB">
            <w:pPr>
              <w:widowControl/>
              <w:jc w:val="center"/>
              <w:rPr>
                <w:rFonts w:asciiTheme="minorEastAsia" w:hAnsiTheme="minorEastAsia" w:eastAsiaTheme="minorEastAsia"/>
                <w:color w:val="auto"/>
                <w:sz w:val="24"/>
              </w:rPr>
            </w:pPr>
          </w:p>
        </w:tc>
        <w:tc>
          <w:tcPr>
            <w:tcW w:w="843" w:type="pct"/>
            <w:shd w:val="clear" w:color="auto" w:fill="auto"/>
            <w:vAlign w:val="center"/>
          </w:tcPr>
          <w:p w14:paraId="6258CD99">
            <w:pPr>
              <w:widowControl/>
              <w:jc w:val="center"/>
              <w:rPr>
                <w:rFonts w:asciiTheme="minorEastAsia" w:hAnsiTheme="minorEastAsia" w:eastAsiaTheme="minorEastAsia"/>
                <w:color w:val="auto"/>
                <w:sz w:val="24"/>
              </w:rPr>
            </w:pPr>
          </w:p>
        </w:tc>
        <w:tc>
          <w:tcPr>
            <w:tcW w:w="425" w:type="pct"/>
            <w:vAlign w:val="center"/>
          </w:tcPr>
          <w:p w14:paraId="1D05DFB9">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套</w:t>
            </w:r>
          </w:p>
        </w:tc>
        <w:tc>
          <w:tcPr>
            <w:tcW w:w="434" w:type="pct"/>
            <w:shd w:val="clear" w:color="auto" w:fill="auto"/>
            <w:vAlign w:val="center"/>
          </w:tcPr>
          <w:p w14:paraId="2533CAF1">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694" w:type="pct"/>
            <w:shd w:val="clear" w:color="auto" w:fill="auto"/>
            <w:vAlign w:val="center"/>
          </w:tcPr>
          <w:p w14:paraId="2B48D625">
            <w:pPr>
              <w:widowControl/>
              <w:jc w:val="center"/>
              <w:rPr>
                <w:rFonts w:asciiTheme="minorEastAsia" w:hAnsiTheme="minorEastAsia" w:eastAsiaTheme="minorEastAsia"/>
                <w:color w:val="auto"/>
                <w:sz w:val="24"/>
              </w:rPr>
            </w:pPr>
          </w:p>
        </w:tc>
        <w:tc>
          <w:tcPr>
            <w:tcW w:w="694" w:type="pct"/>
            <w:shd w:val="clear" w:color="auto" w:fill="auto"/>
            <w:vAlign w:val="center"/>
          </w:tcPr>
          <w:p w14:paraId="78E017EC">
            <w:pPr>
              <w:widowControl/>
              <w:jc w:val="center"/>
              <w:rPr>
                <w:rFonts w:asciiTheme="minorEastAsia" w:hAnsiTheme="minorEastAsia" w:eastAsiaTheme="minorEastAsia"/>
                <w:color w:val="auto"/>
                <w:sz w:val="24"/>
              </w:rPr>
            </w:pPr>
          </w:p>
        </w:tc>
      </w:tr>
      <w:tr w14:paraId="3D86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25" w:type="pct"/>
            <w:shd w:val="clear" w:color="auto" w:fill="auto"/>
            <w:vAlign w:val="center"/>
          </w:tcPr>
          <w:p w14:paraId="64DEECE8">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846" w:type="pct"/>
            <w:shd w:val="clear" w:color="auto" w:fill="auto"/>
            <w:vAlign w:val="center"/>
          </w:tcPr>
          <w:p w14:paraId="566BC36E">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业务交换机</w:t>
            </w:r>
          </w:p>
        </w:tc>
        <w:tc>
          <w:tcPr>
            <w:tcW w:w="536" w:type="pct"/>
            <w:shd w:val="clear" w:color="auto" w:fill="auto"/>
            <w:vAlign w:val="center"/>
          </w:tcPr>
          <w:p w14:paraId="17118C7E">
            <w:pPr>
              <w:widowControl/>
              <w:jc w:val="center"/>
              <w:rPr>
                <w:rFonts w:asciiTheme="minorEastAsia" w:hAnsiTheme="minorEastAsia" w:eastAsiaTheme="minorEastAsia"/>
                <w:color w:val="auto"/>
                <w:sz w:val="24"/>
              </w:rPr>
            </w:pPr>
          </w:p>
        </w:tc>
        <w:tc>
          <w:tcPr>
            <w:tcW w:w="843" w:type="pct"/>
            <w:shd w:val="clear" w:color="auto" w:fill="auto"/>
            <w:vAlign w:val="center"/>
          </w:tcPr>
          <w:p w14:paraId="08C3A8F1">
            <w:pPr>
              <w:widowControl/>
              <w:jc w:val="center"/>
              <w:rPr>
                <w:rFonts w:asciiTheme="minorEastAsia" w:hAnsiTheme="minorEastAsia" w:eastAsiaTheme="minorEastAsia"/>
                <w:color w:val="auto"/>
                <w:sz w:val="24"/>
              </w:rPr>
            </w:pPr>
          </w:p>
        </w:tc>
        <w:tc>
          <w:tcPr>
            <w:tcW w:w="425" w:type="pct"/>
            <w:vAlign w:val="center"/>
          </w:tcPr>
          <w:p w14:paraId="35CDE624">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台</w:t>
            </w:r>
          </w:p>
        </w:tc>
        <w:tc>
          <w:tcPr>
            <w:tcW w:w="434" w:type="pct"/>
            <w:shd w:val="clear" w:color="auto" w:fill="auto"/>
            <w:vAlign w:val="center"/>
          </w:tcPr>
          <w:p w14:paraId="01E42B9F">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694" w:type="pct"/>
            <w:shd w:val="clear" w:color="auto" w:fill="auto"/>
            <w:vAlign w:val="center"/>
          </w:tcPr>
          <w:p w14:paraId="70A7EE78">
            <w:pPr>
              <w:widowControl/>
              <w:jc w:val="center"/>
              <w:rPr>
                <w:rFonts w:asciiTheme="minorEastAsia" w:hAnsiTheme="minorEastAsia" w:eastAsiaTheme="minorEastAsia"/>
                <w:color w:val="auto"/>
                <w:sz w:val="24"/>
              </w:rPr>
            </w:pPr>
          </w:p>
        </w:tc>
        <w:tc>
          <w:tcPr>
            <w:tcW w:w="694" w:type="pct"/>
            <w:shd w:val="clear" w:color="auto" w:fill="auto"/>
            <w:vAlign w:val="center"/>
          </w:tcPr>
          <w:p w14:paraId="168C80BD">
            <w:pPr>
              <w:widowControl/>
              <w:jc w:val="center"/>
              <w:rPr>
                <w:rFonts w:asciiTheme="minorEastAsia" w:hAnsiTheme="minorEastAsia" w:eastAsiaTheme="minorEastAsia"/>
                <w:color w:val="auto"/>
                <w:sz w:val="24"/>
              </w:rPr>
            </w:pPr>
          </w:p>
        </w:tc>
      </w:tr>
      <w:tr w14:paraId="2090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25" w:type="pct"/>
            <w:shd w:val="clear" w:color="auto" w:fill="auto"/>
            <w:vAlign w:val="center"/>
          </w:tcPr>
          <w:p w14:paraId="38EAB434">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4</w:t>
            </w:r>
          </w:p>
        </w:tc>
        <w:tc>
          <w:tcPr>
            <w:tcW w:w="846" w:type="pct"/>
            <w:shd w:val="clear" w:color="auto" w:fill="auto"/>
            <w:vAlign w:val="center"/>
          </w:tcPr>
          <w:p w14:paraId="06E1FFD5">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存储交换机</w:t>
            </w:r>
          </w:p>
        </w:tc>
        <w:tc>
          <w:tcPr>
            <w:tcW w:w="536" w:type="pct"/>
            <w:shd w:val="clear" w:color="auto" w:fill="auto"/>
            <w:vAlign w:val="center"/>
          </w:tcPr>
          <w:p w14:paraId="67DF09B3">
            <w:pPr>
              <w:widowControl/>
              <w:jc w:val="center"/>
              <w:rPr>
                <w:rFonts w:asciiTheme="minorEastAsia" w:hAnsiTheme="minorEastAsia" w:eastAsiaTheme="minorEastAsia"/>
                <w:color w:val="auto"/>
                <w:sz w:val="24"/>
              </w:rPr>
            </w:pPr>
          </w:p>
        </w:tc>
        <w:tc>
          <w:tcPr>
            <w:tcW w:w="843" w:type="pct"/>
            <w:shd w:val="clear" w:color="auto" w:fill="auto"/>
            <w:vAlign w:val="center"/>
          </w:tcPr>
          <w:p w14:paraId="01BBB108">
            <w:pPr>
              <w:widowControl/>
              <w:jc w:val="center"/>
              <w:rPr>
                <w:rFonts w:asciiTheme="minorEastAsia" w:hAnsiTheme="minorEastAsia" w:eastAsiaTheme="minorEastAsia"/>
                <w:color w:val="auto"/>
                <w:sz w:val="24"/>
              </w:rPr>
            </w:pPr>
          </w:p>
        </w:tc>
        <w:tc>
          <w:tcPr>
            <w:tcW w:w="425" w:type="pct"/>
            <w:vAlign w:val="center"/>
          </w:tcPr>
          <w:p w14:paraId="62C05762">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台</w:t>
            </w:r>
          </w:p>
        </w:tc>
        <w:tc>
          <w:tcPr>
            <w:tcW w:w="434" w:type="pct"/>
            <w:shd w:val="clear" w:color="auto" w:fill="auto"/>
            <w:vAlign w:val="center"/>
          </w:tcPr>
          <w:p w14:paraId="1CAA9EC5">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694" w:type="pct"/>
            <w:shd w:val="clear" w:color="auto" w:fill="auto"/>
            <w:vAlign w:val="center"/>
          </w:tcPr>
          <w:p w14:paraId="1319499A">
            <w:pPr>
              <w:widowControl/>
              <w:jc w:val="center"/>
              <w:rPr>
                <w:rFonts w:asciiTheme="minorEastAsia" w:hAnsiTheme="minorEastAsia" w:eastAsiaTheme="minorEastAsia"/>
                <w:color w:val="auto"/>
                <w:sz w:val="24"/>
              </w:rPr>
            </w:pPr>
          </w:p>
        </w:tc>
        <w:tc>
          <w:tcPr>
            <w:tcW w:w="694" w:type="pct"/>
            <w:shd w:val="clear" w:color="auto" w:fill="auto"/>
            <w:vAlign w:val="center"/>
          </w:tcPr>
          <w:p w14:paraId="4B6D006B">
            <w:pPr>
              <w:widowControl/>
              <w:jc w:val="center"/>
              <w:rPr>
                <w:rFonts w:asciiTheme="minorEastAsia" w:hAnsiTheme="minorEastAsia" w:eastAsiaTheme="minorEastAsia"/>
                <w:color w:val="auto"/>
                <w:sz w:val="24"/>
              </w:rPr>
            </w:pPr>
          </w:p>
        </w:tc>
      </w:tr>
      <w:tr w14:paraId="687A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25" w:type="pct"/>
            <w:shd w:val="clear" w:color="auto" w:fill="auto"/>
            <w:vAlign w:val="center"/>
          </w:tcPr>
          <w:p w14:paraId="6E3C45BB">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5</w:t>
            </w:r>
          </w:p>
        </w:tc>
        <w:tc>
          <w:tcPr>
            <w:tcW w:w="846" w:type="pct"/>
            <w:shd w:val="clear" w:color="auto" w:fill="auto"/>
            <w:vAlign w:val="center"/>
          </w:tcPr>
          <w:p w14:paraId="5229FAB3">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管理交换机</w:t>
            </w:r>
          </w:p>
        </w:tc>
        <w:tc>
          <w:tcPr>
            <w:tcW w:w="536" w:type="pct"/>
            <w:shd w:val="clear" w:color="auto" w:fill="auto"/>
            <w:vAlign w:val="center"/>
          </w:tcPr>
          <w:p w14:paraId="2B5DB34E">
            <w:pPr>
              <w:widowControl/>
              <w:jc w:val="center"/>
              <w:rPr>
                <w:rFonts w:asciiTheme="minorEastAsia" w:hAnsiTheme="minorEastAsia" w:eastAsiaTheme="minorEastAsia"/>
                <w:color w:val="auto"/>
                <w:sz w:val="24"/>
              </w:rPr>
            </w:pPr>
          </w:p>
        </w:tc>
        <w:tc>
          <w:tcPr>
            <w:tcW w:w="843" w:type="pct"/>
            <w:shd w:val="clear" w:color="auto" w:fill="auto"/>
            <w:vAlign w:val="center"/>
          </w:tcPr>
          <w:p w14:paraId="24D932B1">
            <w:pPr>
              <w:widowControl/>
              <w:jc w:val="center"/>
              <w:rPr>
                <w:rFonts w:cs="宋体" w:asciiTheme="minorEastAsia" w:hAnsiTheme="minorEastAsia" w:eastAsiaTheme="minorEastAsia"/>
                <w:b/>
                <w:color w:val="auto"/>
                <w:sz w:val="24"/>
              </w:rPr>
            </w:pPr>
          </w:p>
        </w:tc>
        <w:tc>
          <w:tcPr>
            <w:tcW w:w="425" w:type="pct"/>
            <w:vAlign w:val="center"/>
          </w:tcPr>
          <w:p w14:paraId="20941B96">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台</w:t>
            </w:r>
          </w:p>
        </w:tc>
        <w:tc>
          <w:tcPr>
            <w:tcW w:w="434" w:type="pct"/>
            <w:shd w:val="clear" w:color="auto" w:fill="auto"/>
            <w:vAlign w:val="center"/>
          </w:tcPr>
          <w:p w14:paraId="4B0EFE6A">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694" w:type="pct"/>
            <w:shd w:val="clear" w:color="auto" w:fill="auto"/>
            <w:vAlign w:val="center"/>
          </w:tcPr>
          <w:p w14:paraId="41347FA8">
            <w:pPr>
              <w:widowControl/>
              <w:jc w:val="center"/>
              <w:rPr>
                <w:rFonts w:asciiTheme="minorEastAsia" w:hAnsiTheme="minorEastAsia" w:eastAsiaTheme="minorEastAsia"/>
                <w:color w:val="auto"/>
                <w:sz w:val="24"/>
              </w:rPr>
            </w:pPr>
          </w:p>
        </w:tc>
        <w:tc>
          <w:tcPr>
            <w:tcW w:w="694" w:type="pct"/>
            <w:shd w:val="clear" w:color="auto" w:fill="auto"/>
            <w:vAlign w:val="center"/>
          </w:tcPr>
          <w:p w14:paraId="5CA09865">
            <w:pPr>
              <w:widowControl/>
              <w:jc w:val="center"/>
              <w:rPr>
                <w:rFonts w:asciiTheme="minorEastAsia" w:hAnsiTheme="minorEastAsia" w:eastAsiaTheme="minorEastAsia"/>
                <w:color w:val="auto"/>
                <w:sz w:val="24"/>
              </w:rPr>
            </w:pPr>
          </w:p>
        </w:tc>
      </w:tr>
      <w:tr w14:paraId="3463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25" w:type="pct"/>
            <w:shd w:val="clear" w:color="auto" w:fill="auto"/>
            <w:vAlign w:val="center"/>
          </w:tcPr>
          <w:p w14:paraId="123F4DF1">
            <w:pPr>
              <w:jc w:val="center"/>
              <w:rPr>
                <w:rFonts w:asciiTheme="minorEastAsia" w:hAnsiTheme="minorEastAsia" w:eastAsiaTheme="minorEastAsia"/>
                <w:color w:val="auto"/>
                <w:sz w:val="24"/>
              </w:rPr>
            </w:pPr>
            <w:r>
              <w:rPr>
                <w:rFonts w:asciiTheme="minorEastAsia" w:hAnsiTheme="minorEastAsia" w:eastAsiaTheme="minorEastAsia"/>
                <w:color w:val="auto"/>
                <w:sz w:val="24"/>
              </w:rPr>
              <w:t>6</w:t>
            </w:r>
          </w:p>
        </w:tc>
        <w:tc>
          <w:tcPr>
            <w:tcW w:w="846" w:type="pct"/>
            <w:shd w:val="clear" w:color="auto" w:fill="auto"/>
            <w:vAlign w:val="center"/>
          </w:tcPr>
          <w:p w14:paraId="16587585">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万</w:t>
            </w:r>
            <w:r>
              <w:rPr>
                <w:rFonts w:asciiTheme="minorEastAsia" w:hAnsiTheme="minorEastAsia" w:eastAsiaTheme="minorEastAsia"/>
                <w:color w:val="auto"/>
                <w:sz w:val="24"/>
              </w:rPr>
              <w:t>兆多模</w:t>
            </w:r>
          </w:p>
        </w:tc>
        <w:tc>
          <w:tcPr>
            <w:tcW w:w="536" w:type="pct"/>
            <w:shd w:val="clear" w:color="auto" w:fill="auto"/>
            <w:vAlign w:val="center"/>
          </w:tcPr>
          <w:p w14:paraId="4EFFFDF7">
            <w:pPr>
              <w:widowControl/>
              <w:jc w:val="center"/>
              <w:rPr>
                <w:rFonts w:asciiTheme="minorEastAsia" w:hAnsiTheme="minorEastAsia" w:eastAsiaTheme="minorEastAsia"/>
                <w:color w:val="auto"/>
                <w:sz w:val="24"/>
              </w:rPr>
            </w:pPr>
          </w:p>
        </w:tc>
        <w:tc>
          <w:tcPr>
            <w:tcW w:w="843" w:type="pct"/>
            <w:shd w:val="clear" w:color="auto" w:fill="auto"/>
            <w:vAlign w:val="center"/>
          </w:tcPr>
          <w:p w14:paraId="0A9755C9">
            <w:pPr>
              <w:widowControl/>
              <w:jc w:val="center"/>
              <w:rPr>
                <w:rFonts w:asciiTheme="minorEastAsia" w:hAnsiTheme="minorEastAsia" w:eastAsiaTheme="minorEastAsia"/>
                <w:color w:val="auto"/>
                <w:sz w:val="24"/>
              </w:rPr>
            </w:pPr>
          </w:p>
        </w:tc>
        <w:tc>
          <w:tcPr>
            <w:tcW w:w="425" w:type="pct"/>
            <w:vAlign w:val="center"/>
          </w:tcPr>
          <w:p w14:paraId="6616FABF">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块</w:t>
            </w:r>
          </w:p>
        </w:tc>
        <w:tc>
          <w:tcPr>
            <w:tcW w:w="434" w:type="pct"/>
            <w:shd w:val="clear" w:color="auto" w:fill="auto"/>
            <w:vAlign w:val="center"/>
          </w:tcPr>
          <w:p w14:paraId="74083524">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20</w:t>
            </w:r>
          </w:p>
        </w:tc>
        <w:tc>
          <w:tcPr>
            <w:tcW w:w="694" w:type="pct"/>
            <w:shd w:val="clear" w:color="auto" w:fill="auto"/>
            <w:vAlign w:val="center"/>
          </w:tcPr>
          <w:p w14:paraId="57C828A0">
            <w:pPr>
              <w:widowControl/>
              <w:jc w:val="center"/>
              <w:rPr>
                <w:rFonts w:asciiTheme="minorEastAsia" w:hAnsiTheme="minorEastAsia" w:eastAsiaTheme="minorEastAsia"/>
                <w:color w:val="auto"/>
                <w:sz w:val="24"/>
              </w:rPr>
            </w:pPr>
          </w:p>
        </w:tc>
        <w:tc>
          <w:tcPr>
            <w:tcW w:w="694" w:type="pct"/>
            <w:shd w:val="clear" w:color="auto" w:fill="auto"/>
            <w:vAlign w:val="center"/>
          </w:tcPr>
          <w:p w14:paraId="006DA178">
            <w:pPr>
              <w:widowControl/>
              <w:jc w:val="center"/>
              <w:rPr>
                <w:rFonts w:asciiTheme="minorEastAsia" w:hAnsiTheme="minorEastAsia" w:eastAsiaTheme="minorEastAsia"/>
                <w:color w:val="auto"/>
                <w:sz w:val="24"/>
              </w:rPr>
            </w:pPr>
          </w:p>
        </w:tc>
      </w:tr>
      <w:tr w14:paraId="7934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25" w:type="pct"/>
            <w:shd w:val="clear" w:color="auto" w:fill="auto"/>
            <w:vAlign w:val="center"/>
          </w:tcPr>
          <w:p w14:paraId="0DC4C9F7">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7</w:t>
            </w:r>
          </w:p>
        </w:tc>
        <w:tc>
          <w:tcPr>
            <w:tcW w:w="3780" w:type="pct"/>
            <w:gridSpan w:val="6"/>
            <w:shd w:val="clear" w:color="auto" w:fill="auto"/>
            <w:vAlign w:val="center"/>
          </w:tcPr>
          <w:p w14:paraId="030F76B3">
            <w:pPr>
              <w:widowControl/>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总计（元）</w:t>
            </w:r>
          </w:p>
        </w:tc>
        <w:tc>
          <w:tcPr>
            <w:tcW w:w="694" w:type="pct"/>
            <w:shd w:val="clear" w:color="auto" w:fill="auto"/>
            <w:vAlign w:val="center"/>
          </w:tcPr>
          <w:p w14:paraId="285413A3">
            <w:pPr>
              <w:widowControl/>
              <w:jc w:val="center"/>
              <w:rPr>
                <w:rFonts w:asciiTheme="minorEastAsia" w:hAnsiTheme="minorEastAsia" w:eastAsiaTheme="minorEastAsia"/>
                <w:color w:val="auto"/>
                <w:sz w:val="24"/>
              </w:rPr>
            </w:pPr>
          </w:p>
        </w:tc>
      </w:tr>
    </w:tbl>
    <w:p w14:paraId="02966E88">
      <w:pPr>
        <w:pStyle w:val="72"/>
        <w:rPr>
          <w:rFonts w:ascii="宋体" w:hAnsi="宋体" w:cs="宋体"/>
          <w:color w:val="auto"/>
        </w:rPr>
      </w:pPr>
    </w:p>
    <w:p w14:paraId="1050A1E0">
      <w:pPr>
        <w:snapToGrid w:val="0"/>
        <w:spacing w:line="400" w:lineRule="exact"/>
        <w:contextualSpacing/>
        <w:rPr>
          <w:rFonts w:ascii="宋体" w:hAnsi="宋体" w:cs="宋体"/>
          <w:bCs/>
          <w:color w:val="auto"/>
          <w:kern w:val="0"/>
          <w:sz w:val="28"/>
          <w:szCs w:val="28"/>
        </w:rPr>
      </w:pPr>
      <w:r>
        <w:rPr>
          <w:rFonts w:hint="eastAsia" w:ascii="宋体" w:hAnsi="宋体" w:cs="宋体"/>
          <w:b/>
          <w:color w:val="auto"/>
          <w:kern w:val="0"/>
          <w:sz w:val="28"/>
          <w:szCs w:val="28"/>
        </w:rPr>
        <w:t xml:space="preserve">     </w:t>
      </w:r>
      <w:r>
        <w:rPr>
          <w:rFonts w:hint="eastAsia" w:ascii="宋体" w:hAnsi="宋体" w:cs="宋体"/>
          <w:bCs/>
          <w:color w:val="auto"/>
          <w:kern w:val="0"/>
          <w:sz w:val="28"/>
          <w:szCs w:val="28"/>
        </w:rPr>
        <w:t xml:space="preserve">         </w:t>
      </w:r>
    </w:p>
    <w:p w14:paraId="3A6C83B4">
      <w:pPr>
        <w:snapToGrid w:val="0"/>
        <w:spacing w:line="400" w:lineRule="exact"/>
        <w:contextualSpacing/>
        <w:rPr>
          <w:rFonts w:ascii="宋体" w:hAnsi="宋体" w:cs="宋体"/>
          <w:bCs/>
          <w:color w:val="auto"/>
          <w:kern w:val="0"/>
          <w:sz w:val="28"/>
          <w:szCs w:val="28"/>
        </w:rPr>
      </w:pPr>
    </w:p>
    <w:p w14:paraId="25DA0D83">
      <w:pPr>
        <w:snapToGrid w:val="0"/>
        <w:spacing w:line="400" w:lineRule="exact"/>
        <w:contextualSpacing/>
        <w:jc w:val="center"/>
        <w:rPr>
          <w:rFonts w:ascii="宋体" w:hAnsi="宋体" w:cs="宋体"/>
          <w:bCs/>
          <w:color w:val="auto"/>
          <w:kern w:val="0"/>
          <w:sz w:val="28"/>
          <w:szCs w:val="28"/>
        </w:rPr>
      </w:pPr>
      <w:r>
        <w:rPr>
          <w:rFonts w:hint="eastAsia" w:ascii="宋体" w:hAnsi="宋体" w:cs="宋体"/>
          <w:bCs/>
          <w:color w:val="auto"/>
          <w:kern w:val="0"/>
          <w:sz w:val="28"/>
          <w:szCs w:val="28"/>
        </w:rPr>
        <w:t xml:space="preserve">              </w:t>
      </w:r>
    </w:p>
    <w:p w14:paraId="1F82B682">
      <w:pPr>
        <w:snapToGrid w:val="0"/>
        <w:spacing w:line="300" w:lineRule="auto"/>
        <w:ind w:firstLine="4900" w:firstLineChars="1750"/>
        <w:jc w:val="right"/>
        <w:outlineLvl w:val="0"/>
        <w:rPr>
          <w:rFonts w:ascii="宋体" w:hAnsi="宋体" w:cs="宋体"/>
          <w:color w:val="auto"/>
          <w:sz w:val="28"/>
          <w:szCs w:val="28"/>
          <w:lang w:bidi="zh-CN"/>
        </w:rPr>
      </w:pPr>
    </w:p>
    <w:p w14:paraId="21A5F8E7">
      <w:pPr>
        <w:snapToGrid w:val="0"/>
        <w:spacing w:line="500" w:lineRule="exact"/>
        <w:ind w:left="1133" w:hanging="1132" w:hangingChars="472"/>
        <w:jc w:val="center"/>
        <w:rPr>
          <w:rFonts w:ascii="宋体" w:hAnsi="宋体" w:cs="宋体"/>
          <w:color w:val="auto"/>
          <w:sz w:val="24"/>
        </w:rPr>
      </w:pPr>
      <w:r>
        <w:rPr>
          <w:rFonts w:hint="eastAsia" w:ascii="宋体" w:hAnsi="宋体" w:cs="宋体"/>
          <w:color w:val="auto"/>
          <w:sz w:val="24"/>
        </w:rPr>
        <w:t xml:space="preserve">              投标人名称：（盖章）</w:t>
      </w:r>
    </w:p>
    <w:p w14:paraId="35EAD991">
      <w:pPr>
        <w:snapToGrid w:val="0"/>
        <w:spacing w:line="500" w:lineRule="exact"/>
        <w:ind w:left="1133" w:hanging="1132" w:hangingChars="472"/>
        <w:jc w:val="center"/>
        <w:rPr>
          <w:rFonts w:ascii="宋体" w:hAnsi="宋体" w:cs="宋体"/>
          <w:color w:val="auto"/>
          <w:sz w:val="24"/>
        </w:rPr>
      </w:pPr>
      <w:r>
        <w:rPr>
          <w:rFonts w:hint="eastAsia" w:ascii="宋体" w:hAnsi="宋体" w:cs="宋体"/>
          <w:color w:val="auto"/>
          <w:sz w:val="24"/>
        </w:rPr>
        <w:t xml:space="preserve">                          法定代表人或授权委托人（签字）：</w:t>
      </w:r>
    </w:p>
    <w:p w14:paraId="516BC106">
      <w:pPr>
        <w:snapToGrid w:val="0"/>
        <w:spacing w:line="500" w:lineRule="exact"/>
        <w:ind w:left="1133" w:hanging="1132" w:hangingChars="472"/>
        <w:jc w:val="center"/>
        <w:rPr>
          <w:rFonts w:ascii="宋体" w:hAnsi="宋体" w:cs="宋体"/>
          <w:color w:val="auto"/>
          <w:sz w:val="24"/>
        </w:rPr>
        <w:sectPr>
          <w:headerReference r:id="rId6" w:type="default"/>
          <w:pgSz w:w="11906" w:h="16838"/>
          <w:pgMar w:top="1440" w:right="1080" w:bottom="1440" w:left="1080" w:header="851" w:footer="992" w:gutter="0"/>
          <w:cols w:space="720" w:num="1"/>
          <w:docGrid w:type="lines" w:linePitch="312" w:charSpace="0"/>
        </w:sectPr>
      </w:pPr>
      <w:r>
        <w:rPr>
          <w:rFonts w:hint="eastAsia" w:ascii="宋体" w:hAnsi="宋体" w:cs="宋体"/>
          <w:color w:val="auto"/>
          <w:sz w:val="24"/>
        </w:rPr>
        <w:t>日期：</w:t>
      </w:r>
    </w:p>
    <w:p w14:paraId="6DF8071D">
      <w:pPr>
        <w:snapToGrid w:val="0"/>
        <w:spacing w:line="300" w:lineRule="auto"/>
        <w:jc w:val="left"/>
        <w:outlineLvl w:val="0"/>
        <w:rPr>
          <w:rFonts w:ascii="宋体" w:hAnsi="宋体" w:cs="宋体"/>
          <w:color w:val="auto"/>
          <w:sz w:val="32"/>
          <w:szCs w:val="32"/>
        </w:rPr>
      </w:pPr>
      <w:r>
        <w:rPr>
          <w:rFonts w:hint="eastAsia" w:ascii="宋体" w:hAnsi="宋体" w:cs="宋体"/>
          <w:color w:val="auto"/>
          <w:sz w:val="32"/>
          <w:szCs w:val="32"/>
        </w:rPr>
        <w:t>附件11</w:t>
      </w:r>
    </w:p>
    <w:p w14:paraId="35D39220">
      <w:pPr>
        <w:snapToGrid w:val="0"/>
        <w:spacing w:line="300" w:lineRule="auto"/>
        <w:jc w:val="center"/>
        <w:outlineLvl w:val="0"/>
        <w:rPr>
          <w:b/>
          <w:bCs/>
          <w:color w:val="auto"/>
          <w:sz w:val="28"/>
          <w:szCs w:val="28"/>
          <w:lang w:val="zh-CN" w:bidi="zh-CN"/>
        </w:rPr>
      </w:pPr>
      <w:r>
        <w:rPr>
          <w:b/>
          <w:bCs/>
          <w:color w:val="auto"/>
          <w:sz w:val="28"/>
          <w:szCs w:val="28"/>
          <w:lang w:val="zh-CN" w:bidi="zh-CN"/>
        </w:rPr>
        <w:t>中小企业声明函（货物）</w:t>
      </w:r>
    </w:p>
    <w:p w14:paraId="2B7C0A4F">
      <w:pPr>
        <w:snapToGrid w:val="0"/>
        <w:spacing w:line="360" w:lineRule="auto"/>
        <w:ind w:firstLine="480" w:firstLineChars="200"/>
        <w:outlineLvl w:val="0"/>
        <w:rPr>
          <w:color w:val="auto"/>
          <w:sz w:val="24"/>
          <w:lang w:val="zh-CN" w:bidi="zh-CN"/>
        </w:rPr>
      </w:pPr>
      <w:r>
        <w:rPr>
          <w:color w:val="auto"/>
          <w:sz w:val="24"/>
          <w:lang w:val="zh-CN" w:bidi="zh-CN"/>
        </w:rPr>
        <w:t>本公司（联合体）郑重声明，根据《政府采购促进中小企业发展管理办法》（财库</w:t>
      </w:r>
      <w:r>
        <w:rPr>
          <w:rFonts w:hint="eastAsia"/>
          <w:color w:val="auto"/>
          <w:sz w:val="24"/>
          <w:lang w:val="zh-CN" w:bidi="zh-CN"/>
        </w:rPr>
        <w:t>﹝</w:t>
      </w:r>
      <w:r>
        <w:rPr>
          <w:color w:val="auto"/>
          <w:sz w:val="24"/>
          <w:lang w:val="zh-CN" w:bidi="zh-CN"/>
        </w:rPr>
        <w:t>2020</w:t>
      </w:r>
      <w:r>
        <w:rPr>
          <w:rFonts w:hint="eastAsia"/>
          <w:color w:val="auto"/>
          <w:sz w:val="24"/>
          <w:lang w:val="zh-CN" w:bidi="zh-CN"/>
        </w:rPr>
        <w:t>﹞</w:t>
      </w:r>
      <w:r>
        <w:rPr>
          <w:color w:val="auto"/>
          <w:sz w:val="24"/>
          <w:lang w:val="zh-CN" w:bidi="zh-CN"/>
        </w:rPr>
        <w:t>46 号）的规定，本公司（联合体）参加</w:t>
      </w:r>
      <w:r>
        <w:rPr>
          <w:color w:val="auto"/>
          <w:sz w:val="24"/>
          <w:u w:val="single"/>
          <w:lang w:val="zh-CN" w:bidi="zh-CN"/>
        </w:rPr>
        <w:t>（单位名称）</w:t>
      </w:r>
      <w:r>
        <w:rPr>
          <w:color w:val="auto"/>
          <w:sz w:val="24"/>
          <w:lang w:val="zh-CN" w:bidi="zh-CN"/>
        </w:rPr>
        <w:t>的</w:t>
      </w:r>
      <w:r>
        <w:rPr>
          <w:color w:val="auto"/>
          <w:sz w:val="24"/>
          <w:u w:val="single"/>
          <w:lang w:val="zh-CN" w:bidi="zh-CN"/>
        </w:rPr>
        <w:t>（项目名称）</w:t>
      </w:r>
      <w:r>
        <w:rPr>
          <w:color w:val="auto"/>
          <w:sz w:val="24"/>
          <w:lang w:val="zh-CN" w:bidi="zh-CN"/>
        </w:rPr>
        <w:t>采购活动，提供的货物全部由符合政策要求的</w:t>
      </w:r>
      <w:r>
        <w:rPr>
          <w:rFonts w:hint="eastAsia"/>
          <w:color w:val="auto"/>
          <w:sz w:val="24"/>
          <w:lang w:bidi="zh-CN"/>
        </w:rPr>
        <w:t>小微</w:t>
      </w:r>
      <w:r>
        <w:rPr>
          <w:color w:val="auto"/>
          <w:sz w:val="24"/>
          <w:lang w:val="zh-CN" w:bidi="zh-CN"/>
        </w:rPr>
        <w:t>企业制造。相关企业（含联合体中的</w:t>
      </w:r>
      <w:r>
        <w:rPr>
          <w:rFonts w:hint="eastAsia"/>
          <w:color w:val="auto"/>
          <w:sz w:val="24"/>
          <w:lang w:bidi="zh-CN"/>
        </w:rPr>
        <w:t>小微</w:t>
      </w:r>
      <w:r>
        <w:rPr>
          <w:color w:val="auto"/>
          <w:sz w:val="24"/>
          <w:lang w:val="zh-CN" w:bidi="zh-CN"/>
        </w:rPr>
        <w:t>企业、签订分包意向协议的</w:t>
      </w:r>
      <w:r>
        <w:rPr>
          <w:rFonts w:hint="eastAsia"/>
          <w:color w:val="auto"/>
          <w:sz w:val="24"/>
          <w:lang w:bidi="zh-CN"/>
        </w:rPr>
        <w:t>小微</w:t>
      </w:r>
      <w:r>
        <w:rPr>
          <w:color w:val="auto"/>
          <w:sz w:val="24"/>
          <w:lang w:val="zh-CN" w:bidi="zh-CN"/>
        </w:rPr>
        <w:t>企业） 的具体情况如下：</w:t>
      </w:r>
    </w:p>
    <w:p w14:paraId="5B67A2B2">
      <w:pPr>
        <w:snapToGrid w:val="0"/>
        <w:spacing w:line="360" w:lineRule="auto"/>
        <w:outlineLvl w:val="0"/>
        <w:rPr>
          <w:color w:val="auto"/>
          <w:sz w:val="24"/>
          <w:lang w:val="zh-CN" w:bidi="zh-CN"/>
        </w:rPr>
      </w:pPr>
      <w:r>
        <w:rPr>
          <w:rFonts w:hint="eastAsia"/>
          <w:color w:val="auto"/>
          <w:sz w:val="24"/>
          <w:lang w:val="zh-CN" w:bidi="zh-CN"/>
        </w:rPr>
        <w:t>1.</w:t>
      </w:r>
      <w:r>
        <w:rPr>
          <w:color w:val="auto"/>
          <w:sz w:val="24"/>
          <w:u w:val="single"/>
          <w:lang w:val="zh-CN" w:bidi="zh-CN"/>
        </w:rPr>
        <w:t xml:space="preserve"> （标的名称）</w:t>
      </w:r>
      <w:r>
        <w:rPr>
          <w:color w:val="auto"/>
          <w:sz w:val="24"/>
          <w:lang w:val="zh-CN" w:bidi="zh-CN"/>
        </w:rPr>
        <w:t xml:space="preserve"> ，属于</w:t>
      </w:r>
      <w:r>
        <w:rPr>
          <w:color w:val="auto"/>
          <w:sz w:val="24"/>
          <w:u w:val="single"/>
          <w:lang w:val="zh-CN" w:bidi="zh-CN"/>
        </w:rPr>
        <w:t>（采购文件中明确的所属行业）</w:t>
      </w:r>
      <w:r>
        <w:rPr>
          <w:color w:val="auto"/>
          <w:sz w:val="24"/>
          <w:lang w:val="zh-CN" w:bidi="zh-CN"/>
        </w:rPr>
        <w:t>行业；制造商为</w:t>
      </w:r>
      <w:r>
        <w:rPr>
          <w:color w:val="auto"/>
          <w:sz w:val="24"/>
          <w:u w:val="single"/>
          <w:lang w:val="zh-CN" w:bidi="zh-CN"/>
        </w:rPr>
        <w:t>（企业名称）</w:t>
      </w:r>
      <w:r>
        <w:rPr>
          <w:color w:val="auto"/>
          <w:sz w:val="24"/>
          <w:lang w:val="zh-CN" w:bidi="zh-CN"/>
        </w:rPr>
        <w:t>，从业人员</w:t>
      </w:r>
      <w:r>
        <w:rPr>
          <w:color w:val="auto"/>
          <w:sz w:val="24"/>
          <w:u w:val="single"/>
          <w:lang w:val="zh-CN" w:bidi="zh-CN"/>
        </w:rPr>
        <w:t xml:space="preserve"> </w:t>
      </w:r>
      <w:r>
        <w:rPr>
          <w:color w:val="auto"/>
          <w:sz w:val="24"/>
          <w:u w:val="single"/>
          <w:lang w:val="zh-CN" w:bidi="zh-CN"/>
        </w:rPr>
        <w:tab/>
      </w:r>
      <w:r>
        <w:rPr>
          <w:color w:val="auto"/>
          <w:sz w:val="24"/>
          <w:lang w:val="zh-CN" w:bidi="zh-CN"/>
        </w:rPr>
        <w:t>人，营业收入为</w:t>
      </w:r>
      <w:r>
        <w:rPr>
          <w:color w:val="auto"/>
          <w:sz w:val="24"/>
          <w:u w:val="single"/>
          <w:lang w:val="zh-CN" w:bidi="zh-CN"/>
        </w:rPr>
        <w:t xml:space="preserve"> </w:t>
      </w:r>
      <w:r>
        <w:rPr>
          <w:color w:val="auto"/>
          <w:sz w:val="24"/>
          <w:u w:val="single"/>
          <w:lang w:val="zh-CN" w:bidi="zh-CN"/>
        </w:rPr>
        <w:tab/>
      </w:r>
      <w:r>
        <w:rPr>
          <w:color w:val="auto"/>
          <w:sz w:val="24"/>
          <w:lang w:val="zh-CN" w:bidi="zh-CN"/>
        </w:rPr>
        <w:t>万元，资产总额为</w:t>
      </w:r>
      <w:r>
        <w:rPr>
          <w:color w:val="auto"/>
          <w:sz w:val="24"/>
          <w:u w:val="single"/>
          <w:lang w:val="zh-CN" w:bidi="zh-CN"/>
        </w:rPr>
        <w:t xml:space="preserve"> </w:t>
      </w:r>
      <w:r>
        <w:rPr>
          <w:color w:val="auto"/>
          <w:sz w:val="24"/>
          <w:u w:val="single"/>
          <w:lang w:val="zh-CN" w:bidi="zh-CN"/>
        </w:rPr>
        <w:tab/>
      </w:r>
      <w:r>
        <w:rPr>
          <w:color w:val="auto"/>
          <w:sz w:val="24"/>
          <w:lang w:val="zh-CN" w:bidi="zh-CN"/>
        </w:rPr>
        <w:t>万元，属于</w:t>
      </w:r>
      <w:r>
        <w:rPr>
          <w:color w:val="auto"/>
          <w:sz w:val="24"/>
          <w:u w:val="single"/>
          <w:lang w:val="zh-CN" w:bidi="zh-CN"/>
        </w:rPr>
        <w:t>（小型企业、微型企业）</w:t>
      </w:r>
      <w:r>
        <w:rPr>
          <w:color w:val="auto"/>
          <w:sz w:val="24"/>
          <w:lang w:val="zh-CN" w:bidi="zh-CN"/>
        </w:rPr>
        <w:t>；</w:t>
      </w:r>
    </w:p>
    <w:p w14:paraId="18E2362C">
      <w:pPr>
        <w:snapToGrid w:val="0"/>
        <w:spacing w:line="360" w:lineRule="auto"/>
        <w:outlineLvl w:val="0"/>
        <w:rPr>
          <w:color w:val="auto"/>
          <w:sz w:val="24"/>
          <w:lang w:val="zh-CN" w:bidi="zh-CN"/>
        </w:rPr>
      </w:pPr>
      <w:r>
        <w:rPr>
          <w:rFonts w:hint="eastAsia"/>
          <w:color w:val="auto"/>
          <w:sz w:val="24"/>
          <w:lang w:val="zh-CN" w:bidi="zh-CN"/>
        </w:rPr>
        <w:t>2.</w:t>
      </w:r>
      <w:r>
        <w:rPr>
          <w:i/>
          <w:color w:val="auto"/>
          <w:sz w:val="24"/>
          <w:u w:val="single"/>
          <w:lang w:val="zh-CN" w:bidi="zh-CN"/>
        </w:rPr>
        <w:t xml:space="preserve"> </w:t>
      </w:r>
      <w:r>
        <w:rPr>
          <w:color w:val="auto"/>
          <w:sz w:val="24"/>
          <w:u w:val="single"/>
          <w:lang w:val="zh-CN" w:bidi="zh-CN"/>
        </w:rPr>
        <w:t xml:space="preserve">（标的名称） </w:t>
      </w:r>
      <w:r>
        <w:rPr>
          <w:color w:val="auto"/>
          <w:sz w:val="24"/>
          <w:lang w:val="zh-CN" w:bidi="zh-CN"/>
        </w:rPr>
        <w:t>，属于</w:t>
      </w:r>
      <w:r>
        <w:rPr>
          <w:color w:val="auto"/>
          <w:sz w:val="24"/>
          <w:u w:val="single"/>
          <w:lang w:val="zh-CN" w:bidi="zh-CN"/>
        </w:rPr>
        <w:t>（采购文件中明确的所属行业）</w:t>
      </w:r>
      <w:r>
        <w:rPr>
          <w:color w:val="auto"/>
          <w:sz w:val="24"/>
          <w:lang w:val="zh-CN" w:bidi="zh-CN"/>
        </w:rPr>
        <w:t>行业；制造商为</w:t>
      </w:r>
      <w:r>
        <w:rPr>
          <w:color w:val="auto"/>
          <w:sz w:val="24"/>
          <w:u w:val="single"/>
          <w:lang w:val="zh-CN" w:bidi="zh-CN"/>
        </w:rPr>
        <w:t>（企业名称）</w:t>
      </w:r>
      <w:r>
        <w:rPr>
          <w:color w:val="auto"/>
          <w:sz w:val="24"/>
          <w:lang w:val="zh-CN" w:bidi="zh-CN"/>
        </w:rPr>
        <w:t>，从业人员</w:t>
      </w:r>
      <w:r>
        <w:rPr>
          <w:color w:val="auto"/>
          <w:sz w:val="24"/>
          <w:u w:val="single"/>
          <w:lang w:val="zh-CN" w:bidi="zh-CN"/>
        </w:rPr>
        <w:t xml:space="preserve"> </w:t>
      </w:r>
      <w:r>
        <w:rPr>
          <w:color w:val="auto"/>
          <w:sz w:val="24"/>
          <w:u w:val="single"/>
          <w:lang w:val="zh-CN" w:bidi="zh-CN"/>
        </w:rPr>
        <w:tab/>
      </w:r>
      <w:r>
        <w:rPr>
          <w:color w:val="auto"/>
          <w:sz w:val="24"/>
          <w:lang w:val="zh-CN" w:bidi="zh-CN"/>
        </w:rPr>
        <w:t>人，营业收入为</w:t>
      </w:r>
      <w:r>
        <w:rPr>
          <w:color w:val="auto"/>
          <w:sz w:val="24"/>
          <w:u w:val="single"/>
          <w:lang w:val="zh-CN" w:bidi="zh-CN"/>
        </w:rPr>
        <w:t xml:space="preserve"> </w:t>
      </w:r>
      <w:r>
        <w:rPr>
          <w:color w:val="auto"/>
          <w:sz w:val="24"/>
          <w:u w:val="single"/>
          <w:lang w:val="zh-CN" w:bidi="zh-CN"/>
        </w:rPr>
        <w:tab/>
      </w:r>
      <w:r>
        <w:rPr>
          <w:color w:val="auto"/>
          <w:sz w:val="24"/>
          <w:lang w:val="zh-CN" w:bidi="zh-CN"/>
        </w:rPr>
        <w:t>万元，资产总额为</w:t>
      </w:r>
      <w:r>
        <w:rPr>
          <w:color w:val="auto"/>
          <w:sz w:val="24"/>
          <w:u w:val="single"/>
          <w:lang w:val="zh-CN" w:bidi="zh-CN"/>
        </w:rPr>
        <w:t xml:space="preserve"> </w:t>
      </w:r>
      <w:r>
        <w:rPr>
          <w:color w:val="auto"/>
          <w:sz w:val="24"/>
          <w:u w:val="single"/>
          <w:lang w:val="zh-CN" w:bidi="zh-CN"/>
        </w:rPr>
        <w:tab/>
      </w:r>
      <w:r>
        <w:rPr>
          <w:color w:val="auto"/>
          <w:sz w:val="24"/>
          <w:lang w:val="zh-CN" w:bidi="zh-CN"/>
        </w:rPr>
        <w:t>万元，属于</w:t>
      </w:r>
      <w:r>
        <w:rPr>
          <w:color w:val="auto"/>
          <w:sz w:val="24"/>
          <w:u w:val="single"/>
          <w:lang w:val="zh-CN" w:bidi="zh-CN"/>
        </w:rPr>
        <w:t>（小型企业、微型企业）</w:t>
      </w:r>
      <w:r>
        <w:rPr>
          <w:color w:val="auto"/>
          <w:sz w:val="24"/>
          <w:lang w:val="zh-CN" w:bidi="zh-CN"/>
        </w:rPr>
        <w:t>；</w:t>
      </w:r>
    </w:p>
    <w:p w14:paraId="5CB0F133">
      <w:pPr>
        <w:snapToGrid w:val="0"/>
        <w:spacing w:line="360" w:lineRule="auto"/>
        <w:outlineLvl w:val="0"/>
        <w:rPr>
          <w:color w:val="auto"/>
          <w:sz w:val="24"/>
          <w:lang w:val="zh-CN" w:bidi="zh-CN"/>
        </w:rPr>
      </w:pPr>
      <w:r>
        <w:rPr>
          <w:color w:val="auto"/>
          <w:sz w:val="24"/>
          <w:lang w:val="zh-CN" w:bidi="zh-CN"/>
        </w:rPr>
        <w:t>……</w:t>
      </w:r>
    </w:p>
    <w:p w14:paraId="66616A21">
      <w:pPr>
        <w:snapToGrid w:val="0"/>
        <w:spacing w:line="360" w:lineRule="auto"/>
        <w:ind w:firstLine="480" w:firstLineChars="200"/>
        <w:outlineLvl w:val="0"/>
        <w:rPr>
          <w:color w:val="auto"/>
          <w:sz w:val="24"/>
          <w:lang w:val="zh-CN" w:bidi="zh-CN"/>
        </w:rPr>
      </w:pPr>
      <w:r>
        <w:rPr>
          <w:color w:val="auto"/>
          <w:sz w:val="24"/>
          <w:lang w:val="zh-CN" w:bidi="zh-CN"/>
        </w:rPr>
        <w:t>以上企业，不属于大企业的分支机构，不存在控股股东为大企业的情形，也不存在与大企业的负责人为同一人的情形。</w:t>
      </w:r>
    </w:p>
    <w:p w14:paraId="20DEE8A0">
      <w:pPr>
        <w:snapToGrid w:val="0"/>
        <w:spacing w:line="360" w:lineRule="auto"/>
        <w:ind w:firstLine="480" w:firstLineChars="200"/>
        <w:outlineLvl w:val="0"/>
        <w:rPr>
          <w:color w:val="auto"/>
          <w:sz w:val="24"/>
          <w:lang w:val="zh-CN" w:bidi="zh-CN"/>
        </w:rPr>
      </w:pPr>
      <w:r>
        <w:rPr>
          <w:color w:val="auto"/>
          <w:sz w:val="24"/>
          <w:lang w:val="zh-CN" w:bidi="zh-CN"/>
        </w:rPr>
        <w:t>本企业对上述声明内容的真实性负责。如有虚假，将依法承担相应责任。</w:t>
      </w:r>
    </w:p>
    <w:p w14:paraId="6EB9541C">
      <w:pPr>
        <w:snapToGrid w:val="0"/>
        <w:spacing w:line="300" w:lineRule="auto"/>
        <w:outlineLvl w:val="0"/>
        <w:rPr>
          <w:color w:val="auto"/>
          <w:sz w:val="24"/>
          <w:lang w:val="zh-CN" w:bidi="zh-CN"/>
        </w:rPr>
      </w:pPr>
    </w:p>
    <w:p w14:paraId="6723772B">
      <w:pPr>
        <w:snapToGrid w:val="0"/>
        <w:spacing w:line="300" w:lineRule="auto"/>
        <w:outlineLvl w:val="0"/>
        <w:rPr>
          <w:color w:val="auto"/>
          <w:sz w:val="24"/>
          <w:lang w:val="zh-CN" w:bidi="zh-CN"/>
        </w:rPr>
      </w:pPr>
    </w:p>
    <w:p w14:paraId="730A4CF4">
      <w:pPr>
        <w:snapToGrid w:val="0"/>
        <w:spacing w:line="300" w:lineRule="auto"/>
        <w:outlineLvl w:val="0"/>
        <w:rPr>
          <w:color w:val="auto"/>
          <w:sz w:val="24"/>
          <w:lang w:val="zh-CN" w:bidi="zh-CN"/>
        </w:rPr>
      </w:pPr>
    </w:p>
    <w:p w14:paraId="0121AB17">
      <w:pPr>
        <w:snapToGrid w:val="0"/>
        <w:spacing w:line="300" w:lineRule="auto"/>
        <w:outlineLvl w:val="0"/>
        <w:rPr>
          <w:color w:val="auto"/>
          <w:sz w:val="24"/>
          <w:lang w:val="zh-CN" w:bidi="zh-CN"/>
        </w:rPr>
      </w:pPr>
    </w:p>
    <w:p w14:paraId="04345559">
      <w:pPr>
        <w:snapToGrid w:val="0"/>
        <w:spacing w:line="300" w:lineRule="auto"/>
        <w:outlineLvl w:val="0"/>
        <w:rPr>
          <w:color w:val="auto"/>
          <w:sz w:val="24"/>
          <w:lang w:val="zh-CN" w:bidi="zh-CN"/>
        </w:rPr>
      </w:pPr>
    </w:p>
    <w:p w14:paraId="43FE73C1">
      <w:pPr>
        <w:snapToGrid w:val="0"/>
        <w:spacing w:line="300" w:lineRule="auto"/>
        <w:jc w:val="center"/>
        <w:outlineLvl w:val="0"/>
        <w:rPr>
          <w:color w:val="auto"/>
          <w:sz w:val="24"/>
          <w:lang w:val="zh-CN" w:bidi="zh-CN"/>
        </w:rPr>
      </w:pPr>
      <w:r>
        <w:rPr>
          <w:rFonts w:hint="eastAsia"/>
          <w:color w:val="auto"/>
          <w:sz w:val="24"/>
          <w:lang w:val="zh-CN" w:bidi="zh-CN"/>
        </w:rPr>
        <w:t xml:space="preserve">                      </w:t>
      </w:r>
      <w:r>
        <w:rPr>
          <w:color w:val="auto"/>
          <w:sz w:val="24"/>
          <w:lang w:val="zh-CN" w:bidi="zh-CN"/>
        </w:rPr>
        <w:t>企业名称（盖章）：</w:t>
      </w:r>
    </w:p>
    <w:p w14:paraId="732AA983">
      <w:pPr>
        <w:snapToGrid w:val="0"/>
        <w:spacing w:line="300" w:lineRule="auto"/>
        <w:jc w:val="center"/>
        <w:outlineLvl w:val="0"/>
        <w:rPr>
          <w:color w:val="auto"/>
          <w:sz w:val="24"/>
          <w:lang w:val="zh-CN" w:bidi="zh-CN"/>
        </w:rPr>
      </w:pPr>
      <w:r>
        <w:rPr>
          <w:rFonts w:hint="eastAsia"/>
          <w:color w:val="auto"/>
          <w:sz w:val="24"/>
          <w:lang w:val="zh-CN" w:bidi="zh-CN"/>
        </w:rPr>
        <w:t xml:space="preserve">          </w:t>
      </w:r>
      <w:r>
        <w:rPr>
          <w:color w:val="auto"/>
          <w:sz w:val="24"/>
          <w:lang w:val="zh-CN" w:bidi="zh-CN"/>
        </w:rPr>
        <w:t>日期：</w:t>
      </w:r>
    </w:p>
    <w:p w14:paraId="1BC888A4">
      <w:pPr>
        <w:snapToGrid w:val="0"/>
        <w:spacing w:line="460" w:lineRule="exact"/>
        <w:ind w:firstLine="560" w:firstLineChars="200"/>
        <w:outlineLvl w:val="0"/>
        <w:rPr>
          <w:rFonts w:ascii="宋体" w:hAnsi="宋体" w:cs="宋体"/>
          <w:color w:val="auto"/>
          <w:sz w:val="28"/>
          <w:szCs w:val="28"/>
        </w:rPr>
      </w:pPr>
    </w:p>
    <w:p w14:paraId="4DC02080">
      <w:pPr>
        <w:snapToGrid w:val="0"/>
        <w:spacing w:line="300" w:lineRule="auto"/>
        <w:outlineLvl w:val="0"/>
        <w:rPr>
          <w:rFonts w:ascii="宋体" w:hAnsi="宋体" w:cs="宋体"/>
          <w:color w:val="auto"/>
          <w:sz w:val="28"/>
          <w:szCs w:val="28"/>
        </w:rPr>
      </w:pPr>
    </w:p>
    <w:p w14:paraId="2798EBC6">
      <w:pPr>
        <w:pStyle w:val="34"/>
        <w:ind w:firstLine="280"/>
        <w:rPr>
          <w:rFonts w:ascii="宋体" w:hAnsi="宋体" w:cs="宋体"/>
          <w:color w:val="auto"/>
          <w:sz w:val="28"/>
          <w:szCs w:val="28"/>
        </w:rPr>
      </w:pPr>
    </w:p>
    <w:p w14:paraId="2F1560DA">
      <w:pPr>
        <w:pStyle w:val="34"/>
        <w:ind w:firstLine="280"/>
        <w:rPr>
          <w:rFonts w:ascii="宋体" w:hAnsi="宋体" w:cs="宋体"/>
          <w:color w:val="auto"/>
          <w:sz w:val="28"/>
          <w:szCs w:val="28"/>
        </w:rPr>
      </w:pPr>
    </w:p>
    <w:p w14:paraId="5BA2872C">
      <w:pPr>
        <w:pStyle w:val="34"/>
        <w:ind w:firstLine="320"/>
        <w:rPr>
          <w:rFonts w:ascii="宋体" w:hAnsi="宋体" w:cs="宋体"/>
          <w:color w:val="auto"/>
          <w:sz w:val="32"/>
          <w:szCs w:val="32"/>
        </w:rPr>
      </w:pPr>
    </w:p>
    <w:p w14:paraId="2429BBE4">
      <w:pPr>
        <w:pStyle w:val="34"/>
        <w:ind w:firstLine="320"/>
        <w:rPr>
          <w:rFonts w:ascii="宋体" w:hAnsi="宋体" w:cs="宋体"/>
          <w:color w:val="auto"/>
          <w:sz w:val="32"/>
          <w:szCs w:val="32"/>
        </w:rPr>
      </w:pPr>
    </w:p>
    <w:p w14:paraId="76D4E32B">
      <w:pPr>
        <w:rPr>
          <w:rFonts w:ascii="宋体" w:hAnsi="宋体" w:cs="宋体"/>
          <w:color w:val="auto"/>
          <w:sz w:val="32"/>
          <w:szCs w:val="32"/>
        </w:rPr>
      </w:pPr>
      <w:r>
        <w:rPr>
          <w:rFonts w:hint="eastAsia" w:ascii="宋体" w:hAnsi="宋体" w:cs="宋体"/>
          <w:color w:val="auto"/>
          <w:sz w:val="32"/>
          <w:szCs w:val="32"/>
        </w:rPr>
        <w:br w:type="page"/>
      </w:r>
    </w:p>
    <w:p w14:paraId="5954641E">
      <w:pPr>
        <w:pStyle w:val="34"/>
        <w:ind w:firstLine="320"/>
        <w:rPr>
          <w:rFonts w:ascii="宋体" w:hAnsi="宋体" w:cs="宋体"/>
          <w:color w:val="auto"/>
          <w:sz w:val="28"/>
          <w:szCs w:val="28"/>
        </w:rPr>
      </w:pPr>
      <w:r>
        <w:rPr>
          <w:rFonts w:hint="eastAsia" w:ascii="宋体" w:hAnsi="宋体" w:cs="宋体"/>
          <w:color w:val="auto"/>
          <w:sz w:val="32"/>
          <w:szCs w:val="32"/>
        </w:rPr>
        <w:t>附件12</w:t>
      </w:r>
    </w:p>
    <w:p w14:paraId="6AC9EAB1">
      <w:pPr>
        <w:spacing w:line="460" w:lineRule="exact"/>
        <w:jc w:val="center"/>
        <w:rPr>
          <w:rFonts w:ascii="宋体" w:hAnsi="宋体" w:cs="宋体"/>
          <w:b/>
          <w:color w:val="auto"/>
          <w:sz w:val="32"/>
          <w:szCs w:val="32"/>
        </w:rPr>
      </w:pPr>
      <w:r>
        <w:rPr>
          <w:rFonts w:hint="eastAsia" w:ascii="宋体" w:hAnsi="宋体" w:cs="宋体"/>
          <w:b/>
          <w:color w:val="auto"/>
          <w:sz w:val="32"/>
          <w:szCs w:val="32"/>
        </w:rPr>
        <w:t>残疾人福利性单位声明函</w:t>
      </w:r>
    </w:p>
    <w:p w14:paraId="56203C2B">
      <w:pPr>
        <w:spacing w:line="588" w:lineRule="exact"/>
        <w:ind w:firstLine="560" w:firstLineChars="200"/>
        <w:rPr>
          <w:rFonts w:ascii="宋体" w:hAnsi="宋体" w:cs="宋体"/>
          <w:color w:val="auto"/>
          <w:sz w:val="28"/>
          <w:szCs w:val="28"/>
        </w:rPr>
      </w:pPr>
    </w:p>
    <w:p w14:paraId="4FE4176E">
      <w:pPr>
        <w:spacing w:line="588" w:lineRule="exact"/>
        <w:ind w:firstLine="560" w:firstLineChars="200"/>
        <w:rPr>
          <w:rFonts w:ascii="宋体" w:hAnsi="宋体" w:cs="宋体"/>
          <w:color w:val="auto"/>
          <w:sz w:val="28"/>
          <w:szCs w:val="28"/>
        </w:rPr>
      </w:pPr>
      <w:r>
        <w:rPr>
          <w:rFonts w:hint="eastAsia" w:ascii="宋体" w:hAnsi="宋体" w:cs="宋体"/>
          <w:color w:val="auto"/>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color w:val="auto"/>
          <w:sz w:val="28"/>
          <w:szCs w:val="28"/>
          <w:u w:val="single"/>
        </w:rPr>
        <w:t xml:space="preserve">       </w:t>
      </w:r>
      <w:r>
        <w:rPr>
          <w:rFonts w:hint="eastAsia" w:ascii="宋体" w:hAnsi="宋体" w:cs="宋体"/>
          <w:color w:val="auto"/>
          <w:sz w:val="28"/>
          <w:szCs w:val="28"/>
        </w:rPr>
        <w:t>项目采购活动提供本单位制造的货物（由本单位承担工程/提供服务），或者提供其他残疾人福利性单位制造的货物（不包括使用非残疾人福利性单位注册商标的货物）。</w:t>
      </w:r>
    </w:p>
    <w:p w14:paraId="34C23CF0">
      <w:pPr>
        <w:spacing w:line="588" w:lineRule="exact"/>
        <w:ind w:firstLine="560" w:firstLineChars="200"/>
        <w:rPr>
          <w:rFonts w:ascii="宋体" w:hAnsi="宋体" w:cs="宋体"/>
          <w:color w:val="auto"/>
          <w:sz w:val="28"/>
          <w:szCs w:val="28"/>
        </w:rPr>
      </w:pPr>
      <w:r>
        <w:rPr>
          <w:rFonts w:hint="eastAsia" w:ascii="宋体" w:hAnsi="宋体" w:cs="宋体"/>
          <w:color w:val="auto"/>
          <w:sz w:val="28"/>
          <w:szCs w:val="28"/>
        </w:rPr>
        <w:t>本单位对上述声明的真实性负责。如有虚假，将依法承担相应责任。</w:t>
      </w:r>
    </w:p>
    <w:p w14:paraId="50470AC5">
      <w:pPr>
        <w:spacing w:line="588" w:lineRule="exact"/>
        <w:ind w:firstLine="560" w:firstLineChars="200"/>
        <w:rPr>
          <w:rFonts w:ascii="宋体" w:hAnsi="宋体" w:cs="宋体"/>
          <w:color w:val="auto"/>
          <w:sz w:val="28"/>
          <w:szCs w:val="28"/>
        </w:rPr>
      </w:pPr>
    </w:p>
    <w:p w14:paraId="69C1775F">
      <w:pPr>
        <w:spacing w:line="588" w:lineRule="exact"/>
        <w:ind w:firstLine="584" w:firstLineChars="200"/>
        <w:rPr>
          <w:rFonts w:ascii="宋体" w:hAnsi="宋体" w:cs="宋体"/>
          <w:color w:val="auto"/>
          <w:spacing w:val="6"/>
          <w:sz w:val="28"/>
          <w:szCs w:val="28"/>
        </w:rPr>
      </w:pPr>
    </w:p>
    <w:p w14:paraId="30471EF9">
      <w:pPr>
        <w:spacing w:line="588" w:lineRule="exact"/>
        <w:ind w:firstLine="584" w:firstLineChars="200"/>
        <w:rPr>
          <w:rFonts w:ascii="宋体" w:hAnsi="宋体" w:cs="宋体"/>
          <w:color w:val="auto"/>
          <w:spacing w:val="6"/>
          <w:sz w:val="28"/>
          <w:szCs w:val="28"/>
        </w:rPr>
      </w:pPr>
    </w:p>
    <w:p w14:paraId="64D3A093">
      <w:pPr>
        <w:spacing w:line="588" w:lineRule="exact"/>
        <w:ind w:firstLine="584" w:firstLineChars="200"/>
        <w:rPr>
          <w:rFonts w:ascii="宋体" w:hAnsi="宋体" w:cs="宋体"/>
          <w:color w:val="auto"/>
          <w:spacing w:val="6"/>
          <w:sz w:val="28"/>
          <w:szCs w:val="28"/>
        </w:rPr>
      </w:pPr>
    </w:p>
    <w:p w14:paraId="15F59C8A">
      <w:pPr>
        <w:spacing w:line="588" w:lineRule="exact"/>
        <w:ind w:firstLine="584" w:firstLineChars="200"/>
        <w:rPr>
          <w:rFonts w:ascii="宋体" w:hAnsi="宋体" w:cs="宋体"/>
          <w:color w:val="auto"/>
          <w:spacing w:val="6"/>
          <w:sz w:val="28"/>
          <w:szCs w:val="28"/>
        </w:rPr>
      </w:pPr>
    </w:p>
    <w:p w14:paraId="06918677">
      <w:pPr>
        <w:tabs>
          <w:tab w:val="left" w:pos="4860"/>
        </w:tabs>
        <w:spacing w:line="588" w:lineRule="exact"/>
        <w:ind w:right="1560" w:firstLine="584" w:firstLineChars="200"/>
        <w:jc w:val="center"/>
        <w:rPr>
          <w:rFonts w:ascii="宋体" w:hAnsi="宋体" w:cs="宋体"/>
          <w:color w:val="auto"/>
          <w:sz w:val="28"/>
          <w:szCs w:val="28"/>
        </w:rPr>
      </w:pPr>
      <w:r>
        <w:rPr>
          <w:rFonts w:hint="eastAsia" w:ascii="宋体" w:hAnsi="宋体" w:cs="宋体"/>
          <w:color w:val="auto"/>
          <w:spacing w:val="6"/>
          <w:sz w:val="28"/>
          <w:szCs w:val="28"/>
        </w:rPr>
        <w:t xml:space="preserve">             </w:t>
      </w:r>
      <w:r>
        <w:rPr>
          <w:rFonts w:hint="eastAsia" w:ascii="宋体" w:hAnsi="宋体" w:cs="宋体"/>
          <w:color w:val="auto"/>
          <w:sz w:val="28"/>
          <w:szCs w:val="28"/>
        </w:rPr>
        <w:t xml:space="preserve">           供应商全称（盖章）：</w:t>
      </w:r>
    </w:p>
    <w:p w14:paraId="613541F0">
      <w:pPr>
        <w:tabs>
          <w:tab w:val="left" w:pos="4860"/>
        </w:tabs>
        <w:spacing w:line="588" w:lineRule="exact"/>
        <w:ind w:right="1560" w:firstLine="560" w:firstLineChars="200"/>
        <w:jc w:val="center"/>
        <w:rPr>
          <w:rFonts w:ascii="宋体" w:hAnsi="宋体" w:cs="宋体"/>
          <w:color w:val="auto"/>
          <w:sz w:val="28"/>
          <w:szCs w:val="28"/>
        </w:rPr>
      </w:pPr>
      <w:r>
        <w:rPr>
          <w:rFonts w:hint="eastAsia" w:ascii="宋体" w:hAnsi="宋体" w:cs="宋体"/>
          <w:color w:val="auto"/>
          <w:sz w:val="28"/>
          <w:szCs w:val="28"/>
        </w:rPr>
        <w:t xml:space="preserve">              日  期：</w:t>
      </w:r>
    </w:p>
    <w:p w14:paraId="2806D981">
      <w:pPr>
        <w:ind w:firstLine="420"/>
        <w:rPr>
          <w:rFonts w:ascii="宋体" w:hAnsi="宋体" w:cs="宋体"/>
          <w:color w:val="auto"/>
          <w:sz w:val="28"/>
          <w:szCs w:val="28"/>
        </w:rPr>
      </w:pPr>
    </w:p>
    <w:p w14:paraId="1548B69D">
      <w:pPr>
        <w:snapToGrid w:val="0"/>
        <w:spacing w:line="300" w:lineRule="auto"/>
        <w:outlineLvl w:val="0"/>
        <w:rPr>
          <w:rFonts w:ascii="宋体" w:hAnsi="宋体" w:cs="宋体"/>
          <w:color w:val="auto"/>
          <w:sz w:val="28"/>
          <w:szCs w:val="28"/>
        </w:rPr>
      </w:pPr>
    </w:p>
    <w:p w14:paraId="29E1C98E">
      <w:pPr>
        <w:snapToGrid w:val="0"/>
        <w:spacing w:line="300" w:lineRule="auto"/>
        <w:outlineLvl w:val="0"/>
        <w:rPr>
          <w:rFonts w:ascii="宋体" w:hAnsi="宋体" w:cs="宋体"/>
          <w:color w:val="auto"/>
          <w:sz w:val="28"/>
          <w:szCs w:val="28"/>
        </w:rPr>
      </w:pPr>
    </w:p>
    <w:p w14:paraId="71266CA4">
      <w:pPr>
        <w:snapToGrid w:val="0"/>
        <w:spacing w:line="300" w:lineRule="auto"/>
        <w:outlineLvl w:val="0"/>
        <w:rPr>
          <w:rFonts w:ascii="宋体" w:hAnsi="宋体" w:cs="宋体"/>
          <w:color w:val="auto"/>
          <w:sz w:val="28"/>
          <w:szCs w:val="28"/>
        </w:rPr>
      </w:pPr>
    </w:p>
    <w:p w14:paraId="3AF74045">
      <w:pPr>
        <w:snapToGrid w:val="0"/>
        <w:spacing w:line="300" w:lineRule="auto"/>
        <w:outlineLvl w:val="0"/>
        <w:rPr>
          <w:rFonts w:ascii="宋体" w:hAnsi="宋体" w:cs="宋体"/>
          <w:color w:val="auto"/>
          <w:sz w:val="32"/>
          <w:szCs w:val="32"/>
        </w:rPr>
      </w:pPr>
    </w:p>
    <w:p w14:paraId="2BB120FF">
      <w:pPr>
        <w:snapToGrid w:val="0"/>
        <w:spacing w:line="300" w:lineRule="auto"/>
        <w:outlineLvl w:val="0"/>
        <w:rPr>
          <w:rFonts w:ascii="宋体" w:hAnsi="宋体" w:cs="宋体"/>
          <w:color w:val="auto"/>
          <w:sz w:val="32"/>
          <w:szCs w:val="32"/>
        </w:rPr>
      </w:pPr>
    </w:p>
    <w:p w14:paraId="3C017BC8">
      <w:pPr>
        <w:snapToGrid w:val="0"/>
        <w:spacing w:line="300" w:lineRule="auto"/>
        <w:outlineLvl w:val="0"/>
        <w:rPr>
          <w:rFonts w:ascii="宋体" w:hAnsi="宋体" w:cs="宋体"/>
          <w:color w:val="auto"/>
          <w:sz w:val="32"/>
          <w:szCs w:val="32"/>
        </w:rPr>
      </w:pPr>
    </w:p>
    <w:p w14:paraId="0364317A">
      <w:pPr>
        <w:snapToGrid w:val="0"/>
        <w:spacing w:line="300" w:lineRule="auto"/>
        <w:outlineLvl w:val="0"/>
        <w:rPr>
          <w:rFonts w:ascii="宋体" w:hAnsi="宋体" w:cs="宋体"/>
          <w:color w:val="auto"/>
          <w:sz w:val="28"/>
          <w:szCs w:val="28"/>
        </w:rPr>
      </w:pPr>
      <w:r>
        <w:rPr>
          <w:rFonts w:hint="eastAsia" w:ascii="宋体" w:hAnsi="宋体" w:cs="宋体"/>
          <w:color w:val="auto"/>
          <w:sz w:val="32"/>
          <w:szCs w:val="32"/>
        </w:rPr>
        <w:t>附件13</w:t>
      </w:r>
    </w:p>
    <w:p w14:paraId="10819808">
      <w:pPr>
        <w:snapToGrid w:val="0"/>
        <w:spacing w:line="420" w:lineRule="exact"/>
        <w:jc w:val="center"/>
        <w:outlineLvl w:val="3"/>
        <w:rPr>
          <w:rFonts w:ascii="宋体" w:hAnsi="宋体" w:cs="宋体"/>
          <w:b/>
          <w:bCs/>
          <w:color w:val="auto"/>
          <w:sz w:val="32"/>
          <w:szCs w:val="32"/>
        </w:rPr>
      </w:pPr>
    </w:p>
    <w:p w14:paraId="008416A2">
      <w:pPr>
        <w:snapToGrid w:val="0"/>
        <w:spacing w:line="420" w:lineRule="exact"/>
        <w:jc w:val="center"/>
        <w:outlineLvl w:val="3"/>
        <w:rPr>
          <w:rFonts w:ascii="宋体" w:hAnsi="宋体" w:cs="宋体"/>
          <w:b/>
          <w:bCs/>
          <w:color w:val="auto"/>
          <w:sz w:val="32"/>
          <w:szCs w:val="32"/>
        </w:rPr>
      </w:pPr>
      <w:r>
        <w:rPr>
          <w:rFonts w:hint="eastAsia" w:ascii="宋体" w:hAnsi="宋体" w:cs="宋体"/>
          <w:b/>
          <w:bCs/>
          <w:color w:val="auto"/>
          <w:sz w:val="32"/>
          <w:szCs w:val="32"/>
        </w:rPr>
        <w:t>监狱和戒毒企业证明材料</w:t>
      </w:r>
    </w:p>
    <w:p w14:paraId="47B01994">
      <w:pPr>
        <w:snapToGrid w:val="0"/>
        <w:spacing w:line="420" w:lineRule="exact"/>
        <w:ind w:firstLine="495" w:firstLineChars="177"/>
        <w:rPr>
          <w:rFonts w:ascii="宋体" w:hAnsi="宋体" w:cs="宋体"/>
          <w:color w:val="auto"/>
          <w:sz w:val="28"/>
          <w:szCs w:val="28"/>
        </w:rPr>
      </w:pPr>
    </w:p>
    <w:p w14:paraId="58A06BA0">
      <w:pPr>
        <w:snapToGrid w:val="0"/>
        <w:spacing w:line="420" w:lineRule="exact"/>
        <w:ind w:firstLine="498" w:firstLineChars="177"/>
        <w:jc w:val="center"/>
        <w:rPr>
          <w:rFonts w:ascii="宋体" w:hAnsi="宋体" w:cs="宋体"/>
          <w:b/>
          <w:color w:val="auto"/>
          <w:sz w:val="28"/>
          <w:szCs w:val="28"/>
        </w:rPr>
      </w:pPr>
      <w:r>
        <w:rPr>
          <w:rFonts w:hint="eastAsia" w:ascii="宋体" w:hAnsi="宋体" w:cs="宋体"/>
          <w:b/>
          <w:color w:val="auto"/>
          <w:sz w:val="28"/>
          <w:szCs w:val="28"/>
        </w:rPr>
        <w:t>（格式自拟）</w:t>
      </w:r>
    </w:p>
    <w:p w14:paraId="14D6780F">
      <w:pPr>
        <w:snapToGrid w:val="0"/>
        <w:spacing w:line="420" w:lineRule="exact"/>
        <w:ind w:firstLine="495" w:firstLineChars="177"/>
        <w:rPr>
          <w:rFonts w:ascii="宋体" w:hAnsi="宋体" w:cs="宋体"/>
          <w:color w:val="auto"/>
          <w:sz w:val="28"/>
          <w:szCs w:val="28"/>
        </w:rPr>
      </w:pPr>
    </w:p>
    <w:p w14:paraId="0A5F826A">
      <w:pPr>
        <w:snapToGrid w:val="0"/>
        <w:spacing w:line="420" w:lineRule="exact"/>
        <w:ind w:firstLine="660" w:firstLineChars="236"/>
        <w:rPr>
          <w:rFonts w:ascii="宋体" w:hAnsi="宋体" w:cs="宋体"/>
          <w:color w:val="auto"/>
          <w:sz w:val="28"/>
          <w:szCs w:val="28"/>
        </w:rPr>
      </w:pPr>
      <w:r>
        <w:rPr>
          <w:rFonts w:hint="eastAsia" w:ascii="宋体" w:hAnsi="宋体" w:cs="宋体"/>
          <w:color w:val="auto"/>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9137D70">
      <w:pPr>
        <w:pStyle w:val="5"/>
        <w:jc w:val="both"/>
        <w:rPr>
          <w:color w:val="auto"/>
        </w:rPr>
        <w:sectPr>
          <w:pgSz w:w="11906" w:h="16838"/>
          <w:pgMar w:top="1440" w:right="1080" w:bottom="1440" w:left="1080" w:header="851" w:footer="992" w:gutter="0"/>
          <w:cols w:space="720" w:num="1"/>
          <w:docGrid w:type="lines" w:linePitch="312" w:charSpace="0"/>
        </w:sectPr>
      </w:pPr>
    </w:p>
    <w:p w14:paraId="0574C305">
      <w:pPr>
        <w:snapToGrid w:val="0"/>
        <w:spacing w:line="400" w:lineRule="exact"/>
        <w:contextualSpacing/>
        <w:rPr>
          <w:rFonts w:ascii="宋体" w:hAnsi="宋体" w:cs="宋体"/>
          <w:b/>
          <w:color w:val="auto"/>
          <w:kern w:val="0"/>
          <w:sz w:val="28"/>
          <w:szCs w:val="28"/>
        </w:rPr>
      </w:pPr>
      <w:r>
        <w:rPr>
          <w:rFonts w:hint="eastAsia" w:ascii="宋体" w:hAnsi="宋体" w:cs="宋体"/>
          <w:color w:val="auto"/>
          <w:sz w:val="32"/>
          <w:szCs w:val="32"/>
        </w:rPr>
        <w:t>附件14</w:t>
      </w:r>
    </w:p>
    <w:p w14:paraId="7D5B78A8">
      <w:pPr>
        <w:jc w:val="center"/>
        <w:rPr>
          <w:rFonts w:ascii="宋体" w:hAnsi="宋体" w:cs="宋体"/>
          <w:bCs/>
          <w:color w:val="auto"/>
          <w:sz w:val="44"/>
          <w:szCs w:val="44"/>
        </w:rPr>
      </w:pPr>
      <w:r>
        <w:rPr>
          <w:rFonts w:hint="eastAsia" w:ascii="宋体" w:hAnsi="宋体" w:cs="宋体"/>
          <w:bCs/>
          <w:color w:val="auto"/>
          <w:sz w:val="44"/>
          <w:szCs w:val="44"/>
        </w:rPr>
        <w:t>质疑函范本</w:t>
      </w:r>
    </w:p>
    <w:p w14:paraId="7B01B42D">
      <w:pPr>
        <w:adjustRightInd w:val="0"/>
        <w:snapToGrid w:val="0"/>
        <w:spacing w:before="312" w:beforeLines="100" w:line="460" w:lineRule="exact"/>
        <w:rPr>
          <w:rFonts w:ascii="宋体" w:hAnsi="宋体" w:cs="宋体"/>
          <w:bCs/>
          <w:color w:val="auto"/>
          <w:sz w:val="32"/>
          <w:szCs w:val="32"/>
        </w:rPr>
      </w:pPr>
      <w:r>
        <w:rPr>
          <w:rFonts w:hint="eastAsia" w:ascii="宋体" w:hAnsi="宋体" w:cs="宋体"/>
          <w:bCs/>
          <w:color w:val="auto"/>
          <w:sz w:val="32"/>
          <w:szCs w:val="32"/>
        </w:rPr>
        <w:t>一、质疑供应商基本信息</w:t>
      </w:r>
    </w:p>
    <w:p w14:paraId="0D9F7F7A">
      <w:pPr>
        <w:adjustRightInd w:val="0"/>
        <w:snapToGrid w:val="0"/>
        <w:spacing w:line="460" w:lineRule="exact"/>
        <w:rPr>
          <w:rFonts w:ascii="宋体" w:hAnsi="宋体" w:cs="宋体"/>
          <w:color w:val="auto"/>
          <w:sz w:val="32"/>
          <w:szCs w:val="32"/>
          <w:u w:val="dotted"/>
        </w:rPr>
      </w:pPr>
      <w:r>
        <w:rPr>
          <w:rFonts w:hint="eastAsia" w:ascii="宋体" w:hAnsi="宋体" w:cs="宋体"/>
          <w:color w:val="auto"/>
          <w:sz w:val="32"/>
          <w:szCs w:val="32"/>
        </w:rPr>
        <w:t>质疑供应商：</w:t>
      </w:r>
    </w:p>
    <w:p w14:paraId="789DF3BF">
      <w:pPr>
        <w:adjustRightInd w:val="0"/>
        <w:snapToGrid w:val="0"/>
        <w:spacing w:line="460" w:lineRule="exact"/>
        <w:rPr>
          <w:rFonts w:ascii="宋体" w:hAnsi="宋体" w:cs="宋体"/>
          <w:color w:val="auto"/>
          <w:sz w:val="32"/>
          <w:szCs w:val="32"/>
        </w:rPr>
      </w:pPr>
      <w:r>
        <w:rPr>
          <w:rFonts w:hint="eastAsia" w:ascii="宋体" w:hAnsi="宋体" w:cs="宋体"/>
          <w:color w:val="auto"/>
          <w:sz w:val="32"/>
          <w:szCs w:val="32"/>
        </w:rPr>
        <w:t>地址：邮编：</w:t>
      </w:r>
    </w:p>
    <w:p w14:paraId="1EC48452">
      <w:pPr>
        <w:adjustRightInd w:val="0"/>
        <w:snapToGrid w:val="0"/>
        <w:spacing w:line="460" w:lineRule="exact"/>
        <w:rPr>
          <w:rFonts w:ascii="宋体" w:hAnsi="宋体" w:cs="宋体"/>
          <w:color w:val="auto"/>
          <w:sz w:val="32"/>
          <w:szCs w:val="32"/>
        </w:rPr>
      </w:pPr>
      <w:r>
        <w:rPr>
          <w:rFonts w:hint="eastAsia" w:ascii="宋体" w:hAnsi="宋体" w:cs="宋体"/>
          <w:color w:val="auto"/>
          <w:sz w:val="32"/>
          <w:szCs w:val="32"/>
        </w:rPr>
        <w:t>联系人：联系电话：</w:t>
      </w:r>
    </w:p>
    <w:p w14:paraId="3F3E6F68">
      <w:pPr>
        <w:adjustRightInd w:val="0"/>
        <w:snapToGrid w:val="0"/>
        <w:spacing w:line="460" w:lineRule="exact"/>
        <w:rPr>
          <w:rFonts w:ascii="宋体" w:hAnsi="宋体" w:cs="宋体"/>
          <w:color w:val="auto"/>
          <w:sz w:val="32"/>
          <w:szCs w:val="32"/>
          <w:u w:val="dotted"/>
        </w:rPr>
      </w:pPr>
      <w:r>
        <w:rPr>
          <w:rFonts w:hint="eastAsia" w:ascii="宋体" w:hAnsi="宋体" w:cs="宋体"/>
          <w:color w:val="auto"/>
          <w:sz w:val="32"/>
          <w:szCs w:val="32"/>
        </w:rPr>
        <w:t>授权代表：</w:t>
      </w:r>
    </w:p>
    <w:p w14:paraId="7D547EAE">
      <w:pPr>
        <w:adjustRightInd w:val="0"/>
        <w:snapToGrid w:val="0"/>
        <w:spacing w:line="460" w:lineRule="exact"/>
        <w:rPr>
          <w:rFonts w:ascii="宋体" w:hAnsi="宋体" w:cs="宋体"/>
          <w:color w:val="auto"/>
          <w:sz w:val="32"/>
          <w:szCs w:val="32"/>
        </w:rPr>
      </w:pPr>
      <w:r>
        <w:rPr>
          <w:rFonts w:hint="eastAsia" w:ascii="宋体" w:hAnsi="宋体" w:cs="宋体"/>
          <w:color w:val="auto"/>
          <w:sz w:val="32"/>
          <w:szCs w:val="32"/>
        </w:rPr>
        <w:t>联系电话：</w:t>
      </w:r>
    </w:p>
    <w:p w14:paraId="5106FD42">
      <w:pPr>
        <w:adjustRightInd w:val="0"/>
        <w:snapToGrid w:val="0"/>
        <w:spacing w:line="460" w:lineRule="exact"/>
        <w:rPr>
          <w:rFonts w:ascii="宋体" w:hAnsi="宋体" w:cs="宋体"/>
          <w:color w:val="auto"/>
          <w:sz w:val="32"/>
          <w:szCs w:val="32"/>
        </w:rPr>
      </w:pPr>
      <w:r>
        <w:rPr>
          <w:rFonts w:hint="eastAsia" w:ascii="宋体" w:hAnsi="宋体" w:cs="宋体"/>
          <w:color w:val="auto"/>
          <w:sz w:val="32"/>
          <w:szCs w:val="32"/>
        </w:rPr>
        <w:t>地址：邮编：</w:t>
      </w:r>
    </w:p>
    <w:p w14:paraId="6FD9BFE1">
      <w:pPr>
        <w:adjustRightInd w:val="0"/>
        <w:snapToGrid w:val="0"/>
        <w:spacing w:line="460" w:lineRule="exact"/>
        <w:rPr>
          <w:rFonts w:ascii="宋体" w:hAnsi="宋体" w:cs="宋体"/>
          <w:bCs/>
          <w:color w:val="auto"/>
          <w:sz w:val="32"/>
          <w:szCs w:val="32"/>
        </w:rPr>
      </w:pPr>
      <w:r>
        <w:rPr>
          <w:rFonts w:hint="eastAsia" w:ascii="宋体" w:hAnsi="宋体" w:cs="宋体"/>
          <w:bCs/>
          <w:color w:val="auto"/>
          <w:sz w:val="32"/>
          <w:szCs w:val="32"/>
        </w:rPr>
        <w:t>二、质疑项目基本情况</w:t>
      </w:r>
    </w:p>
    <w:p w14:paraId="2A7AD8D3">
      <w:pPr>
        <w:adjustRightInd w:val="0"/>
        <w:snapToGrid w:val="0"/>
        <w:spacing w:line="460" w:lineRule="exact"/>
        <w:rPr>
          <w:rFonts w:ascii="宋体" w:hAnsi="宋体" w:cs="宋体"/>
          <w:color w:val="auto"/>
          <w:sz w:val="32"/>
          <w:szCs w:val="32"/>
        </w:rPr>
      </w:pPr>
      <w:r>
        <w:rPr>
          <w:rFonts w:hint="eastAsia" w:ascii="宋体" w:hAnsi="宋体" w:cs="宋体"/>
          <w:color w:val="auto"/>
          <w:sz w:val="32"/>
          <w:szCs w:val="32"/>
        </w:rPr>
        <w:t>质疑项目的名称：</w:t>
      </w:r>
    </w:p>
    <w:p w14:paraId="68DCAC19">
      <w:pPr>
        <w:adjustRightInd w:val="0"/>
        <w:snapToGrid w:val="0"/>
        <w:spacing w:line="460" w:lineRule="exact"/>
        <w:rPr>
          <w:rFonts w:ascii="宋体" w:hAnsi="宋体" w:cs="宋体"/>
          <w:color w:val="auto"/>
          <w:sz w:val="32"/>
          <w:szCs w:val="32"/>
        </w:rPr>
      </w:pPr>
      <w:r>
        <w:rPr>
          <w:rFonts w:hint="eastAsia" w:ascii="宋体" w:hAnsi="宋体" w:cs="宋体"/>
          <w:color w:val="auto"/>
          <w:sz w:val="32"/>
          <w:szCs w:val="32"/>
        </w:rPr>
        <w:t>质疑项目的编号：包号：</w:t>
      </w:r>
    </w:p>
    <w:p w14:paraId="1324F3C3">
      <w:pPr>
        <w:adjustRightInd w:val="0"/>
        <w:snapToGrid w:val="0"/>
        <w:spacing w:line="460" w:lineRule="exact"/>
        <w:rPr>
          <w:rFonts w:ascii="宋体" w:hAnsi="宋体" w:cs="宋体"/>
          <w:color w:val="auto"/>
          <w:sz w:val="32"/>
          <w:szCs w:val="32"/>
          <w:u w:val="dotted"/>
        </w:rPr>
      </w:pPr>
      <w:r>
        <w:rPr>
          <w:rFonts w:hint="eastAsia" w:ascii="宋体" w:hAnsi="宋体" w:cs="宋体"/>
          <w:color w:val="auto"/>
          <w:sz w:val="32"/>
          <w:szCs w:val="32"/>
        </w:rPr>
        <w:t>招标人名称：</w:t>
      </w:r>
    </w:p>
    <w:p w14:paraId="24F5F448">
      <w:pPr>
        <w:adjustRightInd w:val="0"/>
        <w:snapToGrid w:val="0"/>
        <w:spacing w:line="460" w:lineRule="exact"/>
        <w:rPr>
          <w:rFonts w:ascii="宋体" w:hAnsi="宋体" w:cs="宋体"/>
          <w:color w:val="auto"/>
          <w:sz w:val="32"/>
          <w:szCs w:val="32"/>
        </w:rPr>
      </w:pPr>
      <w:r>
        <w:rPr>
          <w:rFonts w:hint="eastAsia" w:ascii="宋体" w:hAnsi="宋体" w:cs="宋体"/>
          <w:color w:val="auto"/>
          <w:sz w:val="32"/>
          <w:szCs w:val="32"/>
        </w:rPr>
        <w:t>采购文件获取日期：</w:t>
      </w:r>
    </w:p>
    <w:p w14:paraId="237B053F">
      <w:pPr>
        <w:adjustRightInd w:val="0"/>
        <w:snapToGrid w:val="0"/>
        <w:spacing w:line="460" w:lineRule="exact"/>
        <w:rPr>
          <w:rFonts w:ascii="宋体" w:hAnsi="宋体" w:cs="宋体"/>
          <w:bCs/>
          <w:color w:val="auto"/>
          <w:sz w:val="32"/>
          <w:szCs w:val="32"/>
        </w:rPr>
      </w:pPr>
      <w:r>
        <w:rPr>
          <w:rFonts w:hint="eastAsia" w:ascii="宋体" w:hAnsi="宋体" w:cs="宋体"/>
          <w:bCs/>
          <w:color w:val="auto"/>
          <w:sz w:val="32"/>
          <w:szCs w:val="32"/>
        </w:rPr>
        <w:t>三、质疑事项具体内容</w:t>
      </w:r>
    </w:p>
    <w:p w14:paraId="631CB34A">
      <w:pPr>
        <w:adjustRightInd w:val="0"/>
        <w:snapToGrid w:val="0"/>
        <w:spacing w:line="460" w:lineRule="exact"/>
        <w:rPr>
          <w:rFonts w:ascii="宋体" w:hAnsi="宋体" w:cs="宋体"/>
          <w:color w:val="auto"/>
          <w:sz w:val="32"/>
          <w:szCs w:val="32"/>
          <w:u w:val="dotted"/>
        </w:rPr>
      </w:pPr>
      <w:r>
        <w:rPr>
          <w:rFonts w:hint="eastAsia" w:ascii="宋体" w:hAnsi="宋体" w:cs="宋体"/>
          <w:color w:val="auto"/>
          <w:sz w:val="32"/>
          <w:szCs w:val="32"/>
        </w:rPr>
        <w:t>质疑事项1：</w:t>
      </w:r>
    </w:p>
    <w:p w14:paraId="34C15862">
      <w:pPr>
        <w:adjustRightInd w:val="0"/>
        <w:snapToGrid w:val="0"/>
        <w:spacing w:line="460" w:lineRule="exact"/>
        <w:rPr>
          <w:rFonts w:ascii="宋体" w:hAnsi="宋体" w:cs="宋体"/>
          <w:color w:val="auto"/>
          <w:sz w:val="32"/>
          <w:szCs w:val="32"/>
          <w:u w:val="dotted"/>
        </w:rPr>
      </w:pPr>
      <w:r>
        <w:rPr>
          <w:rFonts w:hint="eastAsia" w:ascii="宋体" w:hAnsi="宋体" w:cs="宋体"/>
          <w:color w:val="auto"/>
          <w:sz w:val="32"/>
          <w:szCs w:val="32"/>
        </w:rPr>
        <w:t>事实依据：</w:t>
      </w:r>
    </w:p>
    <w:p w14:paraId="70385DD2">
      <w:pPr>
        <w:adjustRightInd w:val="0"/>
        <w:snapToGrid w:val="0"/>
        <w:spacing w:line="460" w:lineRule="exact"/>
        <w:rPr>
          <w:rFonts w:ascii="宋体" w:hAnsi="宋体" w:cs="宋体"/>
          <w:color w:val="auto"/>
          <w:sz w:val="32"/>
          <w:szCs w:val="32"/>
        </w:rPr>
      </w:pPr>
    </w:p>
    <w:p w14:paraId="56EFAFDF">
      <w:pPr>
        <w:adjustRightInd w:val="0"/>
        <w:snapToGrid w:val="0"/>
        <w:spacing w:line="460" w:lineRule="exact"/>
        <w:rPr>
          <w:rFonts w:ascii="宋体" w:hAnsi="宋体" w:cs="宋体"/>
          <w:color w:val="auto"/>
          <w:sz w:val="32"/>
          <w:szCs w:val="32"/>
          <w:u w:val="dotted"/>
        </w:rPr>
      </w:pPr>
      <w:r>
        <w:rPr>
          <w:rFonts w:hint="eastAsia" w:ascii="宋体" w:hAnsi="宋体" w:cs="宋体"/>
          <w:color w:val="auto"/>
          <w:sz w:val="32"/>
          <w:szCs w:val="32"/>
        </w:rPr>
        <w:t>法律依据：</w:t>
      </w:r>
    </w:p>
    <w:p w14:paraId="1D11D744">
      <w:pPr>
        <w:adjustRightInd w:val="0"/>
        <w:snapToGrid w:val="0"/>
        <w:spacing w:line="460" w:lineRule="exact"/>
        <w:rPr>
          <w:rFonts w:ascii="宋体" w:hAnsi="宋体" w:cs="宋体"/>
          <w:color w:val="auto"/>
          <w:sz w:val="32"/>
          <w:szCs w:val="32"/>
          <w:u w:val="dotted"/>
        </w:rPr>
      </w:pPr>
    </w:p>
    <w:p w14:paraId="4FC23188">
      <w:pPr>
        <w:adjustRightInd w:val="0"/>
        <w:snapToGrid w:val="0"/>
        <w:spacing w:line="460" w:lineRule="exact"/>
        <w:rPr>
          <w:rFonts w:ascii="宋体" w:hAnsi="宋体" w:cs="宋体"/>
          <w:color w:val="auto"/>
          <w:sz w:val="32"/>
          <w:szCs w:val="32"/>
          <w:u w:val="dotted"/>
        </w:rPr>
      </w:pPr>
      <w:r>
        <w:rPr>
          <w:rFonts w:hint="eastAsia" w:ascii="宋体" w:hAnsi="宋体" w:cs="宋体"/>
          <w:color w:val="auto"/>
          <w:sz w:val="32"/>
          <w:szCs w:val="32"/>
        </w:rPr>
        <w:t>质疑事项2</w:t>
      </w:r>
    </w:p>
    <w:p w14:paraId="0F685B94">
      <w:pPr>
        <w:adjustRightInd w:val="0"/>
        <w:snapToGrid w:val="0"/>
        <w:spacing w:line="460" w:lineRule="exact"/>
        <w:rPr>
          <w:rFonts w:ascii="宋体" w:hAnsi="宋体" w:cs="宋体"/>
          <w:color w:val="auto"/>
          <w:sz w:val="32"/>
          <w:szCs w:val="32"/>
        </w:rPr>
      </w:pPr>
      <w:r>
        <w:rPr>
          <w:rFonts w:hint="eastAsia" w:ascii="宋体" w:hAnsi="宋体" w:cs="宋体"/>
          <w:color w:val="auto"/>
          <w:sz w:val="32"/>
          <w:szCs w:val="32"/>
        </w:rPr>
        <w:t>……</w:t>
      </w:r>
    </w:p>
    <w:p w14:paraId="11474D8B">
      <w:pPr>
        <w:adjustRightInd w:val="0"/>
        <w:snapToGrid w:val="0"/>
        <w:spacing w:line="460" w:lineRule="exact"/>
        <w:rPr>
          <w:rFonts w:ascii="宋体" w:hAnsi="宋体" w:cs="宋体"/>
          <w:bCs/>
          <w:color w:val="auto"/>
          <w:sz w:val="32"/>
          <w:szCs w:val="32"/>
        </w:rPr>
      </w:pPr>
      <w:r>
        <w:rPr>
          <w:rFonts w:hint="eastAsia" w:ascii="宋体" w:hAnsi="宋体" w:cs="宋体"/>
          <w:bCs/>
          <w:color w:val="auto"/>
          <w:sz w:val="32"/>
          <w:szCs w:val="32"/>
        </w:rPr>
        <w:t>四、与质疑事项相关的质疑请求</w:t>
      </w:r>
    </w:p>
    <w:p w14:paraId="52C1B208">
      <w:pPr>
        <w:adjustRightInd w:val="0"/>
        <w:snapToGrid w:val="0"/>
        <w:spacing w:line="460" w:lineRule="exact"/>
        <w:rPr>
          <w:rFonts w:ascii="宋体" w:hAnsi="宋体" w:cs="宋体"/>
          <w:color w:val="auto"/>
          <w:sz w:val="32"/>
          <w:szCs w:val="32"/>
          <w:u w:val="dotted"/>
        </w:rPr>
      </w:pPr>
      <w:r>
        <w:rPr>
          <w:rFonts w:hint="eastAsia" w:ascii="宋体" w:hAnsi="宋体" w:cs="宋体"/>
          <w:color w:val="auto"/>
          <w:sz w:val="32"/>
          <w:szCs w:val="32"/>
        </w:rPr>
        <w:t>请求：</w:t>
      </w:r>
    </w:p>
    <w:p w14:paraId="1A4B91E3">
      <w:pPr>
        <w:spacing w:line="460" w:lineRule="exact"/>
        <w:rPr>
          <w:rFonts w:ascii="宋体" w:hAnsi="宋体" w:cs="宋体"/>
          <w:color w:val="auto"/>
          <w:sz w:val="30"/>
          <w:szCs w:val="30"/>
        </w:rPr>
      </w:pPr>
      <w:r>
        <w:rPr>
          <w:rFonts w:hint="eastAsia" w:ascii="宋体" w:hAnsi="宋体" w:cs="宋体"/>
          <w:color w:val="auto"/>
          <w:sz w:val="30"/>
          <w:szCs w:val="30"/>
        </w:rPr>
        <w:t xml:space="preserve">签字(签章)：                   公章：                      </w:t>
      </w:r>
    </w:p>
    <w:p w14:paraId="29E10068">
      <w:pPr>
        <w:spacing w:line="460" w:lineRule="exact"/>
        <w:rPr>
          <w:rFonts w:ascii="宋体" w:hAnsi="宋体" w:cs="宋体"/>
          <w:color w:val="auto"/>
          <w:sz w:val="30"/>
          <w:szCs w:val="30"/>
        </w:rPr>
      </w:pPr>
      <w:r>
        <w:rPr>
          <w:rFonts w:hint="eastAsia" w:ascii="宋体" w:hAnsi="宋体" w:cs="宋体"/>
          <w:color w:val="auto"/>
          <w:sz w:val="30"/>
          <w:szCs w:val="30"/>
        </w:rPr>
        <w:t xml:space="preserve">日期：    </w:t>
      </w:r>
    </w:p>
    <w:p w14:paraId="0F3BC03E">
      <w:pPr>
        <w:adjustRightInd w:val="0"/>
        <w:snapToGrid w:val="0"/>
        <w:spacing w:line="360" w:lineRule="auto"/>
        <w:rPr>
          <w:rFonts w:ascii="宋体" w:hAnsi="宋体" w:cs="宋体"/>
          <w:color w:val="auto"/>
          <w:sz w:val="32"/>
          <w:szCs w:val="32"/>
        </w:rPr>
      </w:pPr>
    </w:p>
    <w:p w14:paraId="6CE80383">
      <w:pPr>
        <w:rPr>
          <w:rFonts w:ascii="宋体" w:hAnsi="宋体" w:cs="宋体"/>
          <w:b/>
          <w:color w:val="auto"/>
          <w:sz w:val="32"/>
          <w:szCs w:val="32"/>
        </w:rPr>
      </w:pPr>
    </w:p>
    <w:p w14:paraId="6DF269E6">
      <w:pPr>
        <w:rPr>
          <w:rFonts w:ascii="宋体" w:hAnsi="宋体" w:cs="宋体"/>
          <w:b/>
          <w:color w:val="auto"/>
          <w:sz w:val="32"/>
          <w:szCs w:val="32"/>
        </w:rPr>
      </w:pPr>
      <w:r>
        <w:rPr>
          <w:rFonts w:hint="eastAsia" w:ascii="宋体" w:hAnsi="宋体" w:cs="宋体"/>
          <w:b/>
          <w:color w:val="auto"/>
          <w:sz w:val="32"/>
          <w:szCs w:val="32"/>
        </w:rPr>
        <w:t>质疑函制作说明：</w:t>
      </w:r>
    </w:p>
    <w:p w14:paraId="4CD7836F">
      <w:pPr>
        <w:widowControl/>
        <w:ind w:firstLine="640" w:firstLineChars="200"/>
        <w:jc w:val="left"/>
        <w:rPr>
          <w:rFonts w:ascii="宋体" w:hAnsi="宋体" w:cs="宋体"/>
          <w:color w:val="auto"/>
          <w:sz w:val="32"/>
          <w:szCs w:val="32"/>
        </w:rPr>
      </w:pPr>
      <w:r>
        <w:rPr>
          <w:rFonts w:hint="eastAsia" w:ascii="宋体" w:hAnsi="宋体" w:cs="宋体"/>
          <w:color w:val="auto"/>
          <w:sz w:val="32"/>
          <w:szCs w:val="32"/>
        </w:rPr>
        <w:t>1.供应商提出质疑时，应提交质疑函和必要的证明材料。</w:t>
      </w:r>
    </w:p>
    <w:p w14:paraId="3DCE4677">
      <w:pPr>
        <w:widowControl/>
        <w:ind w:firstLine="640" w:firstLineChars="200"/>
        <w:jc w:val="left"/>
        <w:rPr>
          <w:rFonts w:ascii="宋体" w:hAnsi="宋体" w:cs="宋体"/>
          <w:color w:val="auto"/>
          <w:sz w:val="32"/>
          <w:szCs w:val="32"/>
        </w:rPr>
      </w:pPr>
      <w:r>
        <w:rPr>
          <w:rFonts w:hint="eastAsia" w:ascii="宋体" w:hAnsi="宋体" w:cs="宋体"/>
          <w:color w:val="auto"/>
          <w:sz w:val="32"/>
          <w:szCs w:val="32"/>
        </w:rPr>
        <w:t>2.质疑供应商若委托代理人进行质疑的，质疑函应按要求列明“授权代表”的有关内容，并在附件中提交由质疑</w:t>
      </w:r>
      <w:r>
        <w:rPr>
          <w:rFonts w:hint="eastAsia" w:ascii="宋体" w:hAnsi="宋体" w:cs="宋体"/>
          <w:color w:val="auto"/>
          <w:kern w:val="0"/>
          <w:sz w:val="32"/>
          <w:szCs w:val="32"/>
        </w:rPr>
        <w:t>供应商签署的授权委托书。授权委托书应载明代理人的姓名或者名称、代理事项、具体权限、期限和相关事项。</w:t>
      </w:r>
    </w:p>
    <w:p w14:paraId="6D10D880">
      <w:pPr>
        <w:widowControl/>
        <w:ind w:firstLine="640" w:firstLineChars="200"/>
        <w:jc w:val="left"/>
        <w:rPr>
          <w:rFonts w:ascii="宋体" w:hAnsi="宋体" w:cs="宋体"/>
          <w:color w:val="auto"/>
          <w:sz w:val="32"/>
          <w:szCs w:val="32"/>
        </w:rPr>
      </w:pPr>
      <w:r>
        <w:rPr>
          <w:rFonts w:hint="eastAsia" w:ascii="宋体" w:hAnsi="宋体" w:cs="宋体"/>
          <w:color w:val="auto"/>
          <w:sz w:val="32"/>
          <w:szCs w:val="32"/>
        </w:rPr>
        <w:t>3.质疑供应商若对项目的某一分包进行质疑，质疑函中应列明具体分包号。</w:t>
      </w:r>
    </w:p>
    <w:p w14:paraId="1BC846BB">
      <w:pPr>
        <w:widowControl/>
        <w:ind w:firstLine="640" w:firstLineChars="200"/>
        <w:jc w:val="left"/>
        <w:rPr>
          <w:rFonts w:ascii="宋体" w:hAnsi="宋体" w:cs="宋体"/>
          <w:color w:val="auto"/>
          <w:sz w:val="32"/>
          <w:szCs w:val="32"/>
        </w:rPr>
      </w:pPr>
      <w:r>
        <w:rPr>
          <w:rFonts w:hint="eastAsia" w:ascii="宋体" w:hAnsi="宋体" w:cs="宋体"/>
          <w:color w:val="auto"/>
          <w:sz w:val="32"/>
          <w:szCs w:val="32"/>
        </w:rPr>
        <w:t>4.质疑函的质疑事项应具体、明确，并有必要的事实依据和法律依据。</w:t>
      </w:r>
    </w:p>
    <w:p w14:paraId="1209A5E5">
      <w:pPr>
        <w:widowControl/>
        <w:ind w:firstLine="640" w:firstLineChars="200"/>
        <w:jc w:val="left"/>
        <w:rPr>
          <w:rFonts w:ascii="宋体" w:hAnsi="宋体" w:cs="宋体"/>
          <w:color w:val="auto"/>
          <w:sz w:val="32"/>
          <w:szCs w:val="32"/>
        </w:rPr>
      </w:pPr>
      <w:r>
        <w:rPr>
          <w:rFonts w:hint="eastAsia" w:ascii="宋体" w:hAnsi="宋体" w:cs="宋体"/>
          <w:color w:val="auto"/>
          <w:sz w:val="32"/>
          <w:szCs w:val="32"/>
        </w:rPr>
        <w:t>5.质疑函的质疑请求应与质疑事项相关。</w:t>
      </w:r>
    </w:p>
    <w:p w14:paraId="70C849F9">
      <w:pPr>
        <w:widowControl/>
        <w:ind w:firstLine="640" w:firstLineChars="200"/>
        <w:jc w:val="left"/>
        <w:rPr>
          <w:rFonts w:ascii="宋体" w:hAnsi="宋体" w:cs="宋体"/>
          <w:color w:val="auto"/>
          <w:sz w:val="32"/>
          <w:szCs w:val="32"/>
        </w:rPr>
      </w:pPr>
      <w:r>
        <w:rPr>
          <w:rFonts w:hint="eastAsia" w:ascii="宋体" w:hAnsi="宋体" w:cs="宋体"/>
          <w:color w:val="auto"/>
          <w:sz w:val="32"/>
          <w:szCs w:val="32"/>
        </w:rPr>
        <w:t>6.质疑供应商为自然人的，质疑函应由本人签字；质疑供应商为法人或者其他组织的，质疑函应由法定代表人、主要负责人，或者其授权代表签字或者盖章，并加盖公章。</w:t>
      </w:r>
    </w:p>
    <w:p w14:paraId="273C576F">
      <w:pPr>
        <w:widowControl/>
        <w:ind w:firstLine="640" w:firstLineChars="200"/>
        <w:jc w:val="left"/>
        <w:rPr>
          <w:rFonts w:ascii="宋体" w:hAnsi="宋体" w:cs="宋体"/>
          <w:color w:val="auto"/>
          <w:sz w:val="32"/>
          <w:szCs w:val="32"/>
        </w:rPr>
      </w:pPr>
    </w:p>
    <w:p w14:paraId="7EFC7623">
      <w:pPr>
        <w:widowControl/>
        <w:ind w:firstLine="640" w:firstLineChars="200"/>
        <w:jc w:val="left"/>
        <w:rPr>
          <w:rFonts w:ascii="宋体" w:hAnsi="宋体" w:cs="宋体"/>
          <w:color w:val="auto"/>
          <w:sz w:val="32"/>
          <w:szCs w:val="32"/>
        </w:rPr>
      </w:pPr>
    </w:p>
    <w:p w14:paraId="5939C9F6">
      <w:pPr>
        <w:widowControl/>
        <w:ind w:firstLine="640" w:firstLineChars="200"/>
        <w:jc w:val="left"/>
        <w:rPr>
          <w:rFonts w:ascii="宋体" w:hAnsi="宋体" w:cs="宋体"/>
          <w:color w:val="auto"/>
          <w:sz w:val="32"/>
          <w:szCs w:val="32"/>
        </w:rPr>
      </w:pPr>
    </w:p>
    <w:p w14:paraId="55DF3DC2">
      <w:pPr>
        <w:widowControl/>
        <w:ind w:firstLine="640" w:firstLineChars="200"/>
        <w:jc w:val="left"/>
        <w:rPr>
          <w:rFonts w:ascii="宋体" w:hAnsi="宋体" w:cs="宋体"/>
          <w:color w:val="auto"/>
          <w:sz w:val="32"/>
          <w:szCs w:val="32"/>
        </w:rPr>
      </w:pPr>
    </w:p>
    <w:p w14:paraId="2008D1F0">
      <w:pPr>
        <w:widowControl/>
        <w:ind w:firstLine="640" w:firstLineChars="200"/>
        <w:jc w:val="left"/>
        <w:rPr>
          <w:rFonts w:ascii="宋体" w:hAnsi="宋体" w:cs="宋体"/>
          <w:color w:val="auto"/>
          <w:sz w:val="32"/>
          <w:szCs w:val="32"/>
        </w:rPr>
      </w:pPr>
    </w:p>
    <w:p w14:paraId="6F474BFC">
      <w:pPr>
        <w:widowControl/>
        <w:ind w:firstLine="640" w:firstLineChars="200"/>
        <w:jc w:val="left"/>
        <w:rPr>
          <w:rFonts w:ascii="宋体" w:hAnsi="宋体" w:cs="宋体"/>
          <w:color w:val="auto"/>
          <w:sz w:val="32"/>
          <w:szCs w:val="32"/>
        </w:rPr>
      </w:pPr>
    </w:p>
    <w:p w14:paraId="05249333">
      <w:pPr>
        <w:widowControl/>
        <w:jc w:val="left"/>
        <w:rPr>
          <w:rFonts w:ascii="宋体" w:hAnsi="宋体" w:cs="宋体"/>
          <w:color w:val="auto"/>
          <w:sz w:val="32"/>
          <w:szCs w:val="32"/>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C2859">
    <w:pPr>
      <w:pStyle w:val="25"/>
      <w:tabs>
        <w:tab w:val="left" w:pos="4850"/>
      </w:tabs>
    </w:pPr>
    <w:r>
      <w:tab/>
    </w:r>
  </w:p>
  <w:p w14:paraId="7237BC6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5B9CB">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F896">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5921E">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000CA"/>
    <w:multiLevelType w:val="singleLevel"/>
    <w:tmpl w:val="CD7000CA"/>
    <w:lvl w:ilvl="0" w:tentative="0">
      <w:start w:val="5"/>
      <w:numFmt w:val="chineseCounting"/>
      <w:suff w:val="space"/>
      <w:lvlText w:val="第%1部分"/>
      <w:lvlJc w:val="left"/>
      <w:rPr>
        <w:rFonts w:hint="eastAsia"/>
      </w:rPr>
    </w:lvl>
  </w:abstractNum>
  <w:abstractNum w:abstractNumId="1">
    <w:nsid w:val="00000002"/>
    <w:multiLevelType w:val="multilevel"/>
    <w:tmpl w:val="00000002"/>
    <w:lvl w:ilvl="0" w:tentative="0">
      <w:start w:val="1"/>
      <w:numFmt w:val="bullet"/>
      <w:pStyle w:val="119"/>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04B965B6"/>
    <w:multiLevelType w:val="multilevel"/>
    <w:tmpl w:val="04B965B6"/>
    <w:lvl w:ilvl="0" w:tentative="0">
      <w:start w:val="1"/>
      <w:numFmt w:val="japaneseCounting"/>
      <w:lvlText w:val="%1、"/>
      <w:lvlJc w:val="left"/>
      <w:pPr>
        <w:ind w:left="965" w:hanging="480"/>
      </w:pPr>
      <w:rPr>
        <w:rFonts w:hint="default"/>
        <w:lang w:val="en-US"/>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yZjYzOTI1YTA1YTY3MWFlYTIzYjk0ZWQzNWJiZGIifQ=="/>
  </w:docVars>
  <w:rsids>
    <w:rsidRoot w:val="00B56D8D"/>
    <w:rsid w:val="00006423"/>
    <w:rsid w:val="0001769C"/>
    <w:rsid w:val="000218C2"/>
    <w:rsid w:val="00022A55"/>
    <w:rsid w:val="00036E21"/>
    <w:rsid w:val="00041E72"/>
    <w:rsid w:val="00046C36"/>
    <w:rsid w:val="000A382B"/>
    <w:rsid w:val="000C2381"/>
    <w:rsid w:val="000E2758"/>
    <w:rsid w:val="0010160F"/>
    <w:rsid w:val="00101B2D"/>
    <w:rsid w:val="001217BC"/>
    <w:rsid w:val="00123412"/>
    <w:rsid w:val="001330E3"/>
    <w:rsid w:val="001344C3"/>
    <w:rsid w:val="00142080"/>
    <w:rsid w:val="00152AC9"/>
    <w:rsid w:val="0016052F"/>
    <w:rsid w:val="0019681E"/>
    <w:rsid w:val="001A1492"/>
    <w:rsid w:val="001D791C"/>
    <w:rsid w:val="001E4565"/>
    <w:rsid w:val="001F2D99"/>
    <w:rsid w:val="001F6C14"/>
    <w:rsid w:val="002223E2"/>
    <w:rsid w:val="00244656"/>
    <w:rsid w:val="00252743"/>
    <w:rsid w:val="002620FB"/>
    <w:rsid w:val="00277E8E"/>
    <w:rsid w:val="00280515"/>
    <w:rsid w:val="00284760"/>
    <w:rsid w:val="00285F0A"/>
    <w:rsid w:val="002A05C4"/>
    <w:rsid w:val="002A7289"/>
    <w:rsid w:val="002B0C54"/>
    <w:rsid w:val="002C7FDD"/>
    <w:rsid w:val="002D15DF"/>
    <w:rsid w:val="002D17CA"/>
    <w:rsid w:val="002D4515"/>
    <w:rsid w:val="002D6E5B"/>
    <w:rsid w:val="002E0AE8"/>
    <w:rsid w:val="003403FC"/>
    <w:rsid w:val="00343552"/>
    <w:rsid w:val="00345046"/>
    <w:rsid w:val="00345895"/>
    <w:rsid w:val="0035088B"/>
    <w:rsid w:val="00354A06"/>
    <w:rsid w:val="00357841"/>
    <w:rsid w:val="0037650A"/>
    <w:rsid w:val="003766FE"/>
    <w:rsid w:val="003960A9"/>
    <w:rsid w:val="003D62D9"/>
    <w:rsid w:val="003E1FC5"/>
    <w:rsid w:val="003E449D"/>
    <w:rsid w:val="003F38E7"/>
    <w:rsid w:val="004066B4"/>
    <w:rsid w:val="0041047B"/>
    <w:rsid w:val="004152B4"/>
    <w:rsid w:val="00416E28"/>
    <w:rsid w:val="00421206"/>
    <w:rsid w:val="00422C8C"/>
    <w:rsid w:val="00426EEF"/>
    <w:rsid w:val="00443E8B"/>
    <w:rsid w:val="004745D1"/>
    <w:rsid w:val="004848E4"/>
    <w:rsid w:val="004A40B2"/>
    <w:rsid w:val="004C72EA"/>
    <w:rsid w:val="004D71B6"/>
    <w:rsid w:val="00510A9F"/>
    <w:rsid w:val="0051659C"/>
    <w:rsid w:val="0052604B"/>
    <w:rsid w:val="005308C8"/>
    <w:rsid w:val="0054709E"/>
    <w:rsid w:val="005516EA"/>
    <w:rsid w:val="005843FD"/>
    <w:rsid w:val="005C2F60"/>
    <w:rsid w:val="005C3390"/>
    <w:rsid w:val="005D298C"/>
    <w:rsid w:val="005E5E6B"/>
    <w:rsid w:val="005E67C6"/>
    <w:rsid w:val="0060172A"/>
    <w:rsid w:val="00605482"/>
    <w:rsid w:val="00621429"/>
    <w:rsid w:val="00634F53"/>
    <w:rsid w:val="006539D4"/>
    <w:rsid w:val="00654034"/>
    <w:rsid w:val="00662D42"/>
    <w:rsid w:val="006653F4"/>
    <w:rsid w:val="0067067E"/>
    <w:rsid w:val="00675C76"/>
    <w:rsid w:val="00681E06"/>
    <w:rsid w:val="006A52DF"/>
    <w:rsid w:val="006C52E1"/>
    <w:rsid w:val="006C7974"/>
    <w:rsid w:val="006D4E0B"/>
    <w:rsid w:val="006E07EE"/>
    <w:rsid w:val="006E7536"/>
    <w:rsid w:val="006F1E73"/>
    <w:rsid w:val="006F6616"/>
    <w:rsid w:val="007015FA"/>
    <w:rsid w:val="00701A69"/>
    <w:rsid w:val="0072434C"/>
    <w:rsid w:val="00741D70"/>
    <w:rsid w:val="00786B2F"/>
    <w:rsid w:val="00794FAD"/>
    <w:rsid w:val="007B1243"/>
    <w:rsid w:val="007C0457"/>
    <w:rsid w:val="007C2B89"/>
    <w:rsid w:val="007D1B19"/>
    <w:rsid w:val="007D3697"/>
    <w:rsid w:val="007D7726"/>
    <w:rsid w:val="00801509"/>
    <w:rsid w:val="00810FC4"/>
    <w:rsid w:val="00850556"/>
    <w:rsid w:val="00854462"/>
    <w:rsid w:val="0086128B"/>
    <w:rsid w:val="008625B3"/>
    <w:rsid w:val="00883BE9"/>
    <w:rsid w:val="008A682D"/>
    <w:rsid w:val="008A7495"/>
    <w:rsid w:val="008B5A76"/>
    <w:rsid w:val="008B60D4"/>
    <w:rsid w:val="008D58A2"/>
    <w:rsid w:val="008F663D"/>
    <w:rsid w:val="008F6934"/>
    <w:rsid w:val="009359B3"/>
    <w:rsid w:val="00941F46"/>
    <w:rsid w:val="00943D2C"/>
    <w:rsid w:val="00960AFC"/>
    <w:rsid w:val="00983092"/>
    <w:rsid w:val="00990BF1"/>
    <w:rsid w:val="009A0CD6"/>
    <w:rsid w:val="009B4DD5"/>
    <w:rsid w:val="009C3147"/>
    <w:rsid w:val="009E160D"/>
    <w:rsid w:val="009E7642"/>
    <w:rsid w:val="009F50CF"/>
    <w:rsid w:val="00A00B51"/>
    <w:rsid w:val="00A13E54"/>
    <w:rsid w:val="00A316A7"/>
    <w:rsid w:val="00A34A10"/>
    <w:rsid w:val="00AB585B"/>
    <w:rsid w:val="00AC3B98"/>
    <w:rsid w:val="00AE730F"/>
    <w:rsid w:val="00B00725"/>
    <w:rsid w:val="00B0520F"/>
    <w:rsid w:val="00B2317B"/>
    <w:rsid w:val="00B3606A"/>
    <w:rsid w:val="00B558F2"/>
    <w:rsid w:val="00B56D8D"/>
    <w:rsid w:val="00B678A6"/>
    <w:rsid w:val="00B81BE4"/>
    <w:rsid w:val="00B95AEC"/>
    <w:rsid w:val="00BA317D"/>
    <w:rsid w:val="00BA50B3"/>
    <w:rsid w:val="00BB196D"/>
    <w:rsid w:val="00BC0209"/>
    <w:rsid w:val="00BD281A"/>
    <w:rsid w:val="00BD3B24"/>
    <w:rsid w:val="00BE3B91"/>
    <w:rsid w:val="00BF27E0"/>
    <w:rsid w:val="00BF3EA2"/>
    <w:rsid w:val="00C056A8"/>
    <w:rsid w:val="00C64A95"/>
    <w:rsid w:val="00C8466C"/>
    <w:rsid w:val="00C85760"/>
    <w:rsid w:val="00CA1575"/>
    <w:rsid w:val="00CA4350"/>
    <w:rsid w:val="00CA7997"/>
    <w:rsid w:val="00CC04E8"/>
    <w:rsid w:val="00CC68B8"/>
    <w:rsid w:val="00CF6310"/>
    <w:rsid w:val="00D02D61"/>
    <w:rsid w:val="00D033D8"/>
    <w:rsid w:val="00D056A3"/>
    <w:rsid w:val="00D2650B"/>
    <w:rsid w:val="00D57A61"/>
    <w:rsid w:val="00D87A65"/>
    <w:rsid w:val="00D9708D"/>
    <w:rsid w:val="00DA60AE"/>
    <w:rsid w:val="00DA74CC"/>
    <w:rsid w:val="00DB2980"/>
    <w:rsid w:val="00DB31BC"/>
    <w:rsid w:val="00DC31B4"/>
    <w:rsid w:val="00DC73C7"/>
    <w:rsid w:val="00DE49DF"/>
    <w:rsid w:val="00DF7FCF"/>
    <w:rsid w:val="00E14463"/>
    <w:rsid w:val="00E347B5"/>
    <w:rsid w:val="00E53713"/>
    <w:rsid w:val="00E5485C"/>
    <w:rsid w:val="00E77EB7"/>
    <w:rsid w:val="00EA5CBA"/>
    <w:rsid w:val="00EB7E25"/>
    <w:rsid w:val="00EF7A3E"/>
    <w:rsid w:val="00F314BE"/>
    <w:rsid w:val="00F34D54"/>
    <w:rsid w:val="00F53883"/>
    <w:rsid w:val="00F53FDF"/>
    <w:rsid w:val="00F5705A"/>
    <w:rsid w:val="00F600B7"/>
    <w:rsid w:val="00F731A4"/>
    <w:rsid w:val="00F76EA6"/>
    <w:rsid w:val="00F80E0E"/>
    <w:rsid w:val="00FA2CE0"/>
    <w:rsid w:val="00FA5C97"/>
    <w:rsid w:val="00FC47A3"/>
    <w:rsid w:val="00FE40F8"/>
    <w:rsid w:val="00FF1674"/>
    <w:rsid w:val="02D72E63"/>
    <w:rsid w:val="02F12B6D"/>
    <w:rsid w:val="03767BF5"/>
    <w:rsid w:val="06D46400"/>
    <w:rsid w:val="079067C5"/>
    <w:rsid w:val="09DC5814"/>
    <w:rsid w:val="0E7A3365"/>
    <w:rsid w:val="0ECD6ED7"/>
    <w:rsid w:val="0F6C32E3"/>
    <w:rsid w:val="126B2BAF"/>
    <w:rsid w:val="12E65D92"/>
    <w:rsid w:val="160824FB"/>
    <w:rsid w:val="17545CF1"/>
    <w:rsid w:val="1A33220D"/>
    <w:rsid w:val="1B392D05"/>
    <w:rsid w:val="1D965E95"/>
    <w:rsid w:val="21C8351B"/>
    <w:rsid w:val="23063A8E"/>
    <w:rsid w:val="25BB7A5F"/>
    <w:rsid w:val="275B1730"/>
    <w:rsid w:val="278B4098"/>
    <w:rsid w:val="28F33F64"/>
    <w:rsid w:val="2A9127FD"/>
    <w:rsid w:val="2B243EF5"/>
    <w:rsid w:val="2EB45D56"/>
    <w:rsid w:val="30957BA3"/>
    <w:rsid w:val="31823820"/>
    <w:rsid w:val="3272303E"/>
    <w:rsid w:val="34857719"/>
    <w:rsid w:val="35492221"/>
    <w:rsid w:val="365C562B"/>
    <w:rsid w:val="38156132"/>
    <w:rsid w:val="39941001"/>
    <w:rsid w:val="399B09CD"/>
    <w:rsid w:val="39E5786C"/>
    <w:rsid w:val="3A0451BC"/>
    <w:rsid w:val="3A7971F2"/>
    <w:rsid w:val="3F7D3144"/>
    <w:rsid w:val="408156A6"/>
    <w:rsid w:val="44125472"/>
    <w:rsid w:val="44F71432"/>
    <w:rsid w:val="46E56104"/>
    <w:rsid w:val="477F6C5D"/>
    <w:rsid w:val="4A9B234B"/>
    <w:rsid w:val="4D4203D5"/>
    <w:rsid w:val="4D4839E1"/>
    <w:rsid w:val="4D8057A9"/>
    <w:rsid w:val="4DAE7B58"/>
    <w:rsid w:val="4E295A47"/>
    <w:rsid w:val="4E4503DF"/>
    <w:rsid w:val="4FCC1634"/>
    <w:rsid w:val="50AD18FE"/>
    <w:rsid w:val="52AD6B4F"/>
    <w:rsid w:val="56BB1A9F"/>
    <w:rsid w:val="57E176C8"/>
    <w:rsid w:val="57F37027"/>
    <w:rsid w:val="5E555573"/>
    <w:rsid w:val="5F14078F"/>
    <w:rsid w:val="67693568"/>
    <w:rsid w:val="6C5A4C26"/>
    <w:rsid w:val="6EDF0719"/>
    <w:rsid w:val="6F827603"/>
    <w:rsid w:val="761C341B"/>
    <w:rsid w:val="791C2EDB"/>
    <w:rsid w:val="7B231ABE"/>
    <w:rsid w:val="7C6D134C"/>
    <w:rsid w:val="7D3B1482"/>
    <w:rsid w:val="7D931EB5"/>
    <w:rsid w:val="7E084A30"/>
    <w:rsid w:val="7F1E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0"/>
    <w:autoRedefine/>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1"/>
    <w:autoRedefine/>
    <w:qFormat/>
    <w:uiPriority w:val="0"/>
    <w:pPr>
      <w:keepNext/>
      <w:jc w:val="center"/>
      <w:outlineLvl w:val="3"/>
    </w:pPr>
    <w:rPr>
      <w:rFonts w:eastAsia="新宋体"/>
      <w:kern w:val="0"/>
      <w:sz w:val="30"/>
      <w:szCs w:val="21"/>
    </w:rPr>
  </w:style>
  <w:style w:type="paragraph" w:styleId="6">
    <w:name w:val="heading 5"/>
    <w:basedOn w:val="1"/>
    <w:next w:val="1"/>
    <w:link w:val="52"/>
    <w:autoRedefine/>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3"/>
    <w:autoRedefine/>
    <w:qFormat/>
    <w:uiPriority w:val="0"/>
    <w:pPr>
      <w:keepNext/>
      <w:jc w:val="center"/>
      <w:outlineLvl w:val="5"/>
    </w:pPr>
    <w:rPr>
      <w:b/>
      <w:kern w:val="0"/>
      <w:sz w:val="44"/>
      <w:szCs w:val="20"/>
    </w:rPr>
  </w:style>
  <w:style w:type="paragraph" w:styleId="9">
    <w:name w:val="heading 7"/>
    <w:basedOn w:val="1"/>
    <w:next w:val="1"/>
    <w:link w:val="56"/>
    <w:autoRedefine/>
    <w:qFormat/>
    <w:uiPriority w:val="0"/>
    <w:pPr>
      <w:keepNext/>
      <w:keepLines/>
      <w:spacing w:before="240" w:after="64" w:line="320" w:lineRule="auto"/>
      <w:outlineLvl w:val="6"/>
    </w:pPr>
    <w:rPr>
      <w:b/>
      <w:bCs/>
      <w:kern w:val="0"/>
      <w:sz w:val="24"/>
    </w:rPr>
  </w:style>
  <w:style w:type="paragraph" w:styleId="10">
    <w:name w:val="heading 8"/>
    <w:basedOn w:val="1"/>
    <w:next w:val="1"/>
    <w:link w:val="57"/>
    <w:autoRedefine/>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8"/>
    <w:autoRedefine/>
    <w:qFormat/>
    <w:uiPriority w:val="0"/>
    <w:pPr>
      <w:keepNext/>
      <w:keepLines/>
      <w:spacing w:before="240" w:after="64" w:line="320" w:lineRule="auto"/>
      <w:outlineLvl w:val="8"/>
    </w:pPr>
    <w:rPr>
      <w:rFonts w:ascii="Arial" w:hAnsi="Arial" w:eastAsia="黑体"/>
      <w:kern w:val="0"/>
      <w:sz w:val="24"/>
      <w:szCs w:val="21"/>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link w:val="54"/>
    <w:autoRedefine/>
    <w:qFormat/>
    <w:uiPriority w:val="0"/>
    <w:pPr>
      <w:ind w:firstLine="420"/>
    </w:pPr>
    <w:rPr>
      <w:kern w:val="0"/>
      <w:sz w:val="20"/>
      <w:szCs w:val="20"/>
    </w:rPr>
  </w:style>
  <w:style w:type="paragraph" w:styleId="12">
    <w:name w:val="Note Heading"/>
    <w:basedOn w:val="1"/>
    <w:next w:val="1"/>
    <w:autoRedefine/>
    <w:qFormat/>
    <w:uiPriority w:val="0"/>
    <w:rPr>
      <w:rFonts w:ascii="Verdana" w:hAnsi="Verdana"/>
      <w:szCs w:val="20"/>
    </w:rPr>
  </w:style>
  <w:style w:type="paragraph" w:styleId="13">
    <w:name w:val="Document Map"/>
    <w:basedOn w:val="1"/>
    <w:link w:val="59"/>
    <w:autoRedefine/>
    <w:qFormat/>
    <w:uiPriority w:val="0"/>
    <w:pPr>
      <w:shd w:val="clear" w:color="auto" w:fill="000080"/>
    </w:pPr>
    <w:rPr>
      <w:kern w:val="0"/>
      <w:sz w:val="20"/>
    </w:rPr>
  </w:style>
  <w:style w:type="paragraph" w:styleId="14">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15">
    <w:name w:val="annotation text"/>
    <w:basedOn w:val="1"/>
    <w:link w:val="130"/>
    <w:autoRedefine/>
    <w:qFormat/>
    <w:uiPriority w:val="99"/>
    <w:pPr>
      <w:jc w:val="left"/>
    </w:pPr>
  </w:style>
  <w:style w:type="paragraph" w:styleId="16">
    <w:name w:val="Body Text 3"/>
    <w:basedOn w:val="1"/>
    <w:link w:val="60"/>
    <w:autoRedefine/>
    <w:qFormat/>
    <w:uiPriority w:val="0"/>
    <w:pPr>
      <w:spacing w:after="120"/>
    </w:pPr>
    <w:rPr>
      <w:kern w:val="0"/>
      <w:sz w:val="16"/>
      <w:szCs w:val="16"/>
    </w:rPr>
  </w:style>
  <w:style w:type="paragraph" w:styleId="17">
    <w:name w:val="Body Text"/>
    <w:basedOn w:val="1"/>
    <w:next w:val="18"/>
    <w:link w:val="61"/>
    <w:autoRedefine/>
    <w:qFormat/>
    <w:uiPriority w:val="0"/>
    <w:rPr>
      <w:rFonts w:ascii="仿宋_GB2312" w:eastAsia="仿宋_GB2312"/>
      <w:kern w:val="0"/>
      <w:sz w:val="24"/>
      <w:szCs w:val="20"/>
    </w:rPr>
  </w:style>
  <w:style w:type="paragraph" w:styleId="18">
    <w:name w:val="Date"/>
    <w:basedOn w:val="1"/>
    <w:next w:val="1"/>
    <w:link w:val="63"/>
    <w:autoRedefine/>
    <w:qFormat/>
    <w:uiPriority w:val="0"/>
    <w:rPr>
      <w:kern w:val="0"/>
      <w:sz w:val="24"/>
      <w:szCs w:val="20"/>
    </w:rPr>
  </w:style>
  <w:style w:type="paragraph" w:styleId="19">
    <w:name w:val="Body Text Indent"/>
    <w:basedOn w:val="1"/>
    <w:next w:val="20"/>
    <w:link w:val="62"/>
    <w:autoRedefine/>
    <w:qFormat/>
    <w:uiPriority w:val="0"/>
    <w:pPr>
      <w:ind w:left="765"/>
    </w:pPr>
    <w:rPr>
      <w:rFonts w:ascii="仿宋_GB2312" w:eastAsia="仿宋_GB2312"/>
      <w:kern w:val="0"/>
      <w:sz w:val="28"/>
      <w:szCs w:val="20"/>
    </w:rPr>
  </w:style>
  <w:style w:type="paragraph" w:styleId="20">
    <w:name w:val="envelope return"/>
    <w:basedOn w:val="1"/>
    <w:autoRedefine/>
    <w:qFormat/>
    <w:uiPriority w:val="99"/>
    <w:pPr>
      <w:snapToGrid w:val="0"/>
    </w:pPr>
    <w:rPr>
      <w:rFonts w:ascii="Arial" w:hAnsi="Arial"/>
    </w:rPr>
  </w:style>
  <w:style w:type="paragraph" w:styleId="21">
    <w:name w:val="Block Text"/>
    <w:basedOn w:val="1"/>
    <w:autoRedefine/>
    <w:qFormat/>
    <w:uiPriority w:val="99"/>
  </w:style>
  <w:style w:type="paragraph" w:styleId="22">
    <w:name w:val="Plain Text"/>
    <w:basedOn w:val="1"/>
    <w:link w:val="55"/>
    <w:autoRedefine/>
    <w:qFormat/>
    <w:uiPriority w:val="0"/>
    <w:rPr>
      <w:rFonts w:ascii="宋体" w:hAnsi="Courier New"/>
      <w:kern w:val="0"/>
      <w:sz w:val="20"/>
      <w:szCs w:val="21"/>
    </w:rPr>
  </w:style>
  <w:style w:type="paragraph" w:styleId="23">
    <w:name w:val="Body Text Indent 2"/>
    <w:basedOn w:val="1"/>
    <w:link w:val="64"/>
    <w:autoRedefine/>
    <w:qFormat/>
    <w:uiPriority w:val="0"/>
    <w:pPr>
      <w:spacing w:line="500" w:lineRule="exact"/>
      <w:ind w:firstLine="560" w:firstLineChars="200"/>
    </w:pPr>
    <w:rPr>
      <w:rFonts w:eastAsia="仿宋_GB2312"/>
      <w:kern w:val="0"/>
      <w:sz w:val="28"/>
      <w:szCs w:val="20"/>
    </w:rPr>
  </w:style>
  <w:style w:type="paragraph" w:styleId="24">
    <w:name w:val="Balloon Text"/>
    <w:basedOn w:val="1"/>
    <w:link w:val="65"/>
    <w:autoRedefine/>
    <w:qFormat/>
    <w:uiPriority w:val="0"/>
    <w:rPr>
      <w:kern w:val="0"/>
      <w:sz w:val="18"/>
      <w:szCs w:val="18"/>
    </w:rPr>
  </w:style>
  <w:style w:type="paragraph" w:styleId="25">
    <w:name w:val="footer"/>
    <w:basedOn w:val="1"/>
    <w:link w:val="66"/>
    <w:autoRedefine/>
    <w:qFormat/>
    <w:uiPriority w:val="99"/>
    <w:pPr>
      <w:tabs>
        <w:tab w:val="center" w:pos="4153"/>
        <w:tab w:val="right" w:pos="8306"/>
      </w:tabs>
      <w:snapToGrid w:val="0"/>
      <w:jc w:val="left"/>
    </w:pPr>
    <w:rPr>
      <w:kern w:val="0"/>
      <w:sz w:val="18"/>
      <w:szCs w:val="20"/>
    </w:rPr>
  </w:style>
  <w:style w:type="paragraph" w:styleId="26">
    <w:name w:val="header"/>
    <w:basedOn w:val="1"/>
    <w:link w:val="67"/>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autoRedefine/>
    <w:qFormat/>
    <w:uiPriority w:val="0"/>
    <w:rPr>
      <w:sz w:val="24"/>
    </w:rPr>
  </w:style>
  <w:style w:type="paragraph" w:styleId="28">
    <w:name w:val="List"/>
    <w:basedOn w:val="1"/>
    <w:autoRedefine/>
    <w:qFormat/>
    <w:uiPriority w:val="0"/>
    <w:pPr>
      <w:ind w:left="200" w:hanging="200" w:hangingChars="200"/>
    </w:pPr>
  </w:style>
  <w:style w:type="paragraph" w:styleId="29">
    <w:name w:val="Body Text Indent 3"/>
    <w:basedOn w:val="1"/>
    <w:next w:val="14"/>
    <w:link w:val="68"/>
    <w:autoRedefine/>
    <w:qFormat/>
    <w:uiPriority w:val="0"/>
    <w:pPr>
      <w:spacing w:after="120"/>
      <w:ind w:left="420" w:leftChars="200"/>
    </w:pPr>
    <w:rPr>
      <w:kern w:val="0"/>
      <w:sz w:val="16"/>
      <w:szCs w:val="16"/>
    </w:rPr>
  </w:style>
  <w:style w:type="paragraph" w:styleId="30">
    <w:name w:val="Body Text 2"/>
    <w:basedOn w:val="1"/>
    <w:next w:val="17"/>
    <w:link w:val="69"/>
    <w:autoRedefine/>
    <w:qFormat/>
    <w:uiPriority w:val="0"/>
    <w:pPr>
      <w:snapToGrid w:val="0"/>
    </w:pPr>
    <w:rPr>
      <w:b/>
      <w:bCs/>
      <w:kern w:val="0"/>
      <w:sz w:val="18"/>
    </w:rPr>
  </w:style>
  <w:style w:type="paragraph" w:styleId="31">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2">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3">
    <w:name w:val="annotation subject"/>
    <w:basedOn w:val="15"/>
    <w:next w:val="15"/>
    <w:link w:val="131"/>
    <w:autoRedefine/>
    <w:qFormat/>
    <w:uiPriority w:val="99"/>
    <w:rPr>
      <w:b/>
      <w:bCs/>
    </w:rPr>
  </w:style>
  <w:style w:type="paragraph" w:styleId="34">
    <w:name w:val="Body Text First Indent"/>
    <w:basedOn w:val="17"/>
    <w:link w:val="70"/>
    <w:autoRedefine/>
    <w:qFormat/>
    <w:uiPriority w:val="0"/>
    <w:pPr>
      <w:spacing w:after="120"/>
      <w:ind w:firstLine="420" w:firstLineChars="100"/>
    </w:pPr>
    <w:rPr>
      <w:rFonts w:ascii="Times New Roman" w:eastAsia="宋体"/>
      <w:szCs w:val="24"/>
    </w:rPr>
  </w:style>
  <w:style w:type="paragraph" w:styleId="35">
    <w:name w:val="Body Text First Indent 2"/>
    <w:basedOn w:val="19"/>
    <w:next w:val="29"/>
    <w:autoRedefine/>
    <w:qFormat/>
    <w:uiPriority w:val="99"/>
    <w:pPr>
      <w:ind w:firstLine="200" w:firstLineChars="200"/>
    </w:pPr>
  </w:style>
  <w:style w:type="table" w:styleId="37">
    <w:name w:val="Table Grid"/>
    <w:basedOn w:val="36"/>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autoRedefine/>
    <w:qFormat/>
    <w:uiPriority w:val="0"/>
    <w:rPr>
      <w:b/>
      <w:bCs/>
    </w:rPr>
  </w:style>
  <w:style w:type="character" w:styleId="40">
    <w:name w:val="page number"/>
    <w:autoRedefine/>
    <w:qFormat/>
    <w:uiPriority w:val="0"/>
  </w:style>
  <w:style w:type="character" w:styleId="41">
    <w:name w:val="FollowedHyperlink"/>
    <w:autoRedefine/>
    <w:qFormat/>
    <w:uiPriority w:val="0"/>
    <w:rPr>
      <w:color w:val="666666"/>
      <w:u w:val="none"/>
    </w:rPr>
  </w:style>
  <w:style w:type="character" w:styleId="42">
    <w:name w:val="Emphasis"/>
    <w:autoRedefine/>
    <w:qFormat/>
    <w:uiPriority w:val="20"/>
  </w:style>
  <w:style w:type="character" w:styleId="43">
    <w:name w:val="Hyperlink"/>
    <w:autoRedefine/>
    <w:qFormat/>
    <w:uiPriority w:val="0"/>
    <w:rPr>
      <w:color w:val="666666"/>
      <w:u w:val="none"/>
    </w:rPr>
  </w:style>
  <w:style w:type="character" w:styleId="44">
    <w:name w:val="annotation reference"/>
    <w:autoRedefine/>
    <w:qFormat/>
    <w:uiPriority w:val="99"/>
    <w:rPr>
      <w:sz w:val="21"/>
      <w:szCs w:val="21"/>
    </w:rPr>
  </w:style>
  <w:style w:type="paragraph" w:customStyle="1" w:styleId="45">
    <w:name w:val="style4"/>
    <w:basedOn w:val="1"/>
    <w:next w:val="46"/>
    <w:autoRedefine/>
    <w:qFormat/>
    <w:uiPriority w:val="0"/>
    <w:pPr>
      <w:widowControl/>
      <w:spacing w:before="280" w:after="280"/>
    </w:pPr>
    <w:rPr>
      <w:rFonts w:ascii="宋体"/>
      <w:sz w:val="18"/>
    </w:rPr>
  </w:style>
  <w:style w:type="paragraph" w:customStyle="1" w:styleId="46">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7">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8">
    <w:name w:val="标题 1 字符"/>
    <w:link w:val="2"/>
    <w:autoRedefine/>
    <w:qFormat/>
    <w:uiPriority w:val="0"/>
    <w:rPr>
      <w:rFonts w:ascii="Times New Roman" w:hAnsi="Times New Roman" w:eastAsia="宋体" w:cs="Times New Roman"/>
      <w:b/>
      <w:bCs/>
      <w:kern w:val="44"/>
      <w:sz w:val="44"/>
      <w:szCs w:val="44"/>
    </w:rPr>
  </w:style>
  <w:style w:type="character" w:customStyle="1" w:styleId="49">
    <w:name w:val="标题 2 字符"/>
    <w:link w:val="3"/>
    <w:autoRedefine/>
    <w:qFormat/>
    <w:uiPriority w:val="0"/>
    <w:rPr>
      <w:rFonts w:ascii="Arial" w:hAnsi="Arial" w:eastAsia="黑体" w:cs="Times New Roman"/>
      <w:b/>
      <w:bCs/>
      <w:sz w:val="32"/>
      <w:szCs w:val="32"/>
    </w:rPr>
  </w:style>
  <w:style w:type="character" w:customStyle="1" w:styleId="50">
    <w:name w:val="标题 3 字符"/>
    <w:link w:val="4"/>
    <w:autoRedefine/>
    <w:qFormat/>
    <w:uiPriority w:val="0"/>
    <w:rPr>
      <w:rFonts w:ascii="Times New Roman" w:hAnsi="Times New Roman" w:eastAsia="宋体" w:cs="Times New Roman"/>
      <w:b/>
      <w:bCs/>
      <w:sz w:val="32"/>
      <w:szCs w:val="32"/>
    </w:rPr>
  </w:style>
  <w:style w:type="character" w:customStyle="1" w:styleId="51">
    <w:name w:val="标题 4 字符"/>
    <w:link w:val="5"/>
    <w:autoRedefine/>
    <w:qFormat/>
    <w:uiPriority w:val="0"/>
    <w:rPr>
      <w:rFonts w:ascii="Times New Roman" w:hAnsi="Times New Roman" w:eastAsia="新宋体" w:cs="Times New Roman"/>
      <w:sz w:val="30"/>
      <w:szCs w:val="21"/>
    </w:rPr>
  </w:style>
  <w:style w:type="character" w:customStyle="1" w:styleId="52">
    <w:name w:val="标题 5 字符"/>
    <w:link w:val="6"/>
    <w:autoRedefine/>
    <w:qFormat/>
    <w:uiPriority w:val="0"/>
    <w:rPr>
      <w:rFonts w:ascii="Times New Roman" w:hAnsi="Times New Roman" w:eastAsia="宋体" w:cs="Times New Roman"/>
      <w:b/>
      <w:bCs/>
      <w:sz w:val="28"/>
      <w:szCs w:val="28"/>
    </w:rPr>
  </w:style>
  <w:style w:type="character" w:customStyle="1" w:styleId="53">
    <w:name w:val="标题 6 字符"/>
    <w:link w:val="7"/>
    <w:autoRedefine/>
    <w:qFormat/>
    <w:uiPriority w:val="0"/>
    <w:rPr>
      <w:rFonts w:ascii="Times New Roman" w:hAnsi="Times New Roman" w:eastAsia="宋体" w:cs="Times New Roman"/>
      <w:b/>
      <w:sz w:val="44"/>
      <w:szCs w:val="20"/>
    </w:rPr>
  </w:style>
  <w:style w:type="character" w:customStyle="1" w:styleId="54">
    <w:name w:val="正文缩进 字符"/>
    <w:link w:val="8"/>
    <w:autoRedefine/>
    <w:qFormat/>
    <w:uiPriority w:val="0"/>
    <w:rPr>
      <w:rFonts w:ascii="Times New Roman" w:hAnsi="Times New Roman" w:eastAsia="宋体" w:cs="Times New Roman"/>
      <w:kern w:val="0"/>
      <w:sz w:val="20"/>
      <w:szCs w:val="20"/>
    </w:rPr>
  </w:style>
  <w:style w:type="character" w:customStyle="1" w:styleId="55">
    <w:name w:val="纯文本 字符"/>
    <w:link w:val="22"/>
    <w:autoRedefine/>
    <w:qFormat/>
    <w:uiPriority w:val="0"/>
    <w:rPr>
      <w:rFonts w:ascii="宋体" w:hAnsi="Courier New" w:eastAsia="宋体" w:cs="Courier New"/>
      <w:szCs w:val="21"/>
    </w:rPr>
  </w:style>
  <w:style w:type="character" w:customStyle="1" w:styleId="56">
    <w:name w:val="标题 7 字符"/>
    <w:link w:val="9"/>
    <w:autoRedefine/>
    <w:qFormat/>
    <w:uiPriority w:val="0"/>
    <w:rPr>
      <w:rFonts w:ascii="Times New Roman" w:hAnsi="Times New Roman" w:eastAsia="宋体" w:cs="Times New Roman"/>
      <w:b/>
      <w:bCs/>
      <w:sz w:val="24"/>
      <w:szCs w:val="24"/>
    </w:rPr>
  </w:style>
  <w:style w:type="character" w:customStyle="1" w:styleId="57">
    <w:name w:val="标题 8 字符"/>
    <w:link w:val="10"/>
    <w:autoRedefine/>
    <w:qFormat/>
    <w:uiPriority w:val="0"/>
    <w:rPr>
      <w:rFonts w:ascii="Arial" w:hAnsi="Arial" w:eastAsia="黑体" w:cs="Times New Roman"/>
      <w:sz w:val="24"/>
      <w:szCs w:val="24"/>
    </w:rPr>
  </w:style>
  <w:style w:type="character" w:customStyle="1" w:styleId="58">
    <w:name w:val="标题 9 字符"/>
    <w:link w:val="11"/>
    <w:autoRedefine/>
    <w:qFormat/>
    <w:uiPriority w:val="0"/>
    <w:rPr>
      <w:rFonts w:ascii="Arial" w:hAnsi="Arial" w:eastAsia="黑体" w:cs="Times New Roman"/>
      <w:sz w:val="24"/>
      <w:szCs w:val="21"/>
    </w:rPr>
  </w:style>
  <w:style w:type="character" w:customStyle="1" w:styleId="59">
    <w:name w:val="文档结构图 字符"/>
    <w:link w:val="13"/>
    <w:autoRedefine/>
    <w:qFormat/>
    <w:uiPriority w:val="0"/>
    <w:rPr>
      <w:szCs w:val="24"/>
      <w:shd w:val="clear" w:color="auto" w:fill="000080"/>
    </w:rPr>
  </w:style>
  <w:style w:type="character" w:customStyle="1" w:styleId="60">
    <w:name w:val="正文文本 3 字符"/>
    <w:link w:val="16"/>
    <w:autoRedefine/>
    <w:qFormat/>
    <w:uiPriority w:val="0"/>
    <w:rPr>
      <w:rFonts w:ascii="Times New Roman" w:hAnsi="Times New Roman" w:eastAsia="宋体" w:cs="Times New Roman"/>
      <w:sz w:val="16"/>
      <w:szCs w:val="16"/>
    </w:rPr>
  </w:style>
  <w:style w:type="character" w:customStyle="1" w:styleId="61">
    <w:name w:val="正文文本 字符"/>
    <w:link w:val="17"/>
    <w:autoRedefine/>
    <w:qFormat/>
    <w:uiPriority w:val="0"/>
    <w:rPr>
      <w:rFonts w:ascii="仿宋_GB2312" w:hAnsi="Times New Roman" w:eastAsia="仿宋_GB2312" w:cs="Times New Roman"/>
      <w:sz w:val="24"/>
      <w:szCs w:val="20"/>
    </w:rPr>
  </w:style>
  <w:style w:type="character" w:customStyle="1" w:styleId="62">
    <w:name w:val="正文文本缩进 字符"/>
    <w:link w:val="19"/>
    <w:autoRedefine/>
    <w:qFormat/>
    <w:uiPriority w:val="0"/>
    <w:rPr>
      <w:rFonts w:ascii="仿宋_GB2312" w:hAnsi="Times New Roman" w:eastAsia="仿宋_GB2312" w:cs="Times New Roman"/>
      <w:sz w:val="28"/>
      <w:szCs w:val="20"/>
    </w:rPr>
  </w:style>
  <w:style w:type="character" w:customStyle="1" w:styleId="63">
    <w:name w:val="日期 字符"/>
    <w:link w:val="18"/>
    <w:autoRedefine/>
    <w:qFormat/>
    <w:uiPriority w:val="0"/>
    <w:rPr>
      <w:rFonts w:ascii="Times New Roman" w:hAnsi="Times New Roman" w:eastAsia="宋体" w:cs="Times New Roman"/>
      <w:sz w:val="24"/>
      <w:szCs w:val="20"/>
    </w:rPr>
  </w:style>
  <w:style w:type="character" w:customStyle="1" w:styleId="64">
    <w:name w:val="正文文本缩进 2 字符"/>
    <w:link w:val="23"/>
    <w:autoRedefine/>
    <w:qFormat/>
    <w:uiPriority w:val="0"/>
    <w:rPr>
      <w:rFonts w:ascii="Times New Roman" w:hAnsi="Times New Roman" w:eastAsia="仿宋_GB2312" w:cs="Times New Roman"/>
      <w:sz w:val="28"/>
      <w:szCs w:val="20"/>
    </w:rPr>
  </w:style>
  <w:style w:type="character" w:customStyle="1" w:styleId="65">
    <w:name w:val="批注框文本 字符"/>
    <w:link w:val="24"/>
    <w:autoRedefine/>
    <w:qFormat/>
    <w:uiPriority w:val="0"/>
    <w:rPr>
      <w:sz w:val="18"/>
      <w:szCs w:val="18"/>
    </w:rPr>
  </w:style>
  <w:style w:type="character" w:customStyle="1" w:styleId="66">
    <w:name w:val="页脚 字符"/>
    <w:link w:val="25"/>
    <w:autoRedefine/>
    <w:qFormat/>
    <w:uiPriority w:val="99"/>
    <w:rPr>
      <w:rFonts w:ascii="Times New Roman" w:hAnsi="Times New Roman" w:eastAsia="宋体" w:cs="Times New Roman"/>
      <w:sz w:val="18"/>
      <w:szCs w:val="20"/>
    </w:rPr>
  </w:style>
  <w:style w:type="character" w:customStyle="1" w:styleId="67">
    <w:name w:val="页眉 字符"/>
    <w:link w:val="26"/>
    <w:autoRedefine/>
    <w:qFormat/>
    <w:uiPriority w:val="0"/>
    <w:rPr>
      <w:rFonts w:ascii="Times New Roman" w:hAnsi="Times New Roman" w:eastAsia="宋体" w:cs="Times New Roman"/>
      <w:sz w:val="18"/>
      <w:szCs w:val="18"/>
    </w:rPr>
  </w:style>
  <w:style w:type="character" w:customStyle="1" w:styleId="68">
    <w:name w:val="正文文本缩进 3 字符"/>
    <w:link w:val="29"/>
    <w:autoRedefine/>
    <w:qFormat/>
    <w:uiPriority w:val="0"/>
    <w:rPr>
      <w:rFonts w:ascii="Times New Roman" w:hAnsi="Times New Roman" w:eastAsia="宋体" w:cs="Times New Roman"/>
      <w:sz w:val="16"/>
      <w:szCs w:val="16"/>
    </w:rPr>
  </w:style>
  <w:style w:type="character" w:customStyle="1" w:styleId="69">
    <w:name w:val="正文文本 2 字符"/>
    <w:link w:val="30"/>
    <w:autoRedefine/>
    <w:qFormat/>
    <w:uiPriority w:val="0"/>
    <w:rPr>
      <w:rFonts w:ascii="Times New Roman" w:hAnsi="Times New Roman" w:eastAsia="宋体" w:cs="Times New Roman"/>
      <w:b/>
      <w:bCs/>
      <w:sz w:val="18"/>
      <w:szCs w:val="24"/>
    </w:rPr>
  </w:style>
  <w:style w:type="character" w:customStyle="1" w:styleId="70">
    <w:name w:val="正文首行缩进 字符"/>
    <w:link w:val="34"/>
    <w:autoRedefine/>
    <w:qFormat/>
    <w:uiPriority w:val="0"/>
    <w:rPr>
      <w:rFonts w:ascii="Times New Roman" w:hAnsi="Times New Roman" w:eastAsia="宋体" w:cs="Times New Roman"/>
      <w:sz w:val="24"/>
      <w:szCs w:val="24"/>
    </w:rPr>
  </w:style>
  <w:style w:type="paragraph" w:customStyle="1" w:styleId="71">
    <w:name w:val="列出段落1"/>
    <w:basedOn w:val="1"/>
    <w:autoRedefine/>
    <w:qFormat/>
    <w:uiPriority w:val="34"/>
    <w:pPr>
      <w:widowControl/>
      <w:ind w:left="720"/>
      <w:contextualSpacing/>
      <w:jc w:val="left"/>
    </w:pPr>
    <w:rPr>
      <w:kern w:val="0"/>
      <w:sz w:val="24"/>
      <w:lang w:eastAsia="en-US" w:bidi="en-US"/>
    </w:rPr>
  </w:style>
  <w:style w:type="paragraph" w:customStyle="1" w:styleId="72">
    <w:name w:val="无间隔1"/>
    <w:autoRedefine/>
    <w:qFormat/>
    <w:uiPriority w:val="0"/>
    <w:rPr>
      <w:rFonts w:ascii="Times New Roman" w:hAnsi="Times New Roman" w:eastAsia="宋体" w:cs="Calibri"/>
      <w:sz w:val="22"/>
      <w:lang w:val="en-US" w:eastAsia="zh-CN" w:bidi="ar-SA"/>
    </w:rPr>
  </w:style>
  <w:style w:type="paragraph" w:customStyle="1" w:styleId="73">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4">
    <w:name w:val="列出段落 字符"/>
    <w:link w:val="75"/>
    <w:autoRedefine/>
    <w:qFormat/>
    <w:uiPriority w:val="99"/>
  </w:style>
  <w:style w:type="paragraph" w:styleId="75">
    <w:name w:val="List Paragraph"/>
    <w:basedOn w:val="1"/>
    <w:link w:val="74"/>
    <w:autoRedefine/>
    <w:qFormat/>
    <w:uiPriority w:val="99"/>
    <w:pPr>
      <w:ind w:firstLine="420" w:firstLineChars="200"/>
    </w:pPr>
    <w:rPr>
      <w:kern w:val="0"/>
      <w:sz w:val="20"/>
      <w:szCs w:val="20"/>
    </w:rPr>
  </w:style>
  <w:style w:type="character" w:customStyle="1" w:styleId="76">
    <w:name w:val="文档结构图 Char1"/>
    <w:autoRedefine/>
    <w:qFormat/>
    <w:uiPriority w:val="99"/>
    <w:rPr>
      <w:rFonts w:ascii="宋体" w:hAnsi="Times New Roman" w:eastAsia="宋体" w:cs="Times New Roman"/>
      <w:sz w:val="18"/>
      <w:szCs w:val="18"/>
    </w:rPr>
  </w:style>
  <w:style w:type="character" w:customStyle="1" w:styleId="77">
    <w:name w:val="普通正文 Char"/>
    <w:link w:val="78"/>
    <w:autoRedefine/>
    <w:qFormat/>
    <w:uiPriority w:val="0"/>
    <w:rPr>
      <w:rFonts w:ascii="Arial" w:hAnsi="Arial"/>
      <w:sz w:val="24"/>
      <w:szCs w:val="24"/>
    </w:rPr>
  </w:style>
  <w:style w:type="paragraph" w:customStyle="1" w:styleId="78">
    <w:name w:val="普通正文"/>
    <w:basedOn w:val="1"/>
    <w:link w:val="77"/>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9">
    <w:name w:val="FA正文 Char"/>
    <w:link w:val="80"/>
    <w:autoRedefine/>
    <w:qFormat/>
    <w:uiPriority w:val="0"/>
    <w:rPr>
      <w:rFonts w:ascii="宋体" w:hAnsi="宋体" w:eastAsia="宋体" w:cs="Times New Roman"/>
      <w:sz w:val="28"/>
      <w:szCs w:val="28"/>
    </w:rPr>
  </w:style>
  <w:style w:type="paragraph" w:customStyle="1" w:styleId="80">
    <w:name w:val="FA正文"/>
    <w:basedOn w:val="1"/>
    <w:link w:val="79"/>
    <w:autoRedefine/>
    <w:qFormat/>
    <w:uiPriority w:val="0"/>
    <w:pPr>
      <w:tabs>
        <w:tab w:val="left" w:pos="3375"/>
      </w:tabs>
      <w:spacing w:line="440" w:lineRule="atLeast"/>
      <w:ind w:firstLine="538" w:firstLineChars="192"/>
    </w:pPr>
    <w:rPr>
      <w:rFonts w:ascii="宋体" w:hAnsi="宋体"/>
      <w:kern w:val="0"/>
      <w:sz w:val="28"/>
      <w:szCs w:val="28"/>
    </w:rPr>
  </w:style>
  <w:style w:type="character" w:customStyle="1" w:styleId="81">
    <w:name w:val="正文缩进2格 Char"/>
    <w:link w:val="82"/>
    <w:autoRedefine/>
    <w:qFormat/>
    <w:uiPriority w:val="0"/>
    <w:rPr>
      <w:rFonts w:ascii="仿宋_GB2312" w:hAnsi="宋体" w:eastAsia="仿宋_GB2312" w:cs="Times New Roman"/>
      <w:sz w:val="31"/>
      <w:szCs w:val="28"/>
    </w:rPr>
  </w:style>
  <w:style w:type="paragraph" w:customStyle="1" w:styleId="82">
    <w:name w:val="正文缩进2格"/>
    <w:basedOn w:val="1"/>
    <w:link w:val="81"/>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83">
    <w:name w:val="cn_text1"/>
    <w:qFormat/>
    <w:uiPriority w:val="0"/>
    <w:rPr>
      <w:rFonts w:hint="default" w:ascii="ˎ̥" w:hAnsi="ˎ̥"/>
      <w:color w:val="003399"/>
      <w:spacing w:val="15"/>
      <w:sz w:val="18"/>
      <w:szCs w:val="18"/>
    </w:rPr>
  </w:style>
  <w:style w:type="character" w:customStyle="1" w:styleId="84">
    <w:name w:val="ssss Char"/>
    <w:autoRedefine/>
    <w:qFormat/>
    <w:uiPriority w:val="0"/>
    <w:rPr>
      <w:rFonts w:eastAsia="宋体"/>
      <w:kern w:val="2"/>
      <w:sz w:val="24"/>
      <w:szCs w:val="24"/>
      <w:lang w:val="en-US" w:eastAsia="zh-CN" w:bidi="ar-SA"/>
    </w:rPr>
  </w:style>
  <w:style w:type="character" w:customStyle="1" w:styleId="85">
    <w:name w:val="ssss Char1"/>
    <w:link w:val="86"/>
    <w:autoRedefine/>
    <w:qFormat/>
    <w:uiPriority w:val="0"/>
    <w:rPr>
      <w:rFonts w:ascii="Times New Roman" w:hAnsi="Times New Roman" w:eastAsia="宋体" w:cs="Times New Roman"/>
      <w:sz w:val="24"/>
      <w:szCs w:val="24"/>
    </w:rPr>
  </w:style>
  <w:style w:type="paragraph" w:customStyle="1" w:styleId="86">
    <w:name w:val="ssss"/>
    <w:basedOn w:val="1"/>
    <w:link w:val="85"/>
    <w:autoRedefine/>
    <w:qFormat/>
    <w:uiPriority w:val="0"/>
    <w:pPr>
      <w:spacing w:line="360" w:lineRule="auto"/>
      <w:ind w:firstLine="480" w:firstLineChars="200"/>
    </w:pPr>
    <w:rPr>
      <w:kern w:val="0"/>
      <w:sz w:val="24"/>
    </w:rPr>
  </w:style>
  <w:style w:type="character" w:customStyle="1" w:styleId="87">
    <w:name w:val="标题 4 Char1"/>
    <w:autoRedefine/>
    <w:qFormat/>
    <w:uiPriority w:val="0"/>
    <w:rPr>
      <w:rFonts w:ascii="Arial" w:hAnsi="Arial" w:eastAsia="黑体"/>
      <w:b/>
      <w:bCs/>
      <w:kern w:val="2"/>
      <w:sz w:val="28"/>
      <w:szCs w:val="28"/>
      <w:lang w:val="en-US" w:eastAsia="zh-CN" w:bidi="ar-SA"/>
    </w:rPr>
  </w:style>
  <w:style w:type="character" w:customStyle="1" w:styleId="88">
    <w:name w:val="列表段落 字符"/>
    <w:autoRedefine/>
    <w:qFormat/>
    <w:uiPriority w:val="34"/>
    <w:rPr>
      <w:rFonts w:ascii="Calibri" w:hAnsi="Calibri"/>
      <w:kern w:val="2"/>
      <w:sz w:val="21"/>
      <w:szCs w:val="22"/>
    </w:rPr>
  </w:style>
  <w:style w:type="character" w:customStyle="1" w:styleId="89">
    <w:name w:val="批注框文本 Char1"/>
    <w:autoRedefine/>
    <w:qFormat/>
    <w:uiPriority w:val="99"/>
    <w:rPr>
      <w:rFonts w:ascii="Times New Roman" w:hAnsi="Times New Roman" w:eastAsia="宋体" w:cs="Times New Roman"/>
      <w:sz w:val="18"/>
      <w:szCs w:val="18"/>
    </w:rPr>
  </w:style>
  <w:style w:type="character" w:customStyle="1" w:styleId="90">
    <w:name w:val="样式 ssss + 宋体 五号1 Char"/>
    <w:link w:val="91"/>
    <w:autoRedefine/>
    <w:qFormat/>
    <w:uiPriority w:val="0"/>
    <w:rPr>
      <w:rFonts w:ascii="宋体" w:hAnsi="宋体" w:eastAsia="宋体" w:cs="Times New Roman"/>
      <w:sz w:val="24"/>
      <w:szCs w:val="24"/>
    </w:rPr>
  </w:style>
  <w:style w:type="paragraph" w:customStyle="1" w:styleId="91">
    <w:name w:val="样式 ssss + 宋体 五号1"/>
    <w:basedOn w:val="86"/>
    <w:link w:val="90"/>
    <w:autoRedefine/>
    <w:qFormat/>
    <w:uiPriority w:val="0"/>
    <w:rPr>
      <w:rFonts w:ascii="宋体" w:hAnsi="宋体"/>
    </w:rPr>
  </w:style>
  <w:style w:type="character" w:customStyle="1" w:styleId="92">
    <w:name w:val="point_normal1"/>
    <w:autoRedefine/>
    <w:qFormat/>
    <w:uiPriority w:val="0"/>
    <w:rPr>
      <w:rFonts w:hint="default" w:ascii="Arial" w:hAnsi="Arial" w:cs="Arial"/>
      <w:sz w:val="16"/>
      <w:szCs w:val="16"/>
    </w:rPr>
  </w:style>
  <w:style w:type="paragraph" w:customStyle="1" w:styleId="93">
    <w:name w:val="样式 正文文本缩进 3 + 四号"/>
    <w:basedOn w:val="29"/>
    <w:autoRedefine/>
    <w:qFormat/>
    <w:uiPriority w:val="0"/>
    <w:pPr>
      <w:spacing w:after="0" w:line="360" w:lineRule="auto"/>
      <w:ind w:left="0" w:leftChars="0" w:firstLine="437"/>
    </w:pPr>
    <w:rPr>
      <w:sz w:val="24"/>
      <w:szCs w:val="21"/>
    </w:rPr>
  </w:style>
  <w:style w:type="paragraph" w:customStyle="1" w:styleId="94">
    <w:name w:val="2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5">
    <w:name w:val="ec_msonormal"/>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96">
    <w:name w:val="Char Char Char Char"/>
    <w:basedOn w:val="1"/>
    <w:autoRedefine/>
    <w:qFormat/>
    <w:uiPriority w:val="0"/>
    <w:rPr>
      <w:rFonts w:ascii="Tahoma" w:hAnsi="Tahoma"/>
      <w:sz w:val="24"/>
      <w:szCs w:val="20"/>
    </w:rPr>
  </w:style>
  <w:style w:type="paragraph" w:customStyle="1" w:styleId="97">
    <w:name w:val="Char Char Char Char Char Char Char Char Char Char Char Char Char"/>
    <w:basedOn w:val="1"/>
    <w:autoRedefine/>
    <w:qFormat/>
    <w:uiPriority w:val="0"/>
  </w:style>
  <w:style w:type="paragraph" w:customStyle="1" w:styleId="98">
    <w:name w:val="表格正文"/>
    <w:basedOn w:val="1"/>
    <w:autoRedefine/>
    <w:qFormat/>
    <w:uiPriority w:val="0"/>
    <w:pPr>
      <w:spacing w:line="360" w:lineRule="auto"/>
      <w:jc w:val="left"/>
    </w:pPr>
    <w:rPr>
      <w:rFonts w:ascii="Calibri" w:hAnsi="Calibri"/>
      <w:color w:val="000000"/>
      <w:szCs w:val="28"/>
    </w:rPr>
  </w:style>
  <w:style w:type="paragraph" w:customStyle="1" w:styleId="99">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0">
    <w:name w:val="Char Char Char Char1"/>
    <w:basedOn w:val="1"/>
    <w:autoRedefine/>
    <w:qFormat/>
    <w:uiPriority w:val="0"/>
    <w:rPr>
      <w:rFonts w:ascii="Tahoma" w:hAnsi="Tahoma"/>
      <w:sz w:val="24"/>
      <w:szCs w:val="20"/>
    </w:rPr>
  </w:style>
  <w:style w:type="paragraph" w:customStyle="1" w:styleId="101">
    <w:name w:val="Char Char Char"/>
    <w:basedOn w:val="1"/>
    <w:autoRedefine/>
    <w:qFormat/>
    <w:uiPriority w:val="0"/>
    <w:rPr>
      <w:rFonts w:ascii="Tahoma" w:hAnsi="Tahoma"/>
      <w:sz w:val="24"/>
      <w:szCs w:val="20"/>
    </w:rPr>
  </w:style>
  <w:style w:type="paragraph" w:customStyle="1" w:styleId="102">
    <w:name w:val="标题-----3"/>
    <w:basedOn w:val="4"/>
    <w:autoRedefine/>
    <w:qFormat/>
    <w:uiPriority w:val="0"/>
    <w:pPr>
      <w:spacing w:before="0" w:after="0" w:line="240" w:lineRule="auto"/>
      <w:outlineLvl w:val="0"/>
    </w:pPr>
    <w:rPr>
      <w:rFonts w:ascii="宋体" w:hAnsi="宋体"/>
      <w:b w:val="0"/>
      <w:bCs w:val="0"/>
      <w:sz w:val="28"/>
      <w:szCs w:val="28"/>
    </w:rPr>
  </w:style>
  <w:style w:type="paragraph" w:customStyle="1" w:styleId="103">
    <w:name w:val="样式 ssss + 居中"/>
    <w:basedOn w:val="86"/>
    <w:autoRedefine/>
    <w:qFormat/>
    <w:uiPriority w:val="0"/>
    <w:pPr>
      <w:jc w:val="center"/>
    </w:pPr>
    <w:rPr>
      <w:rFonts w:cs="宋体"/>
      <w:szCs w:val="20"/>
    </w:rPr>
  </w:style>
  <w:style w:type="paragraph" w:customStyle="1" w:styleId="104">
    <w:name w:val="样式 宋体 四号 黑色 左侧:  0.74 厘米 首行缩进:  0.74 厘米 行距: 1.5 倍行距"/>
    <w:basedOn w:val="1"/>
    <w:autoRedefine/>
    <w:qFormat/>
    <w:uiPriority w:val="0"/>
    <w:pPr>
      <w:spacing w:line="360" w:lineRule="auto"/>
      <w:ind w:firstLine="420"/>
    </w:pPr>
    <w:rPr>
      <w:rFonts w:ascii="宋体"/>
      <w:color w:val="000000"/>
      <w:sz w:val="24"/>
      <w:szCs w:val="21"/>
    </w:rPr>
  </w:style>
  <w:style w:type="paragraph" w:customStyle="1" w:styleId="105">
    <w:name w:val="样式 样式 ssss + 宋体 五号 + 首行缩进:  2 字符"/>
    <w:basedOn w:val="106"/>
    <w:autoRedefine/>
    <w:qFormat/>
    <w:uiPriority w:val="0"/>
    <w:pPr>
      <w:ind w:firstLine="480"/>
    </w:pPr>
  </w:style>
  <w:style w:type="paragraph" w:customStyle="1" w:styleId="106">
    <w:name w:val="样式 ssss + 宋体 五号"/>
    <w:basedOn w:val="86"/>
    <w:autoRedefine/>
    <w:qFormat/>
    <w:uiPriority w:val="0"/>
    <w:pPr>
      <w:ind w:firstLine="420"/>
    </w:pPr>
    <w:rPr>
      <w:rFonts w:ascii="宋体" w:hAnsi="宋体" w:cs="宋体"/>
      <w:szCs w:val="20"/>
    </w:rPr>
  </w:style>
  <w:style w:type="paragraph" w:customStyle="1" w:styleId="107">
    <w:name w:val="msonormal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w:basedOn w:val="1"/>
    <w:autoRedefine/>
    <w:qFormat/>
    <w:uiPriority w:val="0"/>
    <w:rPr>
      <w:rFonts w:ascii="Tahoma" w:hAnsi="Tahoma"/>
      <w:sz w:val="24"/>
      <w:szCs w:val="20"/>
    </w:rPr>
  </w:style>
  <w:style w:type="paragraph" w:customStyle="1" w:styleId="109">
    <w:name w:val="xl25"/>
    <w:basedOn w:val="1"/>
    <w:autoRedefine/>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0">
    <w:name w:val="标题------4"/>
    <w:basedOn w:val="5"/>
    <w:autoRedefine/>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1">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Char Char Char Char Char Char Char Char Char Char Char Char1"/>
    <w:basedOn w:val="1"/>
    <w:autoRedefine/>
    <w:qFormat/>
    <w:uiPriority w:val="0"/>
    <w:rPr>
      <w:sz w:val="24"/>
    </w:rPr>
  </w:style>
  <w:style w:type="paragraph" w:customStyle="1" w:styleId="113">
    <w:name w:val="表格"/>
    <w:basedOn w:val="1"/>
    <w:autoRedefine/>
    <w:qFormat/>
    <w:uiPriority w:val="0"/>
    <w:rPr>
      <w:rFonts w:ascii="Arial" w:hAnsi="Arial"/>
      <w:sz w:val="24"/>
    </w:rPr>
  </w:style>
  <w:style w:type="paragraph" w:customStyle="1" w:styleId="114">
    <w:name w:val="正文样式1"/>
    <w:basedOn w:val="1"/>
    <w:autoRedefine/>
    <w:qFormat/>
    <w:uiPriority w:val="0"/>
    <w:pPr>
      <w:spacing w:before="120" w:after="120" w:line="360" w:lineRule="auto"/>
      <w:ind w:firstLine="480" w:firstLineChars="200"/>
    </w:pPr>
    <w:rPr>
      <w:sz w:val="24"/>
      <w:szCs w:val="20"/>
    </w:rPr>
  </w:style>
  <w:style w:type="paragraph" w:customStyle="1" w:styleId="115">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 Char Char Char Char Char Char Char Char"/>
    <w:basedOn w:val="1"/>
    <w:autoRedefine/>
    <w:qFormat/>
    <w:uiPriority w:val="0"/>
    <w:rPr>
      <w:rFonts w:ascii="Tahoma" w:hAnsi="Tahoma"/>
      <w:sz w:val="24"/>
      <w:szCs w:val="20"/>
    </w:rPr>
  </w:style>
  <w:style w:type="paragraph" w:customStyle="1" w:styleId="117">
    <w:name w:val="Char1"/>
    <w:basedOn w:val="1"/>
    <w:autoRedefine/>
    <w:qFormat/>
    <w:uiPriority w:val="0"/>
    <w:pPr>
      <w:tabs>
        <w:tab w:val="left" w:pos="360"/>
      </w:tabs>
    </w:pPr>
    <w:rPr>
      <w:sz w:val="24"/>
    </w:rPr>
  </w:style>
  <w:style w:type="paragraph" w:customStyle="1" w:styleId="118">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Header2"/>
    <w:basedOn w:val="1"/>
    <w:autoRedefine/>
    <w:qFormat/>
    <w:uiPriority w:val="0"/>
    <w:pPr>
      <w:numPr>
        <w:ilvl w:val="0"/>
        <w:numId w:val="1"/>
      </w:numPr>
    </w:pPr>
  </w:style>
  <w:style w:type="paragraph" w:customStyle="1" w:styleId="120">
    <w:name w:val="Char Char 字元 字元 字元 Char Char Char Char"/>
    <w:basedOn w:val="1"/>
    <w:autoRedefine/>
    <w:qFormat/>
    <w:uiPriority w:val="0"/>
    <w:pPr>
      <w:adjustRightInd w:val="0"/>
      <w:spacing w:line="360" w:lineRule="auto"/>
    </w:pPr>
    <w:rPr>
      <w:kern w:val="0"/>
      <w:sz w:val="24"/>
      <w:szCs w:val="20"/>
    </w:rPr>
  </w:style>
  <w:style w:type="paragraph" w:customStyle="1" w:styleId="121">
    <w:name w:val="2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2">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4">
    <w:name w:val="网格型1"/>
    <w:basedOn w:val="36"/>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5">
    <w:name w:val="DAS正文"/>
    <w:basedOn w:val="1"/>
    <w:autoRedefine/>
    <w:qFormat/>
    <w:uiPriority w:val="0"/>
    <w:pPr>
      <w:spacing w:line="360" w:lineRule="auto"/>
      <w:ind w:right="181" w:firstLine="480" w:firstLineChars="200"/>
    </w:pPr>
    <w:rPr>
      <w:rFonts w:ascii="Verdana" w:hAnsi="Verdana"/>
      <w:sz w:val="24"/>
      <w:szCs w:val="20"/>
    </w:rPr>
  </w:style>
  <w:style w:type="paragraph" w:customStyle="1" w:styleId="126">
    <w:name w:val="普通(网站) Cha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27">
    <w:name w:val="标书的正文"/>
    <w:basedOn w:val="1"/>
    <w:autoRedefine/>
    <w:qFormat/>
    <w:uiPriority w:val="0"/>
    <w:pPr>
      <w:spacing w:line="360" w:lineRule="auto"/>
      <w:ind w:firstLine="482"/>
      <w:jc w:val="left"/>
    </w:pPr>
    <w:rPr>
      <w:rFonts w:ascii="宋体" w:hAnsi="宋体"/>
      <w:kern w:val="3"/>
      <w:sz w:val="24"/>
      <w:szCs w:val="20"/>
    </w:rPr>
  </w:style>
  <w:style w:type="paragraph" w:customStyle="1" w:styleId="128">
    <w:name w:val="样式 标题 1 + 宋体 段前: 0 磅 段后: 0 磅 行距: 单倍行距"/>
    <w:basedOn w:val="2"/>
    <w:next w:val="1"/>
    <w:autoRedefine/>
    <w:qFormat/>
    <w:uiPriority w:val="99"/>
    <w:pPr>
      <w:spacing w:beforeLines="100" w:afterLines="100"/>
    </w:pPr>
    <w:rPr>
      <w:rFonts w:ascii="仿宋_GB2312" w:hAnsi="宋体" w:cs="仿宋_GB2312"/>
    </w:rPr>
  </w:style>
  <w:style w:type="paragraph" w:customStyle="1" w:styleId="129">
    <w:name w:val="标准文本"/>
    <w:basedOn w:val="1"/>
    <w:autoRedefine/>
    <w:qFormat/>
    <w:uiPriority w:val="0"/>
    <w:pPr>
      <w:spacing w:line="360" w:lineRule="auto"/>
      <w:ind w:firstLine="480" w:firstLineChars="200"/>
    </w:pPr>
    <w:rPr>
      <w:rFonts w:cs="宋体"/>
      <w:sz w:val="24"/>
    </w:rPr>
  </w:style>
  <w:style w:type="character" w:customStyle="1" w:styleId="130">
    <w:name w:val="批注文字 字符"/>
    <w:basedOn w:val="38"/>
    <w:link w:val="15"/>
    <w:autoRedefine/>
    <w:qFormat/>
    <w:uiPriority w:val="99"/>
    <w:rPr>
      <w:kern w:val="2"/>
      <w:sz w:val="21"/>
      <w:szCs w:val="24"/>
    </w:rPr>
  </w:style>
  <w:style w:type="character" w:customStyle="1" w:styleId="131">
    <w:name w:val="批注主题 字符"/>
    <w:basedOn w:val="130"/>
    <w:link w:val="33"/>
    <w:autoRedefine/>
    <w:qFormat/>
    <w:uiPriority w:val="99"/>
    <w:rPr>
      <w:b/>
      <w:bCs/>
      <w:kern w:val="2"/>
      <w:sz w:val="21"/>
      <w:szCs w:val="24"/>
    </w:rPr>
  </w:style>
  <w:style w:type="character" w:customStyle="1" w:styleId="132">
    <w:name w:val="未处理的提及1"/>
    <w:basedOn w:val="38"/>
    <w:autoRedefine/>
    <w:semiHidden/>
    <w:unhideWhenUsed/>
    <w:qFormat/>
    <w:uiPriority w:val="99"/>
    <w:rPr>
      <w:color w:val="605E5C"/>
      <w:shd w:val="clear" w:color="auto" w:fill="E1DFDD"/>
    </w:rPr>
  </w:style>
  <w:style w:type="paragraph" w:customStyle="1" w:styleId="133">
    <w:name w:val="列出段落2"/>
    <w:basedOn w:val="1"/>
    <w:autoRedefine/>
    <w:qFormat/>
    <w:uiPriority w:val="99"/>
    <w:pPr>
      <w:ind w:firstLine="420" w:firstLineChars="200"/>
    </w:pPr>
    <w:rPr>
      <w:kern w:val="0"/>
      <w:sz w:val="20"/>
      <w:szCs w:val="20"/>
    </w:rPr>
  </w:style>
  <w:style w:type="paragraph" w:customStyle="1" w:styleId="134">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5">
    <w:name w:val="Hyperlink.0"/>
    <w:autoRedefine/>
    <w:qFormat/>
    <w:uiPriority w:val="0"/>
    <w:rPr>
      <w:rFonts w:ascii="宋体" w:hAnsi="宋体" w:eastAsia="宋体" w:cs="宋体"/>
      <w:sz w:val="24"/>
      <w:szCs w:val="24"/>
      <w:lang w:val="zh-TW" w:eastAsia="zh-TW"/>
    </w:rPr>
  </w:style>
  <w:style w:type="character" w:customStyle="1" w:styleId="136">
    <w:name w:val="页脚 Char"/>
    <w:autoRedefine/>
    <w:qFormat/>
    <w:uiPriority w:val="99"/>
    <w:rPr>
      <w:rFonts w:ascii="Times New Roman" w:hAnsi="Times New Roman" w:eastAsia="宋体" w:cs="Times New Roman"/>
      <w:kern w:val="0"/>
      <w:sz w:val="18"/>
      <w:szCs w:val="20"/>
    </w:rPr>
  </w:style>
  <w:style w:type="paragraph" w:customStyle="1" w:styleId="137">
    <w:name w:val="首行缩进"/>
    <w:basedOn w:val="1"/>
    <w:autoRedefine/>
    <w:qFormat/>
    <w:uiPriority w:val="0"/>
    <w:pPr>
      <w:spacing w:line="360" w:lineRule="auto"/>
      <w:ind w:firstLine="480" w:firstLineChars="200"/>
    </w:pPr>
    <w:rPr>
      <w:sz w:val="24"/>
    </w:rPr>
  </w:style>
  <w:style w:type="paragraph" w:customStyle="1" w:styleId="138">
    <w:name w:val="Table Paragraph"/>
    <w:basedOn w:val="1"/>
    <w:autoRedefine/>
    <w:qFormat/>
    <w:uiPriority w:val="0"/>
    <w:pPr>
      <w:jc w:val="left"/>
    </w:pPr>
    <w:rPr>
      <w:rFonts w:ascii="Calibri" w:hAnsi="Calibri" w:cs="Calibri"/>
      <w:kern w:val="0"/>
      <w:sz w:val="22"/>
      <w:szCs w:val="22"/>
    </w:rPr>
  </w:style>
  <w:style w:type="paragraph" w:customStyle="1" w:styleId="139">
    <w:name w:val="样式 宋体 黑色 首行缩进:  2 字符"/>
    <w:basedOn w:val="1"/>
    <w:autoRedefine/>
    <w:qFormat/>
    <w:uiPriority w:val="0"/>
    <w:pPr>
      <w:ind w:firstLine="480"/>
    </w:pPr>
    <w:rPr>
      <w:rFonts w:cs="宋体"/>
      <w:color w:val="000000"/>
      <w:szCs w:val="20"/>
    </w:rPr>
  </w:style>
  <w:style w:type="paragraph" w:customStyle="1" w:styleId="140">
    <w:name w:val="￥正文"/>
    <w:basedOn w:val="1"/>
    <w:link w:val="141"/>
    <w:autoRedefine/>
    <w:qFormat/>
    <w:uiPriority w:val="0"/>
    <w:pPr>
      <w:spacing w:line="360" w:lineRule="auto"/>
      <w:ind w:firstLine="200" w:firstLineChars="200"/>
    </w:pPr>
    <w:rPr>
      <w:rFonts w:ascii="Calibri" w:hAnsi="Calibri"/>
      <w:sz w:val="24"/>
      <w:szCs w:val="22"/>
    </w:rPr>
  </w:style>
  <w:style w:type="character" w:customStyle="1" w:styleId="141">
    <w:name w:val="￥正文 Char"/>
    <w:basedOn w:val="38"/>
    <w:link w:val="140"/>
    <w:autoRedefine/>
    <w:qFormat/>
    <w:uiPriority w:val="0"/>
    <w:rPr>
      <w:rFonts w:ascii="Calibri" w:hAnsi="Calibri"/>
      <w:kern w:val="2"/>
      <w:sz w:val="24"/>
      <w:szCs w:val="22"/>
    </w:rPr>
  </w:style>
  <w:style w:type="paragraph" w:customStyle="1" w:styleId="142">
    <w:name w:val="null3"/>
    <w:autoRedefine/>
    <w:qFormat/>
    <w:uiPriority w:val="0"/>
    <w:rPr>
      <w:rFonts w:hint="eastAsia" w:ascii="Calibri" w:hAnsi="Calibri" w:eastAsia="宋体" w:cs="Times New Roman"/>
      <w:lang w:val="en-US" w:eastAsia="zh-Hans" w:bidi="ar-SA"/>
    </w:rPr>
  </w:style>
  <w:style w:type="character" w:customStyle="1" w:styleId="143">
    <w:name w:val="未处理的提及2"/>
    <w:basedOn w:val="38"/>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52</Pages>
  <Words>8668</Words>
  <Characters>9293</Characters>
  <Lines>203</Lines>
  <Paragraphs>57</Paragraphs>
  <TotalTime>106</TotalTime>
  <ScaleCrop>false</ScaleCrop>
  <LinksUpToDate>false</LinksUpToDate>
  <CharactersWithSpaces>9475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2025-04-25T07:09:00Z</dcterms:created>
  <dc:creator>User</dc:creator>
  <cp:lastModifiedBy>jessie</cp:lastModifiedBy>
  <cp:lastPrinted>2021-12-07T23:11:00Z</cp:lastPrinted>
  <dcterms:modified xsi:type="dcterms:W3CDTF">2025-06-30T01:54:03Z</dcterms:modified>
  <dc:title>南通市Ⅹ项目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307ABE6274304F299C1C1D91E65195FA_13</vt:lpwstr>
  </property>
  <property fmtid="{D5CDD505-2E9C-101B-9397-08002B2CF9AE}" pid="4" name="KSOTemplateDocerSaveRecord">
    <vt:lpwstr>eyJoZGlkIjoiMTY2YTExYjU4MWEzY2MzM2I4OTY2NWYxMWY5ZTNlMmIiLCJ1c2VySWQiOiI2Mzc4MTQzODgifQ==</vt:lpwstr>
  </property>
</Properties>
</file>