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34EF">
      <w:pPr>
        <w:jc w:val="center"/>
        <w:rPr>
          <w:rFonts w:ascii="宋体" w:hAnsi="宋体" w:cs="宋体"/>
          <w:b/>
          <w:color w:val="auto"/>
          <w:spacing w:val="20"/>
          <w:sz w:val="40"/>
          <w:szCs w:val="40"/>
        </w:rPr>
      </w:pPr>
    </w:p>
    <w:p w14:paraId="7E355429">
      <w:pPr>
        <w:jc w:val="center"/>
        <w:rPr>
          <w:rFonts w:ascii="宋体" w:hAnsi="宋体" w:cs="宋体"/>
          <w:b/>
          <w:color w:val="auto"/>
          <w:spacing w:val="20"/>
          <w:sz w:val="40"/>
          <w:szCs w:val="40"/>
        </w:rPr>
      </w:pPr>
    </w:p>
    <w:p w14:paraId="5F12EA7D">
      <w:pPr>
        <w:jc w:val="center"/>
        <w:rPr>
          <w:rFonts w:ascii="宋体" w:hAnsi="宋体" w:cs="宋体"/>
          <w:b/>
          <w:color w:val="auto"/>
          <w:spacing w:val="20"/>
          <w:sz w:val="40"/>
          <w:szCs w:val="40"/>
        </w:rPr>
      </w:pPr>
      <w:r>
        <w:rPr>
          <w:rFonts w:hint="eastAsia" w:ascii="宋体" w:hAnsi="宋体" w:cs="宋体"/>
          <w:b/>
          <w:color w:val="auto"/>
          <w:spacing w:val="20"/>
          <w:sz w:val="40"/>
          <w:szCs w:val="40"/>
        </w:rPr>
        <w:t>江苏商贸职业学院</w:t>
      </w:r>
    </w:p>
    <w:p w14:paraId="02DCD949">
      <w:pPr>
        <w:jc w:val="center"/>
        <w:rPr>
          <w:rFonts w:ascii="宋体" w:hAnsi="宋体" w:cs="宋体"/>
          <w:b/>
          <w:color w:val="auto"/>
          <w:spacing w:val="20"/>
          <w:sz w:val="40"/>
          <w:szCs w:val="40"/>
        </w:rPr>
      </w:pPr>
      <w:r>
        <w:rPr>
          <w:rFonts w:hint="eastAsia" w:ascii="宋体" w:hAnsi="宋体" w:cs="宋体"/>
          <w:b/>
          <w:color w:val="auto"/>
          <w:spacing w:val="20"/>
          <w:sz w:val="40"/>
          <w:szCs w:val="40"/>
        </w:rPr>
        <w:t>学生宿舍四、五及学生和教师集体宿舍安防监控存储及平台接入项目</w:t>
      </w:r>
    </w:p>
    <w:p w14:paraId="1C93AA41">
      <w:pPr>
        <w:jc w:val="center"/>
        <w:rPr>
          <w:rFonts w:ascii="宋体" w:hAnsi="宋体" w:cs="宋体"/>
          <w:bCs/>
          <w:color w:val="auto"/>
          <w:sz w:val="60"/>
          <w:szCs w:val="60"/>
        </w:rPr>
      </w:pPr>
    </w:p>
    <w:p w14:paraId="50FDFCD6">
      <w:pPr>
        <w:ind w:firstLine="2160" w:firstLineChars="300"/>
        <w:rPr>
          <w:rFonts w:ascii="宋体" w:hAnsi="宋体" w:cs="宋体"/>
          <w:bCs/>
          <w:color w:val="auto"/>
          <w:sz w:val="72"/>
          <w:szCs w:val="72"/>
        </w:rPr>
      </w:pPr>
    </w:p>
    <w:p w14:paraId="40EA0D30">
      <w:pPr>
        <w:ind w:firstLine="2160" w:firstLineChars="300"/>
        <w:rPr>
          <w:rFonts w:ascii="宋体" w:hAnsi="宋体" w:cs="宋体"/>
          <w:bCs/>
          <w:color w:val="auto"/>
          <w:sz w:val="72"/>
          <w:szCs w:val="72"/>
        </w:rPr>
      </w:pPr>
    </w:p>
    <w:p w14:paraId="15FB9417">
      <w:pPr>
        <w:ind w:firstLine="2160" w:firstLineChars="300"/>
        <w:rPr>
          <w:rFonts w:ascii="宋体" w:hAnsi="宋体" w:cs="宋体"/>
          <w:bCs/>
          <w:color w:val="auto"/>
          <w:sz w:val="100"/>
          <w:szCs w:val="100"/>
        </w:rPr>
      </w:pPr>
      <w:r>
        <w:rPr>
          <w:rFonts w:hint="eastAsia" w:ascii="宋体" w:hAnsi="宋体" w:cs="宋体"/>
          <w:bCs/>
          <w:color w:val="auto"/>
          <w:sz w:val="72"/>
          <w:szCs w:val="72"/>
        </w:rPr>
        <w:t>公开招标文件</w:t>
      </w:r>
    </w:p>
    <w:p w14:paraId="0426F0CE">
      <w:pPr>
        <w:jc w:val="center"/>
        <w:rPr>
          <w:rFonts w:ascii="宋体" w:hAnsi="宋体" w:cs="宋体"/>
          <w:bCs/>
          <w:color w:val="auto"/>
          <w:sz w:val="36"/>
          <w:szCs w:val="36"/>
        </w:rPr>
      </w:pPr>
    </w:p>
    <w:p w14:paraId="378BA6F4">
      <w:pPr>
        <w:jc w:val="center"/>
        <w:rPr>
          <w:rFonts w:ascii="宋体" w:hAnsi="宋体" w:cs="宋体"/>
          <w:bCs/>
          <w:color w:val="auto"/>
          <w:sz w:val="36"/>
          <w:szCs w:val="36"/>
          <w:highlight w:val="yellow"/>
        </w:rPr>
      </w:pPr>
      <w:r>
        <w:rPr>
          <w:rFonts w:hint="eastAsia" w:ascii="宋体" w:hAnsi="宋体" w:cs="宋体"/>
          <w:bCs/>
          <w:color w:val="auto"/>
          <w:sz w:val="36"/>
          <w:szCs w:val="36"/>
        </w:rPr>
        <w:t>招标文件编号：JSSYCG20260330002</w:t>
      </w:r>
    </w:p>
    <w:p w14:paraId="592B19F1">
      <w:pPr>
        <w:spacing w:line="500" w:lineRule="exact"/>
        <w:jc w:val="center"/>
        <w:rPr>
          <w:rFonts w:ascii="宋体" w:hAnsi="宋体" w:cs="宋体"/>
          <w:b/>
          <w:color w:val="auto"/>
          <w:sz w:val="36"/>
        </w:rPr>
      </w:pPr>
    </w:p>
    <w:p w14:paraId="21B15816">
      <w:pPr>
        <w:spacing w:line="500" w:lineRule="exact"/>
        <w:jc w:val="center"/>
        <w:rPr>
          <w:rFonts w:ascii="宋体" w:hAnsi="宋体" w:cs="宋体"/>
          <w:b/>
          <w:color w:val="auto"/>
          <w:sz w:val="36"/>
        </w:rPr>
      </w:pPr>
    </w:p>
    <w:p w14:paraId="6E92B2F1">
      <w:pPr>
        <w:spacing w:line="500" w:lineRule="exact"/>
        <w:jc w:val="center"/>
        <w:rPr>
          <w:rFonts w:ascii="宋体" w:hAnsi="宋体" w:cs="宋体"/>
          <w:b/>
          <w:color w:val="auto"/>
          <w:sz w:val="36"/>
        </w:rPr>
      </w:pPr>
    </w:p>
    <w:p w14:paraId="38A2C526">
      <w:pPr>
        <w:spacing w:line="500" w:lineRule="exact"/>
        <w:rPr>
          <w:rFonts w:ascii="宋体" w:hAnsi="宋体" w:cs="宋体"/>
          <w:color w:val="auto"/>
        </w:rPr>
      </w:pPr>
    </w:p>
    <w:p w14:paraId="71C8DBB0">
      <w:pPr>
        <w:spacing w:line="500" w:lineRule="exact"/>
        <w:jc w:val="center"/>
        <w:rPr>
          <w:rFonts w:ascii="宋体" w:hAnsi="宋体" w:cs="宋体"/>
          <w:color w:val="auto"/>
          <w:sz w:val="32"/>
        </w:rPr>
      </w:pPr>
    </w:p>
    <w:p w14:paraId="1B0F89A6">
      <w:pPr>
        <w:spacing w:line="500" w:lineRule="exact"/>
        <w:jc w:val="center"/>
        <w:rPr>
          <w:rFonts w:ascii="宋体" w:hAnsi="宋体" w:cs="宋体"/>
          <w:color w:val="auto"/>
          <w:sz w:val="32"/>
        </w:rPr>
      </w:pPr>
    </w:p>
    <w:p w14:paraId="04A8F1F9">
      <w:pPr>
        <w:pStyle w:val="78"/>
        <w:ind w:left="0" w:firstLine="0"/>
        <w:jc w:val="both"/>
        <w:rPr>
          <w:rFonts w:ascii="宋体" w:hAnsi="宋体" w:cs="宋体"/>
          <w:b/>
          <w:color w:val="auto"/>
          <w:spacing w:val="20"/>
          <w:sz w:val="44"/>
        </w:rPr>
      </w:pPr>
    </w:p>
    <w:p w14:paraId="2243D04D">
      <w:pPr>
        <w:adjustRightInd w:val="0"/>
        <w:spacing w:before="120" w:after="120" w:line="500" w:lineRule="exact"/>
        <w:ind w:left="-2" w:right="120"/>
        <w:jc w:val="center"/>
        <w:textAlignment w:val="baseline"/>
        <w:rPr>
          <w:rFonts w:ascii="宋体" w:hAnsi="宋体" w:cs="宋体"/>
          <w:b/>
          <w:color w:val="auto"/>
          <w:spacing w:val="20"/>
          <w:sz w:val="44"/>
        </w:rPr>
      </w:pPr>
      <w:r>
        <w:rPr>
          <w:rFonts w:hint="eastAsia" w:ascii="宋体" w:hAnsi="宋体" w:cs="宋体"/>
          <w:b/>
          <w:color w:val="auto"/>
          <w:spacing w:val="20"/>
          <w:sz w:val="44"/>
        </w:rPr>
        <w:t>江苏商贸职业学院</w:t>
      </w:r>
    </w:p>
    <w:p w14:paraId="2404A691">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color w:val="auto"/>
          <w:sz w:val="32"/>
          <w:szCs w:val="32"/>
        </w:rPr>
        <w:t>2026年</w:t>
      </w:r>
      <w:r>
        <w:rPr>
          <w:rFonts w:hint="eastAsia" w:ascii="宋体" w:hAnsi="宋体" w:cs="宋体"/>
          <w:bCs/>
          <w:color w:val="auto"/>
          <w:sz w:val="32"/>
          <w:szCs w:val="32"/>
          <w:lang w:val="en-US" w:eastAsia="zh-CN"/>
        </w:rPr>
        <w:t>4</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1</w:t>
      </w:r>
      <w:r>
        <w:rPr>
          <w:rFonts w:hint="eastAsia" w:ascii="宋体" w:hAnsi="宋体" w:cs="宋体"/>
          <w:bCs/>
          <w:color w:val="auto"/>
          <w:sz w:val="32"/>
          <w:szCs w:val="32"/>
        </w:rPr>
        <w:t>日</w:t>
      </w:r>
    </w:p>
    <w:p w14:paraId="12360DF6">
      <w:pPr>
        <w:adjustRightInd w:val="0"/>
        <w:snapToGrid w:val="0"/>
        <w:ind w:left="-158" w:leftChars="-75"/>
        <w:rPr>
          <w:rFonts w:ascii="宋体" w:hAnsi="宋体" w:cs="宋体"/>
          <w:snapToGrid w:val="0"/>
          <w:color w:val="auto"/>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4214133">
      <w:pPr>
        <w:adjustRightInd w:val="0"/>
        <w:snapToGrid w:val="0"/>
        <w:spacing w:line="500" w:lineRule="exact"/>
        <w:ind w:right="-601" w:rightChars="-286" w:firstLine="3840" w:firstLineChars="1200"/>
        <w:rPr>
          <w:rFonts w:ascii="宋体" w:hAnsi="宋体" w:cs="宋体"/>
          <w:color w:val="auto"/>
          <w:sz w:val="32"/>
          <w:szCs w:val="32"/>
        </w:rPr>
      </w:pPr>
      <w:r>
        <w:rPr>
          <w:rFonts w:hint="eastAsia" w:ascii="宋体" w:hAnsi="宋体" w:cs="宋体"/>
          <w:color w:val="auto"/>
          <w:sz w:val="32"/>
          <w:szCs w:val="32"/>
        </w:rPr>
        <w:t>目录</w:t>
      </w:r>
    </w:p>
    <w:p w14:paraId="310FA76D">
      <w:pPr>
        <w:tabs>
          <w:tab w:val="left" w:pos="7740"/>
        </w:tabs>
        <w:adjustRightInd w:val="0"/>
        <w:snapToGrid w:val="0"/>
        <w:spacing w:line="360" w:lineRule="auto"/>
        <w:ind w:firstLine="640" w:firstLineChars="200"/>
        <w:rPr>
          <w:rFonts w:ascii="宋体" w:hAnsi="宋体" w:cs="宋体"/>
          <w:bCs/>
          <w:color w:val="auto"/>
          <w:sz w:val="32"/>
          <w:szCs w:val="32"/>
        </w:rPr>
      </w:pPr>
    </w:p>
    <w:p w14:paraId="6CEC65ED">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第一部分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投标邀请</w:t>
      </w:r>
    </w:p>
    <w:p w14:paraId="793B52B6">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第二部分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投标须知</w:t>
      </w:r>
    </w:p>
    <w:p w14:paraId="6EA16ABA">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第三部分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项目需求</w:t>
      </w:r>
    </w:p>
    <w:p w14:paraId="4BAE7834">
      <w:pPr>
        <w:tabs>
          <w:tab w:val="left" w:pos="7740"/>
        </w:tabs>
        <w:adjustRightInd w:val="0"/>
        <w:snapToGrid w:val="0"/>
        <w:spacing w:line="360" w:lineRule="auto"/>
        <w:ind w:firstLine="640" w:firstLineChars="200"/>
        <w:rPr>
          <w:rFonts w:ascii="宋体" w:hAnsi="宋体" w:cs="宋体"/>
          <w:bCs/>
          <w:color w:val="auto"/>
          <w:sz w:val="32"/>
          <w:szCs w:val="32"/>
        </w:rPr>
      </w:pPr>
      <w:r>
        <w:rPr>
          <w:rFonts w:hint="eastAsia" w:ascii="宋体" w:hAnsi="宋体" w:cs="宋体"/>
          <w:color w:val="auto"/>
          <w:sz w:val="32"/>
          <w:szCs w:val="32"/>
        </w:rPr>
        <w:t>第四部分</w:t>
      </w:r>
      <w:r>
        <w:rPr>
          <w:rFonts w:hint="eastAsia" w:ascii="宋体" w:hAnsi="宋体" w:cs="宋体"/>
          <w:color w:val="auto"/>
          <w:sz w:val="32"/>
          <w:szCs w:val="32"/>
          <w:lang w:val="en-US" w:eastAsia="zh-CN"/>
        </w:rPr>
        <w:t xml:space="preserve"> </w:t>
      </w:r>
      <w:r>
        <w:rPr>
          <w:rFonts w:hint="eastAsia" w:ascii="宋体" w:hAnsi="宋体" w:cs="宋体"/>
          <w:bCs/>
          <w:color w:val="auto"/>
          <w:sz w:val="32"/>
          <w:szCs w:val="32"/>
        </w:rPr>
        <w:t>开标和评标</w:t>
      </w:r>
    </w:p>
    <w:p w14:paraId="559E345F">
      <w:pPr>
        <w:tabs>
          <w:tab w:val="left" w:pos="7740"/>
        </w:tabs>
        <w:adjustRightInd w:val="0"/>
        <w:snapToGrid w:val="0"/>
        <w:spacing w:line="360" w:lineRule="auto"/>
        <w:ind w:firstLine="640" w:firstLineChars="200"/>
        <w:rPr>
          <w:rFonts w:ascii="宋体" w:hAnsi="宋体" w:cs="宋体"/>
          <w:bCs/>
          <w:color w:val="auto"/>
          <w:sz w:val="32"/>
          <w:szCs w:val="32"/>
        </w:rPr>
      </w:pPr>
      <w:r>
        <w:rPr>
          <w:rFonts w:hint="eastAsia" w:ascii="宋体" w:hAnsi="宋体" w:cs="宋体"/>
          <w:bCs/>
          <w:color w:val="auto"/>
          <w:sz w:val="32"/>
          <w:szCs w:val="32"/>
        </w:rPr>
        <w:t>第五部分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合同主要条款</w:t>
      </w:r>
    </w:p>
    <w:p w14:paraId="7922EDF2">
      <w:pPr>
        <w:tabs>
          <w:tab w:val="left" w:pos="7740"/>
        </w:tabs>
        <w:adjustRightInd w:val="0"/>
        <w:snapToGrid w:val="0"/>
        <w:spacing w:line="360" w:lineRule="auto"/>
        <w:ind w:firstLine="640" w:firstLineChars="200"/>
        <w:rPr>
          <w:rFonts w:ascii="宋体" w:hAnsi="宋体" w:cs="宋体"/>
          <w:bCs/>
          <w:color w:val="auto"/>
          <w:sz w:val="32"/>
          <w:szCs w:val="32"/>
        </w:rPr>
      </w:pPr>
      <w:r>
        <w:rPr>
          <w:rFonts w:hint="eastAsia" w:ascii="宋体" w:hAnsi="宋体" w:cs="宋体"/>
          <w:bCs/>
          <w:color w:val="auto"/>
          <w:sz w:val="32"/>
          <w:szCs w:val="32"/>
        </w:rPr>
        <w:t>第六部分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质疑与投诉</w:t>
      </w:r>
    </w:p>
    <w:p w14:paraId="393011E1">
      <w:pPr>
        <w:tabs>
          <w:tab w:val="left" w:pos="7740"/>
        </w:tabs>
        <w:adjustRightInd w:val="0"/>
        <w:snapToGrid w:val="0"/>
        <w:spacing w:line="360" w:lineRule="auto"/>
        <w:ind w:firstLine="640" w:firstLineChars="200"/>
        <w:rPr>
          <w:rFonts w:ascii="宋体" w:hAnsi="宋体" w:cs="宋体"/>
          <w:color w:val="auto"/>
          <w:spacing w:val="2"/>
          <w:sz w:val="32"/>
          <w:szCs w:val="32"/>
        </w:rPr>
      </w:pPr>
      <w:r>
        <w:rPr>
          <w:rFonts w:hint="eastAsia" w:ascii="宋体" w:hAnsi="宋体" w:cs="宋体"/>
          <w:bCs/>
          <w:color w:val="auto"/>
          <w:sz w:val="32"/>
          <w:szCs w:val="32"/>
        </w:rPr>
        <w:t>第七部分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投标文件组成</w:t>
      </w:r>
    </w:p>
    <w:p w14:paraId="1B506A64">
      <w:pPr>
        <w:spacing w:line="500" w:lineRule="exact"/>
        <w:rPr>
          <w:rFonts w:ascii="宋体" w:hAnsi="宋体" w:cs="宋体"/>
          <w:b/>
          <w:color w:val="auto"/>
          <w:sz w:val="32"/>
          <w:szCs w:val="32"/>
        </w:rPr>
      </w:pPr>
    </w:p>
    <w:p w14:paraId="3AD8280E">
      <w:pPr>
        <w:tabs>
          <w:tab w:val="left" w:pos="7740"/>
        </w:tabs>
        <w:spacing w:line="500" w:lineRule="exact"/>
        <w:rPr>
          <w:rFonts w:ascii="宋体" w:hAnsi="宋体" w:cs="宋体"/>
          <w:b/>
          <w:color w:val="auto"/>
          <w:spacing w:val="2"/>
          <w:sz w:val="32"/>
          <w:szCs w:val="32"/>
        </w:rPr>
      </w:pPr>
    </w:p>
    <w:p w14:paraId="17E0BBE3">
      <w:pPr>
        <w:tabs>
          <w:tab w:val="left" w:pos="7740"/>
        </w:tabs>
        <w:spacing w:line="500" w:lineRule="exact"/>
        <w:rPr>
          <w:rFonts w:ascii="宋体" w:hAnsi="宋体" w:cs="宋体"/>
          <w:b/>
          <w:color w:val="auto"/>
          <w:spacing w:val="2"/>
          <w:sz w:val="32"/>
          <w:szCs w:val="32"/>
        </w:rPr>
      </w:pPr>
    </w:p>
    <w:p w14:paraId="3A0258C0">
      <w:pPr>
        <w:tabs>
          <w:tab w:val="left" w:pos="7740"/>
        </w:tabs>
        <w:spacing w:line="500" w:lineRule="exact"/>
        <w:rPr>
          <w:rFonts w:ascii="宋体" w:hAnsi="宋体" w:cs="宋体"/>
          <w:b/>
          <w:bCs/>
          <w:color w:val="auto"/>
          <w:sz w:val="32"/>
          <w:szCs w:val="32"/>
        </w:rPr>
      </w:pPr>
    </w:p>
    <w:p w14:paraId="7D37DBE7">
      <w:pPr>
        <w:pStyle w:val="12"/>
        <w:rPr>
          <w:rFonts w:ascii="宋体" w:hAnsi="宋体" w:cs="宋体"/>
          <w:bCs/>
          <w:color w:val="auto"/>
          <w:sz w:val="36"/>
          <w:szCs w:val="36"/>
        </w:rPr>
      </w:pPr>
    </w:p>
    <w:p w14:paraId="309C7DD5">
      <w:pPr>
        <w:rPr>
          <w:rFonts w:ascii="宋体" w:hAnsi="宋体" w:cs="宋体"/>
          <w:color w:val="auto"/>
        </w:rPr>
      </w:pPr>
    </w:p>
    <w:p w14:paraId="05C074D3">
      <w:pPr>
        <w:adjustRightInd w:val="0"/>
        <w:snapToGrid w:val="0"/>
        <w:spacing w:line="500" w:lineRule="exact"/>
        <w:jc w:val="center"/>
        <w:outlineLvl w:val="0"/>
        <w:rPr>
          <w:rFonts w:ascii="宋体" w:hAnsi="宋体" w:cs="宋体"/>
          <w:bCs/>
          <w:color w:val="auto"/>
          <w:sz w:val="32"/>
          <w:szCs w:val="32"/>
        </w:rPr>
      </w:pPr>
      <w:r>
        <w:rPr>
          <w:rFonts w:hint="eastAsia" w:ascii="宋体" w:hAnsi="宋体" w:cs="宋体"/>
          <w:bCs/>
          <w:color w:val="auto"/>
          <w:sz w:val="32"/>
          <w:szCs w:val="32"/>
        </w:rPr>
        <w:br w:type="page"/>
      </w:r>
      <w:r>
        <w:rPr>
          <w:rFonts w:hint="eastAsia" w:ascii="宋体" w:hAnsi="宋体" w:cs="宋体"/>
          <w:bCs/>
          <w:color w:val="auto"/>
          <w:sz w:val="32"/>
          <w:szCs w:val="32"/>
        </w:rPr>
        <w:t>第一部分</w:t>
      </w:r>
      <w:bookmarkStart w:id="0" w:name="OLE_LINK7"/>
      <w:bookmarkStart w:id="1" w:name="OLE_LINK5"/>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投标邀请</w:t>
      </w:r>
    </w:p>
    <w:p w14:paraId="4BC2FDA3">
      <w:pPr>
        <w:tabs>
          <w:tab w:val="left" w:pos="360"/>
        </w:tabs>
        <w:spacing w:line="460" w:lineRule="exact"/>
        <w:ind w:firstLine="480" w:firstLineChars="200"/>
        <w:rPr>
          <w:rFonts w:ascii="宋体" w:hAnsi="宋体" w:cs="宋体"/>
          <w:color w:val="auto"/>
          <w:sz w:val="24"/>
        </w:rPr>
      </w:pPr>
      <w:bookmarkStart w:id="2" w:name="OLE_LINK6"/>
      <w:r>
        <w:rPr>
          <w:rFonts w:hint="eastAsia" w:ascii="宋体" w:hAnsi="宋体" w:cs="宋体"/>
          <w:color w:val="auto"/>
          <w:sz w:val="24"/>
        </w:rPr>
        <w:t>受江苏商贸职业学院的委托，东方华星建设管理（江苏）有限公司就江苏商贸职业学院学生宿舍四、五及学生和教师集体宿舍安防监控存储及平台接入项目(项目编号:JSSYCG20260330002)进行公开招标采购，欢迎符合条件的投标人投标。</w:t>
      </w:r>
    </w:p>
    <w:p w14:paraId="45B463F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项目概况</w:t>
      </w:r>
    </w:p>
    <w:p w14:paraId="1155260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江苏商贸职业学院学生宿舍四、五及学生和教师集体宿舍安防监控存储及平台接入项目的潜在投标人应在江苏商贸职业学院网（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45"/>
          <w:rFonts w:hint="eastAsia" w:ascii="宋体" w:hAnsi="宋体" w:cs="宋体"/>
          <w:color w:val="auto"/>
          <w:sz w:val="24"/>
        </w:rPr>
        <w:t>http://www.jsbc.edu.cn/）获取招标文件，并于2026年</w:t>
      </w:r>
      <w:r>
        <w:rPr>
          <w:rStyle w:val="45"/>
          <w:rFonts w:hint="eastAsia" w:ascii="宋体" w:hAnsi="宋体" w:cs="宋体"/>
          <w:color w:val="auto"/>
          <w:sz w:val="24"/>
          <w:lang w:val="en-US" w:eastAsia="zh-CN"/>
        </w:rPr>
        <w:t>4</w:t>
      </w:r>
      <w:r>
        <w:rPr>
          <w:rStyle w:val="45"/>
          <w:rFonts w:hint="eastAsia" w:ascii="宋体" w:hAnsi="宋体" w:cs="宋体"/>
          <w:color w:val="auto"/>
          <w:sz w:val="24"/>
        </w:rPr>
        <w:t>月</w:t>
      </w:r>
      <w:r>
        <w:rPr>
          <w:rStyle w:val="45"/>
          <w:rFonts w:hint="eastAsia" w:ascii="宋体" w:hAnsi="宋体" w:cs="宋体"/>
          <w:color w:val="auto"/>
          <w:sz w:val="24"/>
        </w:rPr>
        <w:fldChar w:fldCharType="end"/>
      </w:r>
      <w:r>
        <w:rPr>
          <w:rStyle w:val="45"/>
          <w:rFonts w:hint="eastAsia" w:ascii="宋体" w:hAnsi="宋体" w:cs="宋体"/>
          <w:color w:val="auto"/>
          <w:sz w:val="24"/>
          <w:lang w:val="en-US" w:eastAsia="zh-CN"/>
        </w:rPr>
        <w:t>9</w:t>
      </w:r>
      <w:r>
        <w:rPr>
          <w:rFonts w:hint="eastAsia" w:ascii="宋体" w:hAnsi="宋体" w:cs="宋体"/>
          <w:color w:val="auto"/>
          <w:sz w:val="24"/>
        </w:rPr>
        <w:t>日09时00分（北京时间）前递交投标文件。</w:t>
      </w:r>
    </w:p>
    <w:p w14:paraId="28A92D05">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0A48FEAE">
      <w:pPr>
        <w:ind w:firstLine="480" w:firstLineChars="200"/>
        <w:rPr>
          <w:rFonts w:ascii="宋体" w:hAnsi="宋体" w:cs="宋体"/>
          <w:color w:val="auto"/>
          <w:kern w:val="0"/>
          <w:sz w:val="20"/>
          <w:szCs w:val="20"/>
        </w:rPr>
      </w:pPr>
      <w:r>
        <w:rPr>
          <w:rFonts w:hint="eastAsia" w:ascii="宋体" w:hAnsi="宋体" w:cs="宋体"/>
          <w:color w:val="auto"/>
          <w:sz w:val="24"/>
        </w:rPr>
        <w:t>项目编号：JSSYCG20260330002</w:t>
      </w:r>
    </w:p>
    <w:p w14:paraId="348A0E6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项目名称：江苏商贸职业学院学生宿舍四、五及学生和教师集体宿舍安防监控存储及平台接入项目</w:t>
      </w:r>
    </w:p>
    <w:p w14:paraId="7F278F6B">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预算金额：</w:t>
      </w:r>
      <w:r>
        <w:rPr>
          <w:rFonts w:hint="eastAsia" w:ascii="仿宋" w:hAnsi="仿宋" w:eastAsia="仿宋" w:cs="仿宋"/>
          <w:color w:val="auto"/>
          <w:sz w:val="24"/>
        </w:rPr>
        <w:t>99.2</w:t>
      </w:r>
      <w:r>
        <w:rPr>
          <w:rFonts w:hint="eastAsia" w:ascii="宋体" w:hAnsi="宋体" w:cs="宋体"/>
          <w:color w:val="auto"/>
          <w:sz w:val="24"/>
        </w:rPr>
        <w:t>万元</w:t>
      </w:r>
    </w:p>
    <w:p w14:paraId="5D0C05EF">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最高限价：99.2万元，投标报价高于最高限价的作无效报价处理。</w:t>
      </w:r>
    </w:p>
    <w:p w14:paraId="1BE9884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采购需求：详见招标文件，请仔细研究。</w:t>
      </w:r>
    </w:p>
    <w:p w14:paraId="359F2343">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color w:val="auto"/>
          <w:sz w:val="24"/>
          <w:szCs w:val="20"/>
        </w:rPr>
        <w:t>合同履行期限：</w:t>
      </w:r>
      <w:r>
        <w:rPr>
          <w:rFonts w:hint="eastAsia" w:ascii="宋体" w:hAnsi="宋体" w:cs="宋体"/>
          <w:bCs/>
          <w:color w:val="auto"/>
          <w:sz w:val="24"/>
        </w:rPr>
        <w:t>合同签订后20个日历天内供货至用户单位，在</w:t>
      </w:r>
      <w:r>
        <w:rPr>
          <w:rFonts w:hint="eastAsia" w:ascii="宋体" w:hAnsi="宋体" w:cs="宋体"/>
          <w:color w:val="auto"/>
          <w:sz w:val="24"/>
        </w:rPr>
        <w:t>接到招标人现场满足施工条件书面通知后</w:t>
      </w:r>
      <w:r>
        <w:rPr>
          <w:rFonts w:hint="eastAsia" w:ascii="宋体" w:hAnsi="宋体" w:cs="宋体"/>
          <w:color w:val="auto"/>
          <w:sz w:val="24"/>
          <w:lang w:val="en-US" w:eastAsia="zh-CN"/>
        </w:rPr>
        <w:t>15</w:t>
      </w:r>
      <w:r>
        <w:rPr>
          <w:rFonts w:hint="eastAsia" w:ascii="宋体" w:hAnsi="宋体" w:cs="宋体"/>
          <w:color w:val="auto"/>
          <w:sz w:val="24"/>
        </w:rPr>
        <w:t>个日历天内</w:t>
      </w:r>
      <w:r>
        <w:rPr>
          <w:rFonts w:hint="eastAsia" w:ascii="宋体" w:hAnsi="宋体" w:cs="宋体"/>
          <w:bCs/>
          <w:color w:val="auto"/>
          <w:sz w:val="24"/>
        </w:rPr>
        <w:t>完成项目所有设备的安装及调试，系统运行正常。</w:t>
      </w:r>
    </w:p>
    <w:p w14:paraId="61405054">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二、申请人的资格要求</w:t>
      </w:r>
    </w:p>
    <w:p w14:paraId="15CD530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9A7065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2.本项目的特定资格要求：投标人须具有有效的电子与智能化工程专业承包二级及以上资质证书；</w:t>
      </w:r>
    </w:p>
    <w:p w14:paraId="11DD767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3.法定代表人为同一个人的两个及两个以上法人，母公司、全资子公司及其控股公司，都不得在同一采购项目相同标段中同时参加投标，一经发现，将视同围标处理；</w:t>
      </w:r>
    </w:p>
    <w:p w14:paraId="1B31C4E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4.本项目不接受联合体投标。</w:t>
      </w:r>
    </w:p>
    <w:p w14:paraId="389BA75C">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536D679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p>
    <w:p w14:paraId="60A1F26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53A0A6E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67AF4ED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725A511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日09时00分（北京时间）。</w:t>
      </w:r>
    </w:p>
    <w:p w14:paraId="6CE4E01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2DAEDCD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开标地点：江苏省南通市江通路48号，江苏商贸职业学院资产管理处（西大门南侧）办公室，如有变动另行通知。</w:t>
      </w:r>
    </w:p>
    <w:p w14:paraId="6E942CF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评审地点：江苏商贸职业学院基建会议室，如有变动另行通知。</w:t>
      </w:r>
    </w:p>
    <w:p w14:paraId="73FBC2E5">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五、公告期限</w:t>
      </w:r>
    </w:p>
    <w:p w14:paraId="2E911B0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15CE618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六、其他补充事宜</w:t>
      </w:r>
    </w:p>
    <w:p w14:paraId="29BD1E8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1.投标保证金：免收。</w:t>
      </w:r>
    </w:p>
    <w:p w14:paraId="6D355D8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2.项目开标活动模式：见面开标模式，投标人在江苏省南通市江通路48号，江苏商贸职业学院资产管理处（西大门南侧）办公室参加开标会。</w:t>
      </w:r>
    </w:p>
    <w:p w14:paraId="29C47F9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3.项目演示、样品、答辩等：详见招标文件。</w:t>
      </w:r>
    </w:p>
    <w:p w14:paraId="4DC3850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4.对项目需求部分（投标人资格要求、项目需求、商务技术评分标准）的询问、质疑请向招标人提出，由招标人负责答复；对项目招标文件其它部分的询问请向代理机构经办人提出。</w:t>
      </w:r>
    </w:p>
    <w:p w14:paraId="55C0E33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2E175429">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七、</w:t>
      </w:r>
      <w:bookmarkStart w:id="3" w:name="OLE_LINK1"/>
      <w:bookmarkStart w:id="4" w:name="OLE_LINK2"/>
      <w:r>
        <w:rPr>
          <w:rFonts w:hint="eastAsia" w:ascii="宋体" w:hAnsi="宋体" w:cs="宋体"/>
          <w:b/>
          <w:bCs/>
          <w:color w:val="auto"/>
          <w:sz w:val="24"/>
        </w:rPr>
        <w:t>对本次招标提出询问，请按以下方式联系。</w:t>
      </w:r>
    </w:p>
    <w:p w14:paraId="1BC0A0D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1.招标单位：江苏商贸职业学院</w:t>
      </w:r>
    </w:p>
    <w:p w14:paraId="0FBACA60">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地址：南通市崇川区江通路48号</w:t>
      </w:r>
    </w:p>
    <w:p w14:paraId="1E5DB27B">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招标单位联系人：</w:t>
      </w:r>
    </w:p>
    <w:p w14:paraId="1E641B0B">
      <w:pPr>
        <w:snapToGrid w:val="0"/>
        <w:spacing w:line="480" w:lineRule="exact"/>
        <w:ind w:firstLine="720" w:firstLineChars="300"/>
        <w:outlineLvl w:val="1"/>
        <w:rPr>
          <w:rFonts w:ascii="宋体" w:hAnsi="宋体" w:cs="宋体"/>
          <w:color w:val="auto"/>
          <w:sz w:val="24"/>
        </w:rPr>
      </w:pPr>
      <w:r>
        <w:rPr>
          <w:rFonts w:hint="eastAsia" w:ascii="宋体" w:hAnsi="宋体" w:cs="宋体"/>
          <w:color w:val="auto"/>
          <w:sz w:val="24"/>
        </w:rPr>
        <w:t>何老师</w:t>
      </w:r>
      <w:r>
        <w:rPr>
          <w:rFonts w:ascii="宋体" w:hAnsi="宋体" w:cs="宋体"/>
          <w:color w:val="auto"/>
          <w:sz w:val="24"/>
        </w:rPr>
        <w:t>（安全与保卫处）联系电话</w:t>
      </w:r>
      <w:r>
        <w:rPr>
          <w:rFonts w:hint="eastAsia" w:ascii="宋体" w:hAnsi="宋体" w:cs="宋体"/>
          <w:color w:val="auto"/>
          <w:sz w:val="24"/>
        </w:rPr>
        <w:t>：0513-85679266</w:t>
      </w:r>
    </w:p>
    <w:p w14:paraId="2DE3CBF6">
      <w:pPr>
        <w:snapToGrid w:val="0"/>
        <w:spacing w:line="480" w:lineRule="exact"/>
        <w:ind w:firstLine="720" w:firstLineChars="300"/>
        <w:outlineLvl w:val="1"/>
        <w:rPr>
          <w:rFonts w:ascii="宋体" w:hAnsi="宋体" w:cs="宋体"/>
          <w:color w:val="auto"/>
          <w:sz w:val="24"/>
        </w:rPr>
      </w:pPr>
      <w:r>
        <w:rPr>
          <w:rFonts w:hint="eastAsia" w:ascii="宋体" w:hAnsi="宋体" w:cs="宋体"/>
          <w:color w:val="auto"/>
          <w:sz w:val="24"/>
        </w:rPr>
        <w:t>杨老师（资产管理处）联系电话：0513-85679264</w:t>
      </w:r>
    </w:p>
    <w:p w14:paraId="14900756">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联系邮箱：jssyzcglc@jsbc.edu.cn</w:t>
      </w:r>
    </w:p>
    <w:p w14:paraId="4B391E9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2.监督、投诉联系方式</w:t>
      </w:r>
    </w:p>
    <w:p w14:paraId="450D3BAE">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电话：0513-85679216，联系邮箱：jssyjjjc@163.com</w:t>
      </w:r>
    </w:p>
    <w:p w14:paraId="14CF89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3.招标代理机构信息</w:t>
      </w:r>
    </w:p>
    <w:p w14:paraId="240B7170">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名称：东方华星建设管理（江苏）有限公司</w:t>
      </w:r>
    </w:p>
    <w:p w14:paraId="21F9439B">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地址：南通市崇川区北大街万科壹中心2402室</w:t>
      </w:r>
      <w:bookmarkEnd w:id="3"/>
      <w:bookmarkEnd w:id="4"/>
    </w:p>
    <w:p w14:paraId="5329E384">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经办人联系方式：王江 15922159523</w:t>
      </w:r>
    </w:p>
    <w:p w14:paraId="183776B8">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邮箱：dfhxnt@126.com</w:t>
      </w:r>
    </w:p>
    <w:p w14:paraId="7E76D327">
      <w:pPr>
        <w:tabs>
          <w:tab w:val="left" w:pos="360"/>
        </w:tabs>
        <w:spacing w:line="460" w:lineRule="exact"/>
        <w:ind w:firstLine="480" w:firstLineChars="200"/>
        <w:rPr>
          <w:rFonts w:ascii="宋体" w:hAnsi="宋体" w:cs="宋体"/>
          <w:color w:val="auto"/>
          <w:sz w:val="24"/>
        </w:rPr>
      </w:pPr>
    </w:p>
    <w:p w14:paraId="7EDC5D1A">
      <w:pPr>
        <w:pStyle w:val="17"/>
        <w:ind w:firstLine="480"/>
        <w:rPr>
          <w:rFonts w:ascii="宋体" w:hAnsi="宋体" w:cs="宋体"/>
          <w:color w:val="auto"/>
        </w:rPr>
      </w:pPr>
    </w:p>
    <w:p w14:paraId="4FF4A414">
      <w:pPr>
        <w:adjustRightInd w:val="0"/>
        <w:snapToGrid w:val="0"/>
        <w:spacing w:line="500" w:lineRule="exact"/>
        <w:jc w:val="center"/>
        <w:outlineLvl w:val="0"/>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第二部分</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投标须知</w:t>
      </w:r>
    </w:p>
    <w:p w14:paraId="581B9345">
      <w:pPr>
        <w:tabs>
          <w:tab w:val="left" w:pos="360"/>
        </w:tabs>
        <w:spacing w:line="460" w:lineRule="exact"/>
        <w:ind w:firstLine="482" w:firstLineChars="200"/>
        <w:rPr>
          <w:rFonts w:ascii="宋体" w:hAnsi="宋体" w:cs="宋体"/>
          <w:b/>
          <w:bCs/>
          <w:color w:val="auto"/>
          <w:sz w:val="24"/>
        </w:rPr>
      </w:pPr>
      <w:bookmarkStart w:id="5" w:name="_Toc513029203"/>
      <w:bookmarkStart w:id="6" w:name="_Toc120614214"/>
      <w:bookmarkStart w:id="7" w:name="_Toc20823275"/>
      <w:bookmarkStart w:id="8" w:name="_Toc16938519"/>
      <w:r>
        <w:rPr>
          <w:rFonts w:hint="eastAsia" w:ascii="宋体" w:hAnsi="宋体" w:cs="宋体"/>
          <w:b/>
          <w:bCs/>
          <w:color w:val="auto"/>
          <w:sz w:val="24"/>
        </w:rPr>
        <w:t>一、总则</w:t>
      </w:r>
      <w:bookmarkEnd w:id="5"/>
      <w:bookmarkEnd w:id="6"/>
      <w:bookmarkEnd w:id="7"/>
      <w:bookmarkEnd w:id="8"/>
    </w:p>
    <w:p w14:paraId="7B955F02">
      <w:pPr>
        <w:tabs>
          <w:tab w:val="left" w:pos="360"/>
        </w:tabs>
        <w:spacing w:line="460" w:lineRule="exact"/>
        <w:ind w:firstLine="480" w:firstLineChars="200"/>
        <w:rPr>
          <w:rFonts w:ascii="宋体" w:hAnsi="宋体" w:cs="宋体"/>
          <w:color w:val="auto"/>
          <w:sz w:val="24"/>
        </w:rPr>
      </w:pPr>
      <w:bookmarkStart w:id="9" w:name="_Hlt16619475"/>
      <w:bookmarkEnd w:id="9"/>
      <w:bookmarkStart w:id="10" w:name="_Toc458694821"/>
      <w:bookmarkStart w:id="11" w:name="_Toc20823276"/>
      <w:bookmarkStart w:id="12" w:name="_Toc513029204"/>
      <w:bookmarkStart w:id="13" w:name="_Toc16938520"/>
      <w:r>
        <w:rPr>
          <w:rFonts w:hint="eastAsia" w:ascii="宋体" w:hAnsi="宋体" w:cs="宋体"/>
          <w:color w:val="auto"/>
          <w:sz w:val="24"/>
        </w:rPr>
        <w:t>1</w:t>
      </w:r>
      <w:bookmarkEnd w:id="10"/>
      <w:r>
        <w:rPr>
          <w:rFonts w:hint="eastAsia" w:ascii="宋体" w:hAnsi="宋体" w:cs="宋体"/>
          <w:color w:val="auto"/>
          <w:sz w:val="24"/>
        </w:rPr>
        <w:t>.招标方式</w:t>
      </w:r>
      <w:bookmarkEnd w:id="11"/>
      <w:bookmarkEnd w:id="12"/>
      <w:bookmarkEnd w:id="13"/>
    </w:p>
    <w:p w14:paraId="4C307A5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本次招标采取公开招标方式，本招标文件仅适用于招标公告中所述项目。</w:t>
      </w:r>
    </w:p>
    <w:p w14:paraId="1E27E108">
      <w:pPr>
        <w:tabs>
          <w:tab w:val="left" w:pos="360"/>
        </w:tabs>
        <w:spacing w:line="460" w:lineRule="exact"/>
        <w:ind w:firstLine="480" w:firstLineChars="200"/>
        <w:rPr>
          <w:rFonts w:ascii="宋体" w:hAnsi="宋体" w:cs="宋体"/>
          <w:color w:val="auto"/>
          <w:sz w:val="24"/>
        </w:rPr>
      </w:pPr>
      <w:bookmarkStart w:id="14" w:name="_Toc16938521"/>
      <w:bookmarkStart w:id="15" w:name="_Toc20823277"/>
      <w:bookmarkStart w:id="16" w:name="_Toc513029205"/>
      <w:r>
        <w:rPr>
          <w:rFonts w:hint="eastAsia" w:ascii="宋体" w:hAnsi="宋体" w:cs="宋体"/>
          <w:color w:val="auto"/>
          <w:sz w:val="24"/>
        </w:rPr>
        <w:t>2.合格的</w:t>
      </w:r>
      <w:bookmarkEnd w:id="14"/>
      <w:bookmarkEnd w:id="15"/>
      <w:bookmarkEnd w:id="16"/>
      <w:r>
        <w:rPr>
          <w:rFonts w:hint="eastAsia" w:ascii="宋体" w:hAnsi="宋体" w:cs="宋体"/>
          <w:color w:val="auto"/>
          <w:sz w:val="24"/>
        </w:rPr>
        <w:t>投标人</w:t>
      </w:r>
    </w:p>
    <w:p w14:paraId="576D43A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2.1满足招标公告中投标人的资格要求的规定。</w:t>
      </w:r>
    </w:p>
    <w:p w14:paraId="2DF1523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 满足本文件实质性条款的规定。</w:t>
      </w:r>
    </w:p>
    <w:p w14:paraId="5DB4E1F6">
      <w:pPr>
        <w:tabs>
          <w:tab w:val="left" w:pos="360"/>
        </w:tabs>
        <w:spacing w:line="460" w:lineRule="exact"/>
        <w:ind w:firstLine="480" w:firstLineChars="200"/>
        <w:rPr>
          <w:rFonts w:ascii="宋体" w:hAnsi="宋体" w:cs="宋体"/>
          <w:color w:val="auto"/>
          <w:sz w:val="24"/>
        </w:rPr>
      </w:pPr>
      <w:bookmarkStart w:id="17" w:name="_Toc20823278"/>
      <w:bookmarkStart w:id="18" w:name="_Toc513029206"/>
      <w:bookmarkStart w:id="19" w:name="_Toc16938522"/>
      <w:r>
        <w:rPr>
          <w:rFonts w:hint="eastAsia" w:ascii="宋体" w:hAnsi="宋体" w:cs="宋体"/>
          <w:color w:val="auto"/>
          <w:sz w:val="24"/>
        </w:rPr>
        <w:t>3.适用法律</w:t>
      </w:r>
      <w:bookmarkEnd w:id="17"/>
      <w:bookmarkEnd w:id="18"/>
      <w:bookmarkEnd w:id="19"/>
    </w:p>
    <w:p w14:paraId="7821FD2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3.1本次招标及由此产生的合同受中华人民共和国有关的法律法规制约和保护。</w:t>
      </w:r>
    </w:p>
    <w:p w14:paraId="1B6C3172">
      <w:pPr>
        <w:tabs>
          <w:tab w:val="left" w:pos="360"/>
        </w:tabs>
        <w:spacing w:line="460" w:lineRule="exact"/>
        <w:ind w:firstLine="480" w:firstLineChars="200"/>
        <w:rPr>
          <w:rFonts w:ascii="宋体" w:hAnsi="宋体" w:cs="宋体"/>
          <w:color w:val="auto"/>
          <w:sz w:val="24"/>
        </w:rPr>
      </w:pPr>
      <w:bookmarkStart w:id="20" w:name="_Toc513029207"/>
      <w:bookmarkStart w:id="21" w:name="_Toc16938523"/>
      <w:bookmarkStart w:id="22" w:name="_Toc20823279"/>
      <w:bookmarkStart w:id="23" w:name="_Toc462564067"/>
      <w:r>
        <w:rPr>
          <w:rFonts w:hint="eastAsia" w:ascii="宋体" w:hAnsi="宋体" w:cs="宋体"/>
          <w:color w:val="auto"/>
          <w:sz w:val="24"/>
        </w:rPr>
        <w:t>4.投标费用</w:t>
      </w:r>
      <w:bookmarkEnd w:id="20"/>
      <w:bookmarkEnd w:id="21"/>
      <w:bookmarkEnd w:id="22"/>
      <w:bookmarkEnd w:id="23"/>
    </w:p>
    <w:p w14:paraId="3C4638B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4.1投标人应自行承担所有与参加投标有关的费用，无论投标过程中的做法和结果如何，东方华星建设管理（江苏）有限公司（以下简称招标代理机构）在任何情况下均无义务和责任承担这些费用。</w:t>
      </w:r>
    </w:p>
    <w:p w14:paraId="4C68021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4.2本项目招标代理费收取标准以中标价为基准，乘以招标代理收费费率，由中标人支付，投标人综合考虑在报价内（不单列）。</w:t>
      </w:r>
    </w:p>
    <w:p w14:paraId="42EC363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69E7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61E7D8F9">
            <w:pPr>
              <w:widowControl/>
              <w:adjustRightInd w:val="0"/>
              <w:snapToGrid w:val="0"/>
              <w:spacing w:line="460" w:lineRule="exact"/>
              <w:jc w:val="center"/>
              <w:rPr>
                <w:rFonts w:ascii="宋体" w:hAnsi="宋体" w:cs="宋体"/>
                <w:b/>
                <w:bCs/>
                <w:color w:val="auto"/>
                <w:sz w:val="24"/>
              </w:rPr>
            </w:pPr>
            <w:r>
              <w:rPr>
                <w:rFonts w:hint="eastAsia" w:ascii="宋体" w:hAnsi="宋体" w:cs="宋体"/>
                <w:b/>
                <w:bCs/>
                <w:color w:val="auto"/>
                <w:sz w:val="24"/>
              </w:rPr>
              <w:t>序号</w:t>
            </w:r>
          </w:p>
        </w:tc>
        <w:tc>
          <w:tcPr>
            <w:tcW w:w="2533" w:type="pct"/>
            <w:vMerge w:val="restart"/>
            <w:tcBorders>
              <w:top w:val="single" w:color="auto" w:sz="4" w:space="0"/>
              <w:left w:val="single" w:color="auto" w:sz="4" w:space="0"/>
              <w:right w:val="single" w:color="auto" w:sz="4" w:space="0"/>
            </w:tcBorders>
            <w:vAlign w:val="center"/>
          </w:tcPr>
          <w:p w14:paraId="16EB8584">
            <w:pPr>
              <w:widowControl/>
              <w:adjustRightInd w:val="0"/>
              <w:snapToGrid w:val="0"/>
              <w:spacing w:line="460" w:lineRule="exact"/>
              <w:jc w:val="center"/>
              <w:rPr>
                <w:rFonts w:ascii="宋体" w:hAnsi="宋体" w:cs="宋体"/>
                <w:b/>
                <w:bCs/>
                <w:color w:val="auto"/>
                <w:sz w:val="24"/>
              </w:rPr>
            </w:pPr>
            <w:r>
              <w:rPr>
                <w:rFonts w:hint="eastAsia" w:ascii="宋体" w:hAnsi="宋体" w:cs="宋体"/>
                <w:b/>
                <w:bCs/>
                <w:color w:val="auto"/>
                <w:sz w:val="24"/>
              </w:rPr>
              <w:t>服务费类型（按中标金额）</w:t>
            </w:r>
          </w:p>
        </w:tc>
        <w:tc>
          <w:tcPr>
            <w:tcW w:w="1776" w:type="pct"/>
            <w:vMerge w:val="restart"/>
            <w:tcBorders>
              <w:top w:val="single" w:color="auto" w:sz="4" w:space="0"/>
              <w:left w:val="single" w:color="auto" w:sz="4" w:space="0"/>
              <w:right w:val="single" w:color="auto" w:sz="4" w:space="0"/>
            </w:tcBorders>
            <w:vAlign w:val="center"/>
          </w:tcPr>
          <w:p w14:paraId="38120E2D">
            <w:pPr>
              <w:widowControl/>
              <w:adjustRightInd w:val="0"/>
              <w:snapToGrid w:val="0"/>
              <w:spacing w:line="460" w:lineRule="exact"/>
              <w:jc w:val="center"/>
              <w:rPr>
                <w:rFonts w:ascii="宋体" w:hAnsi="宋体" w:cs="宋体"/>
                <w:b/>
                <w:bCs/>
                <w:color w:val="auto"/>
                <w:sz w:val="24"/>
              </w:rPr>
            </w:pPr>
            <w:r>
              <w:rPr>
                <w:rFonts w:hint="eastAsia" w:ascii="宋体" w:hAnsi="宋体" w:cs="宋体"/>
                <w:b/>
                <w:bCs/>
                <w:color w:val="auto"/>
                <w:sz w:val="24"/>
              </w:rPr>
              <w:t>收费标准</w:t>
            </w:r>
          </w:p>
        </w:tc>
      </w:tr>
      <w:tr w14:paraId="1B5C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16CB3D72">
            <w:pPr>
              <w:widowControl/>
              <w:adjustRightInd w:val="0"/>
              <w:snapToGrid w:val="0"/>
              <w:spacing w:line="460" w:lineRule="exact"/>
              <w:jc w:val="center"/>
              <w:rPr>
                <w:rFonts w:ascii="宋体" w:hAnsi="宋体" w:cs="宋体"/>
                <w:color w:val="auto"/>
                <w:sz w:val="24"/>
              </w:rPr>
            </w:pPr>
          </w:p>
        </w:tc>
        <w:tc>
          <w:tcPr>
            <w:tcW w:w="2533" w:type="pct"/>
            <w:vMerge w:val="continue"/>
            <w:tcBorders>
              <w:left w:val="single" w:color="auto" w:sz="4" w:space="0"/>
              <w:bottom w:val="single" w:color="auto" w:sz="4" w:space="0"/>
              <w:right w:val="single" w:color="auto" w:sz="4" w:space="0"/>
            </w:tcBorders>
            <w:vAlign w:val="center"/>
          </w:tcPr>
          <w:p w14:paraId="48E44701">
            <w:pPr>
              <w:widowControl/>
              <w:adjustRightInd w:val="0"/>
              <w:snapToGrid w:val="0"/>
              <w:spacing w:line="460" w:lineRule="exact"/>
              <w:jc w:val="center"/>
              <w:rPr>
                <w:rFonts w:ascii="宋体" w:hAnsi="宋体" w:cs="宋体"/>
                <w:color w:val="auto"/>
                <w:sz w:val="24"/>
              </w:rPr>
            </w:pPr>
          </w:p>
        </w:tc>
        <w:tc>
          <w:tcPr>
            <w:tcW w:w="1776" w:type="pct"/>
            <w:vMerge w:val="continue"/>
            <w:tcBorders>
              <w:left w:val="single" w:color="auto" w:sz="4" w:space="0"/>
              <w:bottom w:val="single" w:color="auto" w:sz="4" w:space="0"/>
              <w:right w:val="single" w:color="auto" w:sz="4" w:space="0"/>
            </w:tcBorders>
            <w:vAlign w:val="center"/>
          </w:tcPr>
          <w:p w14:paraId="4F4A2CEC">
            <w:pPr>
              <w:widowControl/>
              <w:adjustRightInd w:val="0"/>
              <w:snapToGrid w:val="0"/>
              <w:spacing w:line="460" w:lineRule="exact"/>
              <w:jc w:val="center"/>
              <w:rPr>
                <w:rFonts w:ascii="宋体" w:hAnsi="宋体" w:cs="宋体"/>
                <w:color w:val="auto"/>
                <w:sz w:val="24"/>
              </w:rPr>
            </w:pPr>
          </w:p>
        </w:tc>
      </w:tr>
      <w:tr w14:paraId="2E55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71BFB82F">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541F1D97">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货物、服务和工程招标代理、咨询服务费(5万元-50万元）含5万</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1641FFD1">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2000.00元</w:t>
            </w:r>
          </w:p>
        </w:tc>
      </w:tr>
      <w:tr w14:paraId="0BB7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05FF0108">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2</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68D5A0F7">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货物、服务和工程招标代理、咨询服务（50万元-100万元）含50万</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1D02374D">
            <w:pPr>
              <w:widowControl/>
              <w:adjustRightInd w:val="0"/>
              <w:snapToGrid w:val="0"/>
              <w:spacing w:line="460" w:lineRule="exact"/>
              <w:jc w:val="center"/>
              <w:rPr>
                <w:rFonts w:ascii="宋体" w:hAnsi="宋体" w:cs="宋体"/>
                <w:color w:val="auto"/>
                <w:sz w:val="24"/>
              </w:rPr>
            </w:pPr>
            <w:r>
              <w:rPr>
                <w:rFonts w:hint="eastAsia" w:ascii="宋体" w:hAnsi="宋体" w:cs="宋体"/>
                <w:color w:val="auto"/>
                <w:sz w:val="24"/>
              </w:rPr>
              <w:t>2500.00元</w:t>
            </w:r>
          </w:p>
        </w:tc>
      </w:tr>
    </w:tbl>
    <w:p w14:paraId="6FF4722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color w:val="auto"/>
          <w:sz w:val="24"/>
        </w:rPr>
        <w:t>。</w:t>
      </w:r>
    </w:p>
    <w:p w14:paraId="2E277C6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4.3</w:t>
      </w:r>
      <w:r>
        <w:rPr>
          <w:rFonts w:hint="eastAsia" w:ascii="宋体" w:hAnsi="宋体" w:cs="宋体"/>
          <w:color w:val="auto"/>
          <w:sz w:val="24"/>
          <w:lang w:val="zh-CN"/>
        </w:rPr>
        <w:t>本项目报总价，报价包含完成本项目服务期间所产生的一切费用（含验收费用），校方后期不再另行追加费用。</w:t>
      </w:r>
    </w:p>
    <w:p w14:paraId="41B69D7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5.招标文件的约束力</w:t>
      </w:r>
    </w:p>
    <w:p w14:paraId="5FF9309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 投标人一旦参加本项目采购活动，即被认为接受了本招标文件的规定和约束。</w:t>
      </w:r>
    </w:p>
    <w:p w14:paraId="5CE60BB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6.招标文件的解释</w:t>
      </w:r>
    </w:p>
    <w:p w14:paraId="3968C0B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6.1招标文件需求部分（投标人资格要求、项目需求、商务技术评分标准）由招标人解释，其它部分由代理机构解释。</w:t>
      </w:r>
    </w:p>
    <w:p w14:paraId="46996B7C">
      <w:pPr>
        <w:tabs>
          <w:tab w:val="left" w:pos="360"/>
        </w:tabs>
        <w:spacing w:line="460" w:lineRule="exact"/>
        <w:ind w:firstLine="482" w:firstLineChars="200"/>
        <w:rPr>
          <w:rFonts w:ascii="宋体" w:hAnsi="宋体" w:cs="宋体"/>
          <w:b/>
          <w:bCs/>
          <w:color w:val="auto"/>
          <w:sz w:val="24"/>
        </w:rPr>
      </w:pPr>
      <w:bookmarkStart w:id="24" w:name="_Toc16938525"/>
      <w:bookmarkStart w:id="25" w:name="_Toc120614215"/>
      <w:bookmarkStart w:id="26" w:name="_Toc513029209"/>
      <w:bookmarkStart w:id="27" w:name="_Toc20823281"/>
      <w:r>
        <w:rPr>
          <w:rFonts w:hint="eastAsia" w:ascii="宋体" w:hAnsi="宋体" w:cs="宋体"/>
          <w:b/>
          <w:bCs/>
          <w:color w:val="auto"/>
          <w:sz w:val="24"/>
        </w:rPr>
        <w:t>二、招标文件</w:t>
      </w:r>
      <w:bookmarkEnd w:id="24"/>
      <w:bookmarkEnd w:id="25"/>
      <w:bookmarkEnd w:id="26"/>
      <w:bookmarkEnd w:id="27"/>
    </w:p>
    <w:p w14:paraId="4A770559">
      <w:pPr>
        <w:tabs>
          <w:tab w:val="left" w:pos="360"/>
        </w:tabs>
        <w:spacing w:line="460" w:lineRule="exact"/>
        <w:ind w:firstLine="480" w:firstLineChars="200"/>
        <w:rPr>
          <w:rFonts w:ascii="宋体" w:hAnsi="宋体" w:cs="宋体"/>
          <w:color w:val="auto"/>
          <w:sz w:val="24"/>
        </w:rPr>
      </w:pPr>
      <w:bookmarkStart w:id="28" w:name="_Toc513029210"/>
      <w:bookmarkStart w:id="29" w:name="_Toc16938526"/>
      <w:bookmarkStart w:id="30" w:name="_Toc20823282"/>
      <w:r>
        <w:rPr>
          <w:rFonts w:hint="eastAsia" w:ascii="宋体" w:hAnsi="宋体" w:cs="宋体"/>
          <w:color w:val="auto"/>
          <w:sz w:val="24"/>
        </w:rPr>
        <w:t>1.招标文件构成</w:t>
      </w:r>
      <w:bookmarkEnd w:id="28"/>
      <w:bookmarkEnd w:id="29"/>
      <w:bookmarkEnd w:id="30"/>
    </w:p>
    <w:p w14:paraId="45D766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招标文件由以下部分组成：</w:t>
      </w:r>
    </w:p>
    <w:p w14:paraId="30ED56C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（1）投标邀请</w:t>
      </w:r>
    </w:p>
    <w:p w14:paraId="696C12B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（2）投标须知</w:t>
      </w:r>
    </w:p>
    <w:p w14:paraId="0A50739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（3）项目需求</w:t>
      </w:r>
    </w:p>
    <w:p w14:paraId="71A914E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（4）开标和评标</w:t>
      </w:r>
    </w:p>
    <w:p w14:paraId="5951AC7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（5）合同主要条款</w:t>
      </w:r>
    </w:p>
    <w:p w14:paraId="5D4B675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（6）质疑与投诉</w:t>
      </w:r>
    </w:p>
    <w:p w14:paraId="6A4E0CF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（7）投标文件组成</w:t>
      </w:r>
    </w:p>
    <w:p w14:paraId="5FE1101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（8）附件（如有）</w:t>
      </w:r>
    </w:p>
    <w:p w14:paraId="6F671D0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请仔细检查招标文件是否齐全，如有缺漏请立即与代理机构联系解决。</w:t>
      </w:r>
    </w:p>
    <w:p w14:paraId="5846BE6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81FB4E7">
      <w:pPr>
        <w:tabs>
          <w:tab w:val="left" w:pos="360"/>
        </w:tabs>
        <w:spacing w:line="460" w:lineRule="exact"/>
        <w:ind w:firstLine="480" w:firstLineChars="200"/>
        <w:rPr>
          <w:rFonts w:ascii="宋体" w:hAnsi="宋体" w:cs="宋体"/>
          <w:color w:val="auto"/>
          <w:sz w:val="24"/>
        </w:rPr>
      </w:pPr>
      <w:bookmarkStart w:id="31" w:name="_Toc513029211"/>
      <w:bookmarkStart w:id="32" w:name="_Toc16938527"/>
      <w:bookmarkStart w:id="33" w:name="_Toc20823283"/>
      <w:bookmarkStart w:id="34" w:name="_Toc462564070"/>
      <w:r>
        <w:rPr>
          <w:rFonts w:hint="eastAsia" w:ascii="宋体" w:hAnsi="宋体" w:cs="宋体"/>
          <w:color w:val="auto"/>
          <w:sz w:val="24"/>
        </w:rPr>
        <w:t>2.招标文件的澄清</w:t>
      </w:r>
      <w:bookmarkEnd w:id="31"/>
      <w:bookmarkEnd w:id="32"/>
      <w:bookmarkEnd w:id="33"/>
      <w:bookmarkEnd w:id="34"/>
    </w:p>
    <w:p w14:paraId="721083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任何要求对招标文件进行澄清的投标人，应在投标截止期3日前按招标公告中的通讯地址，以书面形式通知招标人。招标人有权对发出的招标文件进行必要的澄清或修改。</w:t>
      </w:r>
    </w:p>
    <w:p w14:paraId="1D5BCA4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2.2招标人视情组织答疑会</w:t>
      </w:r>
    </w:p>
    <w:p w14:paraId="7BC738AD">
      <w:pPr>
        <w:tabs>
          <w:tab w:val="left" w:pos="360"/>
        </w:tabs>
        <w:spacing w:line="460" w:lineRule="exact"/>
        <w:ind w:firstLine="480" w:firstLineChars="200"/>
        <w:rPr>
          <w:rFonts w:ascii="宋体" w:hAnsi="宋体" w:cs="宋体"/>
          <w:color w:val="auto"/>
          <w:sz w:val="24"/>
        </w:rPr>
      </w:pPr>
      <w:bookmarkStart w:id="35" w:name="_Toc462564071"/>
      <w:bookmarkStart w:id="36" w:name="_Toc513029212"/>
      <w:bookmarkStart w:id="37" w:name="_Toc20823284"/>
      <w:bookmarkStart w:id="38" w:name="_Toc16938528"/>
      <w:r>
        <w:rPr>
          <w:rFonts w:hint="eastAsia" w:ascii="宋体" w:hAnsi="宋体" w:cs="宋体"/>
          <w:color w:val="auto"/>
          <w:sz w:val="24"/>
        </w:rPr>
        <w:t>3.招标文件的修改</w:t>
      </w:r>
      <w:bookmarkEnd w:id="35"/>
      <w:bookmarkEnd w:id="36"/>
      <w:bookmarkEnd w:id="37"/>
      <w:bookmarkEnd w:id="38"/>
    </w:p>
    <w:p w14:paraId="43216AB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 在投标截止时间前，代理机构可以对招标文件进行修改。</w:t>
      </w:r>
    </w:p>
    <w:p w14:paraId="630F576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3.2 代理机构有权按照法定的要求推迟投标截止日期和开标日期。</w:t>
      </w:r>
    </w:p>
    <w:p w14:paraId="57ADA85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3.3 招标文件的修改将在江苏商贸职业学院网（http://www.jsbc.edu.cn/）公布，补充文件将作为招标文件的组成部分，并对投标人具有约束力。</w:t>
      </w:r>
    </w:p>
    <w:p w14:paraId="25E71AFC">
      <w:pPr>
        <w:tabs>
          <w:tab w:val="left" w:pos="360"/>
        </w:tabs>
        <w:spacing w:line="460" w:lineRule="exact"/>
        <w:ind w:firstLine="482" w:firstLineChars="200"/>
        <w:rPr>
          <w:rFonts w:ascii="宋体" w:hAnsi="宋体" w:cs="宋体"/>
          <w:b/>
          <w:bCs/>
          <w:color w:val="auto"/>
          <w:sz w:val="24"/>
        </w:rPr>
      </w:pPr>
      <w:bookmarkStart w:id="39" w:name="_Toc20823285"/>
      <w:bookmarkStart w:id="40" w:name="_Toc462564072"/>
      <w:bookmarkStart w:id="41" w:name="_Toc120614216"/>
      <w:bookmarkStart w:id="42" w:name="_Toc513029213"/>
      <w:bookmarkStart w:id="43" w:name="_Toc16938529"/>
      <w:r>
        <w:rPr>
          <w:rFonts w:hint="eastAsia" w:ascii="宋体" w:hAnsi="宋体" w:cs="宋体"/>
          <w:b/>
          <w:bCs/>
          <w:color w:val="auto"/>
          <w:sz w:val="24"/>
        </w:rPr>
        <w:t>三、投标文件的编制</w:t>
      </w:r>
      <w:bookmarkEnd w:id="39"/>
      <w:bookmarkEnd w:id="40"/>
      <w:bookmarkEnd w:id="41"/>
      <w:bookmarkEnd w:id="42"/>
      <w:bookmarkEnd w:id="43"/>
    </w:p>
    <w:p w14:paraId="04F68C73">
      <w:pPr>
        <w:tabs>
          <w:tab w:val="left" w:pos="360"/>
        </w:tabs>
        <w:spacing w:line="460" w:lineRule="exact"/>
        <w:ind w:firstLine="480" w:firstLineChars="200"/>
        <w:rPr>
          <w:rFonts w:ascii="宋体" w:hAnsi="宋体" w:cs="宋体"/>
          <w:color w:val="auto"/>
          <w:sz w:val="24"/>
        </w:rPr>
      </w:pPr>
      <w:bookmarkStart w:id="44" w:name="_Toc20823286"/>
      <w:bookmarkStart w:id="45" w:name="_Toc462564073"/>
      <w:bookmarkStart w:id="46" w:name="_Toc513029214"/>
      <w:bookmarkStart w:id="47" w:name="_Toc16938530"/>
      <w:r>
        <w:rPr>
          <w:rFonts w:hint="eastAsia" w:ascii="宋体" w:hAnsi="宋体" w:cs="宋体"/>
          <w:color w:val="auto"/>
          <w:sz w:val="24"/>
        </w:rPr>
        <w:t>1.投标文件的语言及度量衡单位</w:t>
      </w:r>
      <w:bookmarkEnd w:id="44"/>
      <w:bookmarkEnd w:id="45"/>
      <w:bookmarkEnd w:id="46"/>
      <w:bookmarkEnd w:id="47"/>
    </w:p>
    <w:p w14:paraId="5DF53C9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投标人提交的投标文件以及投标人与代理机构就有关投标的所有来往通知、函件和文件均应使用简体中文。</w:t>
      </w:r>
    </w:p>
    <w:p w14:paraId="55A5E1B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 除技术性能另有规定外，投标文件所使用的度量衡单位，均须采用国家法定计量单位。</w:t>
      </w:r>
    </w:p>
    <w:p w14:paraId="20BEC80F">
      <w:pPr>
        <w:tabs>
          <w:tab w:val="left" w:pos="360"/>
        </w:tabs>
        <w:spacing w:line="460" w:lineRule="exact"/>
        <w:ind w:firstLine="480" w:firstLineChars="200"/>
        <w:rPr>
          <w:rFonts w:ascii="宋体" w:hAnsi="宋体" w:cs="宋体"/>
          <w:color w:val="auto"/>
          <w:sz w:val="24"/>
        </w:rPr>
      </w:pPr>
      <w:bookmarkStart w:id="48" w:name="_Toc20823287"/>
      <w:bookmarkStart w:id="49" w:name="_Toc513029215"/>
      <w:bookmarkStart w:id="50" w:name="_Toc462564074"/>
      <w:bookmarkStart w:id="51" w:name="_Toc16938531"/>
      <w:r>
        <w:rPr>
          <w:rFonts w:hint="eastAsia" w:ascii="宋体" w:hAnsi="宋体" w:cs="宋体"/>
          <w:color w:val="auto"/>
          <w:sz w:val="24"/>
        </w:rPr>
        <w:t>2.投标文件构成</w:t>
      </w:r>
      <w:bookmarkEnd w:id="48"/>
      <w:bookmarkEnd w:id="49"/>
      <w:bookmarkEnd w:id="50"/>
      <w:bookmarkEnd w:id="51"/>
    </w:p>
    <w:p w14:paraId="6FA438B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投标人编写的投标文件应包括资格审查文件、商务技术标、价格标、电子响应文件。投标人按“第七部分投标文件组成”要求编写投标文件。</w:t>
      </w:r>
    </w:p>
    <w:p w14:paraId="3E0037A1">
      <w:pPr>
        <w:tabs>
          <w:tab w:val="left" w:pos="360"/>
        </w:tabs>
        <w:spacing w:line="460" w:lineRule="exact"/>
        <w:ind w:firstLine="480" w:firstLineChars="200"/>
        <w:rPr>
          <w:rFonts w:ascii="宋体" w:hAnsi="宋体" w:cs="宋体"/>
          <w:color w:val="auto"/>
          <w:sz w:val="24"/>
        </w:rPr>
      </w:pPr>
      <w:bookmarkStart w:id="52" w:name="_Hlt26670360"/>
      <w:bookmarkEnd w:id="52"/>
      <w:bookmarkStart w:id="53" w:name="_Hlt26954838"/>
      <w:bookmarkEnd w:id="53"/>
      <w:bookmarkStart w:id="54" w:name="_Hlt26668975"/>
      <w:bookmarkEnd w:id="54"/>
      <w:bookmarkStart w:id="55" w:name="_Toc14577360"/>
      <w:bookmarkStart w:id="56" w:name="_Toc49090511"/>
      <w:r>
        <w:rPr>
          <w:rFonts w:hint="eastAsia" w:ascii="宋体" w:hAnsi="宋体" w:cs="宋体"/>
          <w:color w:val="auto"/>
          <w:sz w:val="24"/>
        </w:rPr>
        <w:t>3.投标有效期</w:t>
      </w:r>
      <w:bookmarkEnd w:id="55"/>
      <w:bookmarkEnd w:id="56"/>
    </w:p>
    <w:p w14:paraId="3561C81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3.1投标有效期为代理机构规定的开标之日后六十（60）天。投标有效期比规定短的将被视为非响应性投标而予以拒绝。</w:t>
      </w:r>
    </w:p>
    <w:p w14:paraId="1F865A5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4.投标有效期的延长</w:t>
      </w:r>
    </w:p>
    <w:p w14:paraId="6C51EE6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ABD7B3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5.投标人资格要求</w:t>
      </w:r>
    </w:p>
    <w:p w14:paraId="56361E3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5.1投标人应具备承担本项目的资格要求。</w:t>
      </w:r>
    </w:p>
    <w:p w14:paraId="0D9B79AE">
      <w:pPr>
        <w:tabs>
          <w:tab w:val="left" w:pos="360"/>
        </w:tabs>
        <w:spacing w:line="460" w:lineRule="exact"/>
        <w:ind w:firstLine="482" w:firstLineChars="200"/>
        <w:rPr>
          <w:rFonts w:ascii="宋体" w:hAnsi="宋体" w:cs="宋体"/>
          <w:b/>
          <w:bCs/>
          <w:color w:val="auto"/>
          <w:sz w:val="24"/>
        </w:rPr>
      </w:pPr>
      <w:bookmarkStart w:id="57" w:name="_Hlt26954852"/>
      <w:bookmarkEnd w:id="57"/>
      <w:bookmarkStart w:id="58" w:name="_Hlt26954739"/>
      <w:bookmarkEnd w:id="58"/>
      <w:bookmarkStart w:id="59" w:name="_Toc20823296"/>
      <w:bookmarkStart w:id="60" w:name="_Toc120614217"/>
      <w:bookmarkStart w:id="61" w:name="_Toc513029224"/>
      <w:bookmarkStart w:id="62" w:name="_Toc16938540"/>
      <w:r>
        <w:rPr>
          <w:rFonts w:hint="eastAsia" w:ascii="宋体" w:hAnsi="宋体" w:cs="宋体"/>
          <w:b/>
          <w:bCs/>
          <w:color w:val="auto"/>
          <w:sz w:val="24"/>
        </w:rPr>
        <w:t>四、投标文件的递交</w:t>
      </w:r>
      <w:bookmarkEnd w:id="59"/>
      <w:bookmarkEnd w:id="60"/>
      <w:bookmarkEnd w:id="61"/>
      <w:bookmarkEnd w:id="62"/>
    </w:p>
    <w:p w14:paraId="24D49860">
      <w:pPr>
        <w:tabs>
          <w:tab w:val="left" w:pos="360"/>
        </w:tabs>
        <w:spacing w:line="460" w:lineRule="exact"/>
        <w:ind w:firstLine="480" w:firstLineChars="200"/>
        <w:rPr>
          <w:rFonts w:ascii="宋体" w:hAnsi="宋体" w:cs="宋体"/>
          <w:color w:val="auto"/>
          <w:sz w:val="24"/>
        </w:rPr>
      </w:pPr>
      <w:bookmarkStart w:id="63" w:name="_Toc16938542"/>
      <w:bookmarkStart w:id="64" w:name="_Toc20823298"/>
      <w:bookmarkStart w:id="65" w:name="_Toc513029226"/>
      <w:r>
        <w:rPr>
          <w:rFonts w:hint="eastAsia" w:ascii="宋体" w:hAnsi="宋体" w:cs="宋体"/>
          <w:color w:val="auto"/>
          <w:sz w:val="24"/>
        </w:rPr>
        <w:t>1.投标文件的组成：资格审查文件、商务技术标、价格标、电子投标文件。</w:t>
      </w:r>
    </w:p>
    <w:p w14:paraId="2CDB6B2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0674CDD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纸质响应文件“资格审查文件”、“商务技术标”、“价格标”分别密封。封袋上注明“项目名称”、“项目编号（若有）”、“投标人名称”、“日期”等信息，密封处加盖公章或签字（被授权人或法定代表人）。</w:t>
      </w:r>
    </w:p>
    <w:p w14:paraId="1A06AB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712A7392">
      <w:pPr>
        <w:tabs>
          <w:tab w:val="left" w:pos="360"/>
        </w:tabs>
        <w:spacing w:line="460" w:lineRule="exact"/>
        <w:ind w:firstLine="482" w:firstLineChars="200"/>
        <w:rPr>
          <w:rFonts w:ascii="宋体" w:hAnsi="宋体" w:cs="宋体"/>
          <w:color w:val="auto"/>
          <w:sz w:val="24"/>
        </w:rPr>
      </w:pPr>
      <w:r>
        <w:rPr>
          <w:rFonts w:hint="eastAsia" w:ascii="宋体" w:hAnsi="宋体" w:cs="宋体"/>
          <w:b/>
          <w:bCs/>
          <w:color w:val="auto"/>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604187A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1.4.电子响应文件（单独密封）</w:t>
      </w:r>
    </w:p>
    <w:p w14:paraId="41CD808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存于一个U盘中即可，须单独密封提交。</w:t>
      </w:r>
    </w:p>
    <w:p w14:paraId="60E5F5A7">
      <w:pPr>
        <w:pStyle w:val="17"/>
        <w:spacing w:line="460" w:lineRule="exact"/>
        <w:ind w:firstLine="482"/>
        <w:rPr>
          <w:rFonts w:ascii="宋体" w:hAnsi="宋体" w:cs="宋体"/>
          <w:b/>
          <w:bCs/>
          <w:color w:val="auto"/>
          <w:kern w:val="2"/>
          <w:szCs w:val="24"/>
        </w:rPr>
      </w:pPr>
      <w:r>
        <w:rPr>
          <w:rFonts w:hint="eastAsia" w:ascii="宋体" w:hAnsi="宋体" w:cs="宋体"/>
          <w:b/>
          <w:bCs/>
          <w:color w:val="auto"/>
          <w:kern w:val="2"/>
          <w:szCs w:val="24"/>
        </w:rPr>
        <w:t>特别提醒：未提供电子响应文件的，则视为无效投标。</w:t>
      </w:r>
    </w:p>
    <w:p w14:paraId="553FFBC3">
      <w:pPr>
        <w:tabs>
          <w:tab w:val="left" w:pos="360"/>
        </w:tabs>
        <w:spacing w:line="460" w:lineRule="exact"/>
        <w:ind w:firstLine="480" w:firstLineChars="200"/>
        <w:rPr>
          <w:rFonts w:ascii="宋体" w:hAnsi="宋体" w:cs="宋体"/>
          <w:color w:val="auto"/>
          <w:sz w:val="24"/>
          <w:u w:val="double"/>
        </w:rPr>
      </w:pPr>
      <w:r>
        <w:rPr>
          <w:rFonts w:hint="eastAsia" w:ascii="宋体" w:hAnsi="宋体" w:cs="宋体"/>
          <w:color w:val="auto"/>
          <w:sz w:val="24"/>
          <w:u w:val="double"/>
        </w:rPr>
        <w:t>电子响应文件内容应与提交的纸质响应文件内容一致。否则，由此产生的后果投标人自负。</w:t>
      </w:r>
    </w:p>
    <w:p w14:paraId="7F8A55C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2.投标截止日期</w:t>
      </w:r>
      <w:bookmarkEnd w:id="63"/>
      <w:bookmarkEnd w:id="64"/>
      <w:bookmarkEnd w:id="65"/>
    </w:p>
    <w:p w14:paraId="75E5795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投标人提交投标文件的时间不得迟于招标公告中规定的投标文件提交截止时间。</w:t>
      </w:r>
    </w:p>
    <w:p w14:paraId="59536FC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投标人应充分考虑到交通路况、停车等风险因素，如因投标人自身原因造成的投标文件提交不成功由投标人自行承担全部责任。</w:t>
      </w:r>
    </w:p>
    <w:p w14:paraId="4DD574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 代理机构可以按照规定，通过修改招标文件酌情延长投标截止日期，在此情况下，投标人的所有权利和义务以及投标人受制的截止日期均应以延长后新的截止日期为准。</w:t>
      </w:r>
    </w:p>
    <w:p w14:paraId="73AAF19A">
      <w:pPr>
        <w:tabs>
          <w:tab w:val="left" w:pos="360"/>
        </w:tabs>
        <w:spacing w:line="460" w:lineRule="exact"/>
        <w:ind w:firstLine="480" w:firstLineChars="200"/>
        <w:rPr>
          <w:rFonts w:ascii="宋体" w:hAnsi="宋体" w:cs="宋体"/>
          <w:color w:val="auto"/>
          <w:sz w:val="24"/>
        </w:rPr>
      </w:pPr>
      <w:bookmarkStart w:id="66" w:name="_Toc16938543"/>
      <w:bookmarkStart w:id="67" w:name="_Toc513029227"/>
      <w:bookmarkStart w:id="68" w:name="_Toc20823299"/>
      <w:r>
        <w:rPr>
          <w:rFonts w:hint="eastAsia" w:ascii="宋体" w:hAnsi="宋体" w:cs="宋体"/>
          <w:color w:val="auto"/>
          <w:sz w:val="24"/>
        </w:rPr>
        <w:t>3.投标文件</w:t>
      </w:r>
      <w:bookmarkEnd w:id="66"/>
      <w:bookmarkEnd w:id="67"/>
      <w:bookmarkEnd w:id="68"/>
      <w:r>
        <w:rPr>
          <w:rFonts w:hint="eastAsia" w:ascii="宋体" w:hAnsi="宋体" w:cs="宋体"/>
          <w:color w:val="auto"/>
          <w:sz w:val="24"/>
        </w:rPr>
        <w:t>的拒收</w:t>
      </w:r>
    </w:p>
    <w:p w14:paraId="78EAE35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 代理机构拒绝接收在其规定的投标截止时间后提交的任何投标文件。</w:t>
      </w:r>
    </w:p>
    <w:p w14:paraId="4E955B75">
      <w:pPr>
        <w:tabs>
          <w:tab w:val="left" w:pos="360"/>
        </w:tabs>
        <w:spacing w:line="460" w:lineRule="exact"/>
        <w:ind w:firstLine="480" w:firstLineChars="200"/>
        <w:rPr>
          <w:rFonts w:ascii="宋体" w:hAnsi="宋体" w:cs="宋体"/>
          <w:color w:val="auto"/>
          <w:sz w:val="24"/>
        </w:rPr>
      </w:pPr>
      <w:bookmarkStart w:id="69" w:name="_Toc16938544"/>
      <w:bookmarkStart w:id="70" w:name="_Toc20823300"/>
      <w:bookmarkStart w:id="71" w:name="_Toc513029228"/>
      <w:r>
        <w:rPr>
          <w:rFonts w:hint="eastAsia" w:ascii="宋体" w:hAnsi="宋体" w:cs="宋体"/>
          <w:color w:val="auto"/>
          <w:sz w:val="24"/>
        </w:rPr>
        <w:t>4.投标文件的撤回和修改</w:t>
      </w:r>
      <w:bookmarkEnd w:id="69"/>
      <w:bookmarkEnd w:id="70"/>
      <w:bookmarkEnd w:id="71"/>
    </w:p>
    <w:p w14:paraId="7BB34F2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 响应文件的撤回</w:t>
      </w:r>
    </w:p>
    <w:p w14:paraId="2D27DCA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4.1.1投标人可在响应文件提交截止时间前，书面撤回其投标文件。</w:t>
      </w:r>
    </w:p>
    <w:p w14:paraId="580DF13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4.1.2 投标人撤回投标文件，则认为其不再参与本项目投标活动。</w:t>
      </w:r>
    </w:p>
    <w:p w14:paraId="0ABF91A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 投标文件的修改</w:t>
      </w:r>
    </w:p>
    <w:p w14:paraId="17B46E78">
      <w:pPr>
        <w:tabs>
          <w:tab w:val="left" w:pos="360"/>
        </w:tabs>
        <w:spacing w:line="460" w:lineRule="exact"/>
        <w:ind w:firstLine="480" w:firstLineChars="200"/>
        <w:rPr>
          <w:rFonts w:ascii="宋体" w:hAnsi="宋体" w:cs="宋体"/>
          <w:color w:val="auto"/>
          <w:sz w:val="24"/>
        </w:rPr>
      </w:pPr>
      <w:bookmarkStart w:id="72" w:name="_Toc120614218"/>
      <w:bookmarkStart w:id="73" w:name="_Toc16938545"/>
      <w:bookmarkStart w:id="74" w:name="_Toc20823301"/>
      <w:bookmarkStart w:id="75" w:name="_Toc513029229"/>
      <w:r>
        <w:rPr>
          <w:rFonts w:hint="eastAsia" w:ascii="宋体" w:hAnsi="宋体" w:cs="宋体"/>
          <w:color w:val="auto"/>
          <w:sz w:val="24"/>
        </w:rPr>
        <w:t>在投标文件提交截止时间之后，投标人不得再对其提交的投标文件进行修改。</w:t>
      </w:r>
    </w:p>
    <w:p w14:paraId="563F3C6D">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五、开标与评标</w:t>
      </w:r>
      <w:bookmarkEnd w:id="72"/>
      <w:bookmarkEnd w:id="73"/>
      <w:bookmarkEnd w:id="74"/>
      <w:bookmarkEnd w:id="75"/>
    </w:p>
    <w:p w14:paraId="3A353E22">
      <w:pPr>
        <w:tabs>
          <w:tab w:val="left" w:pos="360"/>
        </w:tabs>
        <w:spacing w:line="460" w:lineRule="exact"/>
        <w:ind w:firstLine="480" w:firstLineChars="200"/>
        <w:rPr>
          <w:rFonts w:ascii="宋体" w:hAnsi="宋体" w:cs="宋体"/>
          <w:color w:val="auto"/>
          <w:sz w:val="24"/>
        </w:rPr>
      </w:pPr>
      <w:bookmarkStart w:id="76" w:name="_Toc513029230"/>
      <w:bookmarkStart w:id="77" w:name="_Toc16938546"/>
      <w:bookmarkStart w:id="78" w:name="_Toc20823302"/>
      <w:r>
        <w:rPr>
          <w:rFonts w:hint="eastAsia" w:ascii="宋体" w:hAnsi="宋体" w:cs="宋体"/>
          <w:color w:val="auto"/>
          <w:sz w:val="24"/>
        </w:rPr>
        <w:t>1开标</w:t>
      </w:r>
      <w:bookmarkEnd w:id="76"/>
      <w:bookmarkEnd w:id="77"/>
      <w:bookmarkEnd w:id="78"/>
    </w:p>
    <w:p w14:paraId="43122C2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 代理机构将在招标公告中规定的时间和地点组织公开开标。投标人应当按时在指定地点参加开标活动。</w:t>
      </w:r>
    </w:p>
    <w:p w14:paraId="57DA182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1.2开标仪式由代理机构组织。</w:t>
      </w:r>
    </w:p>
    <w:p w14:paraId="0D32C5AF">
      <w:pPr>
        <w:tabs>
          <w:tab w:val="left" w:pos="360"/>
        </w:tabs>
        <w:spacing w:line="460" w:lineRule="exact"/>
        <w:ind w:firstLine="480" w:firstLineChars="200"/>
        <w:rPr>
          <w:rFonts w:ascii="宋体" w:hAnsi="宋体" w:cs="宋体"/>
          <w:color w:val="auto"/>
          <w:sz w:val="24"/>
        </w:rPr>
      </w:pPr>
      <w:bookmarkStart w:id="79" w:name="_Toc20823303"/>
      <w:bookmarkStart w:id="80" w:name="_Toc16938547"/>
      <w:bookmarkStart w:id="81" w:name="_Toc513029231"/>
      <w:r>
        <w:rPr>
          <w:rFonts w:hint="eastAsia" w:ascii="宋体" w:hAnsi="宋体" w:cs="宋体"/>
          <w:color w:val="auto"/>
          <w:sz w:val="24"/>
        </w:rPr>
        <w:t>2评标委员会</w:t>
      </w:r>
    </w:p>
    <w:p w14:paraId="3FDB211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开标后，代理机构将立即组织评标委员会（以下简称评委会）进行评标。</w:t>
      </w:r>
    </w:p>
    <w:p w14:paraId="2CC8EC8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 评委会由招标人代表和有关技术、经济等方面的专家组成。</w:t>
      </w:r>
    </w:p>
    <w:p w14:paraId="1449671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2.3评委会独立工作，负责评审所有投标文件并确定中标候选人。</w:t>
      </w:r>
    </w:p>
    <w:p w14:paraId="0B4F467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3.评标过程的保密与公正</w:t>
      </w:r>
    </w:p>
    <w:bookmarkEnd w:id="79"/>
    <w:bookmarkEnd w:id="80"/>
    <w:bookmarkEnd w:id="81"/>
    <w:p w14:paraId="7754ED6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3.1公开开标后，直至向中标的投标人授予合同时止，凡是与审查、澄清、评价和比较投标的有关资料以及授标建议等，招标人、评委、代理机构均不得向投标人或与评标无关的其他人员透露。</w:t>
      </w:r>
    </w:p>
    <w:p w14:paraId="0BCD8D1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3.2在评标过程中，投标人不得以任何行为影响评标过程，否则其投标文件将被作为无效投标文件。</w:t>
      </w:r>
    </w:p>
    <w:p w14:paraId="786837C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3.3在评标期间，代理机构将设专门人员与投标人联系。</w:t>
      </w:r>
    </w:p>
    <w:p w14:paraId="7C0813F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3.4 代理机构和评标委员会不向未中标的投标人解释未中标原因，也不公布评标过程中的相关细节。</w:t>
      </w:r>
    </w:p>
    <w:p w14:paraId="2A81A365">
      <w:pPr>
        <w:tabs>
          <w:tab w:val="left" w:pos="360"/>
        </w:tabs>
        <w:spacing w:line="460" w:lineRule="exact"/>
        <w:ind w:firstLine="480" w:firstLineChars="200"/>
        <w:rPr>
          <w:rFonts w:ascii="宋体" w:hAnsi="宋体" w:cs="宋体"/>
          <w:color w:val="auto"/>
          <w:sz w:val="24"/>
        </w:rPr>
      </w:pPr>
      <w:bookmarkStart w:id="82" w:name="_Toc20823304"/>
      <w:bookmarkStart w:id="83" w:name="_Toc16938548"/>
      <w:bookmarkStart w:id="84" w:name="_Toc513029232"/>
      <w:r>
        <w:rPr>
          <w:rFonts w:hint="eastAsia" w:ascii="宋体" w:hAnsi="宋体" w:cs="宋体"/>
          <w:color w:val="auto"/>
          <w:sz w:val="24"/>
        </w:rPr>
        <w:t>4.投标的澄清</w:t>
      </w:r>
      <w:bookmarkEnd w:id="82"/>
      <w:bookmarkEnd w:id="83"/>
      <w:bookmarkEnd w:id="84"/>
    </w:p>
    <w:p w14:paraId="1794AB8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4.1评标期间，为有助于对投标文件的审查、评价和比较，评委会有权要求投标人对其投标文件进行澄清，但并非对每个投标人都作澄清要求。</w:t>
      </w:r>
    </w:p>
    <w:p w14:paraId="189C75B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4.2接到评委会澄清要求的投标人应按评委会规定的时间和格式做出澄清，澄清的内容作为投标文件的补充部分，但投标的价格和实质性的内容不得做任何更改。</w:t>
      </w:r>
    </w:p>
    <w:p w14:paraId="3CFD4E5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4.3 接到评委会澄清要求的投标人如未按规定做出澄清，其风险由投标人自行承担。</w:t>
      </w:r>
    </w:p>
    <w:p w14:paraId="453B3F8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5.对投标文件的初审</w:t>
      </w:r>
    </w:p>
    <w:p w14:paraId="4EFEDDE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5.1投标文件初审分为资格审查和符合性审查。</w:t>
      </w:r>
    </w:p>
    <w:p w14:paraId="71129C0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5.1.1 资格审查：依据法律法规和招标文件的规定，由评委会对投标文件中的资格证明文件进行审查。</w:t>
      </w:r>
    </w:p>
    <w:p w14:paraId="4A16132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5.1.2 符合性审查：依据招标文件的规定，由评委会从投标文件的有效性、完整性和对招标文件的响应程度进行审查，以确定是否对招标文件的实质性要求作出响应。</w:t>
      </w:r>
    </w:p>
    <w:p w14:paraId="6923A9F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5.1.3 未通过资格审查或符合性审查的投标人，代理机构将告知未通过资格审查或符合性审查的原因。</w:t>
      </w:r>
    </w:p>
    <w:p w14:paraId="2C5BEB8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5.2在详细评标之前，评委会将首先审查每份投标文件是否实质性响应了招标文件的要求。实质性响应的投标应该是与招标文件要求的全部条款、条件和规格相符，没有重大偏离或保留的投标。</w:t>
      </w:r>
    </w:p>
    <w:p w14:paraId="39F36D1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7F008A4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5.3如果投标文件实质上没有响应招标文件的要求，评委会将予以拒绝，投标人不得通过修改或撤销不合要求的偏离或保留而使其投标成为实质性响应的投标。</w:t>
      </w:r>
    </w:p>
    <w:p w14:paraId="7CED21F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5.4评委会将对确定为实质性响应的投标进行进一步审核，看其是否有计算上或累加上的算术错误，修正错误的原则如下：</w:t>
      </w:r>
    </w:p>
    <w:p w14:paraId="0804CA1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（1）投标文件中开标一览表内容与投标文件中相应内容不一致的，以开标一览表为准。</w:t>
      </w:r>
    </w:p>
    <w:p w14:paraId="1C553EF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（2）大写金额和小写金额不一致的，以大写金额为准。</w:t>
      </w:r>
    </w:p>
    <w:p w14:paraId="089BBA7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（3）单价金额小数点或者百分比有明显错位的，以开标一览表的总价为准，并修改单价。</w:t>
      </w:r>
    </w:p>
    <w:p w14:paraId="455403B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（4）总价金额与按单价汇总金额不一致的，以单价金额计算结果为准。</w:t>
      </w:r>
    </w:p>
    <w:p w14:paraId="2458076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同时出现两种以上错误的，按照前款规定的顺序修正。</w:t>
      </w:r>
    </w:p>
    <w:p w14:paraId="7503417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5.5评委会将按上述修正错误的方法调整投标文件中的投标报价，并告知投标人，调整后的价格应对投标人具有约束力。如果投标人不接受修正后的价格，则其投标将被拒绝。</w:t>
      </w:r>
    </w:p>
    <w:p w14:paraId="3A1FF33F">
      <w:pPr>
        <w:tabs>
          <w:tab w:val="left" w:pos="360"/>
        </w:tabs>
        <w:spacing w:line="460" w:lineRule="exact"/>
        <w:ind w:firstLine="480" w:firstLineChars="200"/>
        <w:rPr>
          <w:rFonts w:ascii="宋体" w:hAnsi="宋体" w:cs="宋体"/>
          <w:color w:val="auto"/>
          <w:sz w:val="24"/>
        </w:rPr>
      </w:pPr>
      <w:bookmarkStart w:id="85" w:name="_Toc16938550"/>
      <w:bookmarkStart w:id="86" w:name="_Toc20823306"/>
      <w:bookmarkStart w:id="87" w:name="_Toc513029234"/>
      <w:r>
        <w:rPr>
          <w:rFonts w:hint="eastAsia" w:ascii="宋体" w:hAnsi="宋体" w:cs="宋体"/>
          <w:color w:val="auto"/>
          <w:sz w:val="24"/>
        </w:rPr>
        <w:t>5.6评委会将允许修正投标文件中不构成重大偏离的、微小的、非正规的、不一致的或不规则的地方，但这些修改不能影响任何投标人相应的名次排列。</w:t>
      </w:r>
    </w:p>
    <w:p w14:paraId="0C97F93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5.7投标人在开、评标全过程中应保持通讯畅通，并安排专人与代理机构及评标委员会联系。</w:t>
      </w:r>
    </w:p>
    <w:bookmarkEnd w:id="85"/>
    <w:bookmarkEnd w:id="86"/>
    <w:bookmarkEnd w:id="87"/>
    <w:p w14:paraId="77AD9DC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6.无效投标条款和废标条款</w:t>
      </w:r>
    </w:p>
    <w:p w14:paraId="219A4B12">
      <w:pPr>
        <w:tabs>
          <w:tab w:val="left" w:pos="360"/>
        </w:tabs>
        <w:spacing w:line="460" w:lineRule="exact"/>
        <w:ind w:firstLine="480" w:firstLineChars="200"/>
        <w:rPr>
          <w:rFonts w:ascii="宋体" w:hAnsi="宋体" w:cs="宋体"/>
          <w:color w:val="auto"/>
          <w:sz w:val="24"/>
        </w:rPr>
      </w:pPr>
      <w:bookmarkStart w:id="88" w:name="_Toc16938551"/>
      <w:bookmarkStart w:id="89" w:name="_Toc20823307"/>
      <w:bookmarkStart w:id="90" w:name="_Toc513029235"/>
      <w:r>
        <w:rPr>
          <w:rFonts w:hint="eastAsia" w:ascii="宋体" w:hAnsi="宋体" w:cs="宋体"/>
          <w:color w:val="auto"/>
          <w:sz w:val="24"/>
        </w:rPr>
        <w:t>6.1无效投标条款</w:t>
      </w:r>
    </w:p>
    <w:p w14:paraId="089ABF7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 同一投标人提交两个（含两个）以上不同的投标报价的。</w:t>
      </w:r>
    </w:p>
    <w:p w14:paraId="70C587A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6.1.2投标人不具备招标文件中规定资格要求的。</w:t>
      </w:r>
    </w:p>
    <w:p w14:paraId="2293172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6.1.3投标人的报价超过了采购预算或最高限价的。</w:t>
      </w:r>
    </w:p>
    <w:p w14:paraId="075253D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6.1.4未通过符合性检查的。</w:t>
      </w:r>
    </w:p>
    <w:p w14:paraId="646091B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6.1.5不符合招标文件中规定的其他实质性要求和条件的。</w:t>
      </w:r>
    </w:p>
    <w:p w14:paraId="61AEA16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6.1.6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557FD2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6.1.7本项目投标人之间被通过“天眼查或企查查”查询确认有关联性的。</w:t>
      </w:r>
    </w:p>
    <w:p w14:paraId="6A26F70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6.1.8投标文件含有招标人不能接受的附加条件的。</w:t>
      </w:r>
    </w:p>
    <w:p w14:paraId="0DA8B915">
      <w:pPr>
        <w:spacing w:line="360" w:lineRule="auto"/>
        <w:ind w:firstLine="480" w:firstLineChars="200"/>
        <w:rPr>
          <w:rFonts w:ascii="宋体" w:hAnsi="宋体" w:cs="宋体"/>
          <w:b/>
          <w:bCs/>
          <w:color w:val="auto"/>
          <w:sz w:val="24"/>
          <w:u w:val="single"/>
        </w:rPr>
      </w:pPr>
      <w:r>
        <w:rPr>
          <w:rFonts w:hint="eastAsia" w:ascii="宋体" w:hAnsi="宋体" w:cs="宋体"/>
          <w:color w:val="auto"/>
          <w:sz w:val="24"/>
        </w:rPr>
        <w:t xml:space="preserve">6.1.9 </w:t>
      </w:r>
      <w:r>
        <w:rPr>
          <w:rFonts w:hint="eastAsia" w:ascii="宋体" w:hAnsi="宋体" w:cs="宋体"/>
          <w:b/>
          <w:bCs/>
          <w:color w:val="auto"/>
          <w:sz w:val="24"/>
          <w:u w:val="single"/>
        </w:rPr>
        <w:t>投标报价低于采购项目预算50%的，即投标报价＜采购项目预算×50%或者投标报价低于采购项目最高限价45%的，即投标报价＜采购项目最高限价×45%或者评标委员会认为投标人报价过低，有可能影响产品或服务的质量或者不能诚信履约的，应当要求其“在评审现场”合理的时间内提供“书面”说明，必要时提交“相关证明”材料；被要求的投标人不能证明其“报价合理性”的，评标委员会应当将其作为无效投标处理。</w:t>
      </w:r>
    </w:p>
    <w:p w14:paraId="649F6A7A">
      <w:pPr>
        <w:spacing w:line="360" w:lineRule="auto"/>
        <w:ind w:firstLine="480" w:firstLineChars="200"/>
        <w:rPr>
          <w:rFonts w:eastAsia="新宋体"/>
          <w:color w:val="auto"/>
        </w:rPr>
      </w:pPr>
      <w:r>
        <w:rPr>
          <w:rFonts w:hint="eastAsia"/>
          <w:color w:val="auto"/>
          <w:sz w:val="24"/>
          <w:szCs w:val="32"/>
        </w:rPr>
        <w:t>启动异常低价投标（响应）审查后，评审委员会应当要求相关投标人在30分钟内，提供项目具体成本测算等与报价合理性相关的书面说明及相关证明材料，对投标价格作出解释，由评审委员会结合同类产品在主要电商平台的价格、该行业当地薪资水平等情况，依据专业经验对投标人报价合理性进行判断。投标人不提供书面说明、证明材料，或者提供的书面说明、证明材料不能证明其报价合理性的，评审委员会应当将其作为无效投标处理。审查相关情况应当在评审报告中进行记录。</w:t>
      </w:r>
    </w:p>
    <w:p w14:paraId="6FD9F454">
      <w:pPr>
        <w:spacing w:line="360" w:lineRule="auto"/>
        <w:ind w:firstLine="480" w:firstLineChars="200"/>
        <w:rPr>
          <w:color w:val="auto"/>
        </w:rPr>
      </w:pPr>
      <w:r>
        <w:rPr>
          <w:rFonts w:hint="eastAsia" w:ascii="宋体" w:hAnsi="宋体" w:cs="宋体"/>
          <w:color w:val="auto"/>
          <w:sz w:val="24"/>
        </w:rPr>
        <w:t>6.1.10投标文件未按照招标文件要求签字或盖章的。</w:t>
      </w:r>
    </w:p>
    <w:p w14:paraId="78947DA2">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6.1.11未提供电子档响应文件。</w:t>
      </w:r>
    </w:p>
    <w:p w14:paraId="0C2D8DF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6.1.12其他法律、法规及本招标文件规定的属无效投标的情形。</w:t>
      </w:r>
    </w:p>
    <w:p w14:paraId="4DBF9E1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6.2废标条款：</w:t>
      </w:r>
    </w:p>
    <w:p w14:paraId="2AF8DDE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6.2.1符合专业条件的投标人或者对招标文件作实质响应的投标人不足三家的。</w:t>
      </w:r>
    </w:p>
    <w:p w14:paraId="3AC86A4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6.2.2出现影响采购公正的违法、违规行为的。</w:t>
      </w:r>
    </w:p>
    <w:p w14:paraId="1D0654D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6.2.3因重大变故，采购任务取消的。</w:t>
      </w:r>
    </w:p>
    <w:p w14:paraId="632908B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6.2.4评标委员会认定招标文件存在歧义、重大缺陷导致评审工作无法进行。</w:t>
      </w:r>
    </w:p>
    <w:p w14:paraId="48F95D5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6.3 投标截止时间结束后参加投标的投标人不足三家的处理：</w:t>
      </w:r>
    </w:p>
    <w:p w14:paraId="08892C5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6.3.1如出现投标截止时间结束后参加投标的投标人或者在评标期间对招标文件做出实质响应的投标人不足三家情况，按政府采购相关规定执行。</w:t>
      </w:r>
    </w:p>
    <w:bookmarkEnd w:id="88"/>
    <w:bookmarkEnd w:id="89"/>
    <w:bookmarkEnd w:id="90"/>
    <w:p w14:paraId="48347683">
      <w:pPr>
        <w:tabs>
          <w:tab w:val="left" w:pos="360"/>
        </w:tabs>
        <w:spacing w:line="460" w:lineRule="exact"/>
        <w:ind w:firstLine="482" w:firstLineChars="200"/>
        <w:rPr>
          <w:rFonts w:ascii="宋体" w:hAnsi="宋体" w:cs="宋体"/>
          <w:b/>
          <w:bCs/>
          <w:color w:val="auto"/>
          <w:sz w:val="24"/>
        </w:rPr>
      </w:pPr>
      <w:bookmarkStart w:id="91" w:name="_Toc120614219"/>
      <w:r>
        <w:rPr>
          <w:rFonts w:hint="eastAsia" w:ascii="宋体" w:hAnsi="宋体" w:cs="宋体"/>
          <w:b/>
          <w:bCs/>
          <w:color w:val="auto"/>
          <w:sz w:val="24"/>
        </w:rPr>
        <w:t>六、定标</w:t>
      </w:r>
      <w:bookmarkEnd w:id="91"/>
    </w:p>
    <w:p w14:paraId="0977374C">
      <w:pPr>
        <w:tabs>
          <w:tab w:val="left" w:pos="360"/>
        </w:tabs>
        <w:spacing w:line="460" w:lineRule="exact"/>
        <w:ind w:firstLine="480" w:firstLineChars="200"/>
        <w:rPr>
          <w:rFonts w:ascii="宋体" w:hAnsi="宋体" w:cs="宋体"/>
          <w:color w:val="auto"/>
          <w:sz w:val="24"/>
        </w:rPr>
      </w:pPr>
      <w:bookmarkStart w:id="92" w:name="_Toc20823310"/>
      <w:bookmarkStart w:id="93" w:name="_Toc16938554"/>
      <w:r>
        <w:rPr>
          <w:rFonts w:hint="eastAsia" w:ascii="宋体" w:hAnsi="宋体" w:cs="宋体"/>
          <w:color w:val="auto"/>
          <w:sz w:val="24"/>
        </w:rPr>
        <w:t>1.确定</w:t>
      </w:r>
      <w:bookmarkEnd w:id="92"/>
      <w:bookmarkEnd w:id="93"/>
      <w:r>
        <w:rPr>
          <w:rFonts w:hint="eastAsia" w:ascii="宋体" w:hAnsi="宋体" w:cs="宋体"/>
          <w:color w:val="auto"/>
          <w:sz w:val="24"/>
        </w:rPr>
        <w:t>中标单位</w:t>
      </w:r>
    </w:p>
    <w:p w14:paraId="13D797AC">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1.1评委会在中标候选人中直接确定中标人。</w:t>
      </w:r>
    </w:p>
    <w:p w14:paraId="1A3AC95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1.2代理机构将在“江苏商贸职业学院网（http://www.jsbc.edu.cn/）”发布中标公告，公告期限为1个工作日。</w:t>
      </w:r>
    </w:p>
    <w:p w14:paraId="7B5F558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1.3若有充分证据证明，中标人出现下列情况之一的，一经查实，将被取消中标资格：</w:t>
      </w:r>
    </w:p>
    <w:p w14:paraId="6AB7225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1.3.1提供虚假材料谋取中标的。</w:t>
      </w:r>
    </w:p>
    <w:p w14:paraId="77E1AA2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1.3.2向招标人、代理机构行贿或者提供其他不正当利益的。</w:t>
      </w:r>
    </w:p>
    <w:p w14:paraId="2BB53F3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1.3.3恶意竞争，投标总报价明显低于其自身合理成本且又无法提供证明的。</w:t>
      </w:r>
    </w:p>
    <w:p w14:paraId="3B5EAA1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1.3.4属于本文件规定的无效条件，但在评标过程中又未被评委会发现的。</w:t>
      </w:r>
    </w:p>
    <w:p w14:paraId="31DA582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1.3.5与招标人或者其他投标人恶意串通的。</w:t>
      </w:r>
    </w:p>
    <w:p w14:paraId="2DF2171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1.3.6采取不正当手段诋毁、排挤其他投标人的。</w:t>
      </w:r>
    </w:p>
    <w:p w14:paraId="5429275D">
      <w:pPr>
        <w:tabs>
          <w:tab w:val="left" w:pos="360"/>
        </w:tabs>
        <w:spacing w:line="460" w:lineRule="exact"/>
        <w:ind w:firstLine="480" w:firstLineChars="200"/>
        <w:rPr>
          <w:rFonts w:ascii="宋体" w:hAnsi="宋体" w:cs="宋体"/>
          <w:color w:val="auto"/>
          <w:sz w:val="24"/>
        </w:rPr>
      </w:pPr>
      <w:bookmarkStart w:id="94" w:name="_Toc200451960"/>
      <w:r>
        <w:rPr>
          <w:rFonts w:hint="eastAsia" w:ascii="宋体" w:hAnsi="宋体" w:cs="宋体"/>
          <w:color w:val="auto"/>
          <w:sz w:val="24"/>
        </w:rPr>
        <w:t>1.4.有下列情形之一的，视为投标人串通投标，投标无效：</w:t>
      </w:r>
    </w:p>
    <w:p w14:paraId="24D71DB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1.4.1不同投标人的投标文件由同一单位或者个人编制；</w:t>
      </w:r>
    </w:p>
    <w:p w14:paraId="5F3B3F9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1.4.2不同投标人委托同一单位或者个人办理投标事宜；</w:t>
      </w:r>
    </w:p>
    <w:p w14:paraId="5BD7025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1.4.3不同投标人的投标文件载明的项目管理成员或者联系人员为同一人；</w:t>
      </w:r>
    </w:p>
    <w:p w14:paraId="4A02525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1.4.4不同投标人的投标文件异常一致或者投标报价呈规律性差异；</w:t>
      </w:r>
    </w:p>
    <w:p w14:paraId="150D328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1.4.5不同投标人的投标文件相互混装。</w:t>
      </w:r>
    </w:p>
    <w:p w14:paraId="686D130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2.质疑处理</w:t>
      </w:r>
      <w:bookmarkEnd w:id="94"/>
    </w:p>
    <w:p w14:paraId="6E00005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2.1 提出质疑的投标人应当是参与所质疑项目采购活动的投标人。潜在投标人依法获取其可质疑的招标文件的，可以对招标文件提出质疑。</w:t>
      </w:r>
    </w:p>
    <w:p w14:paraId="14C1380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46F94AA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74FF556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2.2.1对可以质疑的招标文件提出质疑的，为收到招标文件之日或者招标文件公告期限届满之日；</w:t>
      </w:r>
    </w:p>
    <w:p w14:paraId="539CCB9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2.2.2对招标过程提出质疑的，为各采购程序环节结束之日；</w:t>
      </w:r>
    </w:p>
    <w:p w14:paraId="3144775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2.2.3对中标或者中标结果提出质疑的，为中标或者中标结果公告期限届满之日。</w:t>
      </w:r>
    </w:p>
    <w:p w14:paraId="49687F90">
      <w:pPr>
        <w:tabs>
          <w:tab w:val="left" w:pos="360"/>
        </w:tabs>
        <w:spacing w:line="460" w:lineRule="exact"/>
        <w:ind w:firstLine="482" w:firstLineChars="200"/>
        <w:rPr>
          <w:rFonts w:ascii="宋体" w:hAnsi="宋体" w:cs="宋体"/>
          <w:color w:val="auto"/>
          <w:sz w:val="24"/>
        </w:rPr>
      </w:pPr>
      <w:r>
        <w:rPr>
          <w:rFonts w:hint="eastAsia" w:ascii="宋体" w:hAnsi="宋体" w:cs="宋体"/>
          <w:b/>
          <w:bCs/>
          <w:color w:val="auto"/>
          <w:sz w:val="24"/>
        </w:rPr>
        <w:t>投标人应当在法定质疑期内一次性提出针对同一采购程序环节的质疑</w:t>
      </w:r>
      <w:r>
        <w:rPr>
          <w:rFonts w:hint="eastAsia" w:ascii="宋体" w:hAnsi="宋体" w:cs="宋体"/>
          <w:color w:val="auto"/>
          <w:sz w:val="24"/>
        </w:rPr>
        <w:t>。</w:t>
      </w:r>
    </w:p>
    <w:p w14:paraId="680CE03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6B3D4A1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2.4投标人提起质疑采取书面形式，可以现场送达。</w:t>
      </w:r>
    </w:p>
    <w:p w14:paraId="11E69C9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3.中标通知书</w:t>
      </w:r>
    </w:p>
    <w:p w14:paraId="2115D9F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3.l 中标结果确定后，招标人将向中标人发出中标通知书。中标人应在中标结果公告期满后5个工作日内到采购代理机构办理领取中标通知书手续，否则，由此产生的后果投标人自负。</w:t>
      </w:r>
    </w:p>
    <w:p w14:paraId="4AE49FB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3.2中标通知书将是合同的一个组成部分。对招标人和中标人均具有法律效力。中标通知书发出后，招标人改变中标结果的，或者中标人放弃中标项目的，应当依法承担法律责任。</w:t>
      </w:r>
    </w:p>
    <w:p w14:paraId="20CF02D4">
      <w:pPr>
        <w:tabs>
          <w:tab w:val="left" w:pos="360"/>
        </w:tabs>
        <w:spacing w:line="460" w:lineRule="exact"/>
        <w:ind w:firstLine="482" w:firstLineChars="200"/>
        <w:rPr>
          <w:rFonts w:ascii="宋体" w:hAnsi="宋体" w:cs="宋体"/>
          <w:b/>
          <w:bCs/>
          <w:color w:val="auto"/>
          <w:sz w:val="24"/>
        </w:rPr>
      </w:pPr>
      <w:bookmarkStart w:id="95" w:name="_Toc120614220"/>
      <w:bookmarkStart w:id="96" w:name="_Toc20823308"/>
      <w:bookmarkStart w:id="97" w:name="_Toc16938552"/>
      <w:bookmarkStart w:id="98" w:name="_Toc513029236"/>
      <w:r>
        <w:rPr>
          <w:rFonts w:hint="eastAsia" w:ascii="宋体" w:hAnsi="宋体" w:cs="宋体"/>
          <w:b/>
          <w:bCs/>
          <w:color w:val="auto"/>
          <w:sz w:val="24"/>
        </w:rPr>
        <w:t>七、授予合同</w:t>
      </w:r>
      <w:bookmarkEnd w:id="95"/>
    </w:p>
    <w:bookmarkEnd w:id="96"/>
    <w:bookmarkEnd w:id="97"/>
    <w:bookmarkEnd w:id="98"/>
    <w:p w14:paraId="02507C65">
      <w:pPr>
        <w:tabs>
          <w:tab w:val="left" w:pos="360"/>
        </w:tabs>
        <w:spacing w:line="460" w:lineRule="exact"/>
        <w:ind w:firstLine="480" w:firstLineChars="200"/>
        <w:rPr>
          <w:rFonts w:ascii="宋体" w:hAnsi="宋体" w:cs="宋体"/>
          <w:color w:val="auto"/>
          <w:sz w:val="24"/>
        </w:rPr>
      </w:pPr>
      <w:bookmarkStart w:id="99" w:name="_Toc513029237"/>
      <w:bookmarkStart w:id="100" w:name="_Toc20823309"/>
      <w:bookmarkStart w:id="101" w:name="_Toc16938553"/>
      <w:r>
        <w:rPr>
          <w:rFonts w:hint="eastAsia" w:ascii="宋体" w:hAnsi="宋体" w:cs="宋体"/>
          <w:color w:val="auto"/>
          <w:sz w:val="24"/>
        </w:rPr>
        <w:t>1.签订合同</w:t>
      </w:r>
    </w:p>
    <w:p w14:paraId="589ABF9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1.l中标人在《中标通知书》发出30日内必须按照招标文件确定的事项签订采购合同。招标人不得向中标人提出不合理的要求作为签订合同的条件，不得与中标人私下订立背离招标文件实质性内容的协议。</w:t>
      </w:r>
    </w:p>
    <w:p w14:paraId="465C1FE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1.2中标人出现违约情形，应当及时纠正或补偿；造成损失的，按合同约定追究违约责任；发现有假冒、伪劣、走私产品、商业贿赂等违法情形的，应由招标人移交工商、质监、公安等行政执法部门依法查处。</w:t>
      </w:r>
    </w:p>
    <w:p w14:paraId="6F7F00CC">
      <w:pPr>
        <w:spacing w:line="360" w:lineRule="auto"/>
        <w:ind w:firstLine="484" w:firstLineChars="202"/>
        <w:rPr>
          <w:rFonts w:ascii="宋体" w:hAnsi="宋体" w:cs="宋体"/>
          <w:color w:val="auto"/>
          <w:sz w:val="24"/>
        </w:rPr>
      </w:pPr>
      <w:r>
        <w:rPr>
          <w:rFonts w:hint="eastAsia" w:ascii="宋体" w:hAnsi="宋体" w:cs="宋体"/>
          <w:color w:val="auto"/>
          <w:sz w:val="24"/>
        </w:rPr>
        <w:t>1.3按采购合同约定支付的货款进行支付。</w:t>
      </w:r>
    </w:p>
    <w:p w14:paraId="2BE4C775">
      <w:pPr>
        <w:tabs>
          <w:tab w:val="left" w:pos="360"/>
        </w:tabs>
        <w:spacing w:line="460" w:lineRule="exact"/>
        <w:rPr>
          <w:rFonts w:ascii="宋体" w:hAnsi="宋体" w:cs="宋体"/>
          <w:b/>
          <w:bCs/>
          <w:color w:val="auto"/>
          <w:sz w:val="24"/>
        </w:rPr>
      </w:pPr>
      <w:r>
        <w:rPr>
          <w:rFonts w:hint="eastAsia" w:ascii="宋体" w:hAnsi="宋体" w:cs="宋体"/>
          <w:b/>
          <w:bCs/>
          <w:color w:val="auto"/>
          <w:sz w:val="24"/>
        </w:rPr>
        <w:t>八、未尽事宜</w:t>
      </w:r>
    </w:p>
    <w:bookmarkEnd w:id="99"/>
    <w:bookmarkEnd w:id="100"/>
    <w:bookmarkEnd w:id="101"/>
    <w:p w14:paraId="01943FE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参照江苏商贸职业学院采购与招标管理内控制度规定执行。</w:t>
      </w:r>
    </w:p>
    <w:p w14:paraId="756E8D10">
      <w:pPr>
        <w:rPr>
          <w:rFonts w:ascii="宋体" w:hAnsi="宋体" w:cs="宋体"/>
          <w:bCs/>
          <w:color w:val="auto"/>
          <w:sz w:val="32"/>
          <w:szCs w:val="32"/>
        </w:rPr>
      </w:pPr>
      <w:r>
        <w:rPr>
          <w:rFonts w:hint="eastAsia" w:ascii="宋体" w:hAnsi="宋体" w:cs="宋体"/>
          <w:bCs/>
          <w:color w:val="auto"/>
          <w:sz w:val="32"/>
          <w:szCs w:val="32"/>
        </w:rPr>
        <w:br w:type="page"/>
      </w:r>
    </w:p>
    <w:p w14:paraId="14B1A741">
      <w:pPr>
        <w:jc w:val="center"/>
        <w:rPr>
          <w:rFonts w:ascii="宋体" w:hAnsi="宋体" w:cs="宋体"/>
          <w:bCs/>
          <w:color w:val="auto"/>
          <w:sz w:val="32"/>
          <w:szCs w:val="32"/>
        </w:rPr>
      </w:pPr>
      <w:r>
        <w:rPr>
          <w:rFonts w:hint="eastAsia" w:ascii="宋体" w:hAnsi="宋体" w:cs="宋体"/>
          <w:bCs/>
          <w:color w:val="auto"/>
          <w:sz w:val="32"/>
          <w:szCs w:val="32"/>
        </w:rPr>
        <w:t>第三部分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项目需求</w:t>
      </w:r>
    </w:p>
    <w:bookmarkEnd w:id="0"/>
    <w:bookmarkEnd w:id="1"/>
    <w:bookmarkEnd w:id="2"/>
    <w:p w14:paraId="017250FE">
      <w:pPr>
        <w:snapToGrid w:val="0"/>
        <w:spacing w:line="360" w:lineRule="auto"/>
        <w:ind w:firstLine="480" w:firstLineChars="200"/>
        <w:rPr>
          <w:rFonts w:ascii="宋体" w:hAnsi="宋体" w:cs="宋体"/>
          <w:b/>
          <w:bCs/>
          <w:color w:val="auto"/>
          <w:sz w:val="24"/>
        </w:rPr>
      </w:pPr>
      <w:bookmarkStart w:id="102" w:name="_Toc182848971"/>
      <w:r>
        <w:rPr>
          <w:rFonts w:hint="eastAsia" w:ascii="宋体" w:hAnsi="宋体" w:cs="宋体"/>
          <w:color w:val="auto"/>
          <w:sz w:val="24"/>
          <w:lang w:val="zh-CN"/>
        </w:rPr>
        <w:t>请投标</w:t>
      </w:r>
      <w:r>
        <w:rPr>
          <w:rFonts w:hint="eastAsia" w:ascii="宋体" w:hAnsi="宋体" w:cs="宋体"/>
          <w:color w:val="auto"/>
          <w:sz w:val="24"/>
        </w:rPr>
        <w:t>人</w:t>
      </w:r>
      <w:r>
        <w:rPr>
          <w:rFonts w:hint="eastAsia" w:ascii="宋体" w:hAnsi="宋体" w:cs="宋体"/>
          <w:color w:val="auto"/>
          <w:sz w:val="24"/>
          <w:lang w:val="zh-CN"/>
        </w:rPr>
        <w:t>在报名前和制作投标文件时仔细研究项目需求说明。投标</w:t>
      </w:r>
      <w:r>
        <w:rPr>
          <w:rFonts w:hint="eastAsia" w:ascii="宋体" w:hAnsi="宋体" w:cs="宋体"/>
          <w:color w:val="auto"/>
          <w:sz w:val="24"/>
        </w:rPr>
        <w:t>人</w:t>
      </w:r>
      <w:r>
        <w:rPr>
          <w:rFonts w:hint="eastAsia" w:ascii="宋体" w:hAnsi="宋体" w:cs="宋体"/>
          <w:color w:val="auto"/>
          <w:sz w:val="24"/>
          <w:lang w:val="zh-CN"/>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w:t>
      </w:r>
      <w:r>
        <w:rPr>
          <w:rFonts w:hint="eastAsia" w:ascii="宋体" w:hAnsi="宋体" w:cs="宋体"/>
          <w:color w:val="auto"/>
          <w:sz w:val="24"/>
        </w:rPr>
        <w:t>人</w:t>
      </w:r>
      <w:r>
        <w:rPr>
          <w:rFonts w:hint="eastAsia" w:ascii="宋体" w:hAnsi="宋体" w:cs="宋体"/>
          <w:color w:val="auto"/>
          <w:sz w:val="24"/>
          <w:lang w:val="zh-CN"/>
        </w:rPr>
        <w:t>承担。</w:t>
      </w:r>
      <w:bookmarkEnd w:id="102"/>
    </w:p>
    <w:p w14:paraId="2868CF82">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一、项目概况</w:t>
      </w:r>
    </w:p>
    <w:p w14:paraId="2EBC9B1A">
      <w:pPr>
        <w:spacing w:line="460" w:lineRule="exact"/>
        <w:ind w:firstLine="480" w:firstLineChars="200"/>
        <w:rPr>
          <w:rFonts w:ascii="宋体" w:hAnsi="宋体" w:cs="宋体"/>
          <w:color w:val="auto"/>
          <w:sz w:val="24"/>
        </w:rPr>
      </w:pPr>
      <w:r>
        <w:rPr>
          <w:rFonts w:hint="eastAsia" w:ascii="宋体" w:hAnsi="宋体" w:cs="宋体"/>
          <w:color w:val="auto"/>
          <w:sz w:val="24"/>
        </w:rPr>
        <w:t>本项目依托招标人现有安防综合管理平台，围绕三幢新建学生宿舍楼安防传输、终端接入、集中存储、智能分析、系统集成等核心环节展开，实现新建三幢学生宿舍楼区域安防系统与校园整体安防架构无缝对接、统一管理、协同运行，满足校园安全常态化监管与应急处置需求。投标人按招标人提供的相关图纸、清单作为投标报价的参考依据，清单未列明但为满足项目功能、图纸及规范要求所必需的内容，均由投标人综合考虑并包含在报价内，投标人不得以清单未列明为由拒绝实施或追加费用；中标人要依据招标人案绘制最终施工竣工图纸并加盖竣工图章，相关费用包含在投标报价中。</w:t>
      </w:r>
    </w:p>
    <w:p w14:paraId="23686FE7">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二、现场勘察</w:t>
      </w:r>
      <w:r>
        <w:rPr>
          <w:rFonts w:hint="eastAsia" w:ascii="宋体" w:hAnsi="宋体" w:cs="宋体"/>
          <w:b/>
          <w:bCs/>
          <w:color w:val="auto"/>
          <w:sz w:val="24"/>
        </w:rPr>
        <w:tab/>
      </w:r>
    </w:p>
    <w:p w14:paraId="732520C8">
      <w:pPr>
        <w:spacing w:line="460" w:lineRule="exact"/>
        <w:ind w:firstLine="480" w:firstLineChars="200"/>
        <w:rPr>
          <w:rFonts w:ascii="宋体" w:hAnsi="宋体" w:cs="宋体"/>
          <w:color w:val="auto"/>
          <w:sz w:val="24"/>
        </w:rPr>
      </w:pPr>
      <w:r>
        <w:rPr>
          <w:rFonts w:hint="eastAsia" w:ascii="宋体" w:hAnsi="宋体" w:cs="宋体"/>
          <w:color w:val="auto"/>
          <w:sz w:val="24"/>
        </w:rPr>
        <w:t>1.招标文件所提供的项目相关数据仅做参考，根据自身需要，投标人应在投标文件递交之日前对有关现场和周围环境进行勘察，以获取编制投标文件和签署合同所需的信息。勘察现场所发生的费用由投标人自行承担。</w:t>
      </w:r>
    </w:p>
    <w:p w14:paraId="01B75440">
      <w:pPr>
        <w:spacing w:line="460" w:lineRule="exact"/>
        <w:ind w:firstLine="480" w:firstLineChars="200"/>
        <w:rPr>
          <w:rFonts w:ascii="宋体" w:hAnsi="宋体" w:cs="宋体"/>
          <w:color w:val="auto"/>
          <w:sz w:val="24"/>
        </w:rPr>
      </w:pPr>
      <w:r>
        <w:rPr>
          <w:rFonts w:hint="eastAsia" w:ascii="宋体" w:hAnsi="宋体" w:cs="宋体"/>
          <w:color w:val="auto"/>
          <w:sz w:val="24"/>
        </w:rPr>
        <w:t>2.招标人向投标人提供的有关现场的资料和数据，是招标人现有的并认为能使投标人可利用的资料。招标对投标人由此而做出的推论、理解和结论概不负责。</w:t>
      </w:r>
    </w:p>
    <w:p w14:paraId="019A66AF">
      <w:pPr>
        <w:spacing w:line="460" w:lineRule="exact"/>
        <w:ind w:firstLine="480" w:firstLineChars="200"/>
        <w:rPr>
          <w:rFonts w:ascii="宋体" w:hAnsi="宋体" w:cs="宋体"/>
          <w:color w:val="auto"/>
          <w:sz w:val="24"/>
        </w:rPr>
      </w:pPr>
      <w:r>
        <w:rPr>
          <w:rFonts w:hint="eastAsia" w:ascii="宋体" w:hAnsi="宋体" w:cs="宋体"/>
          <w:color w:val="auto"/>
          <w:sz w:val="24"/>
        </w:rPr>
        <w:t>3.经招标人允许，投标人可为勘察目的进入招标人的项目现场，但投标人不得因此使招标人承担有关责任和蒙受损失。投标人应承担勘察现场的责任和风险。</w:t>
      </w:r>
    </w:p>
    <w:p w14:paraId="28E9CC2B">
      <w:pPr>
        <w:spacing w:line="460" w:lineRule="exact"/>
        <w:ind w:firstLine="480" w:firstLineChars="200"/>
        <w:rPr>
          <w:rFonts w:ascii="宋体" w:hAnsi="宋体" w:cs="宋体"/>
          <w:color w:val="auto"/>
          <w:sz w:val="24"/>
        </w:rPr>
      </w:pPr>
      <w:r>
        <w:rPr>
          <w:rFonts w:hint="eastAsia" w:ascii="宋体" w:hAnsi="宋体" w:cs="宋体"/>
          <w:color w:val="auto"/>
          <w:sz w:val="24"/>
        </w:rPr>
        <w:t>4.投标人应认真踏勘现场。在现场勘察时，熟悉施工及制作安装现场、现场周围交通道路等情况，以获得一切可能影响其投标的直接资料。投标人中标后，不得以不完全了解现场情况为理由而向招标人提出任何变更或索赔的要求，对此招标人不承担任何责任并将不作任何答复与考虑。</w:t>
      </w:r>
    </w:p>
    <w:p w14:paraId="59FF12F2">
      <w:pPr>
        <w:spacing w:line="460" w:lineRule="exact"/>
        <w:ind w:firstLine="482" w:firstLineChars="200"/>
        <w:rPr>
          <w:rFonts w:ascii="宋体" w:hAnsi="宋体" w:cs="宋体"/>
          <w:b/>
          <w:bCs/>
          <w:color w:val="auto"/>
          <w:sz w:val="24"/>
        </w:rPr>
      </w:pPr>
      <w:r>
        <w:rPr>
          <w:rFonts w:hint="eastAsia" w:ascii="宋体" w:hAnsi="宋体" w:cs="宋体"/>
          <w:b/>
          <w:bCs/>
          <w:color w:val="auto"/>
          <w:sz w:val="24"/>
        </w:rPr>
        <w:t>5.投标人现场实地勘察时，须携带</w:t>
      </w:r>
      <w:r>
        <w:rPr>
          <w:rFonts w:hint="eastAsia"/>
          <w:b/>
          <w:bCs/>
          <w:color w:val="auto"/>
          <w:sz w:val="24"/>
          <w:szCs w:val="32"/>
        </w:rPr>
        <w:t>加盖公章的企业营业执照复印件</w:t>
      </w:r>
      <w:r>
        <w:rPr>
          <w:rFonts w:hint="eastAsia" w:ascii="宋体" w:hAnsi="宋体" w:cs="宋体"/>
          <w:b/>
          <w:bCs/>
          <w:color w:val="auto"/>
          <w:sz w:val="24"/>
        </w:rPr>
        <w:t>、法定代表人的委托书原件、被委托人身份证原件及复印件至江苏商贸职业学院勘察（联系人：何老师，联系电话：0513-85679266），时间为截止投标时间前一日的工作日8：30-11：30，14：00-17：00。</w:t>
      </w:r>
    </w:p>
    <w:p w14:paraId="61E8E12C">
      <w:pPr>
        <w:spacing w:line="460" w:lineRule="exact"/>
        <w:ind w:firstLine="482" w:firstLineChars="200"/>
        <w:rPr>
          <w:rFonts w:ascii="宋体" w:hAnsi="宋体" w:cs="宋体"/>
          <w:b/>
          <w:bCs/>
          <w:color w:val="auto"/>
          <w:sz w:val="24"/>
        </w:rPr>
      </w:pPr>
      <w:r>
        <w:rPr>
          <w:rFonts w:hint="eastAsia" w:ascii="宋体" w:hAnsi="宋体" w:cs="宋体"/>
          <w:b/>
          <w:bCs/>
          <w:color w:val="auto"/>
          <w:sz w:val="24"/>
        </w:rPr>
        <w:t>三、项目详细需求</w:t>
      </w:r>
    </w:p>
    <w:p w14:paraId="75F3E071">
      <w:pPr>
        <w:tabs>
          <w:tab w:val="left" w:pos="540"/>
          <w:tab w:val="left" w:pos="567"/>
        </w:tabs>
        <w:spacing w:line="440" w:lineRule="exact"/>
        <w:ind w:firstLine="482" w:firstLineChars="200"/>
        <w:rPr>
          <w:rFonts w:ascii="宋体" w:hAnsi="宋体" w:cs="宋体"/>
          <w:b/>
          <w:color w:val="auto"/>
          <w:sz w:val="24"/>
        </w:rPr>
      </w:pPr>
      <w:r>
        <w:rPr>
          <w:rFonts w:hint="eastAsia" w:ascii="宋体" w:hAnsi="宋体" w:cs="宋体"/>
          <w:b/>
          <w:color w:val="auto"/>
          <w:sz w:val="24"/>
        </w:rPr>
        <w:t>（一）系统架构设计（独立监控专网方案）</w:t>
      </w:r>
    </w:p>
    <w:p w14:paraId="05D81814">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为保证监控系统不受其他网络业务冲击，采用监控专网架构：</w:t>
      </w:r>
    </w:p>
    <w:p w14:paraId="434E31F1">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1.前端接入层：各楼层摄像机通过非屏蔽双绞线，接入相应汇聚点的监控接入交换机（总包单位负责各楼层摄像机的安装及双绞线的敷设至各楼层弱电间）。</w:t>
      </w:r>
    </w:p>
    <w:p w14:paraId="5FEFF866">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2.传输汇聚层：①各汇聚点的监控接入交换机，通过独立敷设的监控专用光纤，汇聚至5#宿舍楼1F核心设备间（以下简称“5#中心机房”）的监控核心交换机。②5#中心机房的监控核心交换机通过独立敷设的监控专用光纤，与学校图文大楼消控室的安防核心交换机连接。</w:t>
      </w:r>
    </w:p>
    <w:p w14:paraId="4D702907">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3.中心存储与管控层：录像存储设备与学校图文大楼消控室的安防核心交换机连接，进行集中录像与存储。同时连接安防综合管理平台服务器、解码器及显示大屏。</w:t>
      </w:r>
    </w:p>
    <w:p w14:paraId="3145549B">
      <w:pPr>
        <w:tabs>
          <w:tab w:val="left" w:pos="540"/>
          <w:tab w:val="left" w:pos="567"/>
        </w:tabs>
        <w:spacing w:line="360" w:lineRule="auto"/>
        <w:ind w:firstLine="480" w:firstLineChars="200"/>
        <w:rPr>
          <w:rFonts w:ascii="宋体" w:hAnsi="宋体" w:cs="宋体"/>
          <w:b/>
          <w:color w:val="auto"/>
          <w:sz w:val="24"/>
        </w:rPr>
      </w:pPr>
      <w:r>
        <w:rPr>
          <w:rFonts w:hint="eastAsia" w:ascii="宋体" w:hAnsi="宋体" w:cs="宋体"/>
          <w:color w:val="auto"/>
          <w:sz w:val="24"/>
        </w:rPr>
        <w:t>4.物理承载：所有监控网络设备（交换机、服务器等）集中安装在专用的监控网络机柜中。</w:t>
      </w:r>
    </w:p>
    <w:p w14:paraId="7BC5069F">
      <w:pPr>
        <w:tabs>
          <w:tab w:val="left" w:pos="540"/>
          <w:tab w:val="left" w:pos="567"/>
        </w:tabs>
        <w:spacing w:line="360" w:lineRule="auto"/>
        <w:ind w:firstLine="482" w:firstLineChars="200"/>
        <w:rPr>
          <w:rFonts w:ascii="宋体" w:hAnsi="宋体" w:cs="宋体"/>
          <w:b/>
          <w:bCs/>
          <w:color w:val="auto"/>
          <w:sz w:val="24"/>
        </w:rPr>
      </w:pPr>
      <w:r>
        <w:rPr>
          <w:rFonts w:hint="eastAsia" w:ascii="宋体" w:hAnsi="宋体" w:cs="宋体"/>
          <w:b/>
          <w:bCs/>
          <w:color w:val="auto"/>
          <w:sz w:val="24"/>
        </w:rPr>
        <w:t>（二）光纤传输链路建设</w:t>
      </w:r>
    </w:p>
    <w:p w14:paraId="45A19FB7">
      <w:pPr>
        <w:tabs>
          <w:tab w:val="left" w:pos="540"/>
          <w:tab w:val="left" w:pos="567"/>
        </w:tabs>
        <w:spacing w:line="360" w:lineRule="auto"/>
        <w:ind w:firstLine="480" w:firstLineChars="200"/>
        <w:rPr>
          <w:rFonts w:hint="eastAsia" w:ascii="宋体" w:hAnsi="宋体" w:cs="宋体"/>
          <w:color w:val="auto"/>
          <w:sz w:val="24"/>
        </w:rPr>
      </w:pPr>
      <w:r>
        <w:rPr>
          <w:rFonts w:hint="eastAsia" w:ascii="宋体" w:hAnsi="宋体" w:cs="宋体"/>
          <w:color w:val="auto"/>
          <w:sz w:val="24"/>
        </w:rPr>
        <w:t>光纤类型：楼内垂直骨干及楼间互联采用单模光纤。</w:t>
      </w:r>
    </w:p>
    <w:p w14:paraId="7C18D104">
      <w:pPr>
        <w:tabs>
          <w:tab w:val="left" w:pos="540"/>
          <w:tab w:val="left" w:pos="567"/>
        </w:tabs>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光纤芯数：按照图纸设计要求，楼内汇聚点敷设12芯光纤至新建宿舍5#楼中心机房，地库汇聚点以及室外汇聚点敷设4芯光纤至新建宿舍5#楼中心机房，新建宿舍5#楼中心机房敷设24芯光纤至图文楼消控室机房</w:t>
      </w:r>
      <w:r>
        <w:rPr>
          <w:rFonts w:hint="eastAsia" w:ascii="宋体" w:hAnsi="宋体" w:cs="宋体"/>
          <w:color w:val="auto"/>
          <w:sz w:val="24"/>
          <w:lang w:eastAsia="zh-CN"/>
        </w:rPr>
        <w:t>。</w:t>
      </w:r>
    </w:p>
    <w:p w14:paraId="3C51D940">
      <w:pPr>
        <w:tabs>
          <w:tab w:val="left" w:pos="540"/>
          <w:tab w:val="left" w:pos="567"/>
        </w:tabs>
        <w:spacing w:line="360" w:lineRule="auto"/>
        <w:ind w:firstLine="480" w:firstLineChars="200"/>
        <w:rPr>
          <w:rFonts w:hint="eastAsia" w:ascii="宋体" w:hAnsi="宋体" w:cs="宋体"/>
          <w:color w:val="auto"/>
          <w:sz w:val="24"/>
        </w:rPr>
      </w:pPr>
      <w:r>
        <w:rPr>
          <w:rFonts w:hint="eastAsia" w:ascii="宋体" w:hAnsi="宋体" w:cs="宋体"/>
          <w:color w:val="auto"/>
          <w:sz w:val="24"/>
        </w:rPr>
        <w:t>敷设路由：沿弱电井金属桥架独立敷设，避免与强电线缆同管同槽。穿越楼板、墙体需加装保护套管。</w:t>
      </w:r>
    </w:p>
    <w:p w14:paraId="51EAD1AC">
      <w:pPr>
        <w:tabs>
          <w:tab w:val="left" w:pos="540"/>
          <w:tab w:val="left" w:pos="567"/>
        </w:tabs>
        <w:spacing w:line="360" w:lineRule="auto"/>
        <w:ind w:firstLine="480" w:firstLineChars="200"/>
        <w:rPr>
          <w:rFonts w:hint="eastAsia" w:ascii="宋体" w:hAnsi="宋体" w:cs="宋体"/>
          <w:color w:val="auto"/>
          <w:sz w:val="24"/>
        </w:rPr>
      </w:pPr>
      <w:r>
        <w:rPr>
          <w:rFonts w:hint="eastAsia" w:ascii="宋体" w:hAnsi="宋体" w:cs="宋体"/>
          <w:color w:val="auto"/>
          <w:sz w:val="24"/>
        </w:rPr>
        <w:t>接续与配线：两端在机柜内熔接至ODF光纤配线架或高性能光纤终端盒，并粘贴清晰标识。</w:t>
      </w:r>
    </w:p>
    <w:p w14:paraId="6E4FCC1D">
      <w:pPr>
        <w:tabs>
          <w:tab w:val="left" w:pos="540"/>
          <w:tab w:val="left" w:pos="567"/>
        </w:tabs>
        <w:spacing w:line="360" w:lineRule="auto"/>
        <w:ind w:firstLine="480" w:firstLineChars="200"/>
        <w:rPr>
          <w:rFonts w:hint="eastAsia" w:ascii="宋体" w:hAnsi="宋体" w:cs="宋体"/>
          <w:color w:val="auto"/>
          <w:sz w:val="24"/>
        </w:rPr>
      </w:pPr>
      <w:r>
        <w:rPr>
          <w:rFonts w:hint="eastAsia" w:ascii="宋体" w:hAnsi="宋体" w:cs="宋体"/>
          <w:color w:val="auto"/>
          <w:sz w:val="24"/>
        </w:rPr>
        <w:t>施工范围：完成三幢新建宿舍楼楼内及新建宿舍楼至图文中心消控室的安防专用光纤链路铺设，含线缆敷设、线路成端及局部路面开挖和管道敷设等全流程工作。总包施工单位负责整体的路面开挖和管道敷设（预计3月底完工，最终以现场勘察情况为准）。</w:t>
      </w:r>
    </w:p>
    <w:p w14:paraId="26E6F09D">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相关要求：链路需支持高带宽、低时延传输，满足监控视频、公共广播、等多业务承载需求，链路稳定性符合国家通信工程相关标准，施工后需通过专业测试，确保监控视频流的传输稳定性、实时性及数据安全性。</w:t>
      </w:r>
    </w:p>
    <w:p w14:paraId="3884165B">
      <w:pPr>
        <w:tabs>
          <w:tab w:val="left" w:pos="540"/>
          <w:tab w:val="left" w:pos="567"/>
        </w:tabs>
        <w:spacing w:line="360" w:lineRule="auto"/>
        <w:ind w:firstLine="482" w:firstLineChars="200"/>
        <w:rPr>
          <w:rFonts w:ascii="宋体" w:hAnsi="宋体" w:cs="宋体"/>
          <w:b/>
          <w:bCs/>
          <w:color w:val="auto"/>
          <w:sz w:val="24"/>
        </w:rPr>
      </w:pPr>
      <w:r>
        <w:rPr>
          <w:rFonts w:hint="eastAsia" w:ascii="宋体" w:hAnsi="宋体" w:cs="宋体"/>
          <w:b/>
          <w:bCs/>
          <w:color w:val="auto"/>
          <w:sz w:val="24"/>
        </w:rPr>
        <w:t>（三）安防交换机部署与调试</w:t>
      </w:r>
    </w:p>
    <w:p w14:paraId="14DF1C2D">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1.设备配置：为三栋新建宿舍楼配备安防专用交换机，数量需满足前端监控摄像头、公共广播系统全接入需求。</w:t>
      </w:r>
    </w:p>
    <w:p w14:paraId="5B2F4FB0">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2.相关参数：交换机需具备≥1000M 端口带宽，支持 POE 供电，低时延、无丢包，具备设备状态监测、故障自动告警功能。</w:t>
      </w:r>
    </w:p>
    <w:p w14:paraId="3488B8C6">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3.调试要求：完成交换机安装、网络配置、与前端设备及后端平台的通信调试，确保监控视频流、广播控制信号稳定传输。</w:t>
      </w:r>
    </w:p>
    <w:p w14:paraId="0297DDAF">
      <w:pPr>
        <w:tabs>
          <w:tab w:val="left" w:pos="540"/>
          <w:tab w:val="left" w:pos="567"/>
        </w:tabs>
        <w:spacing w:line="360" w:lineRule="auto"/>
        <w:ind w:firstLine="482" w:firstLineChars="200"/>
        <w:rPr>
          <w:rFonts w:ascii="宋体" w:hAnsi="宋体" w:cs="宋体"/>
          <w:b/>
          <w:bCs/>
          <w:color w:val="auto"/>
          <w:sz w:val="24"/>
        </w:rPr>
      </w:pPr>
      <w:r>
        <w:rPr>
          <w:rFonts w:hint="eastAsia" w:ascii="宋体" w:hAnsi="宋体" w:cs="宋体"/>
          <w:b/>
          <w:bCs/>
          <w:color w:val="auto"/>
          <w:sz w:val="24"/>
        </w:rPr>
        <w:t>（四）监控存储系统建设</w:t>
      </w:r>
    </w:p>
    <w:p w14:paraId="27675B3D">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1.设备类型：采用高性能磁盘阵列存储设备，支持冗余备份技术，保障数据安全。</w:t>
      </w:r>
    </w:p>
    <w:p w14:paraId="7F53CEAF">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2.存储要求：普通视频录像存储时长≥90 天，人脸抓拍满足照片存储时长≥180 天；支持断点续录、智能检索、快速回放功能，数据读写速率满足 500 路监控点位并发存储需求。</w:t>
      </w:r>
    </w:p>
    <w:p w14:paraId="27578166">
      <w:pPr>
        <w:tabs>
          <w:tab w:val="left" w:pos="540"/>
          <w:tab w:val="left" w:pos="567"/>
        </w:tabs>
        <w:spacing w:line="360" w:lineRule="auto"/>
        <w:ind w:firstLine="482" w:firstLineChars="200"/>
        <w:rPr>
          <w:rFonts w:ascii="宋体" w:hAnsi="宋体" w:cs="宋体"/>
          <w:b/>
          <w:bCs/>
          <w:color w:val="auto"/>
          <w:sz w:val="24"/>
        </w:rPr>
      </w:pPr>
      <w:r>
        <w:rPr>
          <w:rFonts w:hint="eastAsia" w:ascii="宋体" w:hAnsi="宋体" w:cs="宋体"/>
          <w:b/>
          <w:bCs/>
          <w:color w:val="auto"/>
          <w:sz w:val="24"/>
        </w:rPr>
        <w:t>（五）平台授权与接入</w:t>
      </w:r>
    </w:p>
    <w:p w14:paraId="217F52FA">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1.授权数量：提供≥500 路监控点位的安防综合管理平台接入授权。</w:t>
      </w:r>
    </w:p>
    <w:p w14:paraId="055FBB42">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2.功能要求：授权后需实现视频预览、云台控制、录像回放、报警联动、设备状态监测等功能，支持与现有平台统一管控、数据互通。</w:t>
      </w:r>
    </w:p>
    <w:p w14:paraId="48965259">
      <w:pPr>
        <w:tabs>
          <w:tab w:val="left" w:pos="540"/>
          <w:tab w:val="left" w:pos="567"/>
        </w:tabs>
        <w:spacing w:line="360" w:lineRule="auto"/>
        <w:ind w:firstLine="482" w:firstLineChars="200"/>
        <w:rPr>
          <w:rFonts w:ascii="宋体" w:hAnsi="宋体" w:cs="宋体"/>
          <w:b/>
          <w:bCs/>
          <w:color w:val="auto"/>
          <w:sz w:val="24"/>
        </w:rPr>
      </w:pPr>
      <w:r>
        <w:rPr>
          <w:rFonts w:hint="eastAsia" w:ascii="宋体" w:hAnsi="宋体" w:cs="宋体"/>
          <w:b/>
          <w:bCs/>
          <w:color w:val="auto"/>
          <w:sz w:val="24"/>
        </w:rPr>
        <w:t>（六）高空抛物智能分析模块</w:t>
      </w:r>
    </w:p>
    <w:p w14:paraId="104012F8">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1.模块功能：在现有安防综合管理平台新增高空抛物分析模块，支持 AI 智能识别高空抛物行为，实现实时告警、视频锁定、证据留存。</w:t>
      </w:r>
    </w:p>
    <w:p w14:paraId="60A694DC">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2.相关参数：识别准确率≥95%，告警响应时间≤3 秒，支持告警信息推送至管理人员终端，可回溯抛物行为完整视频片段。</w:t>
      </w:r>
    </w:p>
    <w:p w14:paraId="25E1041D">
      <w:pPr>
        <w:tabs>
          <w:tab w:val="left" w:pos="540"/>
          <w:tab w:val="left" w:pos="567"/>
        </w:tabs>
        <w:spacing w:line="360" w:lineRule="auto"/>
        <w:ind w:firstLine="482" w:firstLineChars="200"/>
        <w:rPr>
          <w:rFonts w:ascii="宋体" w:hAnsi="宋体" w:cs="宋体"/>
          <w:b/>
          <w:bCs/>
          <w:color w:val="auto"/>
          <w:sz w:val="24"/>
        </w:rPr>
      </w:pPr>
      <w:r>
        <w:rPr>
          <w:rFonts w:hint="eastAsia" w:ascii="宋体" w:hAnsi="宋体" w:cs="宋体"/>
          <w:b/>
          <w:color w:val="auto"/>
          <w:sz w:val="24"/>
        </w:rPr>
        <w:t>（七）</w:t>
      </w:r>
      <w:r>
        <w:rPr>
          <w:rFonts w:hint="eastAsia" w:ascii="宋体" w:hAnsi="宋体" w:cs="宋体"/>
          <w:b/>
          <w:bCs/>
          <w:color w:val="auto"/>
          <w:sz w:val="24"/>
        </w:rPr>
        <w:t>其他零星设备与系统集成</w:t>
      </w:r>
    </w:p>
    <w:p w14:paraId="77761C7A">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1.配套设备：提供电梯监控专用无线网桥、光模块等零星设备，设备需符合相关行业标准，与现有系统兼容。</w:t>
      </w:r>
    </w:p>
    <w:p w14:paraId="0861B3C5">
      <w:pPr>
        <w:tabs>
          <w:tab w:val="left" w:pos="540"/>
          <w:tab w:val="left" w:pos="567"/>
        </w:tabs>
        <w:spacing w:line="360" w:lineRule="auto"/>
        <w:ind w:firstLine="480" w:firstLineChars="200"/>
        <w:rPr>
          <w:rFonts w:ascii="宋体" w:hAnsi="宋体" w:cs="宋体"/>
          <w:color w:val="auto"/>
          <w:sz w:val="24"/>
        </w:rPr>
      </w:pPr>
      <w:r>
        <w:rPr>
          <w:rFonts w:hint="eastAsia" w:ascii="宋体" w:hAnsi="宋体" w:cs="宋体"/>
          <w:color w:val="auto"/>
          <w:sz w:val="24"/>
        </w:rPr>
        <w:t>2.系统集成：完成设备与平台、系统与校园现有安防、消防、广播系统的对接开发，开展全系统联调测试，确保各子系统协同运行；提供操作培训、技术交底及至少3年的售后运维保障服务。</w:t>
      </w:r>
    </w:p>
    <w:p w14:paraId="231D1D7B">
      <w:pPr>
        <w:tabs>
          <w:tab w:val="left" w:pos="540"/>
          <w:tab w:val="left" w:pos="567"/>
        </w:tabs>
        <w:spacing w:line="440" w:lineRule="exact"/>
        <w:ind w:firstLine="482" w:firstLineChars="200"/>
        <w:rPr>
          <w:rFonts w:ascii="宋体" w:hAnsi="宋体" w:cs="宋体"/>
          <w:b/>
          <w:iCs/>
          <w:color w:val="auto"/>
          <w:sz w:val="24"/>
          <w:u w:val="single"/>
        </w:rPr>
      </w:pPr>
      <w:r>
        <w:rPr>
          <w:rFonts w:hint="eastAsia" w:ascii="宋体" w:hAnsi="宋体" w:cs="宋体"/>
          <w:b/>
          <w:iCs/>
          <w:color w:val="auto"/>
          <w:sz w:val="24"/>
          <w:u w:val="single"/>
        </w:rPr>
        <w:t>说明：1.总包配合费：总承包服务费包含本工程总承包人对专业承(分)包工程施工过程中所发生的各种管理及配合费用。总承包人应配合完成由发包人另行发包的各项专业工程的实施，提供总承包服务。本项目总承包服务费由中标人向总承包人支付。总承包服务费计算基数按专业承包工程的结算价格(不含设备费)计取，总承包服务费费率为2%，总承包人须提供等额发票。</w:t>
      </w:r>
    </w:p>
    <w:p w14:paraId="2C6B12E6">
      <w:pPr>
        <w:numPr>
          <w:ilvl w:val="0"/>
          <w:numId w:val="3"/>
        </w:numPr>
        <w:tabs>
          <w:tab w:val="left" w:pos="540"/>
          <w:tab w:val="left" w:pos="567"/>
        </w:tabs>
        <w:spacing w:line="360" w:lineRule="auto"/>
        <w:ind w:firstLine="482" w:firstLineChars="200"/>
        <w:rPr>
          <w:rFonts w:ascii="宋体" w:hAnsi="宋体" w:cs="宋体"/>
          <w:b/>
          <w:color w:val="auto"/>
          <w:sz w:val="24"/>
        </w:rPr>
      </w:pPr>
      <w:r>
        <w:rPr>
          <w:rFonts w:hint="eastAsia" w:ascii="宋体" w:hAnsi="宋体" w:cs="宋体"/>
          <w:b/>
          <w:color w:val="auto"/>
          <w:sz w:val="24"/>
        </w:rPr>
        <w:t>设备清单</w:t>
      </w:r>
    </w:p>
    <w:tbl>
      <w:tblPr>
        <w:tblStyle w:val="38"/>
        <w:tblW w:w="8137" w:type="dxa"/>
        <w:jc w:val="center"/>
        <w:tblLayout w:type="fixed"/>
        <w:tblCellMar>
          <w:top w:w="0" w:type="dxa"/>
          <w:left w:w="108" w:type="dxa"/>
          <w:bottom w:w="0" w:type="dxa"/>
          <w:right w:w="108" w:type="dxa"/>
        </w:tblCellMar>
      </w:tblPr>
      <w:tblGrid>
        <w:gridCol w:w="740"/>
        <w:gridCol w:w="3600"/>
        <w:gridCol w:w="1903"/>
        <w:gridCol w:w="1894"/>
      </w:tblGrid>
      <w:tr w14:paraId="2C83B31C">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23F253B0">
            <w:pPr>
              <w:widowControl/>
              <w:jc w:val="center"/>
              <w:textAlignment w:val="center"/>
              <w:rPr>
                <w:rFonts w:ascii="宋体" w:hAnsi="宋体" w:cs="宋体"/>
                <w:b/>
                <w:color w:val="auto"/>
                <w:szCs w:val="21"/>
              </w:rPr>
            </w:pPr>
            <w:r>
              <w:rPr>
                <w:rFonts w:hint="eastAsia" w:ascii="宋体" w:hAnsi="宋体" w:cs="宋体"/>
                <w:b/>
                <w:color w:val="auto"/>
                <w:szCs w:val="21"/>
              </w:rPr>
              <w:t>序号</w:t>
            </w:r>
          </w:p>
        </w:tc>
        <w:tc>
          <w:tcPr>
            <w:tcW w:w="3600" w:type="dxa"/>
            <w:tcBorders>
              <w:top w:val="single" w:color="000000" w:sz="8" w:space="0"/>
              <w:left w:val="nil"/>
              <w:bottom w:val="single" w:color="000000" w:sz="8" w:space="0"/>
              <w:right w:val="single" w:color="000000" w:sz="8" w:space="0"/>
            </w:tcBorders>
            <w:noWrap/>
            <w:vAlign w:val="center"/>
          </w:tcPr>
          <w:p w14:paraId="71DD5483">
            <w:pPr>
              <w:widowControl/>
              <w:jc w:val="center"/>
              <w:textAlignment w:val="center"/>
              <w:rPr>
                <w:rFonts w:ascii="宋体" w:hAnsi="宋体" w:cs="宋体"/>
                <w:b/>
                <w:color w:val="auto"/>
                <w:szCs w:val="21"/>
              </w:rPr>
            </w:pPr>
            <w:r>
              <w:rPr>
                <w:rFonts w:hint="eastAsia" w:ascii="宋体" w:hAnsi="宋体" w:cs="宋体"/>
                <w:b/>
                <w:color w:val="auto"/>
                <w:szCs w:val="21"/>
              </w:rPr>
              <w:t>产品名称</w:t>
            </w:r>
          </w:p>
        </w:tc>
        <w:tc>
          <w:tcPr>
            <w:tcW w:w="1903" w:type="dxa"/>
            <w:tcBorders>
              <w:top w:val="single" w:color="000000" w:sz="8" w:space="0"/>
              <w:left w:val="nil"/>
              <w:bottom w:val="single" w:color="000000" w:sz="8" w:space="0"/>
              <w:right w:val="single" w:color="000000" w:sz="8" w:space="0"/>
            </w:tcBorders>
            <w:noWrap/>
            <w:vAlign w:val="center"/>
          </w:tcPr>
          <w:p w14:paraId="0E58E6E9">
            <w:pPr>
              <w:widowControl/>
              <w:jc w:val="center"/>
              <w:textAlignment w:val="center"/>
              <w:rPr>
                <w:rFonts w:ascii="宋体" w:hAnsi="宋体" w:cs="宋体"/>
                <w:b/>
                <w:color w:val="auto"/>
                <w:szCs w:val="21"/>
              </w:rPr>
            </w:pPr>
            <w:r>
              <w:rPr>
                <w:rFonts w:hint="eastAsia" w:ascii="宋体" w:hAnsi="宋体" w:cs="宋体"/>
                <w:b/>
                <w:color w:val="auto"/>
                <w:szCs w:val="21"/>
              </w:rPr>
              <w:t>数量</w:t>
            </w:r>
          </w:p>
        </w:tc>
        <w:tc>
          <w:tcPr>
            <w:tcW w:w="1894" w:type="dxa"/>
            <w:tcBorders>
              <w:top w:val="single" w:color="000000" w:sz="8" w:space="0"/>
              <w:left w:val="nil"/>
              <w:bottom w:val="single" w:color="000000" w:sz="8" w:space="0"/>
              <w:right w:val="single" w:color="000000" w:sz="8" w:space="0"/>
            </w:tcBorders>
            <w:noWrap/>
            <w:vAlign w:val="center"/>
          </w:tcPr>
          <w:p w14:paraId="274A8D4D">
            <w:pPr>
              <w:widowControl/>
              <w:jc w:val="center"/>
              <w:textAlignment w:val="center"/>
              <w:rPr>
                <w:rFonts w:ascii="宋体" w:hAnsi="宋体" w:cs="宋体"/>
                <w:b/>
                <w:color w:val="auto"/>
                <w:szCs w:val="21"/>
              </w:rPr>
            </w:pPr>
            <w:r>
              <w:rPr>
                <w:rFonts w:hint="eastAsia" w:ascii="宋体" w:hAnsi="宋体" w:cs="宋体"/>
                <w:b/>
                <w:color w:val="auto"/>
                <w:szCs w:val="21"/>
              </w:rPr>
              <w:t>单位</w:t>
            </w:r>
          </w:p>
        </w:tc>
      </w:tr>
      <w:tr w14:paraId="5BCE4E7B">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3052865F">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3600" w:type="dxa"/>
            <w:tcBorders>
              <w:top w:val="single" w:color="000000" w:sz="8" w:space="0"/>
              <w:left w:val="nil"/>
              <w:bottom w:val="single" w:color="000000" w:sz="8" w:space="0"/>
              <w:right w:val="single" w:color="000000" w:sz="8" w:space="0"/>
            </w:tcBorders>
            <w:noWrap/>
            <w:vAlign w:val="center"/>
          </w:tcPr>
          <w:p w14:paraId="48198DDF">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4U 机架式网络存储设备</w:t>
            </w:r>
          </w:p>
        </w:tc>
        <w:tc>
          <w:tcPr>
            <w:tcW w:w="1903" w:type="dxa"/>
            <w:tcBorders>
              <w:top w:val="single" w:color="000000" w:sz="8" w:space="0"/>
              <w:left w:val="nil"/>
              <w:bottom w:val="single" w:color="000000" w:sz="8" w:space="0"/>
              <w:right w:val="single" w:color="000000" w:sz="8" w:space="0"/>
            </w:tcBorders>
            <w:noWrap/>
            <w:vAlign w:val="center"/>
          </w:tcPr>
          <w:p w14:paraId="53C44F50">
            <w:pPr>
              <w:widowControl/>
              <w:jc w:val="center"/>
              <w:textAlignment w:val="center"/>
              <w:rPr>
                <w:rFonts w:ascii="宋体" w:hAnsi="宋体" w:cs="宋体"/>
                <w:color w:val="auto"/>
                <w:szCs w:val="21"/>
              </w:rPr>
            </w:pPr>
            <w:r>
              <w:rPr>
                <w:rFonts w:hint="eastAsia" w:ascii="宋体" w:hAnsi="宋体" w:cs="宋体"/>
                <w:color w:val="auto"/>
                <w:szCs w:val="21"/>
              </w:rPr>
              <w:t>2</w:t>
            </w:r>
          </w:p>
        </w:tc>
        <w:tc>
          <w:tcPr>
            <w:tcW w:w="1894" w:type="dxa"/>
            <w:tcBorders>
              <w:top w:val="single" w:color="000000" w:sz="8" w:space="0"/>
              <w:left w:val="nil"/>
              <w:bottom w:val="single" w:color="000000" w:sz="8" w:space="0"/>
              <w:right w:val="single" w:color="000000" w:sz="8" w:space="0"/>
            </w:tcBorders>
            <w:noWrap/>
            <w:vAlign w:val="center"/>
          </w:tcPr>
          <w:p w14:paraId="17D46428">
            <w:pPr>
              <w:widowControl/>
              <w:jc w:val="center"/>
              <w:textAlignment w:val="center"/>
              <w:rPr>
                <w:rFonts w:ascii="宋体" w:hAnsi="宋体" w:cs="宋体"/>
                <w:color w:val="auto"/>
                <w:szCs w:val="21"/>
              </w:rPr>
            </w:pPr>
            <w:r>
              <w:rPr>
                <w:rFonts w:hint="eastAsia" w:ascii="宋体" w:hAnsi="宋体" w:cs="宋体"/>
                <w:color w:val="auto"/>
                <w:szCs w:val="21"/>
              </w:rPr>
              <w:t>台</w:t>
            </w:r>
          </w:p>
        </w:tc>
      </w:tr>
      <w:tr w14:paraId="28845FAB">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67C2BAED">
            <w:pPr>
              <w:widowControl/>
              <w:jc w:val="center"/>
              <w:textAlignment w:val="center"/>
              <w:rPr>
                <w:rFonts w:ascii="宋体" w:hAnsi="宋体" w:cs="宋体"/>
                <w:color w:val="auto"/>
                <w:szCs w:val="21"/>
              </w:rPr>
            </w:pPr>
            <w:r>
              <w:rPr>
                <w:rFonts w:hint="eastAsia" w:ascii="宋体" w:hAnsi="宋体" w:cs="宋体"/>
                <w:color w:val="auto"/>
                <w:szCs w:val="21"/>
              </w:rPr>
              <w:t>2</w:t>
            </w:r>
          </w:p>
        </w:tc>
        <w:tc>
          <w:tcPr>
            <w:tcW w:w="3600" w:type="dxa"/>
            <w:tcBorders>
              <w:top w:val="single" w:color="000000" w:sz="8" w:space="0"/>
              <w:left w:val="nil"/>
              <w:bottom w:val="single" w:color="000000" w:sz="8" w:space="0"/>
              <w:right w:val="single" w:color="000000" w:sz="8" w:space="0"/>
            </w:tcBorders>
            <w:noWrap/>
            <w:vAlign w:val="center"/>
          </w:tcPr>
          <w:p w14:paraId="3D8A4752">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点位授权</w:t>
            </w:r>
          </w:p>
        </w:tc>
        <w:tc>
          <w:tcPr>
            <w:tcW w:w="1903" w:type="dxa"/>
            <w:tcBorders>
              <w:top w:val="single" w:color="000000" w:sz="8" w:space="0"/>
              <w:left w:val="nil"/>
              <w:bottom w:val="single" w:color="000000" w:sz="8" w:space="0"/>
              <w:right w:val="single" w:color="000000" w:sz="8" w:space="0"/>
            </w:tcBorders>
            <w:noWrap/>
            <w:vAlign w:val="center"/>
          </w:tcPr>
          <w:p w14:paraId="52508917">
            <w:pPr>
              <w:widowControl/>
              <w:jc w:val="center"/>
              <w:textAlignment w:val="center"/>
              <w:rPr>
                <w:rFonts w:ascii="宋体" w:hAnsi="宋体" w:cs="宋体"/>
                <w:color w:val="auto"/>
                <w:szCs w:val="21"/>
              </w:rPr>
            </w:pPr>
            <w:r>
              <w:rPr>
                <w:rFonts w:hint="eastAsia" w:ascii="宋体" w:hAnsi="宋体" w:cs="宋体"/>
                <w:color w:val="auto"/>
                <w:szCs w:val="21"/>
              </w:rPr>
              <w:t>500</w:t>
            </w:r>
          </w:p>
        </w:tc>
        <w:tc>
          <w:tcPr>
            <w:tcW w:w="1894" w:type="dxa"/>
            <w:tcBorders>
              <w:top w:val="single" w:color="000000" w:sz="8" w:space="0"/>
              <w:left w:val="nil"/>
              <w:bottom w:val="single" w:color="000000" w:sz="8" w:space="0"/>
              <w:right w:val="single" w:color="000000" w:sz="8" w:space="0"/>
            </w:tcBorders>
            <w:noWrap/>
            <w:vAlign w:val="center"/>
          </w:tcPr>
          <w:p w14:paraId="7F845C38">
            <w:pPr>
              <w:widowControl/>
              <w:jc w:val="center"/>
              <w:textAlignment w:val="center"/>
              <w:rPr>
                <w:rFonts w:ascii="宋体" w:hAnsi="宋体" w:cs="宋体"/>
                <w:color w:val="auto"/>
                <w:szCs w:val="21"/>
              </w:rPr>
            </w:pPr>
            <w:r>
              <w:rPr>
                <w:rFonts w:hint="eastAsia" w:ascii="宋体" w:hAnsi="宋体" w:cs="宋体"/>
                <w:color w:val="auto"/>
                <w:szCs w:val="21"/>
              </w:rPr>
              <w:t>路</w:t>
            </w:r>
          </w:p>
        </w:tc>
      </w:tr>
      <w:tr w14:paraId="7421F4B8">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668B6C38">
            <w:pPr>
              <w:widowControl/>
              <w:jc w:val="center"/>
              <w:textAlignment w:val="center"/>
              <w:rPr>
                <w:rFonts w:ascii="宋体" w:hAnsi="宋体" w:cs="宋体"/>
                <w:color w:val="auto"/>
                <w:szCs w:val="21"/>
              </w:rPr>
            </w:pPr>
            <w:r>
              <w:rPr>
                <w:rFonts w:hint="eastAsia" w:ascii="宋体" w:hAnsi="宋体" w:cs="宋体"/>
                <w:color w:val="auto"/>
                <w:szCs w:val="21"/>
              </w:rPr>
              <w:t>3</w:t>
            </w:r>
          </w:p>
        </w:tc>
        <w:tc>
          <w:tcPr>
            <w:tcW w:w="3600" w:type="dxa"/>
            <w:tcBorders>
              <w:top w:val="single" w:color="000000" w:sz="8" w:space="0"/>
              <w:left w:val="nil"/>
              <w:bottom w:val="single" w:color="000000" w:sz="8" w:space="0"/>
              <w:right w:val="single" w:color="000000" w:sz="8" w:space="0"/>
            </w:tcBorders>
            <w:noWrap/>
            <w:vAlign w:val="center"/>
          </w:tcPr>
          <w:p w14:paraId="3998622A">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高空抛物溯源模块</w:t>
            </w:r>
          </w:p>
        </w:tc>
        <w:tc>
          <w:tcPr>
            <w:tcW w:w="1903" w:type="dxa"/>
            <w:tcBorders>
              <w:top w:val="single" w:color="000000" w:sz="8" w:space="0"/>
              <w:left w:val="nil"/>
              <w:bottom w:val="single" w:color="000000" w:sz="8" w:space="0"/>
              <w:right w:val="single" w:color="000000" w:sz="8" w:space="0"/>
            </w:tcBorders>
            <w:noWrap/>
            <w:vAlign w:val="center"/>
          </w:tcPr>
          <w:p w14:paraId="5677E401">
            <w:pPr>
              <w:widowControl/>
              <w:jc w:val="center"/>
              <w:textAlignment w:val="center"/>
              <w:rPr>
                <w:rFonts w:ascii="宋体" w:hAnsi="宋体" w:cs="宋体"/>
                <w:color w:val="auto"/>
                <w:szCs w:val="21"/>
              </w:rPr>
            </w:pPr>
            <w:r>
              <w:rPr>
                <w:rFonts w:hint="eastAsia" w:ascii="宋体" w:hAnsi="宋体" w:cs="宋体"/>
                <w:color w:val="auto"/>
                <w:szCs w:val="21"/>
              </w:rPr>
              <w:t>20</w:t>
            </w:r>
          </w:p>
        </w:tc>
        <w:tc>
          <w:tcPr>
            <w:tcW w:w="1894" w:type="dxa"/>
            <w:tcBorders>
              <w:top w:val="single" w:color="000000" w:sz="8" w:space="0"/>
              <w:left w:val="nil"/>
              <w:bottom w:val="single" w:color="000000" w:sz="8" w:space="0"/>
              <w:right w:val="single" w:color="000000" w:sz="8" w:space="0"/>
            </w:tcBorders>
            <w:noWrap/>
            <w:vAlign w:val="center"/>
          </w:tcPr>
          <w:p w14:paraId="63B0B895">
            <w:pPr>
              <w:widowControl/>
              <w:jc w:val="center"/>
              <w:textAlignment w:val="center"/>
              <w:rPr>
                <w:rFonts w:ascii="宋体" w:hAnsi="宋体" w:cs="宋体"/>
                <w:color w:val="auto"/>
                <w:szCs w:val="21"/>
              </w:rPr>
            </w:pPr>
            <w:r>
              <w:rPr>
                <w:rFonts w:hint="eastAsia" w:ascii="宋体" w:hAnsi="宋体" w:cs="宋体"/>
                <w:color w:val="auto"/>
                <w:szCs w:val="21"/>
              </w:rPr>
              <w:t>路</w:t>
            </w:r>
          </w:p>
        </w:tc>
      </w:tr>
      <w:tr w14:paraId="312B69F0">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10BAE6E9">
            <w:pPr>
              <w:widowControl/>
              <w:jc w:val="center"/>
              <w:textAlignment w:val="center"/>
              <w:rPr>
                <w:rFonts w:ascii="宋体" w:hAnsi="宋体" w:cs="宋体"/>
                <w:color w:val="auto"/>
                <w:szCs w:val="21"/>
              </w:rPr>
            </w:pPr>
            <w:r>
              <w:rPr>
                <w:rFonts w:hint="eastAsia" w:ascii="宋体" w:hAnsi="宋体" w:cs="宋体"/>
                <w:color w:val="auto"/>
                <w:szCs w:val="21"/>
              </w:rPr>
              <w:t>4</w:t>
            </w:r>
          </w:p>
        </w:tc>
        <w:tc>
          <w:tcPr>
            <w:tcW w:w="3600" w:type="dxa"/>
            <w:tcBorders>
              <w:top w:val="single" w:color="000000" w:sz="8" w:space="0"/>
              <w:left w:val="nil"/>
              <w:bottom w:val="single" w:color="000000" w:sz="8" w:space="0"/>
              <w:right w:val="single" w:color="000000" w:sz="8" w:space="0"/>
            </w:tcBorders>
            <w:noWrap/>
            <w:vAlign w:val="center"/>
          </w:tcPr>
          <w:p w14:paraId="0A3CD64F">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核心交换机</w:t>
            </w:r>
          </w:p>
        </w:tc>
        <w:tc>
          <w:tcPr>
            <w:tcW w:w="1903" w:type="dxa"/>
            <w:tcBorders>
              <w:top w:val="single" w:color="000000" w:sz="8" w:space="0"/>
              <w:left w:val="nil"/>
              <w:bottom w:val="single" w:color="000000" w:sz="8" w:space="0"/>
              <w:right w:val="single" w:color="000000" w:sz="8" w:space="0"/>
            </w:tcBorders>
            <w:noWrap/>
            <w:vAlign w:val="center"/>
          </w:tcPr>
          <w:p w14:paraId="1CCCA734">
            <w:pPr>
              <w:widowControl/>
              <w:jc w:val="center"/>
              <w:textAlignment w:val="center"/>
              <w:rPr>
                <w:rFonts w:ascii="宋体" w:hAnsi="宋体" w:cs="宋体"/>
                <w:color w:val="auto"/>
                <w:szCs w:val="21"/>
              </w:rPr>
            </w:pPr>
            <w:r>
              <w:rPr>
                <w:rFonts w:hint="eastAsia" w:ascii="宋体" w:hAnsi="宋体" w:cs="宋体"/>
                <w:color w:val="auto"/>
                <w:szCs w:val="21"/>
              </w:rPr>
              <w:t>2</w:t>
            </w:r>
          </w:p>
        </w:tc>
        <w:tc>
          <w:tcPr>
            <w:tcW w:w="1894" w:type="dxa"/>
            <w:tcBorders>
              <w:top w:val="single" w:color="000000" w:sz="8" w:space="0"/>
              <w:left w:val="nil"/>
              <w:bottom w:val="single" w:color="000000" w:sz="8" w:space="0"/>
              <w:right w:val="single" w:color="000000" w:sz="8" w:space="0"/>
            </w:tcBorders>
            <w:noWrap/>
            <w:vAlign w:val="center"/>
          </w:tcPr>
          <w:p w14:paraId="07B18B0E">
            <w:pPr>
              <w:widowControl/>
              <w:jc w:val="center"/>
              <w:textAlignment w:val="center"/>
              <w:rPr>
                <w:rFonts w:ascii="宋体" w:hAnsi="宋体" w:cs="宋体"/>
                <w:color w:val="auto"/>
                <w:szCs w:val="21"/>
              </w:rPr>
            </w:pPr>
            <w:r>
              <w:rPr>
                <w:rFonts w:hint="eastAsia" w:ascii="宋体" w:hAnsi="宋体" w:cs="宋体"/>
                <w:color w:val="auto"/>
                <w:szCs w:val="21"/>
              </w:rPr>
              <w:t>台</w:t>
            </w:r>
          </w:p>
        </w:tc>
      </w:tr>
      <w:tr w14:paraId="0079E8F6">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5BC74A09">
            <w:pPr>
              <w:widowControl/>
              <w:jc w:val="center"/>
              <w:textAlignment w:val="center"/>
              <w:rPr>
                <w:rFonts w:ascii="宋体" w:hAnsi="宋体" w:cs="宋体"/>
                <w:color w:val="auto"/>
                <w:szCs w:val="21"/>
              </w:rPr>
            </w:pPr>
            <w:r>
              <w:rPr>
                <w:rFonts w:hint="eastAsia" w:ascii="宋体" w:hAnsi="宋体" w:cs="宋体"/>
                <w:color w:val="auto"/>
                <w:szCs w:val="21"/>
              </w:rPr>
              <w:t>5</w:t>
            </w:r>
          </w:p>
        </w:tc>
        <w:tc>
          <w:tcPr>
            <w:tcW w:w="3600" w:type="dxa"/>
            <w:tcBorders>
              <w:top w:val="single" w:color="000000" w:sz="8" w:space="0"/>
              <w:left w:val="nil"/>
              <w:bottom w:val="single" w:color="000000" w:sz="8" w:space="0"/>
              <w:right w:val="single" w:color="000000" w:sz="8" w:space="0"/>
            </w:tcBorders>
            <w:noWrap/>
            <w:vAlign w:val="center"/>
          </w:tcPr>
          <w:p w14:paraId="74173DBB">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8口工业级交换机</w:t>
            </w:r>
          </w:p>
        </w:tc>
        <w:tc>
          <w:tcPr>
            <w:tcW w:w="1903" w:type="dxa"/>
            <w:tcBorders>
              <w:top w:val="single" w:color="000000" w:sz="8" w:space="0"/>
              <w:left w:val="nil"/>
              <w:bottom w:val="single" w:color="000000" w:sz="8" w:space="0"/>
              <w:right w:val="single" w:color="000000" w:sz="8" w:space="0"/>
            </w:tcBorders>
            <w:noWrap/>
            <w:vAlign w:val="center"/>
          </w:tcPr>
          <w:p w14:paraId="1DBA4FB2">
            <w:pPr>
              <w:widowControl/>
              <w:jc w:val="center"/>
              <w:textAlignment w:val="center"/>
              <w:rPr>
                <w:rFonts w:ascii="宋体" w:hAnsi="宋体" w:cs="宋体"/>
                <w:color w:val="auto"/>
                <w:szCs w:val="21"/>
              </w:rPr>
            </w:pPr>
            <w:r>
              <w:rPr>
                <w:rFonts w:hint="eastAsia" w:ascii="宋体" w:hAnsi="宋体" w:cs="宋体"/>
                <w:color w:val="auto"/>
                <w:szCs w:val="21"/>
              </w:rPr>
              <w:t>3</w:t>
            </w:r>
          </w:p>
        </w:tc>
        <w:tc>
          <w:tcPr>
            <w:tcW w:w="1894" w:type="dxa"/>
            <w:tcBorders>
              <w:top w:val="single" w:color="000000" w:sz="8" w:space="0"/>
              <w:left w:val="nil"/>
              <w:bottom w:val="single" w:color="000000" w:sz="8" w:space="0"/>
              <w:right w:val="single" w:color="000000" w:sz="8" w:space="0"/>
            </w:tcBorders>
            <w:noWrap/>
            <w:vAlign w:val="center"/>
          </w:tcPr>
          <w:p w14:paraId="3FC72EE6">
            <w:pPr>
              <w:widowControl/>
              <w:jc w:val="center"/>
              <w:textAlignment w:val="center"/>
              <w:rPr>
                <w:rFonts w:ascii="宋体" w:hAnsi="宋体" w:cs="宋体"/>
                <w:color w:val="auto"/>
                <w:szCs w:val="21"/>
              </w:rPr>
            </w:pPr>
            <w:r>
              <w:rPr>
                <w:rFonts w:hint="eastAsia" w:ascii="宋体" w:hAnsi="宋体" w:cs="宋体"/>
                <w:color w:val="auto"/>
                <w:szCs w:val="21"/>
              </w:rPr>
              <w:t>台</w:t>
            </w:r>
          </w:p>
        </w:tc>
      </w:tr>
      <w:tr w14:paraId="4F08AB09">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2710A789">
            <w:pPr>
              <w:widowControl/>
              <w:jc w:val="center"/>
              <w:textAlignment w:val="center"/>
              <w:rPr>
                <w:rFonts w:ascii="宋体" w:hAnsi="宋体" w:cs="宋体"/>
                <w:color w:val="auto"/>
                <w:szCs w:val="21"/>
              </w:rPr>
            </w:pPr>
            <w:r>
              <w:rPr>
                <w:rFonts w:hint="eastAsia" w:ascii="宋体" w:hAnsi="宋体" w:cs="宋体"/>
                <w:color w:val="auto"/>
                <w:szCs w:val="21"/>
              </w:rPr>
              <w:t>6</w:t>
            </w:r>
          </w:p>
        </w:tc>
        <w:tc>
          <w:tcPr>
            <w:tcW w:w="3600" w:type="dxa"/>
            <w:tcBorders>
              <w:top w:val="single" w:color="000000" w:sz="8" w:space="0"/>
              <w:left w:val="nil"/>
              <w:bottom w:val="single" w:color="000000" w:sz="8" w:space="0"/>
              <w:right w:val="single" w:color="000000" w:sz="8" w:space="0"/>
            </w:tcBorders>
            <w:noWrap/>
            <w:vAlign w:val="center"/>
          </w:tcPr>
          <w:p w14:paraId="746BEA6B">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千兆POE交换机</w:t>
            </w:r>
          </w:p>
        </w:tc>
        <w:tc>
          <w:tcPr>
            <w:tcW w:w="1903" w:type="dxa"/>
            <w:tcBorders>
              <w:top w:val="single" w:color="000000" w:sz="8" w:space="0"/>
              <w:left w:val="nil"/>
              <w:bottom w:val="single" w:color="000000" w:sz="8" w:space="0"/>
              <w:right w:val="single" w:color="000000" w:sz="8" w:space="0"/>
            </w:tcBorders>
            <w:noWrap/>
            <w:vAlign w:val="center"/>
          </w:tcPr>
          <w:p w14:paraId="03D29567">
            <w:pPr>
              <w:widowControl/>
              <w:jc w:val="center"/>
              <w:textAlignment w:val="center"/>
              <w:rPr>
                <w:rFonts w:ascii="宋体" w:hAnsi="宋体" w:cs="宋体"/>
                <w:color w:val="auto"/>
                <w:szCs w:val="21"/>
              </w:rPr>
            </w:pPr>
            <w:r>
              <w:rPr>
                <w:rFonts w:hint="eastAsia" w:ascii="宋体" w:hAnsi="宋体" w:cs="宋体"/>
                <w:color w:val="auto"/>
                <w:szCs w:val="21"/>
              </w:rPr>
              <w:t>22</w:t>
            </w:r>
          </w:p>
        </w:tc>
        <w:tc>
          <w:tcPr>
            <w:tcW w:w="1894" w:type="dxa"/>
            <w:tcBorders>
              <w:top w:val="single" w:color="000000" w:sz="8" w:space="0"/>
              <w:left w:val="nil"/>
              <w:bottom w:val="single" w:color="000000" w:sz="8" w:space="0"/>
              <w:right w:val="single" w:color="000000" w:sz="8" w:space="0"/>
            </w:tcBorders>
            <w:noWrap/>
            <w:vAlign w:val="center"/>
          </w:tcPr>
          <w:p w14:paraId="678C095B">
            <w:pPr>
              <w:widowControl/>
              <w:jc w:val="center"/>
              <w:textAlignment w:val="center"/>
              <w:rPr>
                <w:rFonts w:ascii="宋体" w:hAnsi="宋体" w:cs="宋体"/>
                <w:color w:val="auto"/>
                <w:szCs w:val="21"/>
              </w:rPr>
            </w:pPr>
            <w:r>
              <w:rPr>
                <w:rFonts w:hint="eastAsia" w:ascii="宋体" w:hAnsi="宋体" w:cs="宋体"/>
                <w:color w:val="auto"/>
                <w:szCs w:val="21"/>
              </w:rPr>
              <w:t>台</w:t>
            </w:r>
          </w:p>
        </w:tc>
      </w:tr>
      <w:tr w14:paraId="1210463B">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74FAA06E">
            <w:pPr>
              <w:widowControl/>
              <w:jc w:val="center"/>
              <w:textAlignment w:val="center"/>
              <w:rPr>
                <w:rFonts w:ascii="宋体" w:hAnsi="宋体" w:cs="宋体"/>
                <w:color w:val="auto"/>
                <w:szCs w:val="21"/>
              </w:rPr>
            </w:pPr>
            <w:r>
              <w:rPr>
                <w:rFonts w:hint="eastAsia" w:ascii="宋体" w:hAnsi="宋体" w:cs="宋体"/>
                <w:color w:val="auto"/>
                <w:szCs w:val="21"/>
              </w:rPr>
              <w:t>7</w:t>
            </w:r>
          </w:p>
        </w:tc>
        <w:tc>
          <w:tcPr>
            <w:tcW w:w="3600" w:type="dxa"/>
            <w:tcBorders>
              <w:top w:val="single" w:color="000000" w:sz="8" w:space="0"/>
              <w:left w:val="nil"/>
              <w:bottom w:val="single" w:color="000000" w:sz="8" w:space="0"/>
              <w:right w:val="single" w:color="000000" w:sz="8" w:space="0"/>
            </w:tcBorders>
            <w:noWrap/>
            <w:vAlign w:val="center"/>
          </w:tcPr>
          <w:p w14:paraId="49C58E15">
            <w:pPr>
              <w:widowControl/>
              <w:jc w:val="center"/>
              <w:textAlignment w:val="center"/>
              <w:rPr>
                <w:rFonts w:ascii="宋体" w:hAnsi="宋体" w:cs="宋体"/>
                <w:color w:val="auto"/>
                <w:szCs w:val="21"/>
              </w:rPr>
            </w:pPr>
            <w:r>
              <w:rPr>
                <w:rFonts w:hint="eastAsia" w:ascii="宋体" w:hAnsi="宋体" w:cs="宋体"/>
                <w:color w:val="auto"/>
                <w:szCs w:val="21"/>
              </w:rPr>
              <w:t>图形工作站</w:t>
            </w:r>
          </w:p>
        </w:tc>
        <w:tc>
          <w:tcPr>
            <w:tcW w:w="1903" w:type="dxa"/>
            <w:tcBorders>
              <w:top w:val="single" w:color="000000" w:sz="8" w:space="0"/>
              <w:left w:val="nil"/>
              <w:bottom w:val="single" w:color="000000" w:sz="8" w:space="0"/>
              <w:right w:val="single" w:color="000000" w:sz="8" w:space="0"/>
            </w:tcBorders>
            <w:noWrap/>
            <w:vAlign w:val="center"/>
          </w:tcPr>
          <w:p w14:paraId="180CB9DC">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894" w:type="dxa"/>
            <w:tcBorders>
              <w:top w:val="single" w:color="000000" w:sz="8" w:space="0"/>
              <w:left w:val="nil"/>
              <w:bottom w:val="single" w:color="000000" w:sz="8" w:space="0"/>
              <w:right w:val="single" w:color="000000" w:sz="8" w:space="0"/>
            </w:tcBorders>
            <w:noWrap/>
            <w:vAlign w:val="center"/>
          </w:tcPr>
          <w:p w14:paraId="51675ADB">
            <w:pPr>
              <w:widowControl/>
              <w:jc w:val="center"/>
              <w:textAlignment w:val="center"/>
              <w:rPr>
                <w:rFonts w:ascii="宋体" w:hAnsi="宋体" w:cs="宋体"/>
                <w:color w:val="auto"/>
                <w:szCs w:val="21"/>
              </w:rPr>
            </w:pPr>
            <w:r>
              <w:rPr>
                <w:rFonts w:hint="eastAsia" w:ascii="宋体" w:hAnsi="宋体" w:cs="宋体"/>
                <w:color w:val="auto"/>
                <w:szCs w:val="21"/>
              </w:rPr>
              <w:t>套</w:t>
            </w:r>
          </w:p>
        </w:tc>
      </w:tr>
      <w:tr w14:paraId="0F48BD03">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343B3A82">
            <w:pPr>
              <w:widowControl/>
              <w:jc w:val="center"/>
              <w:textAlignment w:val="center"/>
              <w:rPr>
                <w:rFonts w:ascii="宋体" w:hAnsi="宋体" w:cs="宋体"/>
                <w:color w:val="auto"/>
                <w:szCs w:val="21"/>
              </w:rPr>
            </w:pPr>
            <w:r>
              <w:rPr>
                <w:rFonts w:hint="eastAsia" w:ascii="宋体" w:hAnsi="宋体" w:cs="宋体"/>
                <w:color w:val="auto"/>
                <w:szCs w:val="21"/>
              </w:rPr>
              <w:t>8</w:t>
            </w:r>
          </w:p>
        </w:tc>
        <w:tc>
          <w:tcPr>
            <w:tcW w:w="3600" w:type="dxa"/>
            <w:tcBorders>
              <w:top w:val="single" w:color="000000" w:sz="8" w:space="0"/>
              <w:left w:val="nil"/>
              <w:bottom w:val="single" w:color="000000" w:sz="8" w:space="0"/>
              <w:right w:val="single" w:color="000000" w:sz="8" w:space="0"/>
            </w:tcBorders>
            <w:noWrap/>
            <w:vAlign w:val="center"/>
          </w:tcPr>
          <w:p w14:paraId="26E3A345">
            <w:pPr>
              <w:widowControl/>
              <w:jc w:val="center"/>
              <w:textAlignment w:val="center"/>
              <w:rPr>
                <w:rFonts w:ascii="宋体" w:hAnsi="宋体" w:cs="宋体"/>
                <w:color w:val="auto"/>
                <w:szCs w:val="21"/>
              </w:rPr>
            </w:pPr>
            <w:r>
              <w:rPr>
                <w:rFonts w:hint="eastAsia" w:ascii="宋体" w:hAnsi="宋体" w:cs="宋体"/>
                <w:color w:val="auto"/>
                <w:szCs w:val="21"/>
              </w:rPr>
              <w:t>显示器</w:t>
            </w:r>
          </w:p>
        </w:tc>
        <w:tc>
          <w:tcPr>
            <w:tcW w:w="1903" w:type="dxa"/>
            <w:tcBorders>
              <w:top w:val="single" w:color="000000" w:sz="8" w:space="0"/>
              <w:left w:val="nil"/>
              <w:bottom w:val="single" w:color="000000" w:sz="8" w:space="0"/>
              <w:right w:val="single" w:color="000000" w:sz="8" w:space="0"/>
            </w:tcBorders>
            <w:noWrap/>
            <w:vAlign w:val="center"/>
          </w:tcPr>
          <w:p w14:paraId="48BFB480">
            <w:pPr>
              <w:widowControl/>
              <w:jc w:val="center"/>
              <w:textAlignment w:val="center"/>
              <w:rPr>
                <w:rFonts w:ascii="宋体" w:hAnsi="宋体" w:cs="宋体"/>
                <w:color w:val="auto"/>
                <w:szCs w:val="21"/>
              </w:rPr>
            </w:pPr>
            <w:r>
              <w:rPr>
                <w:rFonts w:hint="eastAsia" w:ascii="宋体" w:hAnsi="宋体" w:cs="宋体"/>
                <w:color w:val="auto"/>
                <w:szCs w:val="21"/>
              </w:rPr>
              <w:t>3</w:t>
            </w:r>
          </w:p>
        </w:tc>
        <w:tc>
          <w:tcPr>
            <w:tcW w:w="1894" w:type="dxa"/>
            <w:tcBorders>
              <w:top w:val="single" w:color="000000" w:sz="8" w:space="0"/>
              <w:left w:val="nil"/>
              <w:bottom w:val="single" w:color="000000" w:sz="8" w:space="0"/>
              <w:right w:val="single" w:color="000000" w:sz="8" w:space="0"/>
            </w:tcBorders>
            <w:noWrap/>
            <w:vAlign w:val="center"/>
          </w:tcPr>
          <w:p w14:paraId="458494C2">
            <w:pPr>
              <w:widowControl/>
              <w:jc w:val="center"/>
              <w:textAlignment w:val="center"/>
              <w:rPr>
                <w:rFonts w:ascii="宋体" w:hAnsi="宋体" w:cs="宋体"/>
                <w:color w:val="auto"/>
                <w:szCs w:val="21"/>
              </w:rPr>
            </w:pPr>
            <w:r>
              <w:rPr>
                <w:rFonts w:hint="eastAsia" w:ascii="宋体" w:hAnsi="宋体" w:cs="宋体"/>
                <w:color w:val="auto"/>
                <w:szCs w:val="21"/>
              </w:rPr>
              <w:t>台</w:t>
            </w:r>
          </w:p>
        </w:tc>
      </w:tr>
      <w:tr w14:paraId="2AAA3892">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0D64D388">
            <w:pPr>
              <w:widowControl/>
              <w:jc w:val="center"/>
              <w:textAlignment w:val="center"/>
              <w:rPr>
                <w:rFonts w:ascii="宋体" w:hAnsi="宋体" w:cs="宋体"/>
                <w:color w:val="auto"/>
                <w:szCs w:val="21"/>
              </w:rPr>
            </w:pPr>
            <w:r>
              <w:rPr>
                <w:rFonts w:hint="eastAsia" w:ascii="宋体" w:hAnsi="宋体" w:cs="宋体"/>
                <w:color w:val="auto"/>
                <w:szCs w:val="21"/>
              </w:rPr>
              <w:t>9</w:t>
            </w:r>
          </w:p>
        </w:tc>
        <w:tc>
          <w:tcPr>
            <w:tcW w:w="3600" w:type="dxa"/>
            <w:tcBorders>
              <w:top w:val="single" w:color="000000" w:sz="8" w:space="0"/>
              <w:left w:val="nil"/>
              <w:bottom w:val="single" w:color="000000" w:sz="8" w:space="0"/>
              <w:right w:val="single" w:color="000000" w:sz="8" w:space="0"/>
            </w:tcBorders>
            <w:noWrap/>
            <w:vAlign w:val="center"/>
          </w:tcPr>
          <w:p w14:paraId="0BFA2E0C">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电梯无线网桥</w:t>
            </w:r>
          </w:p>
        </w:tc>
        <w:tc>
          <w:tcPr>
            <w:tcW w:w="1903" w:type="dxa"/>
            <w:tcBorders>
              <w:top w:val="single" w:color="000000" w:sz="8" w:space="0"/>
              <w:left w:val="nil"/>
              <w:bottom w:val="single" w:color="000000" w:sz="8" w:space="0"/>
              <w:right w:val="single" w:color="000000" w:sz="8" w:space="0"/>
            </w:tcBorders>
            <w:noWrap/>
            <w:vAlign w:val="center"/>
          </w:tcPr>
          <w:p w14:paraId="678EED7C">
            <w:pPr>
              <w:widowControl/>
              <w:jc w:val="center"/>
              <w:textAlignment w:val="center"/>
              <w:rPr>
                <w:rFonts w:ascii="宋体" w:hAnsi="宋体" w:cs="宋体"/>
                <w:color w:val="auto"/>
                <w:szCs w:val="21"/>
              </w:rPr>
            </w:pPr>
            <w:r>
              <w:rPr>
                <w:rFonts w:hint="eastAsia" w:ascii="宋体" w:hAnsi="宋体" w:cs="宋体"/>
                <w:color w:val="auto"/>
                <w:szCs w:val="21"/>
              </w:rPr>
              <w:t>15</w:t>
            </w:r>
          </w:p>
        </w:tc>
        <w:tc>
          <w:tcPr>
            <w:tcW w:w="1894" w:type="dxa"/>
            <w:tcBorders>
              <w:top w:val="single" w:color="000000" w:sz="8" w:space="0"/>
              <w:left w:val="nil"/>
              <w:bottom w:val="single" w:color="000000" w:sz="8" w:space="0"/>
              <w:right w:val="single" w:color="000000" w:sz="8" w:space="0"/>
            </w:tcBorders>
            <w:noWrap/>
            <w:vAlign w:val="center"/>
          </w:tcPr>
          <w:p w14:paraId="16322C51">
            <w:pPr>
              <w:widowControl/>
              <w:jc w:val="center"/>
              <w:textAlignment w:val="center"/>
              <w:rPr>
                <w:rFonts w:ascii="宋体" w:hAnsi="宋体" w:cs="宋体"/>
                <w:color w:val="auto"/>
                <w:szCs w:val="21"/>
              </w:rPr>
            </w:pPr>
            <w:r>
              <w:rPr>
                <w:rFonts w:hint="eastAsia" w:ascii="宋体" w:hAnsi="宋体" w:cs="宋体"/>
                <w:color w:val="auto"/>
                <w:szCs w:val="21"/>
              </w:rPr>
              <w:t>对</w:t>
            </w:r>
          </w:p>
        </w:tc>
      </w:tr>
      <w:tr w14:paraId="6B188121">
        <w:tblPrEx>
          <w:tblCellMar>
            <w:top w:w="0" w:type="dxa"/>
            <w:left w:w="108" w:type="dxa"/>
            <w:bottom w:w="0" w:type="dxa"/>
            <w:right w:w="108" w:type="dxa"/>
          </w:tblCellMar>
        </w:tblPrEx>
        <w:trPr>
          <w:trHeight w:val="326"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14F1E89A">
            <w:pPr>
              <w:widowControl/>
              <w:jc w:val="center"/>
              <w:textAlignment w:val="center"/>
              <w:rPr>
                <w:rFonts w:ascii="宋体" w:hAnsi="宋体" w:cs="宋体"/>
                <w:color w:val="auto"/>
                <w:szCs w:val="21"/>
              </w:rPr>
            </w:pPr>
            <w:r>
              <w:rPr>
                <w:rFonts w:hint="eastAsia" w:ascii="宋体" w:hAnsi="宋体" w:cs="宋体"/>
                <w:color w:val="auto"/>
                <w:szCs w:val="21"/>
              </w:rPr>
              <w:t>10</w:t>
            </w:r>
          </w:p>
        </w:tc>
        <w:tc>
          <w:tcPr>
            <w:tcW w:w="3600" w:type="dxa"/>
            <w:tcBorders>
              <w:top w:val="single" w:color="000000" w:sz="8" w:space="0"/>
              <w:left w:val="nil"/>
              <w:bottom w:val="single" w:color="000000" w:sz="8" w:space="0"/>
              <w:right w:val="single" w:color="000000" w:sz="8" w:space="0"/>
            </w:tcBorders>
            <w:noWrap/>
            <w:vAlign w:val="center"/>
          </w:tcPr>
          <w:p w14:paraId="3933471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千兆光模块</w:t>
            </w:r>
          </w:p>
        </w:tc>
        <w:tc>
          <w:tcPr>
            <w:tcW w:w="1903" w:type="dxa"/>
            <w:tcBorders>
              <w:top w:val="single" w:color="000000" w:sz="8" w:space="0"/>
              <w:left w:val="nil"/>
              <w:bottom w:val="single" w:color="000000" w:sz="8" w:space="0"/>
              <w:right w:val="single" w:color="000000" w:sz="8" w:space="0"/>
            </w:tcBorders>
            <w:noWrap/>
            <w:vAlign w:val="center"/>
          </w:tcPr>
          <w:p w14:paraId="2DEF6872">
            <w:pPr>
              <w:widowControl/>
              <w:jc w:val="center"/>
              <w:textAlignment w:val="center"/>
              <w:rPr>
                <w:rFonts w:ascii="宋体" w:hAnsi="宋体" w:cs="宋体"/>
                <w:color w:val="auto"/>
                <w:szCs w:val="21"/>
              </w:rPr>
            </w:pPr>
            <w:r>
              <w:rPr>
                <w:rFonts w:hint="eastAsia" w:ascii="宋体" w:hAnsi="宋体" w:cs="宋体"/>
                <w:color w:val="auto"/>
                <w:szCs w:val="21"/>
              </w:rPr>
              <w:t>50</w:t>
            </w:r>
          </w:p>
        </w:tc>
        <w:tc>
          <w:tcPr>
            <w:tcW w:w="1894" w:type="dxa"/>
            <w:tcBorders>
              <w:top w:val="single" w:color="000000" w:sz="8" w:space="0"/>
              <w:left w:val="nil"/>
              <w:bottom w:val="single" w:color="000000" w:sz="8" w:space="0"/>
              <w:right w:val="single" w:color="000000" w:sz="8" w:space="0"/>
            </w:tcBorders>
            <w:noWrap/>
            <w:vAlign w:val="center"/>
          </w:tcPr>
          <w:p w14:paraId="4C005958">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01137B3D">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6E03943A">
            <w:pPr>
              <w:widowControl/>
              <w:jc w:val="center"/>
              <w:textAlignment w:val="center"/>
              <w:rPr>
                <w:rFonts w:ascii="宋体" w:hAnsi="宋体" w:cs="宋体"/>
                <w:color w:val="auto"/>
                <w:szCs w:val="21"/>
              </w:rPr>
            </w:pPr>
            <w:r>
              <w:rPr>
                <w:rFonts w:hint="eastAsia" w:ascii="宋体" w:hAnsi="宋体" w:cs="宋体"/>
                <w:color w:val="auto"/>
                <w:szCs w:val="21"/>
              </w:rPr>
              <w:t>11</w:t>
            </w:r>
          </w:p>
        </w:tc>
        <w:tc>
          <w:tcPr>
            <w:tcW w:w="3600" w:type="dxa"/>
            <w:tcBorders>
              <w:top w:val="single" w:color="000000" w:sz="8" w:space="0"/>
              <w:left w:val="nil"/>
              <w:bottom w:val="single" w:color="000000" w:sz="8" w:space="0"/>
              <w:right w:val="single" w:color="000000" w:sz="8" w:space="0"/>
            </w:tcBorders>
            <w:noWrap/>
            <w:vAlign w:val="center"/>
          </w:tcPr>
          <w:p w14:paraId="182D56DC">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万兆光模块</w:t>
            </w:r>
          </w:p>
        </w:tc>
        <w:tc>
          <w:tcPr>
            <w:tcW w:w="1903" w:type="dxa"/>
            <w:tcBorders>
              <w:top w:val="single" w:color="000000" w:sz="8" w:space="0"/>
              <w:left w:val="nil"/>
              <w:bottom w:val="single" w:color="000000" w:sz="8" w:space="0"/>
              <w:right w:val="single" w:color="000000" w:sz="8" w:space="0"/>
            </w:tcBorders>
            <w:noWrap/>
            <w:vAlign w:val="center"/>
          </w:tcPr>
          <w:p w14:paraId="600108DC">
            <w:pPr>
              <w:widowControl/>
              <w:jc w:val="center"/>
              <w:textAlignment w:val="center"/>
              <w:rPr>
                <w:rFonts w:ascii="宋体" w:hAnsi="宋体" w:cs="宋体"/>
                <w:color w:val="auto"/>
                <w:szCs w:val="21"/>
              </w:rPr>
            </w:pPr>
            <w:r>
              <w:rPr>
                <w:rFonts w:hint="eastAsia" w:ascii="宋体" w:hAnsi="宋体" w:cs="宋体"/>
                <w:color w:val="auto"/>
                <w:szCs w:val="21"/>
              </w:rPr>
              <w:t>4</w:t>
            </w:r>
          </w:p>
        </w:tc>
        <w:tc>
          <w:tcPr>
            <w:tcW w:w="1894" w:type="dxa"/>
            <w:tcBorders>
              <w:top w:val="single" w:color="000000" w:sz="8" w:space="0"/>
              <w:left w:val="nil"/>
              <w:bottom w:val="single" w:color="000000" w:sz="8" w:space="0"/>
              <w:right w:val="single" w:color="000000" w:sz="8" w:space="0"/>
            </w:tcBorders>
            <w:noWrap/>
            <w:vAlign w:val="center"/>
          </w:tcPr>
          <w:p w14:paraId="6AA07378">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677A1792">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5229AD0D">
            <w:pPr>
              <w:widowControl/>
              <w:jc w:val="center"/>
              <w:textAlignment w:val="center"/>
              <w:rPr>
                <w:rFonts w:ascii="宋体" w:hAnsi="宋体" w:cs="宋体"/>
                <w:color w:val="auto"/>
                <w:szCs w:val="21"/>
              </w:rPr>
            </w:pPr>
            <w:r>
              <w:rPr>
                <w:rFonts w:hint="eastAsia" w:ascii="宋体" w:hAnsi="宋体" w:cs="宋体"/>
                <w:color w:val="auto"/>
                <w:szCs w:val="21"/>
              </w:rPr>
              <w:t>12</w:t>
            </w:r>
          </w:p>
        </w:tc>
        <w:tc>
          <w:tcPr>
            <w:tcW w:w="3600" w:type="dxa"/>
            <w:tcBorders>
              <w:top w:val="single" w:color="000000" w:sz="8" w:space="0"/>
              <w:left w:val="nil"/>
              <w:bottom w:val="single" w:color="000000" w:sz="8" w:space="0"/>
              <w:right w:val="single" w:color="000000" w:sz="8" w:space="0"/>
            </w:tcBorders>
            <w:noWrap/>
            <w:vAlign w:val="center"/>
          </w:tcPr>
          <w:p w14:paraId="6A3F055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24芯单模层绞式铠装光缆</w:t>
            </w:r>
          </w:p>
        </w:tc>
        <w:tc>
          <w:tcPr>
            <w:tcW w:w="1903" w:type="dxa"/>
            <w:tcBorders>
              <w:top w:val="single" w:color="000000" w:sz="8" w:space="0"/>
              <w:left w:val="nil"/>
              <w:bottom w:val="single" w:color="000000" w:sz="8" w:space="0"/>
              <w:right w:val="single" w:color="000000" w:sz="8" w:space="0"/>
            </w:tcBorders>
            <w:noWrap/>
            <w:vAlign w:val="center"/>
          </w:tcPr>
          <w:p w14:paraId="035D3F33">
            <w:pPr>
              <w:widowControl/>
              <w:jc w:val="center"/>
              <w:textAlignment w:val="center"/>
              <w:rPr>
                <w:rFonts w:ascii="宋体" w:hAnsi="宋体" w:cs="宋体"/>
                <w:color w:val="auto"/>
                <w:szCs w:val="21"/>
              </w:rPr>
            </w:pPr>
            <w:r>
              <w:rPr>
                <w:rFonts w:hint="eastAsia" w:ascii="宋体" w:hAnsi="宋体" w:cs="宋体"/>
                <w:color w:val="auto"/>
                <w:szCs w:val="21"/>
              </w:rPr>
              <w:t>1000</w:t>
            </w:r>
          </w:p>
        </w:tc>
        <w:tc>
          <w:tcPr>
            <w:tcW w:w="1894" w:type="dxa"/>
            <w:tcBorders>
              <w:top w:val="single" w:color="000000" w:sz="8" w:space="0"/>
              <w:left w:val="nil"/>
              <w:bottom w:val="single" w:color="000000" w:sz="8" w:space="0"/>
              <w:right w:val="single" w:color="000000" w:sz="8" w:space="0"/>
            </w:tcBorders>
            <w:noWrap/>
            <w:vAlign w:val="center"/>
          </w:tcPr>
          <w:p w14:paraId="4D04914E">
            <w:pPr>
              <w:widowControl/>
              <w:jc w:val="center"/>
              <w:textAlignment w:val="center"/>
              <w:rPr>
                <w:rFonts w:ascii="宋体" w:hAnsi="宋体" w:cs="宋体"/>
                <w:color w:val="auto"/>
                <w:szCs w:val="21"/>
              </w:rPr>
            </w:pPr>
            <w:r>
              <w:rPr>
                <w:rFonts w:hint="eastAsia" w:ascii="宋体" w:hAnsi="宋体" w:cs="宋体"/>
                <w:color w:val="auto"/>
                <w:szCs w:val="21"/>
              </w:rPr>
              <w:t>米</w:t>
            </w:r>
          </w:p>
        </w:tc>
      </w:tr>
      <w:tr w14:paraId="14D8ADDC">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0BBECFA7">
            <w:pPr>
              <w:widowControl/>
              <w:jc w:val="center"/>
              <w:textAlignment w:val="center"/>
              <w:rPr>
                <w:rFonts w:ascii="宋体" w:hAnsi="宋体" w:cs="宋体"/>
                <w:color w:val="auto"/>
                <w:szCs w:val="21"/>
              </w:rPr>
            </w:pPr>
            <w:r>
              <w:rPr>
                <w:rFonts w:hint="eastAsia" w:ascii="宋体" w:hAnsi="宋体" w:cs="宋体"/>
                <w:color w:val="auto"/>
                <w:szCs w:val="21"/>
              </w:rPr>
              <w:t>13</w:t>
            </w:r>
          </w:p>
        </w:tc>
        <w:tc>
          <w:tcPr>
            <w:tcW w:w="3600" w:type="dxa"/>
            <w:tcBorders>
              <w:top w:val="single" w:color="000000" w:sz="8" w:space="0"/>
              <w:left w:val="nil"/>
              <w:bottom w:val="single" w:color="000000" w:sz="8" w:space="0"/>
              <w:right w:val="single" w:color="000000" w:sz="8" w:space="0"/>
            </w:tcBorders>
            <w:noWrap/>
            <w:vAlign w:val="center"/>
          </w:tcPr>
          <w:p w14:paraId="0717D22C">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12芯单模层绞式铠装光缆</w:t>
            </w:r>
          </w:p>
        </w:tc>
        <w:tc>
          <w:tcPr>
            <w:tcW w:w="1903" w:type="dxa"/>
            <w:tcBorders>
              <w:top w:val="single" w:color="000000" w:sz="8" w:space="0"/>
              <w:left w:val="nil"/>
              <w:bottom w:val="single" w:color="000000" w:sz="8" w:space="0"/>
              <w:right w:val="single" w:color="000000" w:sz="8" w:space="0"/>
            </w:tcBorders>
            <w:noWrap/>
            <w:vAlign w:val="center"/>
          </w:tcPr>
          <w:p w14:paraId="0F42D9D2">
            <w:pPr>
              <w:widowControl/>
              <w:jc w:val="center"/>
              <w:textAlignment w:val="center"/>
              <w:rPr>
                <w:rFonts w:ascii="宋体" w:hAnsi="宋体" w:cs="宋体"/>
                <w:color w:val="auto"/>
                <w:szCs w:val="21"/>
              </w:rPr>
            </w:pPr>
            <w:r>
              <w:rPr>
                <w:rFonts w:hint="eastAsia" w:ascii="宋体" w:hAnsi="宋体" w:cs="宋体"/>
                <w:color w:val="auto"/>
                <w:szCs w:val="21"/>
              </w:rPr>
              <w:t>1800</w:t>
            </w:r>
          </w:p>
        </w:tc>
        <w:tc>
          <w:tcPr>
            <w:tcW w:w="1894" w:type="dxa"/>
            <w:tcBorders>
              <w:top w:val="single" w:color="000000" w:sz="8" w:space="0"/>
              <w:left w:val="nil"/>
              <w:bottom w:val="single" w:color="000000" w:sz="8" w:space="0"/>
              <w:right w:val="single" w:color="000000" w:sz="8" w:space="0"/>
            </w:tcBorders>
            <w:noWrap/>
            <w:vAlign w:val="center"/>
          </w:tcPr>
          <w:p w14:paraId="40366F87">
            <w:pPr>
              <w:widowControl/>
              <w:jc w:val="center"/>
              <w:textAlignment w:val="center"/>
              <w:rPr>
                <w:rFonts w:ascii="宋体" w:hAnsi="宋体" w:cs="宋体"/>
                <w:color w:val="auto"/>
                <w:szCs w:val="21"/>
              </w:rPr>
            </w:pPr>
            <w:r>
              <w:rPr>
                <w:rFonts w:hint="eastAsia" w:ascii="宋体" w:hAnsi="宋体" w:cs="宋体"/>
                <w:color w:val="auto"/>
                <w:szCs w:val="21"/>
              </w:rPr>
              <w:t>米</w:t>
            </w:r>
          </w:p>
        </w:tc>
      </w:tr>
      <w:tr w14:paraId="35AAB2F8">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16CA630B">
            <w:pPr>
              <w:widowControl/>
              <w:jc w:val="center"/>
              <w:textAlignment w:val="center"/>
              <w:rPr>
                <w:rFonts w:ascii="宋体" w:hAnsi="宋体" w:cs="宋体"/>
                <w:color w:val="auto"/>
                <w:szCs w:val="21"/>
              </w:rPr>
            </w:pPr>
            <w:r>
              <w:rPr>
                <w:rFonts w:hint="eastAsia" w:ascii="宋体" w:hAnsi="宋体" w:cs="宋体"/>
                <w:color w:val="auto"/>
                <w:szCs w:val="21"/>
              </w:rPr>
              <w:t>14</w:t>
            </w:r>
          </w:p>
        </w:tc>
        <w:tc>
          <w:tcPr>
            <w:tcW w:w="3600" w:type="dxa"/>
            <w:tcBorders>
              <w:top w:val="single" w:color="000000" w:sz="8" w:space="0"/>
              <w:left w:val="nil"/>
              <w:bottom w:val="single" w:color="000000" w:sz="8" w:space="0"/>
              <w:right w:val="single" w:color="000000" w:sz="8" w:space="0"/>
            </w:tcBorders>
            <w:noWrap/>
            <w:vAlign w:val="center"/>
          </w:tcPr>
          <w:p w14:paraId="407A59FE">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4芯单模层绞式铠装光缆</w:t>
            </w:r>
          </w:p>
        </w:tc>
        <w:tc>
          <w:tcPr>
            <w:tcW w:w="1903" w:type="dxa"/>
            <w:tcBorders>
              <w:top w:val="single" w:color="000000" w:sz="8" w:space="0"/>
              <w:left w:val="nil"/>
              <w:bottom w:val="single" w:color="000000" w:sz="8" w:space="0"/>
              <w:right w:val="single" w:color="000000" w:sz="8" w:space="0"/>
            </w:tcBorders>
            <w:noWrap/>
            <w:vAlign w:val="center"/>
          </w:tcPr>
          <w:p w14:paraId="73361BB9">
            <w:pPr>
              <w:widowControl/>
              <w:jc w:val="center"/>
              <w:textAlignment w:val="center"/>
              <w:rPr>
                <w:rFonts w:ascii="宋体" w:hAnsi="宋体" w:cs="宋体"/>
                <w:color w:val="auto"/>
                <w:szCs w:val="21"/>
              </w:rPr>
            </w:pPr>
            <w:r>
              <w:rPr>
                <w:rFonts w:hint="eastAsia" w:ascii="宋体" w:hAnsi="宋体" w:cs="宋体"/>
                <w:color w:val="auto"/>
                <w:szCs w:val="21"/>
              </w:rPr>
              <w:t>800</w:t>
            </w:r>
          </w:p>
        </w:tc>
        <w:tc>
          <w:tcPr>
            <w:tcW w:w="1894" w:type="dxa"/>
            <w:tcBorders>
              <w:top w:val="single" w:color="000000" w:sz="8" w:space="0"/>
              <w:left w:val="nil"/>
              <w:bottom w:val="single" w:color="000000" w:sz="8" w:space="0"/>
              <w:right w:val="single" w:color="000000" w:sz="8" w:space="0"/>
            </w:tcBorders>
            <w:noWrap/>
            <w:vAlign w:val="center"/>
          </w:tcPr>
          <w:p w14:paraId="246611D5">
            <w:pPr>
              <w:widowControl/>
              <w:jc w:val="center"/>
              <w:textAlignment w:val="center"/>
              <w:rPr>
                <w:rFonts w:ascii="宋体" w:hAnsi="宋体" w:cs="宋体"/>
                <w:color w:val="auto"/>
                <w:szCs w:val="21"/>
              </w:rPr>
            </w:pPr>
            <w:r>
              <w:rPr>
                <w:rFonts w:hint="eastAsia" w:ascii="宋体" w:hAnsi="宋体" w:cs="宋体"/>
                <w:color w:val="auto"/>
                <w:szCs w:val="21"/>
              </w:rPr>
              <w:t>米</w:t>
            </w:r>
          </w:p>
        </w:tc>
      </w:tr>
      <w:tr w14:paraId="06CE0524">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1A2A68BF">
            <w:pPr>
              <w:widowControl/>
              <w:jc w:val="center"/>
              <w:textAlignment w:val="center"/>
              <w:rPr>
                <w:rFonts w:ascii="宋体" w:hAnsi="宋体" w:cs="宋体"/>
                <w:color w:val="auto"/>
                <w:szCs w:val="21"/>
              </w:rPr>
            </w:pPr>
            <w:r>
              <w:rPr>
                <w:rFonts w:hint="eastAsia" w:ascii="宋体" w:hAnsi="宋体" w:cs="宋体"/>
                <w:color w:val="auto"/>
                <w:szCs w:val="21"/>
              </w:rPr>
              <w:t>15</w:t>
            </w:r>
          </w:p>
        </w:tc>
        <w:tc>
          <w:tcPr>
            <w:tcW w:w="3600" w:type="dxa"/>
            <w:tcBorders>
              <w:top w:val="single" w:color="000000" w:sz="8" w:space="0"/>
              <w:left w:val="nil"/>
              <w:bottom w:val="single" w:color="000000" w:sz="8" w:space="0"/>
              <w:right w:val="single" w:color="000000" w:sz="8" w:space="0"/>
            </w:tcBorders>
            <w:noWrap/>
            <w:vAlign w:val="center"/>
          </w:tcPr>
          <w:p w14:paraId="37C6FC04">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光纤配线架</w:t>
            </w:r>
          </w:p>
        </w:tc>
        <w:tc>
          <w:tcPr>
            <w:tcW w:w="1903" w:type="dxa"/>
            <w:tcBorders>
              <w:top w:val="single" w:color="000000" w:sz="8" w:space="0"/>
              <w:left w:val="nil"/>
              <w:bottom w:val="single" w:color="000000" w:sz="8" w:space="0"/>
              <w:right w:val="single" w:color="000000" w:sz="8" w:space="0"/>
            </w:tcBorders>
            <w:noWrap/>
            <w:vAlign w:val="center"/>
          </w:tcPr>
          <w:p w14:paraId="67F77C15">
            <w:pPr>
              <w:widowControl/>
              <w:jc w:val="center"/>
              <w:textAlignment w:val="center"/>
              <w:rPr>
                <w:rFonts w:ascii="宋体" w:hAnsi="宋体" w:cs="宋体"/>
                <w:color w:val="auto"/>
                <w:szCs w:val="21"/>
              </w:rPr>
            </w:pPr>
            <w:r>
              <w:rPr>
                <w:rFonts w:hint="eastAsia" w:ascii="宋体" w:hAnsi="宋体" w:cs="宋体"/>
                <w:color w:val="auto"/>
                <w:szCs w:val="21"/>
              </w:rPr>
              <w:t>13</w:t>
            </w:r>
          </w:p>
        </w:tc>
        <w:tc>
          <w:tcPr>
            <w:tcW w:w="1894" w:type="dxa"/>
            <w:tcBorders>
              <w:top w:val="single" w:color="000000" w:sz="8" w:space="0"/>
              <w:left w:val="nil"/>
              <w:bottom w:val="single" w:color="000000" w:sz="8" w:space="0"/>
              <w:right w:val="single" w:color="000000" w:sz="8" w:space="0"/>
            </w:tcBorders>
            <w:noWrap/>
            <w:vAlign w:val="center"/>
          </w:tcPr>
          <w:p w14:paraId="20C2CE8F">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688981E7">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3D119E8A">
            <w:pPr>
              <w:widowControl/>
              <w:jc w:val="center"/>
              <w:textAlignment w:val="center"/>
              <w:rPr>
                <w:rFonts w:ascii="宋体" w:hAnsi="宋体" w:cs="宋体"/>
                <w:color w:val="auto"/>
                <w:szCs w:val="21"/>
              </w:rPr>
            </w:pPr>
            <w:r>
              <w:rPr>
                <w:rFonts w:hint="eastAsia" w:ascii="宋体" w:hAnsi="宋体" w:cs="宋体"/>
                <w:color w:val="auto"/>
                <w:szCs w:val="21"/>
              </w:rPr>
              <w:t>16</w:t>
            </w:r>
          </w:p>
        </w:tc>
        <w:tc>
          <w:tcPr>
            <w:tcW w:w="3600" w:type="dxa"/>
            <w:tcBorders>
              <w:top w:val="single" w:color="000000" w:sz="8" w:space="0"/>
              <w:left w:val="nil"/>
              <w:bottom w:val="single" w:color="000000" w:sz="8" w:space="0"/>
              <w:right w:val="single" w:color="000000" w:sz="8" w:space="0"/>
            </w:tcBorders>
            <w:noWrap/>
            <w:vAlign w:val="center"/>
          </w:tcPr>
          <w:p w14:paraId="335A5D47">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熔纤盒</w:t>
            </w:r>
          </w:p>
        </w:tc>
        <w:tc>
          <w:tcPr>
            <w:tcW w:w="1903" w:type="dxa"/>
            <w:tcBorders>
              <w:top w:val="single" w:color="000000" w:sz="8" w:space="0"/>
              <w:left w:val="nil"/>
              <w:bottom w:val="single" w:color="000000" w:sz="8" w:space="0"/>
              <w:right w:val="single" w:color="000000" w:sz="8" w:space="0"/>
            </w:tcBorders>
            <w:noWrap/>
            <w:vAlign w:val="center"/>
          </w:tcPr>
          <w:p w14:paraId="2D2C238A">
            <w:pPr>
              <w:widowControl/>
              <w:jc w:val="center"/>
              <w:textAlignment w:val="center"/>
              <w:rPr>
                <w:rFonts w:ascii="宋体" w:hAnsi="宋体" w:cs="宋体"/>
                <w:color w:val="auto"/>
                <w:szCs w:val="21"/>
              </w:rPr>
            </w:pPr>
            <w:r>
              <w:rPr>
                <w:rFonts w:hint="eastAsia" w:ascii="宋体" w:hAnsi="宋体" w:cs="宋体"/>
                <w:color w:val="auto"/>
                <w:szCs w:val="21"/>
              </w:rPr>
              <w:t>6</w:t>
            </w:r>
          </w:p>
        </w:tc>
        <w:tc>
          <w:tcPr>
            <w:tcW w:w="1894" w:type="dxa"/>
            <w:tcBorders>
              <w:top w:val="single" w:color="000000" w:sz="8" w:space="0"/>
              <w:left w:val="nil"/>
              <w:bottom w:val="single" w:color="000000" w:sz="8" w:space="0"/>
              <w:right w:val="single" w:color="000000" w:sz="8" w:space="0"/>
            </w:tcBorders>
            <w:noWrap/>
            <w:vAlign w:val="center"/>
          </w:tcPr>
          <w:p w14:paraId="61326A56">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06B6F7F2">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772B0A25">
            <w:pPr>
              <w:widowControl/>
              <w:jc w:val="center"/>
              <w:textAlignment w:val="center"/>
              <w:rPr>
                <w:rFonts w:ascii="宋体" w:hAnsi="宋体" w:cs="宋体"/>
                <w:color w:val="auto"/>
                <w:szCs w:val="21"/>
              </w:rPr>
            </w:pPr>
            <w:r>
              <w:rPr>
                <w:rFonts w:hint="eastAsia" w:ascii="宋体" w:hAnsi="宋体" w:cs="宋体"/>
                <w:color w:val="auto"/>
                <w:szCs w:val="21"/>
              </w:rPr>
              <w:t>17</w:t>
            </w:r>
          </w:p>
        </w:tc>
        <w:tc>
          <w:tcPr>
            <w:tcW w:w="3600" w:type="dxa"/>
            <w:tcBorders>
              <w:top w:val="single" w:color="000000" w:sz="8" w:space="0"/>
              <w:left w:val="nil"/>
              <w:bottom w:val="single" w:color="000000" w:sz="8" w:space="0"/>
              <w:right w:val="single" w:color="000000" w:sz="8" w:space="0"/>
            </w:tcBorders>
            <w:noWrap/>
            <w:vAlign w:val="center"/>
          </w:tcPr>
          <w:p w14:paraId="77FA85F0">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耦合器</w:t>
            </w:r>
          </w:p>
        </w:tc>
        <w:tc>
          <w:tcPr>
            <w:tcW w:w="1903" w:type="dxa"/>
            <w:tcBorders>
              <w:top w:val="single" w:color="000000" w:sz="8" w:space="0"/>
              <w:left w:val="nil"/>
              <w:bottom w:val="single" w:color="000000" w:sz="8" w:space="0"/>
              <w:right w:val="single" w:color="000000" w:sz="8" w:space="0"/>
            </w:tcBorders>
            <w:noWrap/>
            <w:vAlign w:val="center"/>
          </w:tcPr>
          <w:p w14:paraId="36689A5B">
            <w:pPr>
              <w:widowControl/>
              <w:jc w:val="center"/>
              <w:textAlignment w:val="center"/>
              <w:rPr>
                <w:rFonts w:ascii="宋体" w:hAnsi="宋体" w:cs="宋体"/>
                <w:color w:val="auto"/>
                <w:szCs w:val="21"/>
              </w:rPr>
            </w:pPr>
            <w:r>
              <w:rPr>
                <w:rFonts w:hint="eastAsia" w:ascii="宋体" w:hAnsi="宋体" w:cs="宋体"/>
                <w:color w:val="auto"/>
                <w:szCs w:val="21"/>
              </w:rPr>
              <w:t>110</w:t>
            </w:r>
          </w:p>
        </w:tc>
        <w:tc>
          <w:tcPr>
            <w:tcW w:w="1894" w:type="dxa"/>
            <w:tcBorders>
              <w:top w:val="single" w:color="000000" w:sz="8" w:space="0"/>
              <w:left w:val="nil"/>
              <w:bottom w:val="single" w:color="000000" w:sz="8" w:space="0"/>
              <w:right w:val="single" w:color="000000" w:sz="8" w:space="0"/>
            </w:tcBorders>
            <w:noWrap/>
            <w:vAlign w:val="center"/>
          </w:tcPr>
          <w:p w14:paraId="532CC403">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2CABD4B2">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6E85C48A">
            <w:pPr>
              <w:widowControl/>
              <w:jc w:val="center"/>
              <w:textAlignment w:val="center"/>
              <w:rPr>
                <w:rFonts w:ascii="宋体" w:hAnsi="宋体" w:cs="宋体"/>
                <w:color w:val="auto"/>
                <w:szCs w:val="21"/>
              </w:rPr>
            </w:pPr>
            <w:r>
              <w:rPr>
                <w:rFonts w:hint="eastAsia" w:ascii="宋体" w:hAnsi="宋体" w:cs="宋体"/>
                <w:color w:val="auto"/>
                <w:szCs w:val="21"/>
              </w:rPr>
              <w:t>18</w:t>
            </w:r>
          </w:p>
        </w:tc>
        <w:tc>
          <w:tcPr>
            <w:tcW w:w="3600" w:type="dxa"/>
            <w:tcBorders>
              <w:top w:val="single" w:color="000000" w:sz="8" w:space="0"/>
              <w:left w:val="nil"/>
              <w:bottom w:val="single" w:color="000000" w:sz="8" w:space="0"/>
              <w:right w:val="single" w:color="000000" w:sz="8" w:space="0"/>
            </w:tcBorders>
            <w:noWrap/>
            <w:vAlign w:val="center"/>
          </w:tcPr>
          <w:p w14:paraId="56B791F9">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尾纤</w:t>
            </w:r>
          </w:p>
        </w:tc>
        <w:tc>
          <w:tcPr>
            <w:tcW w:w="1903" w:type="dxa"/>
            <w:tcBorders>
              <w:top w:val="single" w:color="000000" w:sz="8" w:space="0"/>
              <w:left w:val="nil"/>
              <w:bottom w:val="single" w:color="000000" w:sz="8" w:space="0"/>
              <w:right w:val="single" w:color="000000" w:sz="8" w:space="0"/>
            </w:tcBorders>
            <w:noWrap/>
            <w:vAlign w:val="center"/>
          </w:tcPr>
          <w:p w14:paraId="0E1D4AA2">
            <w:pPr>
              <w:widowControl/>
              <w:jc w:val="center"/>
              <w:textAlignment w:val="center"/>
              <w:rPr>
                <w:rFonts w:ascii="宋体" w:hAnsi="宋体" w:cs="宋体"/>
                <w:color w:val="auto"/>
                <w:szCs w:val="21"/>
              </w:rPr>
            </w:pPr>
            <w:r>
              <w:rPr>
                <w:rFonts w:hint="eastAsia" w:ascii="宋体" w:hAnsi="宋体" w:cs="宋体"/>
                <w:color w:val="auto"/>
                <w:szCs w:val="21"/>
              </w:rPr>
              <w:t>204</w:t>
            </w:r>
          </w:p>
        </w:tc>
        <w:tc>
          <w:tcPr>
            <w:tcW w:w="1894" w:type="dxa"/>
            <w:tcBorders>
              <w:top w:val="single" w:color="000000" w:sz="8" w:space="0"/>
              <w:left w:val="nil"/>
              <w:bottom w:val="single" w:color="000000" w:sz="8" w:space="0"/>
              <w:right w:val="single" w:color="000000" w:sz="8" w:space="0"/>
            </w:tcBorders>
            <w:noWrap/>
            <w:vAlign w:val="center"/>
          </w:tcPr>
          <w:p w14:paraId="0FED30F0">
            <w:pPr>
              <w:widowControl/>
              <w:jc w:val="center"/>
              <w:textAlignment w:val="center"/>
              <w:rPr>
                <w:rFonts w:ascii="宋体" w:hAnsi="宋体" w:cs="宋体"/>
                <w:color w:val="auto"/>
                <w:szCs w:val="21"/>
              </w:rPr>
            </w:pPr>
            <w:r>
              <w:rPr>
                <w:rFonts w:hint="eastAsia" w:ascii="宋体" w:hAnsi="宋体" w:cs="宋体"/>
                <w:color w:val="auto"/>
                <w:szCs w:val="21"/>
              </w:rPr>
              <w:t>根</w:t>
            </w:r>
          </w:p>
        </w:tc>
      </w:tr>
      <w:tr w14:paraId="2F169F7B">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6E9CCD7B">
            <w:pPr>
              <w:widowControl/>
              <w:jc w:val="center"/>
              <w:textAlignment w:val="center"/>
              <w:rPr>
                <w:rFonts w:ascii="宋体" w:hAnsi="宋体" w:cs="宋体"/>
                <w:color w:val="auto"/>
                <w:szCs w:val="21"/>
              </w:rPr>
            </w:pPr>
            <w:r>
              <w:rPr>
                <w:rFonts w:hint="eastAsia" w:ascii="宋体" w:hAnsi="宋体" w:cs="宋体"/>
                <w:color w:val="auto"/>
                <w:szCs w:val="21"/>
              </w:rPr>
              <w:t>19</w:t>
            </w:r>
          </w:p>
        </w:tc>
        <w:tc>
          <w:tcPr>
            <w:tcW w:w="3600" w:type="dxa"/>
            <w:tcBorders>
              <w:top w:val="single" w:color="000000" w:sz="8" w:space="0"/>
              <w:left w:val="nil"/>
              <w:bottom w:val="single" w:color="000000" w:sz="8" w:space="0"/>
              <w:right w:val="single" w:color="000000" w:sz="8" w:space="0"/>
            </w:tcBorders>
            <w:noWrap/>
            <w:vAlign w:val="center"/>
          </w:tcPr>
          <w:p w14:paraId="644E5AA7">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LC光线跳线</w:t>
            </w:r>
          </w:p>
        </w:tc>
        <w:tc>
          <w:tcPr>
            <w:tcW w:w="1903" w:type="dxa"/>
            <w:tcBorders>
              <w:top w:val="single" w:color="000000" w:sz="8" w:space="0"/>
              <w:left w:val="nil"/>
              <w:bottom w:val="single" w:color="000000" w:sz="8" w:space="0"/>
              <w:right w:val="single" w:color="000000" w:sz="8" w:space="0"/>
            </w:tcBorders>
            <w:noWrap/>
            <w:vAlign w:val="center"/>
          </w:tcPr>
          <w:p w14:paraId="02ABF038">
            <w:pPr>
              <w:widowControl/>
              <w:jc w:val="center"/>
              <w:textAlignment w:val="center"/>
              <w:rPr>
                <w:rFonts w:ascii="宋体" w:hAnsi="宋体" w:cs="宋体"/>
                <w:color w:val="auto"/>
                <w:szCs w:val="21"/>
              </w:rPr>
            </w:pPr>
            <w:r>
              <w:rPr>
                <w:rFonts w:hint="eastAsia" w:ascii="宋体" w:hAnsi="宋体" w:cs="宋体"/>
                <w:color w:val="auto"/>
                <w:szCs w:val="21"/>
              </w:rPr>
              <w:t>102</w:t>
            </w:r>
          </w:p>
        </w:tc>
        <w:tc>
          <w:tcPr>
            <w:tcW w:w="1894" w:type="dxa"/>
            <w:tcBorders>
              <w:top w:val="single" w:color="000000" w:sz="8" w:space="0"/>
              <w:left w:val="nil"/>
              <w:bottom w:val="single" w:color="000000" w:sz="8" w:space="0"/>
              <w:right w:val="single" w:color="000000" w:sz="8" w:space="0"/>
            </w:tcBorders>
            <w:noWrap/>
            <w:vAlign w:val="center"/>
          </w:tcPr>
          <w:p w14:paraId="01D149B4">
            <w:pPr>
              <w:widowControl/>
              <w:jc w:val="center"/>
              <w:textAlignment w:val="center"/>
              <w:rPr>
                <w:rFonts w:ascii="宋体" w:hAnsi="宋体" w:cs="宋体"/>
                <w:color w:val="auto"/>
                <w:szCs w:val="21"/>
              </w:rPr>
            </w:pPr>
            <w:r>
              <w:rPr>
                <w:rFonts w:hint="eastAsia" w:ascii="宋体" w:hAnsi="宋体" w:cs="宋体"/>
                <w:color w:val="auto"/>
                <w:szCs w:val="21"/>
              </w:rPr>
              <w:t>条</w:t>
            </w:r>
          </w:p>
        </w:tc>
      </w:tr>
      <w:tr w14:paraId="435E764A">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4DF943C1">
            <w:pPr>
              <w:widowControl/>
              <w:jc w:val="center"/>
              <w:textAlignment w:val="center"/>
              <w:rPr>
                <w:rFonts w:ascii="宋体" w:hAnsi="宋体" w:cs="宋体"/>
                <w:color w:val="auto"/>
                <w:szCs w:val="21"/>
              </w:rPr>
            </w:pPr>
            <w:r>
              <w:rPr>
                <w:rFonts w:hint="eastAsia" w:ascii="宋体" w:hAnsi="宋体" w:cs="宋体"/>
                <w:color w:val="auto"/>
                <w:szCs w:val="21"/>
              </w:rPr>
              <w:t>20</w:t>
            </w:r>
          </w:p>
        </w:tc>
        <w:tc>
          <w:tcPr>
            <w:tcW w:w="3600" w:type="dxa"/>
            <w:tcBorders>
              <w:top w:val="single" w:color="000000" w:sz="8" w:space="0"/>
              <w:left w:val="nil"/>
              <w:bottom w:val="single" w:color="000000" w:sz="8" w:space="0"/>
              <w:right w:val="single" w:color="000000" w:sz="8" w:space="0"/>
            </w:tcBorders>
            <w:noWrap/>
            <w:vAlign w:val="center"/>
          </w:tcPr>
          <w:p w14:paraId="3A565670">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ODF配线架</w:t>
            </w:r>
          </w:p>
        </w:tc>
        <w:tc>
          <w:tcPr>
            <w:tcW w:w="1903" w:type="dxa"/>
            <w:tcBorders>
              <w:top w:val="single" w:color="000000" w:sz="8" w:space="0"/>
              <w:left w:val="nil"/>
              <w:bottom w:val="single" w:color="000000" w:sz="8" w:space="0"/>
              <w:right w:val="single" w:color="000000" w:sz="8" w:space="0"/>
            </w:tcBorders>
            <w:noWrap/>
            <w:vAlign w:val="center"/>
          </w:tcPr>
          <w:p w14:paraId="0FB50ACE">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894" w:type="dxa"/>
            <w:tcBorders>
              <w:top w:val="single" w:color="000000" w:sz="8" w:space="0"/>
              <w:left w:val="nil"/>
              <w:bottom w:val="single" w:color="000000" w:sz="8" w:space="0"/>
              <w:right w:val="single" w:color="000000" w:sz="8" w:space="0"/>
            </w:tcBorders>
            <w:noWrap/>
            <w:vAlign w:val="center"/>
          </w:tcPr>
          <w:p w14:paraId="7065EF9A">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3001AE23">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4169A96C">
            <w:pPr>
              <w:widowControl/>
              <w:jc w:val="center"/>
              <w:textAlignment w:val="center"/>
              <w:rPr>
                <w:rFonts w:ascii="宋体" w:hAnsi="宋体" w:cs="宋体"/>
                <w:color w:val="auto"/>
                <w:szCs w:val="21"/>
              </w:rPr>
            </w:pPr>
            <w:r>
              <w:rPr>
                <w:rFonts w:hint="eastAsia" w:ascii="宋体" w:hAnsi="宋体" w:cs="宋体"/>
                <w:color w:val="auto"/>
                <w:szCs w:val="21"/>
              </w:rPr>
              <w:t>21</w:t>
            </w:r>
          </w:p>
        </w:tc>
        <w:tc>
          <w:tcPr>
            <w:tcW w:w="3600" w:type="dxa"/>
            <w:tcBorders>
              <w:top w:val="single" w:color="000000" w:sz="8" w:space="0"/>
              <w:left w:val="nil"/>
              <w:bottom w:val="single" w:color="000000" w:sz="8" w:space="0"/>
              <w:right w:val="single" w:color="000000" w:sz="8" w:space="0"/>
            </w:tcBorders>
            <w:noWrap/>
            <w:vAlign w:val="center"/>
          </w:tcPr>
          <w:p w14:paraId="23CD185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网络机柜</w:t>
            </w:r>
          </w:p>
        </w:tc>
        <w:tc>
          <w:tcPr>
            <w:tcW w:w="1903" w:type="dxa"/>
            <w:tcBorders>
              <w:top w:val="single" w:color="000000" w:sz="8" w:space="0"/>
              <w:left w:val="nil"/>
              <w:bottom w:val="single" w:color="000000" w:sz="8" w:space="0"/>
              <w:right w:val="single" w:color="000000" w:sz="8" w:space="0"/>
            </w:tcBorders>
            <w:noWrap/>
            <w:vAlign w:val="center"/>
          </w:tcPr>
          <w:p w14:paraId="6DA4BD20">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894" w:type="dxa"/>
            <w:tcBorders>
              <w:top w:val="single" w:color="000000" w:sz="8" w:space="0"/>
              <w:left w:val="nil"/>
              <w:bottom w:val="single" w:color="000000" w:sz="8" w:space="0"/>
              <w:right w:val="single" w:color="000000" w:sz="8" w:space="0"/>
            </w:tcBorders>
            <w:noWrap/>
            <w:vAlign w:val="center"/>
          </w:tcPr>
          <w:p w14:paraId="58F9B47D">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625A74EE">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5B27BBB7">
            <w:pPr>
              <w:widowControl/>
              <w:jc w:val="center"/>
              <w:textAlignment w:val="center"/>
              <w:rPr>
                <w:rFonts w:ascii="宋体" w:hAnsi="宋体" w:cs="宋体"/>
                <w:color w:val="auto"/>
                <w:szCs w:val="21"/>
              </w:rPr>
            </w:pPr>
            <w:r>
              <w:rPr>
                <w:rFonts w:hint="eastAsia" w:ascii="宋体" w:hAnsi="宋体" w:cs="宋体"/>
                <w:color w:val="auto"/>
                <w:szCs w:val="21"/>
              </w:rPr>
              <w:t>22</w:t>
            </w:r>
          </w:p>
        </w:tc>
        <w:tc>
          <w:tcPr>
            <w:tcW w:w="3600" w:type="dxa"/>
            <w:tcBorders>
              <w:top w:val="single" w:color="000000" w:sz="8" w:space="0"/>
              <w:left w:val="nil"/>
              <w:bottom w:val="single" w:color="000000" w:sz="8" w:space="0"/>
              <w:right w:val="single" w:color="000000" w:sz="8" w:space="0"/>
            </w:tcBorders>
            <w:noWrap/>
            <w:vAlign w:val="center"/>
          </w:tcPr>
          <w:p w14:paraId="6F42C453">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网络机柜</w:t>
            </w:r>
          </w:p>
        </w:tc>
        <w:tc>
          <w:tcPr>
            <w:tcW w:w="1903" w:type="dxa"/>
            <w:tcBorders>
              <w:top w:val="single" w:color="000000" w:sz="8" w:space="0"/>
              <w:left w:val="nil"/>
              <w:bottom w:val="single" w:color="000000" w:sz="8" w:space="0"/>
              <w:right w:val="single" w:color="000000" w:sz="8" w:space="0"/>
            </w:tcBorders>
            <w:noWrap/>
            <w:vAlign w:val="center"/>
          </w:tcPr>
          <w:p w14:paraId="21367A00">
            <w:pPr>
              <w:widowControl/>
              <w:jc w:val="center"/>
              <w:textAlignment w:val="center"/>
              <w:rPr>
                <w:rFonts w:ascii="宋体" w:hAnsi="宋体" w:cs="宋体"/>
                <w:color w:val="auto"/>
                <w:szCs w:val="21"/>
              </w:rPr>
            </w:pPr>
            <w:r>
              <w:rPr>
                <w:rFonts w:hint="eastAsia" w:ascii="宋体" w:hAnsi="宋体" w:cs="宋体"/>
                <w:color w:val="auto"/>
                <w:szCs w:val="21"/>
              </w:rPr>
              <w:t>11</w:t>
            </w:r>
          </w:p>
        </w:tc>
        <w:tc>
          <w:tcPr>
            <w:tcW w:w="1894" w:type="dxa"/>
            <w:tcBorders>
              <w:top w:val="single" w:color="000000" w:sz="8" w:space="0"/>
              <w:left w:val="nil"/>
              <w:bottom w:val="single" w:color="000000" w:sz="8" w:space="0"/>
              <w:right w:val="single" w:color="000000" w:sz="8" w:space="0"/>
            </w:tcBorders>
            <w:noWrap/>
            <w:vAlign w:val="center"/>
          </w:tcPr>
          <w:p w14:paraId="6E235FBD">
            <w:pPr>
              <w:widowControl/>
              <w:jc w:val="center"/>
              <w:textAlignment w:val="center"/>
              <w:rPr>
                <w:rFonts w:ascii="宋体" w:hAnsi="宋体" w:cs="宋体"/>
                <w:color w:val="auto"/>
                <w:szCs w:val="21"/>
              </w:rPr>
            </w:pPr>
            <w:r>
              <w:rPr>
                <w:rFonts w:hint="eastAsia" w:ascii="宋体" w:hAnsi="宋体" w:cs="宋体"/>
                <w:color w:val="auto"/>
                <w:szCs w:val="21"/>
              </w:rPr>
              <w:t>个</w:t>
            </w:r>
          </w:p>
        </w:tc>
      </w:tr>
      <w:tr w14:paraId="0F9CDB19">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2B6B5159">
            <w:pPr>
              <w:widowControl/>
              <w:jc w:val="center"/>
              <w:textAlignment w:val="center"/>
              <w:rPr>
                <w:rFonts w:ascii="宋体" w:hAnsi="宋体" w:cs="宋体"/>
                <w:color w:val="auto"/>
                <w:szCs w:val="21"/>
              </w:rPr>
            </w:pPr>
            <w:r>
              <w:rPr>
                <w:rFonts w:hint="eastAsia" w:ascii="宋体" w:hAnsi="宋体" w:cs="宋体"/>
                <w:color w:val="auto"/>
                <w:szCs w:val="21"/>
              </w:rPr>
              <w:t>23</w:t>
            </w:r>
          </w:p>
        </w:tc>
        <w:tc>
          <w:tcPr>
            <w:tcW w:w="3600" w:type="dxa"/>
            <w:tcBorders>
              <w:top w:val="single" w:color="000000" w:sz="8" w:space="0"/>
              <w:left w:val="nil"/>
              <w:bottom w:val="single" w:color="000000" w:sz="8" w:space="0"/>
              <w:right w:val="single" w:color="000000" w:sz="8" w:space="0"/>
            </w:tcBorders>
            <w:noWrap/>
            <w:vAlign w:val="center"/>
          </w:tcPr>
          <w:p w14:paraId="69DA1AE4">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操作台</w:t>
            </w:r>
          </w:p>
        </w:tc>
        <w:tc>
          <w:tcPr>
            <w:tcW w:w="1903" w:type="dxa"/>
            <w:tcBorders>
              <w:top w:val="single" w:color="000000" w:sz="8" w:space="0"/>
              <w:left w:val="nil"/>
              <w:bottom w:val="single" w:color="000000" w:sz="8" w:space="0"/>
              <w:right w:val="single" w:color="000000" w:sz="8" w:space="0"/>
            </w:tcBorders>
            <w:noWrap/>
            <w:vAlign w:val="center"/>
          </w:tcPr>
          <w:p w14:paraId="0196F11F">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894" w:type="dxa"/>
            <w:tcBorders>
              <w:top w:val="single" w:color="000000" w:sz="8" w:space="0"/>
              <w:left w:val="nil"/>
              <w:bottom w:val="single" w:color="000000" w:sz="8" w:space="0"/>
              <w:right w:val="single" w:color="000000" w:sz="8" w:space="0"/>
            </w:tcBorders>
            <w:noWrap/>
            <w:vAlign w:val="center"/>
          </w:tcPr>
          <w:p w14:paraId="1B221D40">
            <w:pPr>
              <w:widowControl/>
              <w:jc w:val="center"/>
              <w:textAlignment w:val="center"/>
              <w:rPr>
                <w:rFonts w:ascii="宋体" w:hAnsi="宋体" w:cs="宋体"/>
                <w:color w:val="auto"/>
                <w:szCs w:val="21"/>
              </w:rPr>
            </w:pPr>
            <w:r>
              <w:rPr>
                <w:rFonts w:hint="eastAsia" w:ascii="宋体" w:hAnsi="宋体" w:cs="宋体"/>
                <w:color w:val="auto"/>
                <w:szCs w:val="21"/>
              </w:rPr>
              <w:t>张</w:t>
            </w:r>
          </w:p>
        </w:tc>
      </w:tr>
      <w:tr w14:paraId="56B727A9">
        <w:tblPrEx>
          <w:tblCellMar>
            <w:top w:w="0" w:type="dxa"/>
            <w:left w:w="108" w:type="dxa"/>
            <w:bottom w:w="0" w:type="dxa"/>
            <w:right w:w="108" w:type="dxa"/>
          </w:tblCellMar>
        </w:tblPrEx>
        <w:trPr>
          <w:trHeight w:val="363" w:hRule="atLeast"/>
          <w:jc w:val="center"/>
        </w:trPr>
        <w:tc>
          <w:tcPr>
            <w:tcW w:w="740" w:type="dxa"/>
            <w:tcBorders>
              <w:top w:val="single" w:color="000000" w:sz="8" w:space="0"/>
              <w:left w:val="single" w:color="000000" w:sz="8" w:space="0"/>
              <w:bottom w:val="single" w:color="000000" w:sz="8" w:space="0"/>
              <w:right w:val="single" w:color="000000" w:sz="8" w:space="0"/>
            </w:tcBorders>
            <w:noWrap/>
            <w:vAlign w:val="center"/>
          </w:tcPr>
          <w:p w14:paraId="65AF63EC">
            <w:pPr>
              <w:widowControl/>
              <w:jc w:val="center"/>
              <w:textAlignment w:val="center"/>
              <w:rPr>
                <w:rFonts w:ascii="宋体" w:hAnsi="宋体" w:cs="宋体"/>
                <w:color w:val="auto"/>
                <w:szCs w:val="21"/>
              </w:rPr>
            </w:pPr>
            <w:r>
              <w:rPr>
                <w:rFonts w:hint="eastAsia" w:ascii="宋体" w:hAnsi="宋体" w:cs="宋体"/>
                <w:color w:val="auto"/>
                <w:szCs w:val="21"/>
              </w:rPr>
              <w:t>24</w:t>
            </w:r>
          </w:p>
        </w:tc>
        <w:tc>
          <w:tcPr>
            <w:tcW w:w="3600" w:type="dxa"/>
            <w:tcBorders>
              <w:top w:val="single" w:color="000000" w:sz="8" w:space="0"/>
              <w:left w:val="nil"/>
              <w:bottom w:val="single" w:color="000000" w:sz="8" w:space="0"/>
              <w:right w:val="single" w:color="000000" w:sz="8" w:space="0"/>
            </w:tcBorders>
            <w:noWrap/>
            <w:vAlign w:val="center"/>
          </w:tcPr>
          <w:p w14:paraId="3FD2BB1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系统集成</w:t>
            </w:r>
          </w:p>
        </w:tc>
        <w:tc>
          <w:tcPr>
            <w:tcW w:w="1903" w:type="dxa"/>
            <w:tcBorders>
              <w:top w:val="single" w:color="000000" w:sz="8" w:space="0"/>
              <w:left w:val="nil"/>
              <w:bottom w:val="single" w:color="000000" w:sz="8" w:space="0"/>
              <w:right w:val="single" w:color="000000" w:sz="8" w:space="0"/>
            </w:tcBorders>
            <w:noWrap/>
            <w:vAlign w:val="center"/>
          </w:tcPr>
          <w:p w14:paraId="3CFF9785">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1894" w:type="dxa"/>
            <w:tcBorders>
              <w:top w:val="single" w:color="000000" w:sz="8" w:space="0"/>
              <w:left w:val="nil"/>
              <w:bottom w:val="single" w:color="000000" w:sz="8" w:space="0"/>
              <w:right w:val="single" w:color="000000" w:sz="8" w:space="0"/>
            </w:tcBorders>
            <w:noWrap/>
            <w:vAlign w:val="center"/>
          </w:tcPr>
          <w:p w14:paraId="63067FC1">
            <w:pPr>
              <w:widowControl/>
              <w:jc w:val="center"/>
              <w:textAlignment w:val="center"/>
              <w:rPr>
                <w:rFonts w:ascii="宋体" w:hAnsi="宋体" w:cs="宋体"/>
                <w:color w:val="auto"/>
                <w:szCs w:val="21"/>
              </w:rPr>
            </w:pPr>
            <w:r>
              <w:rPr>
                <w:rFonts w:hint="eastAsia" w:ascii="宋体" w:hAnsi="宋体" w:cs="宋体"/>
                <w:color w:val="auto"/>
                <w:szCs w:val="21"/>
              </w:rPr>
              <w:t>项</w:t>
            </w:r>
          </w:p>
        </w:tc>
      </w:tr>
    </w:tbl>
    <w:p w14:paraId="6E5C4C08">
      <w:pPr>
        <w:numPr>
          <w:ilvl w:val="0"/>
          <w:numId w:val="3"/>
        </w:numPr>
        <w:tabs>
          <w:tab w:val="left" w:pos="540"/>
          <w:tab w:val="left" w:pos="567"/>
        </w:tabs>
        <w:spacing w:line="440" w:lineRule="exact"/>
        <w:ind w:firstLine="482" w:firstLineChars="200"/>
        <w:jc w:val="left"/>
        <w:rPr>
          <w:rFonts w:ascii="宋体" w:hAnsi="宋体" w:cs="宋体"/>
          <w:b/>
          <w:color w:val="auto"/>
          <w:sz w:val="24"/>
        </w:rPr>
      </w:pPr>
      <w:r>
        <w:rPr>
          <w:rFonts w:hint="eastAsia" w:ascii="宋体" w:hAnsi="宋体" w:cs="宋体"/>
          <w:b/>
          <w:color w:val="auto"/>
          <w:sz w:val="24"/>
        </w:rPr>
        <w:t>技术参数要求</w:t>
      </w:r>
    </w:p>
    <w:p w14:paraId="5AAD56F1">
      <w:pPr>
        <w:numPr>
          <w:ilvl w:val="255"/>
          <w:numId w:val="0"/>
        </w:numPr>
        <w:tabs>
          <w:tab w:val="left" w:pos="540"/>
          <w:tab w:val="left" w:pos="567"/>
        </w:tabs>
        <w:spacing w:line="440" w:lineRule="exact"/>
        <w:ind w:firstLine="480" w:firstLineChars="200"/>
        <w:jc w:val="left"/>
        <w:rPr>
          <w:rFonts w:ascii="宋体" w:hAnsi="宋体" w:cs="宋体"/>
          <w:b/>
          <w:bCs/>
          <w:color w:val="auto"/>
          <w:sz w:val="24"/>
        </w:rPr>
      </w:pPr>
      <w:r>
        <w:rPr>
          <w:rFonts w:hint="eastAsia" w:ascii="宋体" w:hAnsi="宋体" w:cs="宋体"/>
          <w:color w:val="auto"/>
          <w:sz w:val="24"/>
        </w:rPr>
        <w:t>说明：本招标文件所列技术参数为最低技术要求，投标人可根据自身产品情况提供优于技术参数的产品，并在《技术部分正负偏离表》中如实填报。优于技术参数的部分不作为废标依据，但须在投标文件中提供相应证明材料。中标后，投标人应按投标文件承诺的技术参数供货履约。</w:t>
      </w:r>
    </w:p>
    <w:tbl>
      <w:tblPr>
        <w:tblStyle w:val="38"/>
        <w:tblW w:w="8171" w:type="dxa"/>
        <w:jc w:val="center"/>
        <w:tblLayout w:type="fixed"/>
        <w:tblCellMar>
          <w:top w:w="0" w:type="dxa"/>
          <w:left w:w="108" w:type="dxa"/>
          <w:bottom w:w="0" w:type="dxa"/>
          <w:right w:w="108" w:type="dxa"/>
        </w:tblCellMar>
      </w:tblPr>
      <w:tblGrid>
        <w:gridCol w:w="666"/>
        <w:gridCol w:w="1092"/>
        <w:gridCol w:w="6413"/>
      </w:tblGrid>
      <w:tr w14:paraId="57277167">
        <w:tblPrEx>
          <w:tblCellMar>
            <w:top w:w="0" w:type="dxa"/>
            <w:left w:w="108" w:type="dxa"/>
            <w:bottom w:w="0" w:type="dxa"/>
            <w:right w:w="108" w:type="dxa"/>
          </w:tblCellMar>
        </w:tblPrEx>
        <w:trPr>
          <w:trHeight w:val="300" w:hRule="atLeast"/>
          <w:jc w:val="center"/>
        </w:trPr>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14:paraId="74EE80EF">
            <w:pPr>
              <w:widowControl/>
              <w:spacing w:line="280" w:lineRule="exact"/>
              <w:jc w:val="center"/>
              <w:rPr>
                <w:rFonts w:ascii="宋体" w:hAnsi="宋体" w:cs="宋体"/>
                <w:b/>
                <w:bCs/>
                <w:color w:val="auto"/>
                <w:szCs w:val="21"/>
              </w:rPr>
            </w:pPr>
            <w:r>
              <w:rPr>
                <w:rFonts w:hint="eastAsia" w:ascii="宋体" w:hAnsi="宋体" w:cs="宋体"/>
                <w:b/>
                <w:bCs/>
                <w:color w:val="auto"/>
                <w:szCs w:val="21"/>
              </w:rPr>
              <w:t>序号</w:t>
            </w:r>
          </w:p>
        </w:tc>
        <w:tc>
          <w:tcPr>
            <w:tcW w:w="1092" w:type="dxa"/>
            <w:tcBorders>
              <w:top w:val="single" w:color="auto" w:sz="4" w:space="0"/>
              <w:left w:val="nil"/>
              <w:bottom w:val="single" w:color="auto" w:sz="4" w:space="0"/>
              <w:right w:val="single" w:color="auto" w:sz="4" w:space="0"/>
            </w:tcBorders>
            <w:shd w:val="clear" w:color="000000" w:fill="FFFFFF"/>
            <w:vAlign w:val="center"/>
          </w:tcPr>
          <w:p w14:paraId="2DDCA028">
            <w:pPr>
              <w:widowControl/>
              <w:spacing w:line="280" w:lineRule="exact"/>
              <w:jc w:val="center"/>
              <w:rPr>
                <w:rFonts w:ascii="宋体" w:hAnsi="宋体" w:cs="宋体"/>
                <w:b/>
                <w:bCs/>
                <w:color w:val="auto"/>
                <w:szCs w:val="21"/>
              </w:rPr>
            </w:pPr>
            <w:r>
              <w:rPr>
                <w:rFonts w:hint="eastAsia" w:ascii="宋体" w:hAnsi="宋体" w:cs="宋体"/>
                <w:b/>
                <w:bCs/>
                <w:color w:val="auto"/>
                <w:szCs w:val="21"/>
              </w:rPr>
              <w:t>产品名称</w:t>
            </w:r>
          </w:p>
        </w:tc>
        <w:tc>
          <w:tcPr>
            <w:tcW w:w="6413" w:type="dxa"/>
            <w:tcBorders>
              <w:top w:val="single" w:color="auto" w:sz="4" w:space="0"/>
              <w:left w:val="nil"/>
              <w:bottom w:val="single" w:color="auto" w:sz="4" w:space="0"/>
              <w:right w:val="single" w:color="auto" w:sz="4" w:space="0"/>
            </w:tcBorders>
            <w:vAlign w:val="center"/>
          </w:tcPr>
          <w:p w14:paraId="5005ED77">
            <w:pPr>
              <w:widowControl/>
              <w:spacing w:line="280" w:lineRule="exact"/>
              <w:jc w:val="center"/>
              <w:rPr>
                <w:rFonts w:ascii="宋体" w:hAnsi="宋体" w:cs="宋体"/>
                <w:b/>
                <w:bCs/>
                <w:color w:val="auto"/>
                <w:szCs w:val="21"/>
              </w:rPr>
            </w:pPr>
            <w:r>
              <w:rPr>
                <w:rFonts w:hint="eastAsia" w:ascii="宋体" w:hAnsi="宋体" w:cs="宋体"/>
                <w:b/>
                <w:bCs/>
                <w:color w:val="auto"/>
                <w:szCs w:val="21"/>
              </w:rPr>
              <w:t>技术参数</w:t>
            </w:r>
          </w:p>
        </w:tc>
      </w:tr>
      <w:tr w14:paraId="07654DBA">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D433880">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w:t>
            </w:r>
          </w:p>
        </w:tc>
        <w:tc>
          <w:tcPr>
            <w:tcW w:w="1092" w:type="dxa"/>
            <w:tcBorders>
              <w:top w:val="single" w:color="auto" w:sz="4" w:space="0"/>
              <w:left w:val="nil"/>
              <w:bottom w:val="single" w:color="auto" w:sz="4" w:space="0"/>
              <w:right w:val="single" w:color="auto" w:sz="4" w:space="0"/>
            </w:tcBorders>
            <w:vAlign w:val="center"/>
          </w:tcPr>
          <w:p w14:paraId="14EAE143">
            <w:pPr>
              <w:spacing w:line="280" w:lineRule="exact"/>
              <w:rPr>
                <w:rFonts w:ascii="宋体" w:hAnsi="宋体" w:cs="宋体"/>
                <w:color w:val="auto"/>
                <w:szCs w:val="21"/>
              </w:rPr>
            </w:pPr>
            <w:r>
              <w:rPr>
                <w:rFonts w:hint="eastAsia" w:ascii="宋体" w:hAnsi="宋体" w:cs="宋体"/>
                <w:color w:val="auto"/>
                <w:szCs w:val="21"/>
              </w:rPr>
              <w:t>4U 机架式网络存储设备</w:t>
            </w:r>
          </w:p>
        </w:tc>
        <w:tc>
          <w:tcPr>
            <w:tcW w:w="6413" w:type="dxa"/>
            <w:tcBorders>
              <w:top w:val="single" w:color="auto" w:sz="4" w:space="0"/>
              <w:left w:val="nil"/>
              <w:bottom w:val="single" w:color="auto" w:sz="4" w:space="0"/>
              <w:right w:val="single" w:color="auto" w:sz="4" w:space="0"/>
            </w:tcBorders>
            <w:vAlign w:val="center"/>
          </w:tcPr>
          <w:p w14:paraId="459F487D">
            <w:pPr>
              <w:spacing w:line="280" w:lineRule="exact"/>
              <w:rPr>
                <w:rFonts w:ascii="宋体" w:hAnsi="宋体" w:cs="宋体"/>
                <w:color w:val="auto"/>
                <w:szCs w:val="21"/>
              </w:rPr>
            </w:pPr>
            <w:r>
              <w:rPr>
                <w:rFonts w:hint="eastAsia" w:ascii="宋体" w:hAnsi="宋体" w:cs="宋体"/>
                <w:color w:val="auto"/>
                <w:szCs w:val="21"/>
              </w:rPr>
              <w:t>【硬件规格】</w:t>
            </w:r>
          </w:p>
          <w:p w14:paraId="4437F3BD">
            <w:pPr>
              <w:spacing w:line="280" w:lineRule="exact"/>
              <w:rPr>
                <w:rFonts w:ascii="宋体" w:hAnsi="宋体" w:cs="宋体"/>
                <w:color w:val="auto"/>
                <w:szCs w:val="21"/>
              </w:rPr>
            </w:pPr>
            <w:r>
              <w:rPr>
                <w:rFonts w:hint="eastAsia" w:ascii="宋体" w:hAnsi="宋体" w:cs="宋体"/>
                <w:color w:val="auto"/>
                <w:szCs w:val="21"/>
              </w:rPr>
              <w:t>处理器：1颗64位多核处理器</w:t>
            </w:r>
          </w:p>
          <w:p w14:paraId="7484F546">
            <w:pPr>
              <w:spacing w:line="280" w:lineRule="exact"/>
              <w:rPr>
                <w:rFonts w:ascii="宋体" w:hAnsi="宋体" w:cs="宋体"/>
                <w:color w:val="auto"/>
                <w:szCs w:val="21"/>
              </w:rPr>
            </w:pPr>
            <w:r>
              <w:rPr>
                <w:rFonts w:hint="eastAsia" w:ascii="宋体" w:hAnsi="宋体" w:cs="宋体"/>
                <w:color w:val="auto"/>
                <w:szCs w:val="21"/>
              </w:rPr>
              <w:t>系统内存：8GB</w:t>
            </w:r>
          </w:p>
          <w:p w14:paraId="1EC1077D">
            <w:pPr>
              <w:spacing w:line="280" w:lineRule="exact"/>
              <w:rPr>
                <w:rFonts w:ascii="宋体" w:hAnsi="宋体" w:cs="宋体"/>
                <w:color w:val="auto"/>
                <w:szCs w:val="21"/>
              </w:rPr>
            </w:pPr>
            <w:r>
              <w:rPr>
                <w:rFonts w:hint="eastAsia" w:ascii="宋体" w:hAnsi="宋体" w:cs="宋体"/>
                <w:color w:val="auto"/>
                <w:szCs w:val="21"/>
              </w:rPr>
              <w:t>系统盘：1×240GB SSD（后置）</w:t>
            </w:r>
          </w:p>
          <w:p w14:paraId="6B0B5292">
            <w:pPr>
              <w:spacing w:line="280" w:lineRule="exact"/>
              <w:rPr>
                <w:rFonts w:ascii="宋体" w:hAnsi="宋体" w:cs="宋体"/>
                <w:color w:val="auto"/>
                <w:szCs w:val="21"/>
              </w:rPr>
            </w:pPr>
            <w:r>
              <w:rPr>
                <w:rFonts w:hint="eastAsia" w:ascii="宋体" w:hAnsi="宋体" w:cs="宋体"/>
                <w:color w:val="auto"/>
                <w:szCs w:val="21"/>
              </w:rPr>
              <w:t>磁盘接口：SATA接口，支持硬盘热插拔，单台总容量900TB</w:t>
            </w:r>
          </w:p>
          <w:p w14:paraId="38472929">
            <w:pPr>
              <w:spacing w:line="280" w:lineRule="exact"/>
              <w:rPr>
                <w:rFonts w:ascii="宋体" w:hAnsi="宋体" w:cs="宋体"/>
                <w:color w:val="auto"/>
                <w:szCs w:val="21"/>
              </w:rPr>
            </w:pPr>
            <w:r>
              <w:rPr>
                <w:rFonts w:hint="eastAsia" w:ascii="宋体" w:hAnsi="宋体" w:cs="宋体"/>
                <w:color w:val="auto"/>
                <w:szCs w:val="21"/>
              </w:rPr>
              <w:t>网络接口：≥2个千兆数据网口，≥2个2.5G数据网口，1个千兆管理口。</w:t>
            </w:r>
          </w:p>
          <w:p w14:paraId="64CE6DB6">
            <w:pPr>
              <w:spacing w:line="280" w:lineRule="exact"/>
              <w:rPr>
                <w:rFonts w:ascii="宋体" w:hAnsi="宋体" w:cs="宋体"/>
                <w:color w:val="auto"/>
                <w:szCs w:val="21"/>
              </w:rPr>
            </w:pPr>
            <w:r>
              <w:rPr>
                <w:rFonts w:hint="eastAsia" w:ascii="宋体" w:hAnsi="宋体" w:cs="宋体"/>
                <w:color w:val="auto"/>
                <w:szCs w:val="21"/>
              </w:rPr>
              <w:t>其他接口：1×COM，2×USB2.0（前置），2×USB3.0（后置），1×VGA（后置），1×HDMI（后置）</w:t>
            </w:r>
          </w:p>
          <w:p w14:paraId="6D648C7E">
            <w:pPr>
              <w:spacing w:line="280" w:lineRule="exact"/>
              <w:rPr>
                <w:rFonts w:ascii="宋体" w:hAnsi="宋体" w:cs="宋体"/>
                <w:color w:val="auto"/>
                <w:szCs w:val="21"/>
              </w:rPr>
            </w:pPr>
            <w:r>
              <w:rPr>
                <w:rFonts w:hint="eastAsia" w:ascii="宋体" w:hAnsi="宋体" w:cs="宋体"/>
                <w:color w:val="auto"/>
                <w:szCs w:val="21"/>
              </w:rPr>
              <w:t>整机电源：800W，1+1冗余电源</w:t>
            </w:r>
          </w:p>
          <w:p w14:paraId="168C5125">
            <w:pPr>
              <w:spacing w:line="280" w:lineRule="exact"/>
              <w:rPr>
                <w:rFonts w:ascii="宋体" w:hAnsi="宋体" w:cs="宋体"/>
                <w:color w:val="auto"/>
                <w:szCs w:val="21"/>
              </w:rPr>
            </w:pPr>
            <w:r>
              <w:rPr>
                <w:rFonts w:hint="eastAsia" w:ascii="宋体" w:hAnsi="宋体" w:cs="宋体"/>
                <w:color w:val="auto"/>
                <w:szCs w:val="21"/>
              </w:rPr>
              <w:t>【产品性能】</w:t>
            </w:r>
          </w:p>
          <w:p w14:paraId="1FBA9BC1">
            <w:pPr>
              <w:spacing w:line="280" w:lineRule="exact"/>
              <w:rPr>
                <w:rFonts w:ascii="宋体" w:hAnsi="宋体" w:cs="宋体"/>
                <w:color w:val="auto"/>
                <w:szCs w:val="21"/>
              </w:rPr>
            </w:pPr>
            <w:r>
              <w:rPr>
                <w:rFonts w:hint="eastAsia" w:ascii="宋体" w:hAnsi="宋体" w:cs="宋体"/>
                <w:color w:val="auto"/>
                <w:szCs w:val="21"/>
              </w:rPr>
              <w:t>视频性能：最大接入路数550（网络输入带宽1100Mbps）</w:t>
            </w:r>
          </w:p>
          <w:p w14:paraId="4F221F1D">
            <w:pPr>
              <w:spacing w:line="280" w:lineRule="exact"/>
              <w:rPr>
                <w:rFonts w:ascii="宋体" w:hAnsi="宋体" w:cs="宋体"/>
                <w:color w:val="auto"/>
                <w:szCs w:val="21"/>
              </w:rPr>
            </w:pPr>
            <w:r>
              <w:rPr>
                <w:rFonts w:hint="eastAsia" w:ascii="宋体" w:hAnsi="宋体" w:cs="宋体"/>
                <w:color w:val="auto"/>
                <w:szCs w:val="21"/>
              </w:rPr>
              <w:t>回放性能：最大支持回放路数55路</w:t>
            </w:r>
          </w:p>
          <w:p w14:paraId="23F463BC">
            <w:pPr>
              <w:spacing w:line="280" w:lineRule="exact"/>
              <w:rPr>
                <w:rFonts w:ascii="宋体" w:hAnsi="宋体" w:cs="宋体"/>
                <w:color w:val="auto"/>
                <w:szCs w:val="21"/>
              </w:rPr>
            </w:pPr>
            <w:r>
              <w:rPr>
                <w:rFonts w:hint="eastAsia" w:ascii="宋体" w:hAnsi="宋体" w:cs="宋体"/>
                <w:color w:val="auto"/>
                <w:szCs w:val="21"/>
              </w:rPr>
              <w:t>【产品功能】</w:t>
            </w:r>
          </w:p>
          <w:p w14:paraId="7F519A1F">
            <w:pPr>
              <w:spacing w:line="280" w:lineRule="exact"/>
              <w:rPr>
                <w:rFonts w:ascii="宋体" w:hAnsi="宋体" w:cs="宋体"/>
                <w:color w:val="auto"/>
                <w:szCs w:val="21"/>
              </w:rPr>
            </w:pPr>
            <w:r>
              <w:rPr>
                <w:rFonts w:hint="eastAsia" w:ascii="宋体" w:hAnsi="宋体" w:cs="宋体"/>
                <w:color w:val="auto"/>
                <w:szCs w:val="21"/>
              </w:rPr>
              <w:t>支持视频流直存</w:t>
            </w:r>
          </w:p>
          <w:p w14:paraId="4F4C432B">
            <w:pPr>
              <w:spacing w:line="280" w:lineRule="exact"/>
              <w:rPr>
                <w:rFonts w:ascii="宋体" w:hAnsi="宋体" w:cs="宋体"/>
                <w:color w:val="auto"/>
                <w:szCs w:val="21"/>
              </w:rPr>
            </w:pPr>
            <w:r>
              <w:rPr>
                <w:rFonts w:hint="eastAsia" w:ascii="宋体" w:hAnsi="宋体" w:cs="宋体"/>
                <w:color w:val="auto"/>
                <w:szCs w:val="21"/>
              </w:rPr>
              <w:t>支持ONVIF、GB/T 28181、RTSP等标准协议</w:t>
            </w:r>
          </w:p>
          <w:p w14:paraId="1522A838">
            <w:pPr>
              <w:spacing w:line="280" w:lineRule="exact"/>
              <w:rPr>
                <w:rFonts w:ascii="宋体" w:hAnsi="宋体" w:cs="宋体"/>
                <w:color w:val="auto"/>
                <w:szCs w:val="21"/>
              </w:rPr>
            </w:pPr>
            <w:r>
              <w:rPr>
                <w:rFonts w:hint="eastAsia" w:ascii="宋体" w:hAnsi="宋体" w:cs="宋体"/>
                <w:color w:val="auto"/>
                <w:szCs w:val="21"/>
              </w:rPr>
              <w:t>支持VRAID2.0数据保护技术，实现空间和数据的精细化管理</w:t>
            </w:r>
          </w:p>
          <w:p w14:paraId="4FCC1D5D">
            <w:pPr>
              <w:spacing w:line="280" w:lineRule="exact"/>
              <w:rPr>
                <w:rFonts w:ascii="宋体" w:hAnsi="宋体" w:cs="宋体"/>
                <w:color w:val="auto"/>
                <w:szCs w:val="21"/>
              </w:rPr>
            </w:pPr>
            <w:r>
              <w:rPr>
                <w:rFonts w:hint="eastAsia" w:ascii="宋体" w:hAnsi="宋体" w:cs="宋体"/>
                <w:color w:val="auto"/>
                <w:szCs w:val="21"/>
              </w:rPr>
              <w:t>支持磁盘超容错处理，故障盘超过冗余限制，剩余硬盘数据可读，且新数据可正常写入</w:t>
            </w:r>
          </w:p>
          <w:p w14:paraId="0B8ED3CA">
            <w:pPr>
              <w:spacing w:line="280" w:lineRule="exact"/>
              <w:rPr>
                <w:rFonts w:ascii="宋体" w:hAnsi="宋体" w:cs="宋体"/>
                <w:color w:val="auto"/>
                <w:szCs w:val="21"/>
              </w:rPr>
            </w:pPr>
            <w:r>
              <w:rPr>
                <w:rFonts w:hint="eastAsia" w:ascii="宋体" w:hAnsi="宋体" w:cs="宋体"/>
                <w:color w:val="auto"/>
                <w:szCs w:val="21"/>
              </w:rPr>
              <w:t>支持定时录像、手动录像等多种录像方式</w:t>
            </w:r>
          </w:p>
          <w:p w14:paraId="5AFE9E49">
            <w:pPr>
              <w:spacing w:line="280" w:lineRule="exact"/>
              <w:rPr>
                <w:rFonts w:ascii="宋体" w:hAnsi="宋体" w:cs="宋体"/>
                <w:color w:val="auto"/>
                <w:szCs w:val="21"/>
              </w:rPr>
            </w:pPr>
            <w:r>
              <w:rPr>
                <w:rFonts w:hint="eastAsia" w:ascii="宋体" w:hAnsi="宋体" w:cs="宋体"/>
                <w:color w:val="auto"/>
                <w:szCs w:val="21"/>
              </w:rPr>
              <w:t>支持关键视频数据的加锁保护功能，防止循环覆盖</w:t>
            </w:r>
          </w:p>
          <w:p w14:paraId="0D4731EE">
            <w:pPr>
              <w:spacing w:line="280" w:lineRule="exact"/>
              <w:rPr>
                <w:rFonts w:ascii="宋体" w:hAnsi="宋体" w:cs="宋体"/>
                <w:color w:val="auto"/>
                <w:szCs w:val="21"/>
              </w:rPr>
            </w:pPr>
            <w:r>
              <w:rPr>
                <w:rFonts w:hint="eastAsia" w:ascii="宋体" w:hAnsi="宋体" w:cs="宋体"/>
                <w:color w:val="auto"/>
                <w:szCs w:val="21"/>
              </w:rPr>
              <w:t>支持多级运维管理，多渠道报警机制防止报警信息遗漏</w:t>
            </w:r>
          </w:p>
          <w:p w14:paraId="109F4B4A">
            <w:pPr>
              <w:spacing w:line="280" w:lineRule="exact"/>
              <w:rPr>
                <w:rFonts w:ascii="宋体" w:hAnsi="宋体" w:cs="宋体"/>
                <w:b/>
                <w:bCs/>
                <w:color w:val="auto"/>
                <w:szCs w:val="21"/>
              </w:rPr>
            </w:pPr>
            <w:r>
              <w:rPr>
                <w:rFonts w:hint="eastAsia" w:ascii="宋体" w:hAnsi="宋体" w:cs="宋体"/>
                <w:color w:val="auto"/>
                <w:szCs w:val="21"/>
              </w:rPr>
              <w:t>▲应能在RAID内丢失2块（含）以上硬盘但至少有1块正常磁盘时，无需等待丢失盘恢复，保留的硬盘中的数据可正常读出，且新数据可正常写入</w:t>
            </w:r>
            <w:r>
              <w:rPr>
                <w:rFonts w:hint="eastAsia" w:ascii="宋体" w:hAnsi="宋体" w:cs="宋体"/>
                <w:b/>
                <w:bCs/>
                <w:color w:val="auto"/>
                <w:szCs w:val="21"/>
              </w:rPr>
              <w:t>（须投标时提供公安部检测报告证明）</w:t>
            </w:r>
          </w:p>
          <w:p w14:paraId="634DF60E">
            <w:pPr>
              <w:spacing w:line="280" w:lineRule="exact"/>
              <w:rPr>
                <w:rFonts w:ascii="宋体" w:hAnsi="宋体" w:cs="宋体"/>
                <w:b/>
                <w:bCs/>
                <w:color w:val="auto"/>
                <w:szCs w:val="21"/>
              </w:rPr>
            </w:pPr>
            <w:r>
              <w:rPr>
                <w:rFonts w:hint="eastAsia" w:ascii="宋体" w:hAnsi="宋体" w:cs="宋体"/>
                <w:color w:val="auto"/>
                <w:szCs w:val="21"/>
              </w:rPr>
              <w:t>▲可对视图片、视频进行混合直存，无须存储服务器和图片服务器的参与，平台服务器宕机时，存储业务正常</w:t>
            </w:r>
            <w:r>
              <w:rPr>
                <w:rFonts w:hint="eastAsia" w:ascii="宋体" w:hAnsi="宋体" w:cs="宋体"/>
                <w:b/>
                <w:bCs/>
                <w:color w:val="auto"/>
                <w:szCs w:val="21"/>
              </w:rPr>
              <w:t>（须投标时提供公安部检测报告证明）</w:t>
            </w:r>
          </w:p>
          <w:p w14:paraId="1780A0F9">
            <w:pPr>
              <w:spacing w:line="280" w:lineRule="exact"/>
              <w:rPr>
                <w:rFonts w:ascii="宋体" w:hAnsi="宋体" w:cs="宋体"/>
                <w:color w:val="auto"/>
                <w:szCs w:val="21"/>
              </w:rPr>
            </w:pPr>
            <w:r>
              <w:rPr>
                <w:rFonts w:hint="eastAsia" w:ascii="宋体" w:hAnsi="宋体" w:cs="宋体"/>
                <w:color w:val="auto"/>
                <w:szCs w:val="21"/>
              </w:rPr>
              <w:t>一键配置存储模式，自动实现RAID创建和空间划分及CVR服务配置</w:t>
            </w:r>
          </w:p>
          <w:p w14:paraId="226F7A3B">
            <w:pPr>
              <w:spacing w:line="280" w:lineRule="exact"/>
              <w:rPr>
                <w:rFonts w:ascii="宋体" w:hAnsi="宋体" w:cs="宋体"/>
                <w:color w:val="auto"/>
                <w:szCs w:val="21"/>
              </w:rPr>
            </w:pPr>
            <w:r>
              <w:rPr>
                <w:rFonts w:hint="eastAsia" w:ascii="宋体" w:hAnsi="宋体" w:cs="宋体"/>
                <w:color w:val="auto"/>
                <w:szCs w:val="21"/>
              </w:rPr>
              <w:t>▲支持录像存储过程中加入特殊字段，防止录像被篡改或伪造，以保证录像的原始性及完整性。可对录像的某个时间点添加标签，并可进行查询、回放、下载</w:t>
            </w:r>
            <w:r>
              <w:rPr>
                <w:rFonts w:hint="eastAsia" w:ascii="宋体" w:hAnsi="宋体" w:cs="宋体"/>
                <w:b/>
                <w:bCs/>
                <w:color w:val="auto"/>
                <w:szCs w:val="21"/>
              </w:rPr>
              <w:t>（须投标时提供公安部检测报告证明）</w:t>
            </w:r>
          </w:p>
          <w:p w14:paraId="354965C7">
            <w:pPr>
              <w:spacing w:line="280" w:lineRule="exact"/>
              <w:rPr>
                <w:rFonts w:ascii="宋体" w:hAnsi="宋体" w:cs="宋体"/>
                <w:color w:val="auto"/>
                <w:szCs w:val="21"/>
              </w:rPr>
            </w:pPr>
            <w:r>
              <w:rPr>
                <w:rFonts w:hint="eastAsia" w:ascii="宋体" w:hAnsi="宋体" w:cs="宋体"/>
                <w:color w:val="auto"/>
                <w:szCs w:val="21"/>
              </w:rPr>
              <w:t>应能接入并存储总码流不超过1600Mbps的800路2Mbps码流的视（音）频图像；同时下载总码流不超过160Mbps带宽的80路2Mbps码流的视（音）频图像；同时回放总码流不超过160Mbps的80路2Mbps码流的视（音）频图像</w:t>
            </w:r>
          </w:p>
          <w:p w14:paraId="2048DD17">
            <w:pPr>
              <w:spacing w:line="280" w:lineRule="exact"/>
              <w:rPr>
                <w:rFonts w:ascii="宋体" w:hAnsi="宋体" w:cs="宋体"/>
                <w:color w:val="auto"/>
                <w:szCs w:val="21"/>
              </w:rPr>
            </w:pPr>
            <w:r>
              <w:rPr>
                <w:rFonts w:hint="eastAsia" w:ascii="宋体" w:hAnsi="宋体" w:cs="宋体"/>
                <w:color w:val="auto"/>
                <w:szCs w:val="21"/>
              </w:rPr>
              <w:t>可接入MPEG4、H.264、H.265、Smart265、SVAC编码格式和分辨率为4096×2160的前端设备并存储录像文件</w:t>
            </w:r>
          </w:p>
          <w:p w14:paraId="361AE92C">
            <w:pPr>
              <w:spacing w:line="280" w:lineRule="exact"/>
              <w:rPr>
                <w:rFonts w:ascii="宋体" w:hAnsi="宋体" w:cs="宋体"/>
                <w:color w:val="auto"/>
                <w:szCs w:val="21"/>
              </w:rPr>
            </w:pPr>
            <w:r>
              <w:rPr>
                <w:rFonts w:hint="eastAsia" w:ascii="宋体" w:hAnsi="宋体" w:cs="宋体"/>
                <w:color w:val="auto"/>
                <w:szCs w:val="21"/>
              </w:rPr>
              <w:t>可将接入样机的网络设备的IP地址、端口号等信息以excel形式进行导入导出</w:t>
            </w:r>
          </w:p>
          <w:p w14:paraId="37892939">
            <w:pPr>
              <w:spacing w:line="280" w:lineRule="exact"/>
              <w:rPr>
                <w:rFonts w:ascii="宋体" w:hAnsi="宋体" w:cs="宋体"/>
                <w:color w:val="auto"/>
                <w:szCs w:val="21"/>
              </w:rPr>
            </w:pPr>
            <w:r>
              <w:rPr>
                <w:rFonts w:hint="eastAsia" w:ascii="宋体" w:hAnsi="宋体" w:cs="宋体"/>
                <w:color w:val="auto"/>
                <w:szCs w:val="21"/>
              </w:rPr>
              <w:t>应能预录报警触发前30秒的视频录像</w:t>
            </w:r>
          </w:p>
          <w:p w14:paraId="7D65D5EB">
            <w:pPr>
              <w:spacing w:line="280" w:lineRule="exact"/>
              <w:rPr>
                <w:rFonts w:ascii="宋体" w:hAnsi="宋体" w:cs="宋体"/>
                <w:color w:val="auto"/>
                <w:szCs w:val="21"/>
              </w:rPr>
            </w:pPr>
            <w:r>
              <w:rPr>
                <w:rFonts w:hint="eastAsia" w:ascii="宋体" w:hAnsi="宋体" w:cs="宋体"/>
                <w:color w:val="auto"/>
                <w:szCs w:val="21"/>
              </w:rPr>
              <w:t>当接入的视频图像的警戒区域内探测到移动目标时，可给出报警提示信息并进行录像</w:t>
            </w:r>
          </w:p>
          <w:p w14:paraId="31930C5A">
            <w:pPr>
              <w:spacing w:line="280" w:lineRule="exact"/>
              <w:rPr>
                <w:rFonts w:ascii="宋体" w:hAnsi="宋体" w:cs="宋体"/>
                <w:color w:val="auto"/>
                <w:szCs w:val="21"/>
              </w:rPr>
            </w:pPr>
            <w:r>
              <w:rPr>
                <w:rFonts w:hint="eastAsia" w:ascii="宋体" w:hAnsi="宋体" w:cs="宋体"/>
                <w:color w:val="auto"/>
                <w:szCs w:val="21"/>
              </w:rPr>
              <w:t>▲可接入2T/3T/4T/6T/8T/10T/12T/14T/16T/18T/20T/25T/26T/</w:t>
            </w:r>
          </w:p>
          <w:p w14:paraId="4728FD46">
            <w:pPr>
              <w:spacing w:line="280" w:lineRule="exact"/>
              <w:rPr>
                <w:rFonts w:ascii="宋体" w:hAnsi="宋体" w:cs="宋体"/>
                <w:b/>
                <w:bCs/>
                <w:color w:val="auto"/>
                <w:szCs w:val="21"/>
              </w:rPr>
            </w:pPr>
            <w:r>
              <w:rPr>
                <w:rFonts w:hint="eastAsia" w:ascii="宋体" w:hAnsi="宋体" w:cs="宋体"/>
                <w:color w:val="auto"/>
                <w:szCs w:val="21"/>
              </w:rPr>
              <w:t>30T SATA/SAS硬盘；支持NL-SAS 硬盘、HDD硬盘、SSD硬盘、氦气硬盘、空气硬盘；支持 CMR或SMR硬盘；支持硬盘交错/分时启动</w:t>
            </w:r>
            <w:r>
              <w:rPr>
                <w:rFonts w:hint="eastAsia" w:ascii="宋体" w:hAnsi="宋体" w:cs="宋体"/>
                <w:b/>
                <w:bCs/>
                <w:color w:val="auto"/>
                <w:szCs w:val="21"/>
              </w:rPr>
              <w:t>（须投标时提供公安部检测报告证明）</w:t>
            </w:r>
          </w:p>
          <w:p w14:paraId="190A5877">
            <w:pPr>
              <w:spacing w:line="280" w:lineRule="exact"/>
              <w:rPr>
                <w:rFonts w:ascii="宋体" w:hAnsi="宋体" w:cs="宋体"/>
                <w:color w:val="auto"/>
                <w:szCs w:val="21"/>
              </w:rPr>
            </w:pPr>
            <w:r>
              <w:rPr>
                <w:rFonts w:hint="eastAsia" w:ascii="宋体" w:hAnsi="宋体" w:cs="宋体"/>
                <w:color w:val="auto"/>
                <w:szCs w:val="21"/>
              </w:rPr>
              <w:t>▲设备支持版本回退功能，在当前版本出现故障或操作失误后，可进行回退到历史版本，回退后录像正常回放，且历史录像完整</w:t>
            </w:r>
            <w:r>
              <w:rPr>
                <w:rFonts w:hint="eastAsia" w:ascii="宋体" w:hAnsi="宋体" w:cs="宋体"/>
                <w:b/>
                <w:bCs/>
                <w:color w:val="auto"/>
                <w:szCs w:val="21"/>
              </w:rPr>
              <w:t>（须投标时提供公安部检测报告证明）</w:t>
            </w:r>
          </w:p>
          <w:p w14:paraId="443A854D">
            <w:pPr>
              <w:spacing w:line="280" w:lineRule="exact"/>
              <w:rPr>
                <w:rFonts w:ascii="宋体" w:hAnsi="宋体" w:cs="宋体"/>
                <w:b/>
                <w:bCs/>
                <w:color w:val="auto"/>
                <w:szCs w:val="21"/>
              </w:rPr>
            </w:pPr>
            <w:r>
              <w:rPr>
                <w:rFonts w:hint="eastAsia" w:ascii="宋体" w:hAnsi="宋体" w:cs="宋体"/>
                <w:color w:val="auto"/>
                <w:szCs w:val="21"/>
              </w:rPr>
              <w:t>▲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cs="宋体"/>
                <w:b/>
                <w:bCs/>
                <w:color w:val="auto"/>
                <w:szCs w:val="21"/>
              </w:rPr>
              <w:t>（须投标时提供公安部检测报告证明）</w:t>
            </w:r>
          </w:p>
          <w:p w14:paraId="2081D103">
            <w:pPr>
              <w:spacing w:line="280" w:lineRule="exact"/>
              <w:rPr>
                <w:rFonts w:ascii="宋体" w:hAnsi="宋体" w:cs="宋体"/>
                <w:b/>
                <w:bCs/>
                <w:color w:val="auto"/>
                <w:szCs w:val="21"/>
              </w:rPr>
            </w:pPr>
            <w:r>
              <w:rPr>
                <w:rFonts w:hint="eastAsia" w:ascii="宋体" w:hAnsi="宋体" w:cs="宋体"/>
                <w:color w:val="auto"/>
                <w:szCs w:val="21"/>
              </w:rPr>
              <w:t>▲BMC支持复杂密码，设备首次使用默认密码登录BMC时，提示修改密码，并且需要强制修改完密码后重新登陆，否则无法进入BMC web</w:t>
            </w:r>
            <w:r>
              <w:rPr>
                <w:rFonts w:hint="eastAsia" w:ascii="宋体" w:hAnsi="宋体" w:cs="宋体"/>
                <w:b/>
                <w:bCs/>
                <w:color w:val="auto"/>
                <w:szCs w:val="21"/>
              </w:rPr>
              <w:t>（须投标时提供公安部检测报告证明）</w:t>
            </w:r>
          </w:p>
          <w:p w14:paraId="0F6CB8C9">
            <w:pPr>
              <w:spacing w:line="280" w:lineRule="exact"/>
              <w:rPr>
                <w:rFonts w:ascii="宋体" w:hAnsi="宋体" w:cs="宋体"/>
                <w:color w:val="auto"/>
                <w:szCs w:val="21"/>
              </w:rPr>
            </w:pPr>
            <w:r>
              <w:rPr>
                <w:rFonts w:hint="eastAsia" w:ascii="宋体" w:hAnsi="宋体" w:cs="宋体"/>
                <w:color w:val="auto"/>
                <w:sz w:val="24"/>
              </w:rPr>
              <w:t>★</w:t>
            </w:r>
            <w:r>
              <w:rPr>
                <w:rFonts w:hint="eastAsia" w:ascii="宋体" w:hAnsi="宋体" w:cs="宋体"/>
                <w:b/>
                <w:bCs/>
                <w:color w:val="auto"/>
                <w:szCs w:val="21"/>
                <w:u w:val="double"/>
              </w:rPr>
              <w:t>设备须接入学校现有安防平台统一管理，投标人须在投标文件中提供书面承诺函并加盖公章（此项为实质性响应条款，若不满足或未按要求提供相关资料按无效响应处理）。</w:t>
            </w:r>
          </w:p>
        </w:tc>
      </w:tr>
      <w:tr w14:paraId="3268018A">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634FE6B">
            <w:pPr>
              <w:widowControl/>
              <w:spacing w:line="280" w:lineRule="exact"/>
              <w:jc w:val="center"/>
              <w:rPr>
                <w:rFonts w:ascii="宋体" w:hAnsi="宋体" w:cs="宋体"/>
                <w:color w:val="auto"/>
                <w:szCs w:val="21"/>
              </w:rPr>
            </w:pPr>
            <w:r>
              <w:rPr>
                <w:rFonts w:hint="eastAsia" w:ascii="宋体" w:hAnsi="宋体" w:cs="宋体"/>
                <w:color w:val="auto"/>
                <w:szCs w:val="21"/>
              </w:rPr>
              <w:t>2</w:t>
            </w:r>
          </w:p>
        </w:tc>
        <w:tc>
          <w:tcPr>
            <w:tcW w:w="1092" w:type="dxa"/>
            <w:tcBorders>
              <w:top w:val="single" w:color="auto" w:sz="4" w:space="0"/>
              <w:left w:val="nil"/>
              <w:bottom w:val="single" w:color="auto" w:sz="4" w:space="0"/>
              <w:right w:val="single" w:color="auto" w:sz="4" w:space="0"/>
            </w:tcBorders>
            <w:vAlign w:val="center"/>
          </w:tcPr>
          <w:p w14:paraId="0F3241AA">
            <w:pPr>
              <w:widowControl/>
              <w:spacing w:line="280" w:lineRule="exact"/>
              <w:jc w:val="center"/>
              <w:rPr>
                <w:rFonts w:ascii="宋体" w:hAnsi="宋体" w:cs="宋体"/>
                <w:color w:val="auto"/>
                <w:szCs w:val="21"/>
              </w:rPr>
            </w:pPr>
            <w:r>
              <w:rPr>
                <w:rFonts w:hint="eastAsia" w:ascii="宋体" w:hAnsi="宋体" w:cs="宋体"/>
                <w:color w:val="auto"/>
                <w:szCs w:val="21"/>
              </w:rPr>
              <w:t>点位授权</w:t>
            </w:r>
          </w:p>
        </w:tc>
        <w:tc>
          <w:tcPr>
            <w:tcW w:w="6413" w:type="dxa"/>
            <w:tcBorders>
              <w:top w:val="single" w:color="auto" w:sz="4" w:space="0"/>
              <w:left w:val="nil"/>
              <w:bottom w:val="single" w:color="auto" w:sz="4" w:space="0"/>
              <w:right w:val="single" w:color="auto" w:sz="4" w:space="0"/>
            </w:tcBorders>
            <w:vAlign w:val="center"/>
          </w:tcPr>
          <w:p w14:paraId="49D3AE22">
            <w:pPr>
              <w:spacing w:line="280" w:lineRule="exact"/>
              <w:rPr>
                <w:rFonts w:ascii="宋体" w:hAnsi="宋体" w:cs="宋体"/>
                <w:color w:val="auto"/>
                <w:szCs w:val="21"/>
              </w:rPr>
            </w:pPr>
            <w:r>
              <w:rPr>
                <w:rFonts w:hint="eastAsia" w:ascii="宋体" w:hAnsi="宋体" w:cs="宋体"/>
                <w:color w:val="auto"/>
                <w:szCs w:val="21"/>
              </w:rPr>
              <w:t>学校原安防监控平台（品牌：海康威视；软件名称：高校安全管理平台；版本信息：V1.2.100_20230726）点位授权扩容，包含设备网络管理和视频质量诊断。</w:t>
            </w:r>
          </w:p>
        </w:tc>
      </w:tr>
      <w:tr w14:paraId="251F1746">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743701E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3</w:t>
            </w:r>
          </w:p>
        </w:tc>
        <w:tc>
          <w:tcPr>
            <w:tcW w:w="1092" w:type="dxa"/>
            <w:tcBorders>
              <w:top w:val="single" w:color="auto" w:sz="4" w:space="0"/>
              <w:left w:val="nil"/>
              <w:bottom w:val="single" w:color="auto" w:sz="4" w:space="0"/>
              <w:right w:val="single" w:color="auto" w:sz="4" w:space="0"/>
            </w:tcBorders>
            <w:vAlign w:val="center"/>
          </w:tcPr>
          <w:p w14:paraId="362767AB">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高空抛物溯源模块</w:t>
            </w:r>
          </w:p>
        </w:tc>
        <w:tc>
          <w:tcPr>
            <w:tcW w:w="6413" w:type="dxa"/>
            <w:tcBorders>
              <w:top w:val="single" w:color="auto" w:sz="4" w:space="0"/>
              <w:left w:val="nil"/>
              <w:bottom w:val="single" w:color="auto" w:sz="4" w:space="0"/>
              <w:right w:val="single" w:color="auto" w:sz="4" w:space="0"/>
            </w:tcBorders>
            <w:vAlign w:val="center"/>
          </w:tcPr>
          <w:p w14:paraId="266ECCCC">
            <w:pPr>
              <w:widowControl/>
              <w:spacing w:line="280" w:lineRule="exact"/>
              <w:rPr>
                <w:rFonts w:ascii="宋体" w:hAnsi="宋体" w:cs="宋体"/>
                <w:color w:val="auto"/>
                <w:szCs w:val="21"/>
              </w:rPr>
            </w:pPr>
            <w:r>
              <w:rPr>
                <w:rFonts w:hint="eastAsia" w:ascii="宋体" w:hAnsi="宋体" w:cs="宋体"/>
                <w:color w:val="auto"/>
                <w:szCs w:val="21"/>
              </w:rPr>
              <w:t>高空抛物溯源应用提供高层建筑高空抛物行为监管能力，能对高空抛物行为进行实时监测管控，记录物体坠落运行轨迹以及造成的侵害情况，对侵权对象进行追溯，实现事件完整溯源，有效解决定责难的问题，提升管理方的工作效率。</w:t>
            </w:r>
          </w:p>
          <w:p w14:paraId="687B5FEE">
            <w:pPr>
              <w:widowControl/>
              <w:spacing w:line="280" w:lineRule="exact"/>
              <w:rPr>
                <w:rFonts w:ascii="宋体" w:hAnsi="宋体" w:cs="宋体"/>
                <w:color w:val="auto"/>
                <w:szCs w:val="21"/>
              </w:rPr>
            </w:pPr>
            <w:r>
              <w:rPr>
                <w:rFonts w:hint="eastAsia" w:ascii="宋体" w:hAnsi="宋体" w:cs="宋体"/>
                <w:color w:val="auto"/>
                <w:szCs w:val="21"/>
              </w:rPr>
              <w:t>1、高空抛物实时告警，可对百米高层建筑实现全天候实时监测告警；</w:t>
            </w:r>
          </w:p>
          <w:p w14:paraId="6521297D">
            <w:pPr>
              <w:widowControl/>
              <w:spacing w:line="280" w:lineRule="exact"/>
              <w:rPr>
                <w:rFonts w:ascii="宋体" w:hAnsi="宋体" w:cs="宋体"/>
                <w:color w:val="auto"/>
                <w:szCs w:val="21"/>
              </w:rPr>
            </w:pPr>
            <w:r>
              <w:rPr>
                <w:rFonts w:hint="eastAsia" w:ascii="宋体" w:hAnsi="宋体" w:cs="宋体"/>
                <w:color w:val="auto"/>
                <w:szCs w:val="21"/>
              </w:rPr>
              <w:t>2、高空抛物行为回溯，可对事件进行回溯，查看物体掉落运行轨迹和物体落地影响情况，确认高空抛物行为事发位置，明确具体侵权对象；</w:t>
            </w:r>
          </w:p>
          <w:p w14:paraId="1A0CB7EA">
            <w:pPr>
              <w:widowControl/>
              <w:spacing w:line="280" w:lineRule="exact"/>
              <w:rPr>
                <w:rFonts w:ascii="宋体" w:hAnsi="宋体" w:cs="宋体"/>
                <w:color w:val="auto"/>
                <w:szCs w:val="21"/>
              </w:rPr>
            </w:pPr>
            <w:r>
              <w:rPr>
                <w:rFonts w:hint="eastAsia" w:ascii="宋体" w:hAnsi="宋体" w:cs="宋体"/>
                <w:color w:val="auto"/>
                <w:szCs w:val="21"/>
              </w:rPr>
              <w:t>3、高空抛物事件查询，实现高空抛物历史事件查询，包括事件记录、图片、录像信息。</w:t>
            </w:r>
          </w:p>
          <w:p w14:paraId="4EF46F9A">
            <w:pPr>
              <w:widowControl/>
              <w:spacing w:line="280" w:lineRule="exact"/>
              <w:rPr>
                <w:rFonts w:ascii="宋体" w:hAnsi="宋体" w:cs="宋体"/>
                <w:color w:val="auto"/>
                <w:szCs w:val="21"/>
              </w:rPr>
            </w:pPr>
            <w:r>
              <w:rPr>
                <w:rFonts w:hint="eastAsia" w:ascii="宋体" w:hAnsi="宋体" w:cs="宋体"/>
                <w:color w:val="auto"/>
                <w:szCs w:val="21"/>
              </w:rPr>
              <w:t>4、隐私遮掩，可对高空抛物视频监控画面进行隐私遮掩，防止室内隐私视频泄漏；高空抛物监测区位（监控点分组）即为高空抛物监控位置区域，因建筑物高低及监控点位安装距离位置限制，每个监控位置区域最多支持设置3个高空抛物监控点形成一个高空抛物监测区位（监控点分组）。</w:t>
            </w:r>
          </w:p>
        </w:tc>
      </w:tr>
      <w:tr w14:paraId="633F5EEE">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85D4B16">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4</w:t>
            </w:r>
          </w:p>
        </w:tc>
        <w:tc>
          <w:tcPr>
            <w:tcW w:w="1092" w:type="dxa"/>
            <w:tcBorders>
              <w:top w:val="single" w:color="auto" w:sz="4" w:space="0"/>
              <w:left w:val="nil"/>
              <w:bottom w:val="single" w:color="auto" w:sz="4" w:space="0"/>
              <w:right w:val="single" w:color="auto" w:sz="4" w:space="0"/>
            </w:tcBorders>
            <w:vAlign w:val="center"/>
          </w:tcPr>
          <w:p w14:paraId="2CD7379A">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核心交换机</w:t>
            </w:r>
          </w:p>
        </w:tc>
        <w:tc>
          <w:tcPr>
            <w:tcW w:w="6413" w:type="dxa"/>
            <w:tcBorders>
              <w:top w:val="single" w:color="auto" w:sz="4" w:space="0"/>
              <w:left w:val="nil"/>
              <w:bottom w:val="single" w:color="auto" w:sz="4" w:space="0"/>
              <w:right w:val="single" w:color="auto" w:sz="4" w:space="0"/>
            </w:tcBorders>
            <w:vAlign w:val="center"/>
          </w:tcPr>
          <w:p w14:paraId="1AA1E7A7">
            <w:pPr>
              <w:widowControl/>
              <w:spacing w:line="280" w:lineRule="exact"/>
              <w:rPr>
                <w:rFonts w:ascii="宋体" w:hAnsi="宋体" w:cs="宋体"/>
                <w:color w:val="auto"/>
                <w:szCs w:val="21"/>
              </w:rPr>
            </w:pPr>
            <w:r>
              <w:rPr>
                <w:rFonts w:hint="eastAsia" w:ascii="宋体" w:hAnsi="宋体" w:cs="宋体"/>
                <w:color w:val="auto"/>
                <w:szCs w:val="21"/>
              </w:rPr>
              <w:t>1、交换容量：交换容量≥2.56Tbps</w:t>
            </w:r>
          </w:p>
          <w:p w14:paraId="76174453">
            <w:pPr>
              <w:widowControl/>
              <w:spacing w:line="280" w:lineRule="exact"/>
              <w:rPr>
                <w:rFonts w:ascii="宋体" w:hAnsi="宋体" w:cs="宋体"/>
                <w:color w:val="auto"/>
                <w:szCs w:val="21"/>
              </w:rPr>
            </w:pPr>
            <w:r>
              <w:rPr>
                <w:rFonts w:hint="eastAsia" w:ascii="宋体" w:hAnsi="宋体" w:cs="宋体"/>
                <w:color w:val="auto"/>
                <w:szCs w:val="21"/>
              </w:rPr>
              <w:t>2、包转发率：包转发率≥960Mpps</w:t>
            </w:r>
          </w:p>
          <w:p w14:paraId="67B9EE3A">
            <w:pPr>
              <w:widowControl/>
              <w:spacing w:line="280" w:lineRule="exact"/>
              <w:rPr>
                <w:rFonts w:ascii="宋体" w:hAnsi="宋体" w:cs="宋体"/>
                <w:color w:val="auto"/>
                <w:szCs w:val="21"/>
              </w:rPr>
            </w:pPr>
            <w:r>
              <w:rPr>
                <w:rFonts w:hint="eastAsia" w:ascii="宋体" w:hAnsi="宋体" w:cs="宋体"/>
                <w:color w:val="auto"/>
                <w:szCs w:val="21"/>
              </w:rPr>
              <w:t>3、业务端口类型：千兆电口≥24个；万兆光口（SFP+）≥16个;25G光口（SFP28）≥8个；40G/100G混合端口（QSFP28）≥2个</w:t>
            </w:r>
          </w:p>
          <w:p w14:paraId="7863C90F">
            <w:pPr>
              <w:widowControl/>
              <w:spacing w:line="280" w:lineRule="exact"/>
              <w:rPr>
                <w:rFonts w:ascii="宋体" w:hAnsi="宋体" w:cs="宋体"/>
                <w:color w:val="auto"/>
                <w:szCs w:val="21"/>
              </w:rPr>
            </w:pPr>
            <w:r>
              <w:rPr>
                <w:rFonts w:hint="eastAsia" w:ascii="宋体" w:hAnsi="宋体" w:cs="宋体"/>
                <w:color w:val="auto"/>
                <w:szCs w:val="21"/>
              </w:rPr>
              <w:t>4、业务扩展：扩展插槽≥1个；</w:t>
            </w:r>
          </w:p>
          <w:p w14:paraId="7FCD962B">
            <w:pPr>
              <w:widowControl/>
              <w:spacing w:line="280" w:lineRule="exact"/>
              <w:rPr>
                <w:rFonts w:ascii="宋体" w:hAnsi="宋体" w:cs="宋体"/>
                <w:color w:val="auto"/>
                <w:szCs w:val="21"/>
              </w:rPr>
            </w:pPr>
            <w:r>
              <w:rPr>
                <w:rFonts w:hint="eastAsia" w:ascii="宋体" w:hAnsi="宋体" w:cs="宋体"/>
                <w:color w:val="auto"/>
                <w:szCs w:val="21"/>
              </w:rPr>
              <w:t>5、电源：设备支持可插拔双电源模块，支持 1+1 电源备份；支持高压直流输入；</w:t>
            </w:r>
          </w:p>
          <w:p w14:paraId="162F7C25">
            <w:pPr>
              <w:widowControl/>
              <w:spacing w:line="280" w:lineRule="exact"/>
              <w:rPr>
                <w:rFonts w:ascii="宋体" w:hAnsi="宋体" w:cs="宋体"/>
                <w:color w:val="auto"/>
                <w:szCs w:val="21"/>
              </w:rPr>
            </w:pPr>
            <w:r>
              <w:rPr>
                <w:rFonts w:hint="eastAsia" w:ascii="宋体" w:hAnsi="宋体" w:cs="宋体"/>
                <w:color w:val="auto"/>
                <w:szCs w:val="21"/>
              </w:rPr>
              <w:t>6、风扇：设备支持可插拔风扇模块≥2个；</w:t>
            </w:r>
          </w:p>
          <w:p w14:paraId="22DFAFDF">
            <w:pPr>
              <w:widowControl/>
              <w:spacing w:line="280" w:lineRule="exact"/>
              <w:rPr>
                <w:rFonts w:ascii="宋体" w:hAnsi="宋体" w:cs="宋体"/>
                <w:b/>
                <w:bCs/>
                <w:color w:val="auto"/>
                <w:szCs w:val="21"/>
              </w:rPr>
            </w:pPr>
            <w:r>
              <w:rPr>
                <w:rFonts w:hint="eastAsia" w:ascii="宋体" w:hAnsi="宋体" w:cs="宋体"/>
                <w:color w:val="auto"/>
                <w:szCs w:val="21"/>
              </w:rPr>
              <w:t>7、▲散热：风冷散热，风扇支持智能调速</w:t>
            </w:r>
            <w:r>
              <w:rPr>
                <w:rFonts w:hint="eastAsia" w:ascii="宋体" w:hAnsi="宋体" w:cs="宋体"/>
                <w:b/>
                <w:bCs/>
                <w:color w:val="auto"/>
                <w:szCs w:val="21"/>
              </w:rPr>
              <w:t>（须投标时提供官网链接及截图）；</w:t>
            </w:r>
          </w:p>
          <w:p w14:paraId="015A368F">
            <w:pPr>
              <w:widowControl/>
              <w:spacing w:line="280" w:lineRule="exact"/>
              <w:rPr>
                <w:rFonts w:ascii="宋体" w:hAnsi="宋体" w:cs="宋体"/>
                <w:color w:val="auto"/>
                <w:szCs w:val="21"/>
              </w:rPr>
            </w:pPr>
            <w:r>
              <w:rPr>
                <w:rFonts w:hint="eastAsia" w:ascii="宋体" w:hAnsi="宋体" w:cs="宋体"/>
                <w:color w:val="auto"/>
                <w:szCs w:val="21"/>
              </w:rPr>
              <w:t>8、堆叠：设备支持堆叠功能；最大可支持9台</w:t>
            </w:r>
          </w:p>
          <w:p w14:paraId="6F020314">
            <w:pPr>
              <w:widowControl/>
              <w:spacing w:line="280" w:lineRule="exact"/>
              <w:rPr>
                <w:rFonts w:ascii="宋体" w:hAnsi="宋体" w:cs="宋体"/>
                <w:color w:val="auto"/>
                <w:szCs w:val="21"/>
              </w:rPr>
            </w:pPr>
            <w:r>
              <w:rPr>
                <w:rFonts w:hint="eastAsia" w:ascii="宋体" w:hAnsi="宋体" w:cs="宋体"/>
                <w:color w:val="auto"/>
                <w:szCs w:val="21"/>
              </w:rPr>
              <w:t>9、二层功能：支持MAC地址≥64K；支持 4K VLAN ，支持支持Access、Trunk、Hybrid方式，支持基本QinQ和灵活QinQ，支持基于MAC的动态VLAN分配；</w:t>
            </w:r>
          </w:p>
          <w:p w14:paraId="5CC77938">
            <w:pPr>
              <w:widowControl/>
              <w:spacing w:line="280" w:lineRule="exact"/>
              <w:rPr>
                <w:rFonts w:ascii="宋体" w:hAnsi="宋体" w:cs="宋体"/>
                <w:color w:val="auto"/>
                <w:szCs w:val="21"/>
              </w:rPr>
            </w:pPr>
            <w:r>
              <w:rPr>
                <w:rFonts w:hint="eastAsia" w:ascii="宋体" w:hAnsi="宋体" w:cs="宋体"/>
                <w:color w:val="auto"/>
                <w:szCs w:val="21"/>
              </w:rPr>
              <w:t>10、防环功能：</w:t>
            </w:r>
          </w:p>
          <w:p w14:paraId="5D321CD5">
            <w:pPr>
              <w:widowControl/>
              <w:spacing w:line="280" w:lineRule="exact"/>
              <w:rPr>
                <w:rFonts w:ascii="宋体" w:hAnsi="宋体" w:cs="宋体"/>
                <w:color w:val="auto"/>
                <w:szCs w:val="21"/>
              </w:rPr>
            </w:pPr>
            <w:r>
              <w:rPr>
                <w:rFonts w:hint="eastAsia" w:ascii="宋体" w:hAnsi="宋体" w:cs="宋体"/>
                <w:color w:val="auto"/>
                <w:szCs w:val="21"/>
              </w:rPr>
              <w:t>支持STP（IEEE 802.1d），RSTP（IEEE 802.1w）和MSTP（IEEE 802.1s），支持ERPS以太环保护协议（G.8032）；</w:t>
            </w:r>
          </w:p>
          <w:p w14:paraId="791F284F">
            <w:pPr>
              <w:widowControl/>
              <w:spacing w:line="280" w:lineRule="exact"/>
              <w:rPr>
                <w:rFonts w:ascii="宋体" w:hAnsi="宋体" w:cs="宋体"/>
                <w:color w:val="auto"/>
                <w:szCs w:val="21"/>
              </w:rPr>
            </w:pPr>
            <w:r>
              <w:rPr>
                <w:rFonts w:hint="eastAsia" w:ascii="宋体" w:hAnsi="宋体" w:cs="宋体"/>
                <w:color w:val="auto"/>
                <w:szCs w:val="21"/>
              </w:rPr>
              <w:t>11、▲三层功能：支持RIP、OSPF、ISIS、BGP等IPv4动态路由协议，支持RIPng、OSPFv3、ISISv6、BGP4+等IPv6动态路由协议</w:t>
            </w:r>
            <w:r>
              <w:rPr>
                <w:rFonts w:hint="eastAsia" w:ascii="宋体" w:hAnsi="宋体" w:cs="宋体"/>
                <w:b/>
                <w:bCs/>
                <w:color w:val="auto"/>
                <w:szCs w:val="21"/>
              </w:rPr>
              <w:t>（须投标时提供官网链接及截图）</w:t>
            </w:r>
            <w:r>
              <w:rPr>
                <w:rFonts w:hint="eastAsia" w:ascii="宋体" w:hAnsi="宋体" w:cs="宋体"/>
                <w:color w:val="auto"/>
                <w:szCs w:val="21"/>
              </w:rPr>
              <w:t>；</w:t>
            </w:r>
          </w:p>
          <w:p w14:paraId="1EB7CA9B">
            <w:pPr>
              <w:widowControl/>
              <w:spacing w:line="280" w:lineRule="exact"/>
              <w:rPr>
                <w:rFonts w:ascii="宋体" w:hAnsi="宋体" w:cs="宋体"/>
                <w:b/>
                <w:bCs/>
                <w:color w:val="auto"/>
                <w:szCs w:val="21"/>
              </w:rPr>
            </w:pPr>
            <w:r>
              <w:rPr>
                <w:rFonts w:hint="eastAsia" w:ascii="宋体" w:hAnsi="宋体" w:cs="宋体"/>
                <w:color w:val="auto"/>
                <w:szCs w:val="21"/>
              </w:rPr>
              <w:t>12、▲组播：支持PIM DM、PIM SM、PIM SSM 支持 IGMP v1/v2/v3 及 IGMP v1/v2/v3 Snooping、MLD Snooping 和 IGMP fast</w:t>
            </w:r>
            <w:r>
              <w:rPr>
                <w:rFonts w:hint="eastAsia" w:ascii="宋体" w:hAnsi="宋体" w:cs="宋体"/>
                <w:b/>
                <w:bCs/>
                <w:color w:val="auto"/>
                <w:szCs w:val="21"/>
              </w:rPr>
              <w:t>（须投标时提供官网链接及截图）</w:t>
            </w:r>
          </w:p>
          <w:p w14:paraId="5BF0A852">
            <w:pPr>
              <w:widowControl/>
              <w:spacing w:line="280" w:lineRule="exact"/>
              <w:rPr>
                <w:rFonts w:ascii="宋体" w:hAnsi="宋体" w:cs="宋体"/>
                <w:color w:val="auto"/>
                <w:szCs w:val="21"/>
              </w:rPr>
            </w:pPr>
            <w:r>
              <w:rPr>
                <w:rFonts w:hint="eastAsia" w:ascii="宋体" w:hAnsi="宋体" w:cs="宋体"/>
                <w:color w:val="auto"/>
                <w:szCs w:val="21"/>
              </w:rPr>
              <w:t>13、系统安全：支持NAC，支持RADIUS和HWTACACS用户登录认证，支持MACsec，支持防范DoS攻击、TCP的SYN Flood攻击、UDP Flood攻击、广播风暴攻击、大流量攻击；</w:t>
            </w:r>
          </w:p>
          <w:p w14:paraId="0C8FDD49">
            <w:pPr>
              <w:widowControl/>
              <w:spacing w:line="280" w:lineRule="exact"/>
              <w:rPr>
                <w:rFonts w:ascii="宋体" w:hAnsi="宋体" w:cs="宋体"/>
                <w:color w:val="auto"/>
                <w:szCs w:val="21"/>
              </w:rPr>
            </w:pPr>
            <w:r>
              <w:rPr>
                <w:rFonts w:hint="eastAsia" w:ascii="宋体" w:hAnsi="宋体" w:cs="宋体"/>
                <w:color w:val="auto"/>
                <w:szCs w:val="21"/>
              </w:rPr>
              <w:t>14、管理维护：支持支持Console、Telnet、SSH等终端服务，支持SNMP v1/v2/v3 ,RMON， Web等方式进行管理和维护，支持流遥感（Telemetry）技术；</w:t>
            </w:r>
            <w:r>
              <w:rPr>
                <w:rFonts w:hint="eastAsia" w:ascii="宋体" w:hAnsi="宋体" w:cs="宋体"/>
                <w:color w:val="auto"/>
                <w:szCs w:val="21"/>
              </w:rPr>
              <w:br w:type="textWrapping"/>
            </w:r>
          </w:p>
        </w:tc>
      </w:tr>
      <w:tr w14:paraId="20163A05">
        <w:tblPrEx>
          <w:tblCellMar>
            <w:top w:w="0" w:type="dxa"/>
            <w:left w:w="108" w:type="dxa"/>
            <w:bottom w:w="0" w:type="dxa"/>
            <w:right w:w="108" w:type="dxa"/>
          </w:tblCellMar>
        </w:tblPrEx>
        <w:trPr>
          <w:trHeight w:val="455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AA54B89">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5</w:t>
            </w:r>
          </w:p>
        </w:tc>
        <w:tc>
          <w:tcPr>
            <w:tcW w:w="1092" w:type="dxa"/>
            <w:tcBorders>
              <w:top w:val="single" w:color="auto" w:sz="4" w:space="0"/>
              <w:left w:val="nil"/>
              <w:bottom w:val="single" w:color="auto" w:sz="4" w:space="0"/>
              <w:right w:val="single" w:color="auto" w:sz="4" w:space="0"/>
            </w:tcBorders>
            <w:vAlign w:val="center"/>
          </w:tcPr>
          <w:p w14:paraId="7939DF6E">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8口工业级交换机</w:t>
            </w:r>
          </w:p>
        </w:tc>
        <w:tc>
          <w:tcPr>
            <w:tcW w:w="6413" w:type="dxa"/>
            <w:tcBorders>
              <w:top w:val="single" w:color="auto" w:sz="4" w:space="0"/>
              <w:left w:val="nil"/>
              <w:bottom w:val="single" w:color="auto" w:sz="4" w:space="0"/>
              <w:right w:val="single" w:color="auto" w:sz="4" w:space="0"/>
            </w:tcBorders>
            <w:vAlign w:val="center"/>
          </w:tcPr>
          <w:p w14:paraId="4A44D5C2">
            <w:pPr>
              <w:widowControl/>
              <w:spacing w:line="280" w:lineRule="exact"/>
              <w:rPr>
                <w:rFonts w:ascii="宋体" w:hAnsi="宋体" w:cs="宋体"/>
                <w:color w:val="auto"/>
                <w:szCs w:val="21"/>
              </w:rPr>
            </w:pPr>
            <w:r>
              <w:rPr>
                <w:rFonts w:hint="eastAsia" w:ascii="宋体" w:hAnsi="宋体" w:cs="宋体"/>
                <w:color w:val="auto"/>
                <w:szCs w:val="21"/>
              </w:rPr>
              <w:t>1、交换容量≥432Gbps ，以官网所列最低参数为准</w:t>
            </w:r>
            <w:r>
              <w:rPr>
                <w:rFonts w:hint="eastAsia" w:ascii="宋体" w:hAnsi="宋体" w:cs="宋体"/>
                <w:b/>
                <w:bCs/>
                <w:color w:val="auto"/>
                <w:szCs w:val="21"/>
              </w:rPr>
              <w:t>（须投标时提供官网截图）</w:t>
            </w:r>
          </w:p>
          <w:p w14:paraId="45E0F190">
            <w:pPr>
              <w:widowControl/>
              <w:spacing w:line="280" w:lineRule="exact"/>
              <w:rPr>
                <w:rFonts w:ascii="宋体" w:hAnsi="宋体" w:cs="宋体"/>
                <w:color w:val="auto"/>
                <w:szCs w:val="21"/>
              </w:rPr>
            </w:pPr>
            <w:r>
              <w:rPr>
                <w:rFonts w:hint="eastAsia" w:ascii="宋体" w:hAnsi="宋体" w:cs="宋体"/>
                <w:color w:val="auto"/>
                <w:szCs w:val="21"/>
              </w:rPr>
              <w:t>2、包转发率≥102Mpps，以官网所列最低参数为准</w:t>
            </w:r>
            <w:r>
              <w:rPr>
                <w:rFonts w:hint="eastAsia" w:ascii="宋体" w:hAnsi="宋体" w:cs="宋体"/>
                <w:b/>
                <w:bCs/>
                <w:color w:val="auto"/>
                <w:szCs w:val="21"/>
              </w:rPr>
              <w:t>（须投标时提供官网截图）</w:t>
            </w:r>
          </w:p>
          <w:p w14:paraId="0E8AB129">
            <w:pPr>
              <w:widowControl/>
              <w:spacing w:line="280" w:lineRule="exact"/>
              <w:rPr>
                <w:rFonts w:ascii="宋体" w:hAnsi="宋体" w:cs="宋体"/>
                <w:color w:val="auto"/>
                <w:szCs w:val="21"/>
              </w:rPr>
            </w:pPr>
            <w:r>
              <w:rPr>
                <w:rFonts w:hint="eastAsia" w:ascii="宋体" w:hAnsi="宋体" w:cs="宋体"/>
                <w:color w:val="auto"/>
                <w:szCs w:val="21"/>
              </w:rPr>
              <w:t>3、端口：千兆电口≥8，万兆（或千兆）光口≥2</w:t>
            </w:r>
          </w:p>
          <w:p w14:paraId="6172E974">
            <w:pPr>
              <w:widowControl/>
              <w:spacing w:line="280" w:lineRule="exact"/>
              <w:rPr>
                <w:rFonts w:ascii="宋体" w:hAnsi="宋体" w:cs="宋体"/>
                <w:b/>
                <w:bCs/>
                <w:color w:val="auto"/>
                <w:szCs w:val="21"/>
              </w:rPr>
            </w:pPr>
            <w:r>
              <w:rPr>
                <w:rFonts w:hint="eastAsia" w:ascii="宋体" w:hAnsi="宋体" w:cs="宋体"/>
                <w:color w:val="auto"/>
                <w:szCs w:val="21"/>
              </w:rPr>
              <w:t>4、▲芯片：CPU、LSW（交换芯片、转发芯片）均为国产自研芯片，（</w:t>
            </w:r>
            <w:r>
              <w:rPr>
                <w:rFonts w:hint="eastAsia" w:ascii="宋体" w:hAnsi="宋体" w:cs="宋体"/>
                <w:b/>
                <w:bCs/>
                <w:color w:val="auto"/>
                <w:szCs w:val="21"/>
              </w:rPr>
              <w:t>须投标时提供第三方测试报告</w:t>
            </w:r>
            <w:r>
              <w:rPr>
                <w:rFonts w:hint="eastAsia" w:ascii="宋体" w:hAnsi="宋体" w:cs="宋体"/>
                <w:color w:val="auto"/>
                <w:szCs w:val="21"/>
              </w:rPr>
              <w:t>）</w:t>
            </w:r>
          </w:p>
          <w:p w14:paraId="0494B23C">
            <w:pPr>
              <w:widowControl/>
              <w:spacing w:line="280" w:lineRule="exact"/>
              <w:rPr>
                <w:rFonts w:ascii="宋体" w:hAnsi="宋体" w:cs="宋体"/>
                <w:b/>
                <w:bCs/>
                <w:color w:val="auto"/>
                <w:szCs w:val="21"/>
              </w:rPr>
            </w:pPr>
            <w:r>
              <w:rPr>
                <w:rFonts w:hint="eastAsia" w:ascii="宋体" w:hAnsi="宋体" w:cs="宋体"/>
                <w:color w:val="auto"/>
                <w:szCs w:val="21"/>
              </w:rPr>
              <w:t>5、▲散热方式：自然散热，无风扇</w:t>
            </w:r>
            <w:r>
              <w:rPr>
                <w:rFonts w:hint="eastAsia" w:ascii="宋体" w:hAnsi="宋体" w:cs="宋体"/>
                <w:b/>
                <w:bCs/>
                <w:color w:val="auto"/>
                <w:szCs w:val="21"/>
              </w:rPr>
              <w:t>（须投标时提供官网链接及截图）</w:t>
            </w:r>
          </w:p>
          <w:p w14:paraId="31EE4BE1">
            <w:pPr>
              <w:widowControl/>
              <w:spacing w:line="280" w:lineRule="exact"/>
              <w:rPr>
                <w:rFonts w:ascii="宋体" w:hAnsi="宋体" w:cs="宋体"/>
                <w:color w:val="auto"/>
                <w:szCs w:val="21"/>
              </w:rPr>
            </w:pPr>
            <w:r>
              <w:rPr>
                <w:rFonts w:hint="eastAsia" w:ascii="宋体" w:hAnsi="宋体" w:cs="宋体"/>
                <w:color w:val="auto"/>
                <w:szCs w:val="21"/>
              </w:rPr>
              <w:t>6、IP防护等级：IP41</w:t>
            </w:r>
          </w:p>
          <w:p w14:paraId="04B9D6F1">
            <w:pPr>
              <w:widowControl/>
              <w:spacing w:line="280" w:lineRule="exact"/>
              <w:rPr>
                <w:rFonts w:ascii="宋体" w:hAnsi="宋体" w:cs="宋体"/>
                <w:color w:val="auto"/>
                <w:szCs w:val="21"/>
              </w:rPr>
            </w:pPr>
            <w:r>
              <w:rPr>
                <w:rFonts w:hint="eastAsia" w:ascii="宋体" w:hAnsi="宋体" w:cs="宋体"/>
                <w:color w:val="auto"/>
                <w:szCs w:val="21"/>
              </w:rPr>
              <w:t>7、长期工作温度： -40~75度</w:t>
            </w:r>
          </w:p>
          <w:p w14:paraId="57EE402C">
            <w:pPr>
              <w:widowControl/>
              <w:spacing w:line="280" w:lineRule="exact"/>
              <w:rPr>
                <w:rFonts w:ascii="宋体" w:hAnsi="宋体" w:cs="宋体"/>
                <w:color w:val="auto"/>
                <w:szCs w:val="21"/>
              </w:rPr>
            </w:pPr>
            <w:r>
              <w:rPr>
                <w:rFonts w:hint="eastAsia" w:ascii="宋体" w:hAnsi="宋体" w:cs="宋体"/>
                <w:color w:val="auto"/>
                <w:szCs w:val="21"/>
              </w:rPr>
              <w:t>8、支持链路聚合</w:t>
            </w:r>
          </w:p>
          <w:p w14:paraId="12948DE9">
            <w:pPr>
              <w:widowControl/>
              <w:spacing w:line="280" w:lineRule="exact"/>
              <w:rPr>
                <w:rFonts w:ascii="宋体" w:hAnsi="宋体" w:cs="宋体"/>
                <w:color w:val="auto"/>
                <w:szCs w:val="21"/>
              </w:rPr>
            </w:pPr>
            <w:r>
              <w:rPr>
                <w:rFonts w:hint="eastAsia" w:ascii="宋体" w:hAnsi="宋体" w:cs="宋体"/>
                <w:color w:val="auto"/>
                <w:szCs w:val="21"/>
              </w:rPr>
              <w:t>9、支持安全启动</w:t>
            </w:r>
          </w:p>
          <w:p w14:paraId="682993C3">
            <w:pPr>
              <w:widowControl/>
              <w:spacing w:line="280" w:lineRule="exact"/>
              <w:rPr>
                <w:rFonts w:ascii="宋体" w:hAnsi="宋体" w:cs="宋体"/>
                <w:color w:val="auto"/>
                <w:szCs w:val="21"/>
              </w:rPr>
            </w:pPr>
            <w:r>
              <w:rPr>
                <w:rFonts w:hint="eastAsia" w:ascii="宋体" w:hAnsi="宋体" w:cs="宋体"/>
                <w:color w:val="auto"/>
                <w:szCs w:val="21"/>
              </w:rPr>
              <w:t>10、支持广播、组播、未知单播风暴控制</w:t>
            </w:r>
          </w:p>
          <w:p w14:paraId="1B981F10">
            <w:pPr>
              <w:widowControl/>
              <w:spacing w:line="280" w:lineRule="exact"/>
              <w:rPr>
                <w:rFonts w:ascii="宋体" w:hAnsi="宋体" w:cs="宋体"/>
                <w:color w:val="auto"/>
                <w:szCs w:val="21"/>
              </w:rPr>
            </w:pPr>
            <w:r>
              <w:rPr>
                <w:rFonts w:hint="eastAsia" w:ascii="宋体" w:hAnsi="宋体" w:cs="宋体"/>
                <w:color w:val="auto"/>
                <w:szCs w:val="21"/>
              </w:rPr>
              <w:t>11、支持端口隔离</w:t>
            </w:r>
          </w:p>
          <w:p w14:paraId="029E93C8">
            <w:pPr>
              <w:widowControl/>
              <w:spacing w:line="280" w:lineRule="exact"/>
              <w:rPr>
                <w:rFonts w:ascii="宋体" w:hAnsi="宋体" w:cs="宋体"/>
                <w:color w:val="auto"/>
                <w:szCs w:val="21"/>
              </w:rPr>
            </w:pPr>
            <w:r>
              <w:rPr>
                <w:rFonts w:hint="eastAsia" w:ascii="宋体" w:hAnsi="宋体" w:cs="宋体"/>
                <w:color w:val="auto"/>
                <w:szCs w:val="21"/>
              </w:rPr>
              <w:t>12、支持Access/Trunk 接入方式</w:t>
            </w:r>
          </w:p>
          <w:p w14:paraId="63F5F49D">
            <w:pPr>
              <w:widowControl/>
              <w:spacing w:line="280" w:lineRule="exact"/>
              <w:rPr>
                <w:rFonts w:ascii="宋体" w:hAnsi="宋体" w:cs="宋体"/>
                <w:color w:val="auto"/>
                <w:szCs w:val="21"/>
              </w:rPr>
            </w:pPr>
            <w:r>
              <w:rPr>
                <w:rFonts w:hint="eastAsia" w:ascii="宋体" w:hAnsi="宋体" w:cs="宋体"/>
                <w:color w:val="auto"/>
                <w:szCs w:val="21"/>
              </w:rPr>
              <w:t>13、支持基于端口划分VLAN</w:t>
            </w:r>
          </w:p>
          <w:p w14:paraId="5B934FE1">
            <w:pPr>
              <w:widowControl/>
              <w:spacing w:line="280" w:lineRule="exact"/>
              <w:rPr>
                <w:rFonts w:ascii="宋体" w:hAnsi="宋体" w:cs="宋体"/>
                <w:color w:val="auto"/>
                <w:szCs w:val="21"/>
              </w:rPr>
            </w:pPr>
            <w:r>
              <w:rPr>
                <w:rFonts w:hint="eastAsia" w:ascii="宋体" w:hAnsi="宋体" w:cs="宋体"/>
                <w:color w:val="auto"/>
                <w:szCs w:val="21"/>
              </w:rPr>
              <w:t>14、支持DHCP Client 功能</w:t>
            </w:r>
          </w:p>
          <w:p w14:paraId="00B6DFED">
            <w:pPr>
              <w:widowControl/>
              <w:spacing w:line="280" w:lineRule="exact"/>
              <w:rPr>
                <w:rFonts w:ascii="宋体" w:hAnsi="宋体" w:cs="宋体"/>
                <w:color w:val="auto"/>
                <w:szCs w:val="21"/>
              </w:rPr>
            </w:pPr>
            <w:r>
              <w:rPr>
                <w:rFonts w:hint="eastAsia" w:ascii="宋体" w:hAnsi="宋体" w:cs="宋体"/>
                <w:color w:val="auto"/>
                <w:szCs w:val="21"/>
              </w:rPr>
              <w:t>15、支持STP（IEEE 802.1d）、RSTP（IEEE 802.1w）环网协议</w:t>
            </w:r>
          </w:p>
          <w:p w14:paraId="47E270EA">
            <w:pPr>
              <w:widowControl/>
              <w:spacing w:line="280" w:lineRule="exact"/>
              <w:rPr>
                <w:rFonts w:ascii="宋体" w:hAnsi="宋体" w:cs="宋体"/>
                <w:color w:val="auto"/>
                <w:szCs w:val="21"/>
              </w:rPr>
            </w:pPr>
          </w:p>
        </w:tc>
      </w:tr>
      <w:tr w14:paraId="3C0CEA9F">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B481E6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6</w:t>
            </w:r>
          </w:p>
        </w:tc>
        <w:tc>
          <w:tcPr>
            <w:tcW w:w="1092" w:type="dxa"/>
            <w:tcBorders>
              <w:top w:val="single" w:color="auto" w:sz="4" w:space="0"/>
              <w:left w:val="nil"/>
              <w:bottom w:val="single" w:color="auto" w:sz="4" w:space="0"/>
              <w:right w:val="single" w:color="auto" w:sz="4" w:space="0"/>
            </w:tcBorders>
            <w:shd w:val="clear" w:color="auto" w:fill="auto"/>
            <w:vAlign w:val="center"/>
          </w:tcPr>
          <w:p w14:paraId="7464FCB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千兆POE交换机</w:t>
            </w:r>
          </w:p>
        </w:tc>
        <w:tc>
          <w:tcPr>
            <w:tcW w:w="6413" w:type="dxa"/>
            <w:tcBorders>
              <w:top w:val="single" w:color="auto" w:sz="4" w:space="0"/>
              <w:left w:val="nil"/>
              <w:bottom w:val="single" w:color="auto" w:sz="4" w:space="0"/>
              <w:right w:val="single" w:color="auto" w:sz="4" w:space="0"/>
            </w:tcBorders>
            <w:shd w:val="clear" w:color="auto" w:fill="auto"/>
            <w:vAlign w:val="center"/>
          </w:tcPr>
          <w:p w14:paraId="574CA119">
            <w:pPr>
              <w:widowControl/>
              <w:spacing w:line="280" w:lineRule="exact"/>
              <w:rPr>
                <w:rFonts w:ascii="宋体" w:hAnsi="宋体" w:cs="宋体"/>
                <w:color w:val="auto"/>
                <w:szCs w:val="21"/>
              </w:rPr>
            </w:pPr>
            <w:r>
              <w:rPr>
                <w:rFonts w:hint="eastAsia" w:ascii="宋体" w:hAnsi="宋体" w:cs="宋体"/>
                <w:color w:val="auto"/>
                <w:szCs w:val="21"/>
              </w:rPr>
              <w:t>1、交换容量：交换容量≥396Gbps</w:t>
            </w:r>
          </w:p>
          <w:p w14:paraId="30DC63CF">
            <w:pPr>
              <w:widowControl/>
              <w:spacing w:line="280" w:lineRule="exact"/>
              <w:rPr>
                <w:rFonts w:ascii="宋体" w:hAnsi="宋体" w:cs="宋体"/>
                <w:color w:val="auto"/>
                <w:szCs w:val="21"/>
              </w:rPr>
            </w:pPr>
            <w:r>
              <w:rPr>
                <w:rFonts w:hint="eastAsia" w:ascii="宋体" w:hAnsi="宋体" w:cs="宋体"/>
                <w:color w:val="auto"/>
                <w:szCs w:val="21"/>
              </w:rPr>
              <w:t>2、包转发率：包转发率≥88Mpps</w:t>
            </w:r>
          </w:p>
          <w:p w14:paraId="7B646C23">
            <w:pPr>
              <w:widowControl/>
              <w:spacing w:line="280" w:lineRule="exact"/>
              <w:rPr>
                <w:rFonts w:ascii="宋体" w:hAnsi="宋体" w:cs="宋体"/>
                <w:color w:val="auto"/>
                <w:szCs w:val="21"/>
              </w:rPr>
            </w:pPr>
            <w:r>
              <w:rPr>
                <w:rFonts w:hint="eastAsia" w:ascii="宋体" w:hAnsi="宋体" w:cs="宋体"/>
                <w:color w:val="auto"/>
                <w:szCs w:val="21"/>
              </w:rPr>
              <w:t>3、端口类型：千兆POE+电口≥24个，2.5GE SFP以太网光接口≥4个</w:t>
            </w:r>
          </w:p>
          <w:p w14:paraId="1AEB8E06">
            <w:pPr>
              <w:spacing w:line="280" w:lineRule="exact"/>
              <w:rPr>
                <w:rFonts w:ascii="宋体" w:hAnsi="宋体" w:cs="宋体"/>
                <w:color w:val="auto"/>
                <w:szCs w:val="21"/>
              </w:rPr>
            </w:pPr>
            <w:r>
              <w:rPr>
                <w:rFonts w:hint="eastAsia" w:ascii="宋体" w:hAnsi="宋体" w:cs="宋体"/>
                <w:color w:val="auto"/>
                <w:szCs w:val="21"/>
              </w:rPr>
              <w:t>4、▲POE：POE供电能力≥370W</w:t>
            </w:r>
          </w:p>
          <w:p w14:paraId="3D0C32BB">
            <w:pPr>
              <w:widowControl/>
              <w:spacing w:line="280" w:lineRule="exact"/>
              <w:rPr>
                <w:rFonts w:ascii="宋体" w:hAnsi="宋体" w:cs="宋体"/>
                <w:color w:val="auto"/>
                <w:szCs w:val="21"/>
              </w:rPr>
            </w:pPr>
            <w:r>
              <w:rPr>
                <w:rFonts w:hint="eastAsia" w:ascii="宋体" w:hAnsi="宋体" w:cs="宋体"/>
                <w:color w:val="auto"/>
                <w:szCs w:val="21"/>
              </w:rPr>
              <w:t>5、▲POE增强：支持永久POE功能，交换机重启时（如软件版本升级时重启），对下挂 PD 设备供电不会中断，保证交换机重启过程中 PD 不掉电</w:t>
            </w:r>
            <w:r>
              <w:rPr>
                <w:rFonts w:hint="eastAsia" w:ascii="宋体" w:hAnsi="宋体" w:cs="宋体"/>
                <w:b/>
                <w:bCs/>
                <w:color w:val="auto"/>
                <w:szCs w:val="21"/>
              </w:rPr>
              <w:t>（须投标时提供官网链接及截图）</w:t>
            </w:r>
            <w:r>
              <w:rPr>
                <w:rFonts w:hint="eastAsia" w:ascii="宋体" w:hAnsi="宋体" w:cs="宋体"/>
                <w:color w:val="auto"/>
                <w:szCs w:val="21"/>
              </w:rPr>
              <w:t>；支持快速POE功能，当 POE 交换机掉电重启时，不需要等待交换机重启完成才继续为 PD 供电，只要交换机上电就可以继续为 PD 设备供电；</w:t>
            </w:r>
          </w:p>
          <w:p w14:paraId="5813ABD2">
            <w:pPr>
              <w:widowControl/>
              <w:spacing w:line="280" w:lineRule="exact"/>
              <w:rPr>
                <w:rFonts w:ascii="宋体" w:hAnsi="宋体" w:cs="宋体"/>
                <w:b/>
                <w:bCs/>
                <w:color w:val="auto"/>
                <w:szCs w:val="21"/>
              </w:rPr>
            </w:pPr>
            <w:r>
              <w:rPr>
                <w:rFonts w:hint="eastAsia" w:ascii="宋体" w:hAnsi="宋体" w:cs="宋体"/>
                <w:color w:val="auto"/>
                <w:szCs w:val="21"/>
              </w:rPr>
              <w:t>6、▲二层功能：支持MAC地址≥16K，支持4K VLAN</w:t>
            </w:r>
            <w:r>
              <w:rPr>
                <w:rFonts w:hint="eastAsia" w:ascii="宋体" w:hAnsi="宋体" w:cs="宋体"/>
                <w:b/>
                <w:bCs/>
                <w:color w:val="auto"/>
                <w:szCs w:val="21"/>
              </w:rPr>
              <w:t>（须投标时提供官网链接及截图）</w:t>
            </w:r>
          </w:p>
          <w:p w14:paraId="1CFD7167">
            <w:pPr>
              <w:widowControl/>
              <w:spacing w:line="280" w:lineRule="exact"/>
              <w:rPr>
                <w:rFonts w:ascii="宋体" w:hAnsi="宋体" w:cs="宋体"/>
                <w:color w:val="auto"/>
                <w:szCs w:val="21"/>
              </w:rPr>
            </w:pPr>
            <w:r>
              <w:rPr>
                <w:rFonts w:hint="eastAsia" w:ascii="宋体" w:hAnsi="宋体" w:cs="宋体"/>
                <w:color w:val="auto"/>
                <w:szCs w:val="21"/>
              </w:rPr>
              <w:t>7、以太环网保护：支持 ERPS 以太环保护协议（G.8032）；</w:t>
            </w:r>
          </w:p>
          <w:p w14:paraId="19EDC8BB">
            <w:pPr>
              <w:widowControl/>
              <w:spacing w:line="280" w:lineRule="exact"/>
              <w:rPr>
                <w:rFonts w:ascii="宋体" w:hAnsi="宋体" w:cs="宋体"/>
                <w:color w:val="auto"/>
                <w:szCs w:val="21"/>
              </w:rPr>
            </w:pPr>
            <w:r>
              <w:rPr>
                <w:rFonts w:hint="eastAsia" w:ascii="宋体" w:hAnsi="宋体" w:cs="宋体"/>
                <w:color w:val="auto"/>
                <w:szCs w:val="21"/>
              </w:rPr>
              <w:t>支持 STP（IEEE 802.1d），RSTP（IEEE 802.1w）协议；</w:t>
            </w:r>
          </w:p>
          <w:p w14:paraId="2298DEB4">
            <w:pPr>
              <w:widowControl/>
              <w:spacing w:line="280" w:lineRule="exact"/>
              <w:rPr>
                <w:rFonts w:ascii="宋体" w:hAnsi="宋体" w:cs="宋体"/>
                <w:color w:val="auto"/>
                <w:szCs w:val="21"/>
              </w:rPr>
            </w:pPr>
            <w:r>
              <w:rPr>
                <w:rFonts w:hint="eastAsia" w:ascii="宋体" w:hAnsi="宋体" w:cs="宋体"/>
                <w:color w:val="auto"/>
                <w:szCs w:val="21"/>
              </w:rPr>
              <w:t>8、组播：支持IGMP v1/v2/v3 Snooping</w:t>
            </w:r>
          </w:p>
          <w:p w14:paraId="6548355E">
            <w:pPr>
              <w:widowControl/>
              <w:spacing w:line="280" w:lineRule="exact"/>
              <w:rPr>
                <w:rFonts w:ascii="宋体" w:hAnsi="宋体" w:cs="宋体"/>
                <w:color w:val="auto"/>
                <w:szCs w:val="21"/>
              </w:rPr>
            </w:pPr>
            <w:r>
              <w:rPr>
                <w:rFonts w:hint="eastAsia" w:ascii="宋体" w:hAnsi="宋体" w:cs="宋体"/>
                <w:color w:val="auto"/>
                <w:szCs w:val="21"/>
              </w:rPr>
              <w:t>9、链路聚合：支持链路聚合</w:t>
            </w:r>
          </w:p>
          <w:p w14:paraId="54F7D907">
            <w:pPr>
              <w:widowControl/>
              <w:spacing w:line="280" w:lineRule="exact"/>
              <w:rPr>
                <w:rFonts w:ascii="宋体" w:hAnsi="宋体" w:cs="宋体"/>
                <w:color w:val="auto"/>
                <w:szCs w:val="21"/>
              </w:rPr>
            </w:pPr>
            <w:r>
              <w:rPr>
                <w:rFonts w:hint="eastAsia" w:ascii="宋体" w:hAnsi="宋体" w:cs="宋体"/>
                <w:color w:val="auto"/>
                <w:szCs w:val="21"/>
              </w:rPr>
              <w:t>10、管理维护：支持云管理，支持 WEB 管理（HTTPS），支持SSH v2.0，支持系统日志、分级告警</w:t>
            </w:r>
          </w:p>
          <w:p w14:paraId="7C85E5D8">
            <w:pPr>
              <w:spacing w:line="280" w:lineRule="exact"/>
              <w:rPr>
                <w:rFonts w:ascii="宋体" w:hAnsi="宋体" w:cs="宋体"/>
                <w:color w:val="auto"/>
                <w:szCs w:val="21"/>
              </w:rPr>
            </w:pPr>
          </w:p>
        </w:tc>
      </w:tr>
      <w:tr w14:paraId="4561FCF9">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ACE350A">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7</w:t>
            </w:r>
          </w:p>
        </w:tc>
        <w:tc>
          <w:tcPr>
            <w:tcW w:w="1092" w:type="dxa"/>
            <w:tcBorders>
              <w:top w:val="single" w:color="auto" w:sz="4" w:space="0"/>
              <w:left w:val="nil"/>
              <w:bottom w:val="single" w:color="auto" w:sz="4" w:space="0"/>
              <w:right w:val="single" w:color="auto" w:sz="4" w:space="0"/>
            </w:tcBorders>
            <w:shd w:val="clear" w:color="auto" w:fill="auto"/>
            <w:vAlign w:val="center"/>
          </w:tcPr>
          <w:p w14:paraId="58008300">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图形工作站</w:t>
            </w:r>
          </w:p>
        </w:tc>
        <w:tc>
          <w:tcPr>
            <w:tcW w:w="6413" w:type="dxa"/>
            <w:tcBorders>
              <w:top w:val="single" w:color="auto" w:sz="4" w:space="0"/>
              <w:left w:val="nil"/>
              <w:bottom w:val="single" w:color="auto" w:sz="4" w:space="0"/>
              <w:right w:val="single" w:color="auto" w:sz="4" w:space="0"/>
            </w:tcBorders>
            <w:vAlign w:val="center"/>
          </w:tcPr>
          <w:p w14:paraId="7AC5E2DD">
            <w:pPr>
              <w:spacing w:line="280" w:lineRule="exact"/>
              <w:rPr>
                <w:rFonts w:ascii="宋体" w:hAnsi="宋体" w:cs="宋体"/>
                <w:color w:val="auto"/>
                <w:szCs w:val="21"/>
              </w:rPr>
            </w:pPr>
            <w:r>
              <w:rPr>
                <w:rFonts w:hint="eastAsia" w:ascii="宋体" w:hAnsi="宋体" w:cs="宋体"/>
                <w:color w:val="auto"/>
                <w:szCs w:val="21"/>
              </w:rPr>
              <w:t>不低于i7-13700 32G 512G+2T RTXA1000-8G ，27寸2K显示器</w:t>
            </w:r>
          </w:p>
        </w:tc>
      </w:tr>
      <w:tr w14:paraId="5C095A0C">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6C7D5FD">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8</w:t>
            </w:r>
          </w:p>
        </w:tc>
        <w:tc>
          <w:tcPr>
            <w:tcW w:w="1092" w:type="dxa"/>
            <w:tcBorders>
              <w:top w:val="single" w:color="auto" w:sz="4" w:space="0"/>
              <w:left w:val="nil"/>
              <w:bottom w:val="single" w:color="auto" w:sz="4" w:space="0"/>
              <w:right w:val="single" w:color="auto" w:sz="4" w:space="0"/>
            </w:tcBorders>
            <w:shd w:val="clear" w:color="auto" w:fill="auto"/>
            <w:vAlign w:val="center"/>
          </w:tcPr>
          <w:p w14:paraId="47D3E8E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显示器</w:t>
            </w:r>
          </w:p>
        </w:tc>
        <w:tc>
          <w:tcPr>
            <w:tcW w:w="6413" w:type="dxa"/>
            <w:tcBorders>
              <w:top w:val="single" w:color="auto" w:sz="4" w:space="0"/>
              <w:left w:val="nil"/>
              <w:bottom w:val="single" w:color="auto" w:sz="4" w:space="0"/>
              <w:right w:val="single" w:color="auto" w:sz="4" w:space="0"/>
            </w:tcBorders>
            <w:vAlign w:val="center"/>
          </w:tcPr>
          <w:p w14:paraId="1733C4AC">
            <w:pPr>
              <w:spacing w:line="280" w:lineRule="exact"/>
              <w:rPr>
                <w:rFonts w:ascii="宋体" w:hAnsi="宋体" w:cs="宋体"/>
                <w:color w:val="auto"/>
                <w:szCs w:val="21"/>
              </w:rPr>
            </w:pPr>
            <w:r>
              <w:rPr>
                <w:rFonts w:hint="eastAsia" w:ascii="宋体" w:hAnsi="宋体" w:cs="宋体"/>
                <w:color w:val="auto"/>
                <w:szCs w:val="21"/>
              </w:rPr>
              <w:t>27寸（与图形工作站的显示器同型号）</w:t>
            </w:r>
          </w:p>
          <w:p w14:paraId="2F864E63">
            <w:pPr>
              <w:pStyle w:val="75"/>
              <w:spacing w:line="280" w:lineRule="exact"/>
              <w:ind w:firstLine="0" w:firstLineChars="0"/>
              <w:rPr>
                <w:rFonts w:ascii="宋体" w:hAnsi="宋体" w:cs="宋体"/>
                <w:color w:val="auto"/>
                <w:sz w:val="21"/>
                <w:szCs w:val="21"/>
              </w:rPr>
            </w:pPr>
            <w:r>
              <w:rPr>
                <w:rFonts w:hint="eastAsia" w:ascii="宋体" w:hAnsi="宋体" w:cs="宋体"/>
                <w:color w:val="auto"/>
                <w:sz w:val="21"/>
                <w:szCs w:val="21"/>
              </w:rPr>
              <w:t>1、IPS屏</w:t>
            </w:r>
          </w:p>
          <w:p w14:paraId="76EF253C">
            <w:pPr>
              <w:pStyle w:val="75"/>
              <w:spacing w:line="280" w:lineRule="exact"/>
              <w:ind w:firstLine="0" w:firstLineChars="0"/>
              <w:rPr>
                <w:rFonts w:ascii="宋体" w:hAnsi="宋体" w:cs="宋体"/>
                <w:color w:val="auto"/>
                <w:sz w:val="21"/>
                <w:szCs w:val="21"/>
              </w:rPr>
            </w:pPr>
            <w:r>
              <w:rPr>
                <w:rFonts w:hint="eastAsia" w:ascii="宋体" w:hAnsi="宋体" w:cs="宋体"/>
                <w:color w:val="auto"/>
                <w:sz w:val="21"/>
                <w:szCs w:val="21"/>
              </w:rPr>
              <w:t>2、分辨率≥2K</w:t>
            </w:r>
          </w:p>
          <w:p w14:paraId="7B0CADF4">
            <w:pPr>
              <w:pStyle w:val="75"/>
              <w:spacing w:line="280" w:lineRule="exact"/>
              <w:ind w:firstLine="0" w:firstLineChars="0"/>
              <w:rPr>
                <w:rFonts w:ascii="宋体" w:hAnsi="宋体" w:cs="宋体"/>
                <w:color w:val="auto"/>
                <w:sz w:val="21"/>
                <w:szCs w:val="21"/>
              </w:rPr>
            </w:pPr>
            <w:r>
              <w:rPr>
                <w:rFonts w:hint="eastAsia" w:ascii="宋体" w:hAnsi="宋体" w:cs="宋体"/>
                <w:color w:val="auto"/>
                <w:sz w:val="21"/>
                <w:szCs w:val="21"/>
              </w:rPr>
              <w:t>3、屏幕刷新率≥100Hz</w:t>
            </w:r>
          </w:p>
          <w:p w14:paraId="337875F9">
            <w:pPr>
              <w:pStyle w:val="75"/>
              <w:spacing w:line="280" w:lineRule="exact"/>
              <w:ind w:firstLine="0" w:firstLineChars="0"/>
              <w:rPr>
                <w:rFonts w:ascii="宋体" w:hAnsi="宋体" w:cs="宋体"/>
                <w:color w:val="auto"/>
                <w:sz w:val="21"/>
                <w:szCs w:val="21"/>
              </w:rPr>
            </w:pPr>
            <w:r>
              <w:rPr>
                <w:rFonts w:hint="eastAsia" w:ascii="宋体" w:hAnsi="宋体" w:cs="宋体"/>
                <w:color w:val="auto"/>
                <w:sz w:val="21"/>
                <w:szCs w:val="21"/>
              </w:rPr>
              <w:t>4、带内置音箱</w:t>
            </w:r>
          </w:p>
        </w:tc>
      </w:tr>
      <w:tr w14:paraId="229F2E82">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19DACC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9</w:t>
            </w:r>
          </w:p>
        </w:tc>
        <w:tc>
          <w:tcPr>
            <w:tcW w:w="1092" w:type="dxa"/>
            <w:tcBorders>
              <w:top w:val="single" w:color="auto" w:sz="4" w:space="0"/>
              <w:left w:val="nil"/>
              <w:bottom w:val="single" w:color="auto" w:sz="4" w:space="0"/>
              <w:right w:val="single" w:color="auto" w:sz="4" w:space="0"/>
            </w:tcBorders>
            <w:vAlign w:val="center"/>
          </w:tcPr>
          <w:p w14:paraId="297CC40D">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电梯无线网桥</w:t>
            </w:r>
          </w:p>
        </w:tc>
        <w:tc>
          <w:tcPr>
            <w:tcW w:w="6413" w:type="dxa"/>
            <w:tcBorders>
              <w:top w:val="single" w:color="auto" w:sz="4" w:space="0"/>
              <w:left w:val="nil"/>
              <w:bottom w:val="single" w:color="auto" w:sz="4" w:space="0"/>
              <w:right w:val="single" w:color="auto" w:sz="4" w:space="0"/>
            </w:tcBorders>
            <w:vAlign w:val="center"/>
          </w:tcPr>
          <w:p w14:paraId="5B402FD4">
            <w:pPr>
              <w:widowControl/>
              <w:numPr>
                <w:ilvl w:val="0"/>
                <w:numId w:val="4"/>
              </w:numPr>
              <w:spacing w:line="280" w:lineRule="exact"/>
              <w:jc w:val="left"/>
              <w:rPr>
                <w:rFonts w:ascii="宋体" w:hAnsi="宋体" w:cs="宋体"/>
                <w:color w:val="auto"/>
                <w:szCs w:val="21"/>
              </w:rPr>
            </w:pPr>
            <w:r>
              <w:rPr>
                <w:rFonts w:hint="eastAsia" w:ascii="宋体" w:hAnsi="宋体" w:cs="宋体"/>
                <w:color w:val="auto"/>
                <w:szCs w:val="21"/>
              </w:rPr>
              <w:t>安全：智能识别终端终端准入管控；</w:t>
            </w:r>
          </w:p>
          <w:p w14:paraId="1F93F569">
            <w:pPr>
              <w:widowControl/>
              <w:numPr>
                <w:ilvl w:val="0"/>
                <w:numId w:val="4"/>
              </w:numPr>
              <w:spacing w:line="280" w:lineRule="exact"/>
              <w:jc w:val="left"/>
              <w:rPr>
                <w:rFonts w:ascii="宋体" w:hAnsi="宋体" w:cs="宋体"/>
                <w:color w:val="auto"/>
                <w:szCs w:val="21"/>
              </w:rPr>
            </w:pPr>
            <w:r>
              <w:rPr>
                <w:rFonts w:hint="eastAsia" w:ascii="宋体" w:hAnsi="宋体" w:cs="宋体"/>
                <w:color w:val="auto"/>
                <w:szCs w:val="21"/>
              </w:rPr>
              <w:t>可靠：无线抗干扰故障可自愈；</w:t>
            </w:r>
          </w:p>
          <w:p w14:paraId="13FB4CE5">
            <w:pPr>
              <w:widowControl/>
              <w:spacing w:line="280" w:lineRule="exact"/>
              <w:rPr>
                <w:rFonts w:ascii="宋体" w:hAnsi="宋体" w:cs="宋体"/>
                <w:color w:val="auto"/>
                <w:szCs w:val="21"/>
              </w:rPr>
            </w:pPr>
            <w:r>
              <w:rPr>
                <w:rFonts w:hint="eastAsia" w:ascii="宋体" w:hAnsi="宋体" w:cs="宋体"/>
                <w:color w:val="auto"/>
                <w:szCs w:val="21"/>
              </w:rPr>
              <w:t>3、智简：APP、客户端统一管理拓扑可视化、智能运维；</w:t>
            </w:r>
          </w:p>
          <w:p w14:paraId="7B3309BC">
            <w:pPr>
              <w:widowControl/>
              <w:spacing w:line="280" w:lineRule="exact"/>
              <w:rPr>
                <w:rFonts w:ascii="宋体" w:hAnsi="宋体" w:cs="宋体"/>
                <w:color w:val="auto"/>
                <w:szCs w:val="21"/>
              </w:rPr>
            </w:pPr>
            <w:r>
              <w:rPr>
                <w:rFonts w:hint="eastAsia" w:ascii="宋体" w:hAnsi="宋体" w:cs="宋体"/>
                <w:color w:val="auto"/>
                <w:szCs w:val="21"/>
              </w:rPr>
              <w:t>4、成对包装，免配置；</w:t>
            </w:r>
          </w:p>
          <w:p w14:paraId="508D26E7">
            <w:pPr>
              <w:widowControl/>
              <w:spacing w:line="280" w:lineRule="exact"/>
              <w:rPr>
                <w:rFonts w:ascii="宋体" w:hAnsi="宋体" w:cs="宋体"/>
                <w:color w:val="auto"/>
                <w:szCs w:val="21"/>
              </w:rPr>
            </w:pPr>
            <w:r>
              <w:rPr>
                <w:rFonts w:hint="eastAsia" w:ascii="宋体" w:hAnsi="宋体" w:cs="宋体"/>
                <w:color w:val="auto"/>
                <w:szCs w:val="21"/>
              </w:rPr>
              <w:t>5、传输稳定不卡顿；</w:t>
            </w:r>
          </w:p>
          <w:p w14:paraId="22D53725">
            <w:pPr>
              <w:widowControl/>
              <w:spacing w:line="280" w:lineRule="exact"/>
              <w:rPr>
                <w:rFonts w:ascii="宋体" w:hAnsi="宋体" w:cs="宋体"/>
                <w:color w:val="auto"/>
                <w:szCs w:val="21"/>
              </w:rPr>
            </w:pPr>
            <w:r>
              <w:rPr>
                <w:rFonts w:hint="eastAsia" w:ascii="宋体" w:hAnsi="宋体" w:cs="宋体"/>
                <w:color w:val="auto"/>
                <w:szCs w:val="21"/>
              </w:rPr>
              <w:t>6、机房端支持标准POE受电；</w:t>
            </w:r>
          </w:p>
          <w:p w14:paraId="7184FC41">
            <w:pPr>
              <w:spacing w:line="280" w:lineRule="exact"/>
              <w:rPr>
                <w:rFonts w:ascii="宋体" w:hAnsi="宋体" w:cs="宋体"/>
                <w:color w:val="auto"/>
                <w:szCs w:val="21"/>
              </w:rPr>
            </w:pPr>
            <w:r>
              <w:rPr>
                <w:rFonts w:hint="eastAsia" w:ascii="宋体" w:hAnsi="宋体" w:cs="宋体"/>
                <w:color w:val="auto"/>
                <w:szCs w:val="21"/>
              </w:rPr>
              <w:t>7、摄像机端支持标准POE供电。</w:t>
            </w:r>
          </w:p>
        </w:tc>
      </w:tr>
      <w:tr w14:paraId="5405A6CF">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A4FD63F">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10</w:t>
            </w:r>
          </w:p>
        </w:tc>
        <w:tc>
          <w:tcPr>
            <w:tcW w:w="1092" w:type="dxa"/>
            <w:tcBorders>
              <w:top w:val="single" w:color="auto" w:sz="4" w:space="0"/>
              <w:left w:val="nil"/>
              <w:bottom w:val="single" w:color="auto" w:sz="4" w:space="0"/>
              <w:right w:val="single" w:color="auto" w:sz="4" w:space="0"/>
            </w:tcBorders>
            <w:vAlign w:val="center"/>
          </w:tcPr>
          <w:p w14:paraId="099EC0A3">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千兆光模块</w:t>
            </w:r>
          </w:p>
        </w:tc>
        <w:tc>
          <w:tcPr>
            <w:tcW w:w="6413" w:type="dxa"/>
            <w:tcBorders>
              <w:top w:val="single" w:color="auto" w:sz="4" w:space="0"/>
              <w:left w:val="nil"/>
              <w:bottom w:val="single" w:color="auto" w:sz="4" w:space="0"/>
              <w:right w:val="single" w:color="auto" w:sz="4" w:space="0"/>
            </w:tcBorders>
            <w:vAlign w:val="center"/>
          </w:tcPr>
          <w:p w14:paraId="1E38E94E">
            <w:pPr>
              <w:widowControl/>
              <w:spacing w:line="280" w:lineRule="exact"/>
              <w:rPr>
                <w:rFonts w:ascii="宋体" w:hAnsi="宋体" w:cs="宋体"/>
                <w:color w:val="auto"/>
                <w:szCs w:val="21"/>
              </w:rPr>
            </w:pPr>
            <w:r>
              <w:rPr>
                <w:rFonts w:hint="eastAsia" w:ascii="宋体" w:hAnsi="宋体" w:cs="宋体"/>
                <w:color w:val="auto"/>
                <w:szCs w:val="21"/>
              </w:rPr>
              <w:t>10/100/1000兆自适应SFP光纤模块单模双纤，十百千兆自适应，带D 1.25G  波长1310nm 距离20KM LC接口单个/盒</w:t>
            </w:r>
          </w:p>
        </w:tc>
      </w:tr>
      <w:tr w14:paraId="61013F15">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167564C9">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11</w:t>
            </w:r>
          </w:p>
        </w:tc>
        <w:tc>
          <w:tcPr>
            <w:tcW w:w="1092" w:type="dxa"/>
            <w:tcBorders>
              <w:top w:val="single" w:color="auto" w:sz="4" w:space="0"/>
              <w:left w:val="nil"/>
              <w:bottom w:val="single" w:color="auto" w:sz="4" w:space="0"/>
              <w:right w:val="single" w:color="auto" w:sz="4" w:space="0"/>
            </w:tcBorders>
            <w:vAlign w:val="center"/>
          </w:tcPr>
          <w:p w14:paraId="5AA9BA14">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万兆光模块</w:t>
            </w:r>
          </w:p>
        </w:tc>
        <w:tc>
          <w:tcPr>
            <w:tcW w:w="6413" w:type="dxa"/>
            <w:tcBorders>
              <w:top w:val="single" w:color="auto" w:sz="4" w:space="0"/>
              <w:left w:val="nil"/>
              <w:bottom w:val="single" w:color="auto" w:sz="4" w:space="0"/>
              <w:right w:val="single" w:color="auto" w:sz="4" w:space="0"/>
            </w:tcBorders>
            <w:vAlign w:val="center"/>
          </w:tcPr>
          <w:p w14:paraId="42E52346">
            <w:pPr>
              <w:widowControl/>
              <w:spacing w:line="280" w:lineRule="exact"/>
              <w:rPr>
                <w:rFonts w:ascii="宋体" w:hAnsi="宋体" w:cs="宋体"/>
                <w:color w:val="auto"/>
                <w:szCs w:val="21"/>
              </w:rPr>
            </w:pPr>
            <w:r>
              <w:rPr>
                <w:rFonts w:hint="eastAsia" w:ascii="宋体" w:hAnsi="宋体" w:cs="宋体"/>
                <w:color w:val="auto"/>
                <w:szCs w:val="21"/>
              </w:rPr>
              <w:t>SFP+光纤模块 10G 单模双纤波长1310nm 距离10KM LC接口</w:t>
            </w:r>
          </w:p>
        </w:tc>
      </w:tr>
      <w:tr w14:paraId="1B0D81F5">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0A2B19E">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12</w:t>
            </w:r>
          </w:p>
        </w:tc>
        <w:tc>
          <w:tcPr>
            <w:tcW w:w="1092" w:type="dxa"/>
            <w:tcBorders>
              <w:top w:val="single" w:color="auto" w:sz="4" w:space="0"/>
              <w:left w:val="nil"/>
              <w:bottom w:val="single" w:color="auto" w:sz="4" w:space="0"/>
              <w:right w:val="single" w:color="auto" w:sz="4" w:space="0"/>
            </w:tcBorders>
            <w:vAlign w:val="center"/>
          </w:tcPr>
          <w:p w14:paraId="6E8D603C">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24芯单模层绞式铠装光缆</w:t>
            </w:r>
          </w:p>
        </w:tc>
        <w:tc>
          <w:tcPr>
            <w:tcW w:w="6413" w:type="dxa"/>
            <w:tcBorders>
              <w:top w:val="single" w:color="auto" w:sz="4" w:space="0"/>
              <w:left w:val="nil"/>
              <w:bottom w:val="single" w:color="auto" w:sz="4" w:space="0"/>
              <w:right w:val="single" w:color="auto" w:sz="4" w:space="0"/>
            </w:tcBorders>
            <w:vAlign w:val="center"/>
          </w:tcPr>
          <w:p w14:paraId="42939335">
            <w:pPr>
              <w:widowControl/>
              <w:spacing w:line="280" w:lineRule="exact"/>
              <w:rPr>
                <w:rFonts w:ascii="宋体" w:hAnsi="宋体" w:cs="宋体"/>
                <w:color w:val="auto"/>
                <w:szCs w:val="21"/>
              </w:rPr>
            </w:pPr>
            <w:r>
              <w:rPr>
                <w:rFonts w:hint="eastAsia" w:ascii="宋体" w:hAnsi="宋体" w:cs="宋体"/>
                <w:color w:val="auto"/>
                <w:szCs w:val="21"/>
              </w:rPr>
              <w:t>1、执行标准：YD/T 901、ISO/IEC 11801等</w:t>
            </w:r>
          </w:p>
          <w:p w14:paraId="7E23EE10">
            <w:pPr>
              <w:widowControl/>
              <w:spacing w:line="280" w:lineRule="exact"/>
              <w:rPr>
                <w:rFonts w:ascii="宋体" w:hAnsi="宋体" w:cs="宋体"/>
                <w:color w:val="auto"/>
                <w:szCs w:val="21"/>
              </w:rPr>
            </w:pPr>
            <w:r>
              <w:rPr>
                <w:rFonts w:hint="eastAsia" w:ascii="宋体" w:hAnsi="宋体" w:cs="宋体"/>
                <w:color w:val="auto"/>
                <w:szCs w:val="21"/>
              </w:rPr>
              <w:t>2、光缆结构：金属加强构件、松套层绞填充式、钢-聚乙烯粘结护套、松套管内放置光纤并填充膏状复合物为主要结构，全截面阻水工艺，管内光纤采用全色谱识别</w:t>
            </w:r>
          </w:p>
          <w:p w14:paraId="32FE9414">
            <w:pPr>
              <w:widowControl/>
              <w:spacing w:line="280" w:lineRule="exact"/>
              <w:rPr>
                <w:rFonts w:ascii="宋体" w:hAnsi="宋体" w:cs="宋体"/>
                <w:color w:val="auto"/>
                <w:szCs w:val="21"/>
              </w:rPr>
            </w:pPr>
            <w:r>
              <w:rPr>
                <w:rFonts w:hint="eastAsia" w:ascii="宋体" w:hAnsi="宋体" w:cs="宋体"/>
                <w:color w:val="auto"/>
                <w:szCs w:val="21"/>
              </w:rPr>
              <w:t>3、填充物：松套管间隙采用触变型填充复合物（油膏），缆芯填充阻水物防止水份渗入</w:t>
            </w:r>
          </w:p>
          <w:p w14:paraId="347D0C4D">
            <w:pPr>
              <w:widowControl/>
              <w:spacing w:line="280" w:lineRule="exact"/>
              <w:rPr>
                <w:rFonts w:ascii="宋体" w:hAnsi="宋体" w:cs="宋体"/>
                <w:color w:val="auto"/>
                <w:szCs w:val="21"/>
              </w:rPr>
            </w:pPr>
            <w:r>
              <w:rPr>
                <w:rFonts w:hint="eastAsia" w:ascii="宋体" w:hAnsi="宋体" w:cs="宋体"/>
                <w:color w:val="auto"/>
                <w:szCs w:val="21"/>
              </w:rPr>
              <w:t>4、钢带：搭接重叠≥5mm</w:t>
            </w:r>
          </w:p>
          <w:p w14:paraId="4666D942">
            <w:pPr>
              <w:widowControl/>
              <w:spacing w:line="280" w:lineRule="exact"/>
              <w:rPr>
                <w:rFonts w:ascii="宋体" w:hAnsi="宋体" w:cs="宋体"/>
                <w:color w:val="auto"/>
                <w:szCs w:val="21"/>
              </w:rPr>
            </w:pPr>
            <w:r>
              <w:rPr>
                <w:rFonts w:hint="eastAsia" w:ascii="宋体" w:hAnsi="宋体" w:cs="宋体"/>
                <w:color w:val="auto"/>
                <w:szCs w:val="21"/>
              </w:rPr>
              <w:t>5、纤芯：B1.3类（G.652D）A级纤芯，同批次模场直径一致</w:t>
            </w:r>
          </w:p>
          <w:p w14:paraId="7D86CC5B">
            <w:pPr>
              <w:widowControl/>
              <w:spacing w:line="280" w:lineRule="exact"/>
              <w:rPr>
                <w:rFonts w:ascii="宋体" w:hAnsi="宋体" w:cs="宋体"/>
                <w:color w:val="auto"/>
                <w:szCs w:val="21"/>
              </w:rPr>
            </w:pPr>
            <w:r>
              <w:rPr>
                <w:rFonts w:hint="eastAsia" w:ascii="宋体" w:hAnsi="宋体" w:cs="宋体"/>
                <w:color w:val="auto"/>
                <w:szCs w:val="21"/>
              </w:rPr>
              <w:t>6、加强件：单根中心磷化钢丝</w:t>
            </w:r>
          </w:p>
          <w:p w14:paraId="1C84F94B">
            <w:pPr>
              <w:widowControl/>
              <w:spacing w:line="280" w:lineRule="exact"/>
              <w:rPr>
                <w:rFonts w:ascii="宋体" w:hAnsi="宋体" w:cs="宋体"/>
                <w:color w:val="auto"/>
                <w:szCs w:val="21"/>
              </w:rPr>
            </w:pPr>
            <w:r>
              <w:rPr>
                <w:rFonts w:hint="eastAsia" w:ascii="宋体" w:hAnsi="宋体" w:cs="宋体"/>
                <w:color w:val="auto"/>
                <w:szCs w:val="21"/>
              </w:rPr>
              <w:t>7、芯数：2-144芯可选护套：黑色PE</w:t>
            </w:r>
          </w:p>
          <w:p w14:paraId="5FD2AD21">
            <w:pPr>
              <w:widowControl/>
              <w:spacing w:line="280" w:lineRule="exact"/>
              <w:rPr>
                <w:rFonts w:ascii="宋体" w:hAnsi="宋体" w:cs="宋体"/>
                <w:color w:val="auto"/>
                <w:szCs w:val="21"/>
              </w:rPr>
            </w:pPr>
            <w:r>
              <w:rPr>
                <w:rFonts w:hint="eastAsia" w:ascii="宋体" w:hAnsi="宋体" w:cs="宋体"/>
                <w:color w:val="auto"/>
                <w:szCs w:val="21"/>
              </w:rPr>
              <w:t>8、衰减系数（dB/Km）:≤0.36@1310nm，≤0.24@1550nm</w:t>
            </w:r>
          </w:p>
          <w:p w14:paraId="49439D0A">
            <w:pPr>
              <w:widowControl/>
              <w:spacing w:line="280" w:lineRule="exact"/>
              <w:rPr>
                <w:rFonts w:ascii="宋体" w:hAnsi="宋体" w:cs="宋体"/>
                <w:color w:val="auto"/>
                <w:szCs w:val="21"/>
              </w:rPr>
            </w:pPr>
            <w:r>
              <w:rPr>
                <w:rFonts w:hint="eastAsia" w:ascii="宋体" w:hAnsi="宋体" w:cs="宋体"/>
                <w:color w:val="auto"/>
                <w:szCs w:val="21"/>
              </w:rPr>
              <w:t>9、允许压扁力长期/短期：300/1000N</w:t>
            </w:r>
          </w:p>
          <w:p w14:paraId="4DCC2B5B">
            <w:pPr>
              <w:widowControl/>
              <w:spacing w:line="280" w:lineRule="exact"/>
              <w:rPr>
                <w:rFonts w:ascii="宋体" w:hAnsi="宋体" w:cs="宋体"/>
                <w:color w:val="auto"/>
                <w:szCs w:val="21"/>
              </w:rPr>
            </w:pPr>
            <w:r>
              <w:rPr>
                <w:rFonts w:hint="eastAsia" w:ascii="宋体" w:hAnsi="宋体" w:cs="宋体"/>
                <w:color w:val="auto"/>
                <w:szCs w:val="21"/>
              </w:rPr>
              <w:t>10、允许拉伸力长期/短期：600/1500N</w:t>
            </w:r>
          </w:p>
          <w:p w14:paraId="2E348C2A">
            <w:pPr>
              <w:widowControl/>
              <w:spacing w:line="280" w:lineRule="exact"/>
              <w:rPr>
                <w:rFonts w:ascii="宋体" w:hAnsi="宋体" w:cs="宋体"/>
                <w:color w:val="auto"/>
                <w:szCs w:val="21"/>
              </w:rPr>
            </w:pPr>
            <w:r>
              <w:rPr>
                <w:rFonts w:hint="eastAsia" w:ascii="宋体" w:hAnsi="宋体" w:cs="宋体"/>
                <w:color w:val="auto"/>
                <w:szCs w:val="21"/>
              </w:rPr>
              <w:t>11、最小弯曲半径动态/静态：20D/10D</w:t>
            </w:r>
          </w:p>
          <w:p w14:paraId="27A62D29">
            <w:pPr>
              <w:widowControl/>
              <w:spacing w:line="280" w:lineRule="exact"/>
              <w:rPr>
                <w:rFonts w:ascii="宋体" w:hAnsi="宋体" w:cs="宋体"/>
                <w:color w:val="auto"/>
                <w:szCs w:val="21"/>
              </w:rPr>
            </w:pPr>
            <w:r>
              <w:rPr>
                <w:rFonts w:hint="eastAsia" w:ascii="宋体" w:hAnsi="宋体" w:cs="宋体"/>
                <w:color w:val="auto"/>
                <w:szCs w:val="21"/>
              </w:rPr>
              <w:t>12、适用于架空、管道等敷设方式</w:t>
            </w:r>
          </w:p>
          <w:p w14:paraId="4160B6F0">
            <w:pPr>
              <w:widowControl/>
              <w:spacing w:line="280" w:lineRule="exact"/>
              <w:rPr>
                <w:rFonts w:ascii="宋体" w:hAnsi="宋体" w:cs="宋体"/>
                <w:color w:val="auto"/>
                <w:szCs w:val="21"/>
              </w:rPr>
            </w:pPr>
            <w:r>
              <w:rPr>
                <w:rFonts w:hint="eastAsia" w:ascii="宋体" w:hAnsi="宋体" w:cs="宋体"/>
                <w:color w:val="auto"/>
                <w:szCs w:val="21"/>
              </w:rPr>
              <w:t>13、使用温度：-40℃~+70℃</w:t>
            </w:r>
          </w:p>
        </w:tc>
      </w:tr>
      <w:tr w14:paraId="4101956C">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7A0AC7D6">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13</w:t>
            </w:r>
          </w:p>
        </w:tc>
        <w:tc>
          <w:tcPr>
            <w:tcW w:w="1092" w:type="dxa"/>
            <w:tcBorders>
              <w:top w:val="single" w:color="auto" w:sz="4" w:space="0"/>
              <w:left w:val="nil"/>
              <w:bottom w:val="single" w:color="auto" w:sz="4" w:space="0"/>
              <w:right w:val="single" w:color="auto" w:sz="4" w:space="0"/>
            </w:tcBorders>
            <w:vAlign w:val="center"/>
          </w:tcPr>
          <w:p w14:paraId="577E3749">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12芯单模层绞式铠装光缆</w:t>
            </w:r>
          </w:p>
        </w:tc>
        <w:tc>
          <w:tcPr>
            <w:tcW w:w="6413" w:type="dxa"/>
            <w:tcBorders>
              <w:top w:val="single" w:color="auto" w:sz="4" w:space="0"/>
              <w:left w:val="nil"/>
              <w:bottom w:val="single" w:color="auto" w:sz="4" w:space="0"/>
              <w:right w:val="single" w:color="auto" w:sz="4" w:space="0"/>
            </w:tcBorders>
            <w:vAlign w:val="center"/>
          </w:tcPr>
          <w:p w14:paraId="4FC17144">
            <w:pPr>
              <w:widowControl/>
              <w:spacing w:line="280" w:lineRule="exact"/>
              <w:rPr>
                <w:rFonts w:ascii="宋体" w:hAnsi="宋体" w:cs="宋体"/>
                <w:color w:val="auto"/>
                <w:szCs w:val="21"/>
              </w:rPr>
            </w:pPr>
            <w:r>
              <w:rPr>
                <w:rFonts w:hint="eastAsia" w:ascii="宋体" w:hAnsi="宋体" w:cs="宋体"/>
                <w:color w:val="auto"/>
                <w:szCs w:val="21"/>
              </w:rPr>
              <w:t>室外单模层绞式光缆黑色 PE外被 12芯 G652D纤芯 9/125 线径9mm</w:t>
            </w:r>
          </w:p>
        </w:tc>
      </w:tr>
      <w:tr w14:paraId="5A3EBC54">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DEDA61A">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14</w:t>
            </w:r>
          </w:p>
        </w:tc>
        <w:tc>
          <w:tcPr>
            <w:tcW w:w="1092" w:type="dxa"/>
            <w:tcBorders>
              <w:top w:val="single" w:color="auto" w:sz="4" w:space="0"/>
              <w:left w:val="nil"/>
              <w:bottom w:val="single" w:color="auto" w:sz="4" w:space="0"/>
              <w:right w:val="single" w:color="auto" w:sz="4" w:space="0"/>
            </w:tcBorders>
            <w:vAlign w:val="center"/>
          </w:tcPr>
          <w:p w14:paraId="1B5C4786">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4芯单模层绞式铠装光缆</w:t>
            </w:r>
          </w:p>
        </w:tc>
        <w:tc>
          <w:tcPr>
            <w:tcW w:w="6413" w:type="dxa"/>
            <w:tcBorders>
              <w:top w:val="single" w:color="auto" w:sz="4" w:space="0"/>
              <w:left w:val="nil"/>
              <w:bottom w:val="single" w:color="auto" w:sz="4" w:space="0"/>
              <w:right w:val="single" w:color="auto" w:sz="4" w:space="0"/>
            </w:tcBorders>
            <w:vAlign w:val="center"/>
          </w:tcPr>
          <w:p w14:paraId="3AE47134">
            <w:pPr>
              <w:widowControl/>
              <w:spacing w:line="280" w:lineRule="exact"/>
              <w:rPr>
                <w:rFonts w:ascii="宋体" w:hAnsi="宋体" w:cs="宋体"/>
                <w:color w:val="auto"/>
                <w:szCs w:val="21"/>
              </w:rPr>
            </w:pPr>
            <w:r>
              <w:rPr>
                <w:rFonts w:hint="eastAsia" w:ascii="宋体" w:hAnsi="宋体" w:cs="宋体"/>
                <w:color w:val="auto"/>
                <w:szCs w:val="21"/>
              </w:rPr>
              <w:t>室外单模层绞式光缆黑色 PE外被 4芯 G652D纤芯 9/125 线径9mm</w:t>
            </w:r>
          </w:p>
        </w:tc>
      </w:tr>
      <w:tr w14:paraId="674A754A">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02D10DC">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15</w:t>
            </w:r>
          </w:p>
        </w:tc>
        <w:tc>
          <w:tcPr>
            <w:tcW w:w="1092" w:type="dxa"/>
            <w:tcBorders>
              <w:top w:val="single" w:color="auto" w:sz="4" w:space="0"/>
              <w:left w:val="nil"/>
              <w:bottom w:val="single" w:color="auto" w:sz="4" w:space="0"/>
              <w:right w:val="single" w:color="auto" w:sz="4" w:space="0"/>
            </w:tcBorders>
            <w:vAlign w:val="center"/>
          </w:tcPr>
          <w:p w14:paraId="7DBCF04F">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光纤配线架</w:t>
            </w:r>
          </w:p>
        </w:tc>
        <w:tc>
          <w:tcPr>
            <w:tcW w:w="6413" w:type="dxa"/>
            <w:tcBorders>
              <w:top w:val="single" w:color="auto" w:sz="4" w:space="0"/>
              <w:left w:val="nil"/>
              <w:bottom w:val="single" w:color="auto" w:sz="4" w:space="0"/>
              <w:right w:val="single" w:color="auto" w:sz="4" w:space="0"/>
            </w:tcBorders>
            <w:vAlign w:val="center"/>
          </w:tcPr>
          <w:p w14:paraId="6E219EE2">
            <w:pPr>
              <w:widowControl/>
              <w:spacing w:line="280" w:lineRule="exact"/>
              <w:rPr>
                <w:rFonts w:ascii="宋体" w:hAnsi="宋体" w:cs="宋体"/>
                <w:color w:val="auto"/>
                <w:szCs w:val="21"/>
              </w:rPr>
            </w:pPr>
            <w:r>
              <w:rPr>
                <w:rFonts w:hint="eastAsia" w:ascii="宋体" w:hAnsi="宋体" w:cs="宋体"/>
                <w:color w:val="auto"/>
                <w:szCs w:val="21"/>
              </w:rPr>
              <w:t>12芯空架标准19英寸机架式预留抽拉式熔纤盘槽尺寸：88x483x254mm 冷轧板贝吉色（可放1个ODF盘）</w:t>
            </w:r>
          </w:p>
        </w:tc>
      </w:tr>
      <w:tr w14:paraId="363B5CC5">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BA6BD49">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16</w:t>
            </w:r>
          </w:p>
        </w:tc>
        <w:tc>
          <w:tcPr>
            <w:tcW w:w="1092" w:type="dxa"/>
            <w:tcBorders>
              <w:top w:val="single" w:color="auto" w:sz="4" w:space="0"/>
              <w:left w:val="nil"/>
              <w:bottom w:val="single" w:color="auto" w:sz="4" w:space="0"/>
              <w:right w:val="single" w:color="auto" w:sz="4" w:space="0"/>
            </w:tcBorders>
            <w:vAlign w:val="center"/>
          </w:tcPr>
          <w:p w14:paraId="4F67D1B4">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熔纤盒</w:t>
            </w:r>
          </w:p>
        </w:tc>
        <w:tc>
          <w:tcPr>
            <w:tcW w:w="6413" w:type="dxa"/>
            <w:tcBorders>
              <w:top w:val="single" w:color="auto" w:sz="4" w:space="0"/>
              <w:left w:val="nil"/>
              <w:bottom w:val="single" w:color="auto" w:sz="4" w:space="0"/>
              <w:right w:val="single" w:color="auto" w:sz="4" w:space="0"/>
            </w:tcBorders>
            <w:vAlign w:val="center"/>
          </w:tcPr>
          <w:p w14:paraId="3027AB7D">
            <w:pPr>
              <w:widowControl/>
              <w:spacing w:line="280" w:lineRule="exact"/>
              <w:rPr>
                <w:rFonts w:ascii="宋体" w:hAnsi="宋体" w:cs="宋体"/>
                <w:color w:val="auto"/>
                <w:szCs w:val="21"/>
              </w:rPr>
            </w:pPr>
            <w:r>
              <w:rPr>
                <w:rFonts w:hint="eastAsia" w:ascii="宋体" w:hAnsi="宋体" w:cs="宋体"/>
                <w:color w:val="auto"/>
                <w:szCs w:val="21"/>
              </w:rPr>
              <w:t>光纤终端盒 4口4芯满配壁挂式单模 LC接口小号12芯熔接盘*1 尺寸：200*110*35mm 冷轧板0.7mm厚黑色</w:t>
            </w:r>
          </w:p>
        </w:tc>
      </w:tr>
      <w:tr w14:paraId="4175F95E">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3AE2951">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17</w:t>
            </w:r>
          </w:p>
        </w:tc>
        <w:tc>
          <w:tcPr>
            <w:tcW w:w="1092" w:type="dxa"/>
            <w:tcBorders>
              <w:top w:val="single" w:color="auto" w:sz="4" w:space="0"/>
              <w:left w:val="nil"/>
              <w:bottom w:val="single" w:color="auto" w:sz="4" w:space="0"/>
              <w:right w:val="single" w:color="auto" w:sz="4" w:space="0"/>
            </w:tcBorders>
            <w:vAlign w:val="center"/>
          </w:tcPr>
          <w:p w14:paraId="171A5CC1">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耦合器</w:t>
            </w:r>
          </w:p>
        </w:tc>
        <w:tc>
          <w:tcPr>
            <w:tcW w:w="6413" w:type="dxa"/>
            <w:tcBorders>
              <w:top w:val="single" w:color="auto" w:sz="4" w:space="0"/>
              <w:left w:val="nil"/>
              <w:bottom w:val="single" w:color="auto" w:sz="4" w:space="0"/>
              <w:right w:val="single" w:color="auto" w:sz="4" w:space="0"/>
            </w:tcBorders>
            <w:vAlign w:val="center"/>
          </w:tcPr>
          <w:p w14:paraId="095C7B21">
            <w:pPr>
              <w:widowControl/>
              <w:spacing w:line="280" w:lineRule="exact"/>
              <w:rPr>
                <w:rFonts w:ascii="宋体" w:hAnsi="宋体" w:cs="宋体"/>
                <w:color w:val="auto"/>
                <w:szCs w:val="21"/>
              </w:rPr>
            </w:pPr>
            <w:r>
              <w:rPr>
                <w:rFonts w:hint="eastAsia" w:ascii="宋体" w:hAnsi="宋体" w:cs="宋体"/>
                <w:color w:val="auto"/>
                <w:szCs w:val="21"/>
              </w:rPr>
              <w:t>LC-LC双工光纤跳线延长对接头耦合器</w:t>
            </w:r>
          </w:p>
        </w:tc>
      </w:tr>
      <w:tr w14:paraId="24E7B2D0">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A440EDA">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18</w:t>
            </w:r>
          </w:p>
        </w:tc>
        <w:tc>
          <w:tcPr>
            <w:tcW w:w="1092" w:type="dxa"/>
            <w:tcBorders>
              <w:top w:val="single" w:color="auto" w:sz="4" w:space="0"/>
              <w:left w:val="nil"/>
              <w:bottom w:val="single" w:color="auto" w:sz="4" w:space="0"/>
              <w:right w:val="single" w:color="auto" w:sz="4" w:space="0"/>
            </w:tcBorders>
            <w:vAlign w:val="center"/>
          </w:tcPr>
          <w:p w14:paraId="47DD4095">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尾纤</w:t>
            </w:r>
          </w:p>
        </w:tc>
        <w:tc>
          <w:tcPr>
            <w:tcW w:w="6413" w:type="dxa"/>
            <w:tcBorders>
              <w:top w:val="single" w:color="auto" w:sz="4" w:space="0"/>
              <w:left w:val="nil"/>
              <w:bottom w:val="single" w:color="auto" w:sz="4" w:space="0"/>
              <w:right w:val="single" w:color="auto" w:sz="4" w:space="0"/>
            </w:tcBorders>
            <w:vAlign w:val="center"/>
          </w:tcPr>
          <w:p w14:paraId="2B1DD0FC">
            <w:pPr>
              <w:widowControl/>
              <w:spacing w:line="280" w:lineRule="exact"/>
              <w:rPr>
                <w:rFonts w:ascii="宋体" w:hAnsi="宋体" w:cs="宋体"/>
                <w:color w:val="auto"/>
                <w:szCs w:val="21"/>
              </w:rPr>
            </w:pPr>
            <w:r>
              <w:rPr>
                <w:rFonts w:hint="eastAsia" w:ascii="宋体" w:hAnsi="宋体" w:cs="宋体"/>
                <w:color w:val="auto"/>
                <w:szCs w:val="21"/>
              </w:rPr>
              <w:t>LC接口</w:t>
            </w:r>
          </w:p>
        </w:tc>
      </w:tr>
      <w:tr w14:paraId="0092FBE2">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8714F9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19</w:t>
            </w:r>
          </w:p>
        </w:tc>
        <w:tc>
          <w:tcPr>
            <w:tcW w:w="1092" w:type="dxa"/>
            <w:tcBorders>
              <w:top w:val="single" w:color="auto" w:sz="4" w:space="0"/>
              <w:left w:val="nil"/>
              <w:bottom w:val="single" w:color="auto" w:sz="4" w:space="0"/>
              <w:right w:val="single" w:color="auto" w:sz="4" w:space="0"/>
            </w:tcBorders>
            <w:vAlign w:val="center"/>
          </w:tcPr>
          <w:p w14:paraId="4402AB4E">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LC光线跳线</w:t>
            </w:r>
          </w:p>
        </w:tc>
        <w:tc>
          <w:tcPr>
            <w:tcW w:w="6413" w:type="dxa"/>
            <w:tcBorders>
              <w:top w:val="single" w:color="auto" w:sz="4" w:space="0"/>
              <w:left w:val="nil"/>
              <w:bottom w:val="single" w:color="auto" w:sz="4" w:space="0"/>
              <w:right w:val="single" w:color="auto" w:sz="4" w:space="0"/>
            </w:tcBorders>
            <w:vAlign w:val="center"/>
          </w:tcPr>
          <w:p w14:paraId="5B38A0AC">
            <w:pPr>
              <w:widowControl/>
              <w:spacing w:line="280" w:lineRule="exact"/>
              <w:rPr>
                <w:rFonts w:ascii="宋体" w:hAnsi="宋体" w:cs="宋体"/>
                <w:color w:val="auto"/>
                <w:szCs w:val="21"/>
              </w:rPr>
            </w:pPr>
            <w:r>
              <w:rPr>
                <w:rFonts w:hint="eastAsia" w:ascii="宋体" w:hAnsi="宋体" w:cs="宋体"/>
                <w:color w:val="auto"/>
                <w:szCs w:val="21"/>
              </w:rPr>
              <w:t>1、连接器插头采用氧化锆精密陶瓷，在装配和抛光生产环节中，保证每一个连接器都具备极低的插入损耗，符合ISO/IEC 11801、YD/T926.3和ANSI/TIA-568.3-D标准；</w:t>
            </w:r>
          </w:p>
          <w:p w14:paraId="7F39F4A7">
            <w:pPr>
              <w:widowControl/>
              <w:spacing w:line="280" w:lineRule="exact"/>
              <w:rPr>
                <w:rFonts w:ascii="宋体" w:hAnsi="宋体" w:cs="宋体"/>
                <w:color w:val="auto"/>
                <w:szCs w:val="21"/>
              </w:rPr>
            </w:pPr>
            <w:r>
              <w:rPr>
                <w:rFonts w:hint="eastAsia" w:ascii="宋体" w:hAnsi="宋体" w:cs="宋体"/>
                <w:color w:val="auto"/>
                <w:szCs w:val="21"/>
              </w:rPr>
              <w:t>2、出厂前进行100%光学性能测试、产品具有IL插入损耗低、RL回波损耗高等特点；</w:t>
            </w:r>
          </w:p>
          <w:p w14:paraId="343063BA">
            <w:pPr>
              <w:widowControl/>
              <w:spacing w:line="280" w:lineRule="exact"/>
              <w:rPr>
                <w:rFonts w:ascii="宋体" w:hAnsi="宋体" w:cs="宋体"/>
                <w:color w:val="auto"/>
                <w:szCs w:val="21"/>
              </w:rPr>
            </w:pPr>
            <w:r>
              <w:rPr>
                <w:rFonts w:hint="eastAsia" w:ascii="宋体" w:hAnsi="宋体" w:cs="宋体"/>
                <w:color w:val="auto"/>
                <w:szCs w:val="21"/>
              </w:rPr>
              <w:t>3、采用弯曲不敏感光纤、内置芳纶、具有轻便、柔软、小型化等优点；</w:t>
            </w:r>
          </w:p>
          <w:p w14:paraId="5A3EA761">
            <w:pPr>
              <w:widowControl/>
              <w:spacing w:line="280" w:lineRule="exact"/>
              <w:rPr>
                <w:rFonts w:ascii="宋体" w:hAnsi="宋体" w:cs="宋体"/>
                <w:color w:val="auto"/>
                <w:szCs w:val="21"/>
              </w:rPr>
            </w:pPr>
            <w:r>
              <w:rPr>
                <w:rFonts w:hint="eastAsia" w:ascii="宋体" w:hAnsi="宋体" w:cs="宋体"/>
                <w:color w:val="auto"/>
                <w:szCs w:val="21"/>
              </w:rPr>
              <w:t>4、可选用插头类型：LC、SC、ST、FC等；</w:t>
            </w:r>
          </w:p>
          <w:p w14:paraId="78844501">
            <w:pPr>
              <w:widowControl/>
              <w:spacing w:line="280" w:lineRule="exact"/>
              <w:rPr>
                <w:rFonts w:ascii="宋体" w:hAnsi="宋体" w:cs="宋体"/>
                <w:color w:val="auto"/>
                <w:szCs w:val="21"/>
              </w:rPr>
            </w:pPr>
            <w:r>
              <w:rPr>
                <w:rFonts w:hint="eastAsia" w:ascii="宋体" w:hAnsi="宋体" w:cs="宋体"/>
                <w:color w:val="auto"/>
                <w:szCs w:val="21"/>
              </w:rPr>
              <w:t>5、光纤等级：单模9/125μm（OS2）；</w:t>
            </w:r>
          </w:p>
          <w:p w14:paraId="2B16A41C">
            <w:pPr>
              <w:widowControl/>
              <w:spacing w:line="280" w:lineRule="exact"/>
              <w:rPr>
                <w:rFonts w:ascii="宋体" w:hAnsi="宋体" w:cs="宋体"/>
                <w:color w:val="auto"/>
                <w:szCs w:val="21"/>
              </w:rPr>
            </w:pPr>
            <w:r>
              <w:rPr>
                <w:rFonts w:hint="eastAsia" w:ascii="宋体" w:hAnsi="宋体" w:cs="宋体"/>
                <w:color w:val="auto"/>
                <w:szCs w:val="21"/>
              </w:rPr>
              <w:t>6、研磨方式：UPC；</w:t>
            </w:r>
          </w:p>
          <w:p w14:paraId="21C1F22D">
            <w:pPr>
              <w:widowControl/>
              <w:spacing w:line="280" w:lineRule="exact"/>
              <w:rPr>
                <w:rFonts w:ascii="宋体" w:hAnsi="宋体" w:cs="宋体"/>
                <w:color w:val="auto"/>
                <w:szCs w:val="21"/>
              </w:rPr>
            </w:pPr>
            <w:r>
              <w:rPr>
                <w:rFonts w:hint="eastAsia" w:ascii="宋体" w:hAnsi="宋体" w:cs="宋体"/>
                <w:color w:val="auto"/>
                <w:szCs w:val="21"/>
              </w:rPr>
              <w:t>7、长度：标配3M或定制长度；</w:t>
            </w:r>
          </w:p>
          <w:p w14:paraId="71EBFC99">
            <w:pPr>
              <w:widowControl/>
              <w:spacing w:line="280" w:lineRule="exact"/>
              <w:rPr>
                <w:rFonts w:ascii="宋体" w:hAnsi="宋体" w:cs="宋体"/>
                <w:color w:val="auto"/>
                <w:szCs w:val="21"/>
              </w:rPr>
            </w:pPr>
            <w:r>
              <w:rPr>
                <w:rFonts w:hint="eastAsia" w:ascii="宋体" w:hAnsi="宋体" w:cs="宋体"/>
                <w:color w:val="auto"/>
                <w:szCs w:val="21"/>
              </w:rPr>
              <w:t>8、护套：PVC或选用LSZH；</w:t>
            </w:r>
          </w:p>
          <w:p w14:paraId="54525C5E">
            <w:pPr>
              <w:widowControl/>
              <w:spacing w:line="280" w:lineRule="exact"/>
              <w:rPr>
                <w:rFonts w:ascii="宋体" w:hAnsi="宋体" w:cs="宋体"/>
                <w:color w:val="auto"/>
                <w:szCs w:val="21"/>
              </w:rPr>
            </w:pPr>
            <w:r>
              <w:rPr>
                <w:rFonts w:hint="eastAsia" w:ascii="宋体" w:hAnsi="宋体" w:cs="宋体"/>
                <w:color w:val="auto"/>
                <w:szCs w:val="21"/>
              </w:rPr>
              <w:t>9、插入损耗：≤0.3dB；</w:t>
            </w:r>
          </w:p>
          <w:p w14:paraId="26BD472E">
            <w:pPr>
              <w:widowControl/>
              <w:spacing w:line="280" w:lineRule="exact"/>
              <w:rPr>
                <w:rFonts w:ascii="宋体" w:hAnsi="宋体" w:cs="宋体"/>
                <w:color w:val="auto"/>
                <w:szCs w:val="21"/>
              </w:rPr>
            </w:pPr>
            <w:r>
              <w:rPr>
                <w:rFonts w:hint="eastAsia" w:ascii="宋体" w:hAnsi="宋体" w:cs="宋体"/>
                <w:color w:val="auto"/>
                <w:szCs w:val="21"/>
              </w:rPr>
              <w:t>10、回波损耗：≥55dB；</w:t>
            </w:r>
          </w:p>
          <w:p w14:paraId="599A1A1E">
            <w:pPr>
              <w:widowControl/>
              <w:spacing w:line="280" w:lineRule="exact"/>
              <w:rPr>
                <w:rFonts w:ascii="宋体" w:hAnsi="宋体" w:cs="宋体"/>
                <w:color w:val="auto"/>
                <w:szCs w:val="21"/>
              </w:rPr>
            </w:pPr>
            <w:r>
              <w:rPr>
                <w:rFonts w:hint="eastAsia" w:ascii="宋体" w:hAnsi="宋体" w:cs="宋体"/>
                <w:color w:val="auto"/>
                <w:szCs w:val="21"/>
              </w:rPr>
              <w:t>11、插拔次数：≥1000次；</w:t>
            </w:r>
          </w:p>
          <w:p w14:paraId="68A7ADF8">
            <w:pPr>
              <w:widowControl/>
              <w:spacing w:line="280" w:lineRule="exact"/>
              <w:rPr>
                <w:rFonts w:ascii="宋体" w:hAnsi="宋体" w:cs="宋体"/>
                <w:color w:val="auto"/>
                <w:szCs w:val="21"/>
              </w:rPr>
            </w:pPr>
            <w:r>
              <w:rPr>
                <w:rFonts w:hint="eastAsia" w:ascii="宋体" w:hAnsi="宋体" w:cs="宋体"/>
                <w:color w:val="auto"/>
                <w:szCs w:val="21"/>
              </w:rPr>
              <w:t>12、使用温度：-40℃至85℃。</w:t>
            </w:r>
          </w:p>
        </w:tc>
      </w:tr>
      <w:tr w14:paraId="0A48A26C">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0E9E464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20</w:t>
            </w:r>
          </w:p>
        </w:tc>
        <w:tc>
          <w:tcPr>
            <w:tcW w:w="1092" w:type="dxa"/>
            <w:tcBorders>
              <w:top w:val="single" w:color="auto" w:sz="4" w:space="0"/>
              <w:left w:val="nil"/>
              <w:bottom w:val="single" w:color="auto" w:sz="4" w:space="0"/>
              <w:right w:val="single" w:color="auto" w:sz="4" w:space="0"/>
            </w:tcBorders>
            <w:vAlign w:val="center"/>
          </w:tcPr>
          <w:p w14:paraId="717DE532">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ODF配线架</w:t>
            </w:r>
          </w:p>
        </w:tc>
        <w:tc>
          <w:tcPr>
            <w:tcW w:w="6413" w:type="dxa"/>
            <w:tcBorders>
              <w:top w:val="single" w:color="auto" w:sz="4" w:space="0"/>
              <w:left w:val="nil"/>
              <w:bottom w:val="single" w:color="auto" w:sz="4" w:space="0"/>
              <w:right w:val="single" w:color="auto" w:sz="4" w:space="0"/>
            </w:tcBorders>
            <w:vAlign w:val="center"/>
          </w:tcPr>
          <w:p w14:paraId="68B83B99">
            <w:pPr>
              <w:widowControl/>
              <w:spacing w:line="280" w:lineRule="exact"/>
              <w:rPr>
                <w:rFonts w:ascii="宋体" w:hAnsi="宋体" w:cs="宋体"/>
                <w:color w:val="auto"/>
                <w:szCs w:val="21"/>
              </w:rPr>
            </w:pPr>
            <w:r>
              <w:rPr>
                <w:rFonts w:hint="eastAsia" w:ascii="宋体" w:hAnsi="宋体" w:cs="宋体"/>
                <w:color w:val="auto"/>
                <w:szCs w:val="21"/>
              </w:rPr>
              <w:t>144芯满配 LC双工接口单模标准19英寸机架式抽拉式12口24芯熔纤盘*6 尺寸：177x483x254mm 冷轧板贝吉色</w:t>
            </w:r>
          </w:p>
        </w:tc>
      </w:tr>
      <w:tr w14:paraId="75074F08">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80622BE">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21</w:t>
            </w:r>
          </w:p>
        </w:tc>
        <w:tc>
          <w:tcPr>
            <w:tcW w:w="1092" w:type="dxa"/>
            <w:tcBorders>
              <w:top w:val="single" w:color="auto" w:sz="4" w:space="0"/>
              <w:left w:val="nil"/>
              <w:bottom w:val="single" w:color="auto" w:sz="4" w:space="0"/>
              <w:right w:val="single" w:color="auto" w:sz="4" w:space="0"/>
            </w:tcBorders>
            <w:vAlign w:val="center"/>
          </w:tcPr>
          <w:p w14:paraId="19D2CA9D">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网络机柜</w:t>
            </w:r>
          </w:p>
        </w:tc>
        <w:tc>
          <w:tcPr>
            <w:tcW w:w="6413" w:type="dxa"/>
            <w:tcBorders>
              <w:top w:val="single" w:color="auto" w:sz="4" w:space="0"/>
              <w:left w:val="nil"/>
              <w:bottom w:val="single" w:color="auto" w:sz="4" w:space="0"/>
              <w:right w:val="single" w:color="auto" w:sz="4" w:space="0"/>
            </w:tcBorders>
            <w:vAlign w:val="center"/>
          </w:tcPr>
          <w:p w14:paraId="1470E7C3">
            <w:pPr>
              <w:widowControl/>
              <w:spacing w:line="280" w:lineRule="exact"/>
              <w:rPr>
                <w:rFonts w:ascii="宋体" w:hAnsi="宋体" w:cs="宋体"/>
                <w:color w:val="auto"/>
                <w:szCs w:val="21"/>
              </w:rPr>
            </w:pPr>
            <w:r>
              <w:rPr>
                <w:rFonts w:hint="eastAsia" w:ascii="宋体" w:hAnsi="宋体" w:cs="宋体"/>
                <w:color w:val="auto"/>
                <w:szCs w:val="21"/>
              </w:rPr>
              <w:t>800*800*2000，前玻璃后钢板</w:t>
            </w:r>
          </w:p>
        </w:tc>
      </w:tr>
      <w:tr w14:paraId="6C988C74">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04E93D7">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22</w:t>
            </w:r>
          </w:p>
        </w:tc>
        <w:tc>
          <w:tcPr>
            <w:tcW w:w="1092" w:type="dxa"/>
            <w:tcBorders>
              <w:top w:val="single" w:color="auto" w:sz="4" w:space="0"/>
              <w:left w:val="nil"/>
              <w:bottom w:val="single" w:color="auto" w:sz="4" w:space="0"/>
              <w:right w:val="single" w:color="auto" w:sz="4" w:space="0"/>
            </w:tcBorders>
            <w:vAlign w:val="center"/>
          </w:tcPr>
          <w:p w14:paraId="5E323480">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网络机柜</w:t>
            </w:r>
          </w:p>
        </w:tc>
        <w:tc>
          <w:tcPr>
            <w:tcW w:w="6413" w:type="dxa"/>
            <w:tcBorders>
              <w:top w:val="single" w:color="auto" w:sz="4" w:space="0"/>
              <w:left w:val="nil"/>
              <w:bottom w:val="single" w:color="auto" w:sz="4" w:space="0"/>
              <w:right w:val="single" w:color="auto" w:sz="4" w:space="0"/>
            </w:tcBorders>
            <w:vAlign w:val="center"/>
          </w:tcPr>
          <w:p w14:paraId="0FAC04C2">
            <w:pPr>
              <w:widowControl/>
              <w:spacing w:line="280" w:lineRule="exact"/>
              <w:rPr>
                <w:rFonts w:ascii="宋体" w:hAnsi="宋体" w:cs="宋体"/>
                <w:color w:val="auto"/>
                <w:szCs w:val="21"/>
              </w:rPr>
            </w:pPr>
            <w:r>
              <w:rPr>
                <w:rFonts w:hint="eastAsia" w:ascii="宋体" w:hAnsi="宋体" w:cs="宋体"/>
                <w:color w:val="auto"/>
                <w:szCs w:val="21"/>
              </w:rPr>
              <w:t>600*440*501mm，前玻璃后钢板</w:t>
            </w:r>
          </w:p>
        </w:tc>
      </w:tr>
      <w:tr w14:paraId="58BEEFEA">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76CEDF37">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23</w:t>
            </w:r>
          </w:p>
        </w:tc>
        <w:tc>
          <w:tcPr>
            <w:tcW w:w="1092" w:type="dxa"/>
            <w:tcBorders>
              <w:top w:val="single" w:color="auto" w:sz="4" w:space="0"/>
              <w:left w:val="nil"/>
              <w:bottom w:val="single" w:color="auto" w:sz="4" w:space="0"/>
              <w:right w:val="single" w:color="auto" w:sz="4" w:space="0"/>
            </w:tcBorders>
            <w:vAlign w:val="center"/>
          </w:tcPr>
          <w:p w14:paraId="5DF749C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操作台</w:t>
            </w:r>
          </w:p>
        </w:tc>
        <w:tc>
          <w:tcPr>
            <w:tcW w:w="6413" w:type="dxa"/>
            <w:tcBorders>
              <w:top w:val="single" w:color="auto" w:sz="4" w:space="0"/>
              <w:left w:val="nil"/>
              <w:bottom w:val="single" w:color="auto" w:sz="4" w:space="0"/>
              <w:right w:val="single" w:color="auto" w:sz="4" w:space="0"/>
            </w:tcBorders>
            <w:vAlign w:val="center"/>
          </w:tcPr>
          <w:p w14:paraId="1E6772DF">
            <w:pPr>
              <w:widowControl/>
              <w:spacing w:line="280" w:lineRule="exact"/>
              <w:rPr>
                <w:rFonts w:ascii="宋体" w:hAnsi="宋体" w:cs="宋体"/>
                <w:color w:val="auto"/>
                <w:szCs w:val="21"/>
              </w:rPr>
            </w:pPr>
            <w:r>
              <w:rPr>
                <w:rFonts w:hint="eastAsia" w:ascii="宋体" w:hAnsi="宋体" w:cs="宋体"/>
                <w:color w:val="auto"/>
                <w:szCs w:val="21"/>
              </w:rPr>
              <w:t>四联，900*750*2400</w:t>
            </w:r>
          </w:p>
        </w:tc>
      </w:tr>
      <w:tr w14:paraId="095E49C8">
        <w:tblPrEx>
          <w:tblCellMar>
            <w:top w:w="0" w:type="dxa"/>
            <w:left w:w="108" w:type="dxa"/>
            <w:bottom w:w="0" w:type="dxa"/>
            <w:right w:w="108" w:type="dxa"/>
          </w:tblCellMar>
        </w:tblPrEx>
        <w:trPr>
          <w:trHeight w:val="372"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651A4DB8">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24</w:t>
            </w:r>
          </w:p>
        </w:tc>
        <w:tc>
          <w:tcPr>
            <w:tcW w:w="1092" w:type="dxa"/>
            <w:tcBorders>
              <w:top w:val="single" w:color="auto" w:sz="4" w:space="0"/>
              <w:left w:val="nil"/>
              <w:bottom w:val="single" w:color="auto" w:sz="4" w:space="0"/>
              <w:right w:val="single" w:color="auto" w:sz="4" w:space="0"/>
            </w:tcBorders>
            <w:vAlign w:val="center"/>
          </w:tcPr>
          <w:p w14:paraId="5EE23404">
            <w:pPr>
              <w:widowControl/>
              <w:spacing w:line="280" w:lineRule="exact"/>
              <w:jc w:val="center"/>
              <w:textAlignment w:val="center"/>
              <w:rPr>
                <w:rFonts w:ascii="宋体" w:hAnsi="宋体" w:cs="宋体"/>
                <w:color w:val="auto"/>
                <w:szCs w:val="21"/>
              </w:rPr>
            </w:pPr>
            <w:r>
              <w:rPr>
                <w:rFonts w:hint="eastAsia" w:ascii="宋体" w:hAnsi="宋体" w:cs="宋体"/>
                <w:color w:val="auto"/>
                <w:szCs w:val="21"/>
              </w:rPr>
              <w:t>系统集成</w:t>
            </w:r>
          </w:p>
        </w:tc>
        <w:tc>
          <w:tcPr>
            <w:tcW w:w="6413" w:type="dxa"/>
            <w:tcBorders>
              <w:top w:val="single" w:color="auto" w:sz="4" w:space="0"/>
              <w:left w:val="nil"/>
              <w:bottom w:val="single" w:color="auto" w:sz="4" w:space="0"/>
              <w:right w:val="single" w:color="auto" w:sz="4" w:space="0"/>
            </w:tcBorders>
            <w:vAlign w:val="center"/>
          </w:tcPr>
          <w:p w14:paraId="570FACCC">
            <w:pPr>
              <w:widowControl/>
              <w:spacing w:line="280" w:lineRule="exact"/>
              <w:rPr>
                <w:rFonts w:ascii="宋体" w:hAnsi="宋体" w:cs="宋体"/>
                <w:color w:val="auto"/>
                <w:szCs w:val="21"/>
              </w:rPr>
            </w:pPr>
            <w:r>
              <w:rPr>
                <w:rFonts w:hint="eastAsia" w:ascii="宋体" w:hAnsi="宋体" w:cs="宋体"/>
                <w:color w:val="auto"/>
                <w:szCs w:val="21"/>
              </w:rPr>
              <w:t>施工布线，PE、PVC管道铺设，地面开挖回填，含跳线、尾纤、熔纤盒、熔纤包、光纤熔接等各类辅材及安装调试培训等。</w:t>
            </w:r>
          </w:p>
        </w:tc>
      </w:tr>
    </w:tbl>
    <w:p w14:paraId="3613B7C1">
      <w:pPr>
        <w:tabs>
          <w:tab w:val="left" w:pos="540"/>
          <w:tab w:val="left" w:pos="567"/>
        </w:tabs>
        <w:spacing w:line="440" w:lineRule="exact"/>
        <w:ind w:firstLine="472" w:firstLineChars="196"/>
        <w:rPr>
          <w:rFonts w:ascii="宋体" w:hAnsi="宋体" w:cs="宋体"/>
          <w:b/>
          <w:bCs/>
          <w:color w:val="auto"/>
          <w:sz w:val="24"/>
        </w:rPr>
      </w:pPr>
      <w:r>
        <w:rPr>
          <w:rFonts w:hint="eastAsia" w:ascii="宋体" w:hAnsi="宋体" w:cs="宋体"/>
          <w:b/>
          <w:bCs/>
          <w:color w:val="auto"/>
          <w:sz w:val="24"/>
        </w:rPr>
        <w:t>六、项目需满足的服务标准、期限、效率等要求</w:t>
      </w:r>
    </w:p>
    <w:p w14:paraId="43028C25">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（一）有关标准</w:t>
      </w:r>
    </w:p>
    <w:p w14:paraId="538E7727">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产品的生产、安装、维修、检验、验收等按照以下原则执行：有国家标准的执行国家标准；无国家标准的执行行业标准；无行业标准的执行地方标准；无地方标准的执行企业标准。生产制造所需要的所有主材和辅助材料的质量、安全符合国家规定。相关标准包括但不限于：</w:t>
      </w:r>
    </w:p>
    <w:p w14:paraId="6DBB9A0F">
      <w:pPr>
        <w:tabs>
          <w:tab w:val="left" w:pos="540"/>
          <w:tab w:val="left" w:pos="567"/>
        </w:tabs>
        <w:spacing w:line="360" w:lineRule="auto"/>
        <w:ind w:firstLine="480" w:firstLineChars="200"/>
        <w:rPr>
          <w:rFonts w:ascii="宋体" w:hAnsi="宋体" w:cs="宋体"/>
          <w:bCs/>
          <w:color w:val="auto"/>
          <w:sz w:val="24"/>
        </w:rPr>
      </w:pPr>
      <w:r>
        <w:rPr>
          <w:rFonts w:hint="eastAsia" w:ascii="宋体" w:hAnsi="宋体" w:cs="宋体"/>
          <w:bCs/>
          <w:color w:val="auto"/>
          <w:sz w:val="24"/>
        </w:rPr>
        <w:t>《综合布线系统工程设计规范》GB 50311-2016；</w:t>
      </w:r>
    </w:p>
    <w:p w14:paraId="42A973F8">
      <w:pPr>
        <w:tabs>
          <w:tab w:val="left" w:pos="540"/>
          <w:tab w:val="left" w:pos="567"/>
        </w:tabs>
        <w:spacing w:line="360" w:lineRule="auto"/>
        <w:ind w:firstLine="480" w:firstLineChars="200"/>
        <w:rPr>
          <w:rFonts w:ascii="宋体" w:hAnsi="宋体" w:cs="宋体"/>
          <w:bCs/>
          <w:color w:val="auto"/>
          <w:sz w:val="24"/>
        </w:rPr>
      </w:pPr>
      <w:r>
        <w:rPr>
          <w:rFonts w:hint="eastAsia" w:ascii="宋体" w:hAnsi="宋体" w:cs="宋体"/>
          <w:bCs/>
          <w:color w:val="auto"/>
          <w:sz w:val="24"/>
        </w:rPr>
        <w:t>《综合布线系统工程验收规范》GB/T 50312-2016；</w:t>
      </w:r>
    </w:p>
    <w:p w14:paraId="07E216AA">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《安全防范工程技术规范》GB50348-2018；</w:t>
      </w:r>
    </w:p>
    <w:p w14:paraId="11CAB12C">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《视频安防监控系统工程设计规范》GB50395-2007；</w:t>
      </w:r>
    </w:p>
    <w:p w14:paraId="2F8360A6">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（二）交付时间</w:t>
      </w:r>
    </w:p>
    <w:p w14:paraId="75CD58BF">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自招标人中标通知书发出之日起30日内按时签订项目合同，合同签订后20个日历天内供货至用户单位，在</w:t>
      </w:r>
      <w:r>
        <w:rPr>
          <w:rFonts w:hint="eastAsia" w:ascii="宋体" w:hAnsi="宋体" w:cs="宋体"/>
          <w:color w:val="auto"/>
          <w:sz w:val="24"/>
        </w:rPr>
        <w:t>接到招标人现场满足施工条件书面通知后</w:t>
      </w:r>
      <w:r>
        <w:rPr>
          <w:rFonts w:hint="eastAsia" w:ascii="宋体" w:hAnsi="宋体" w:cs="宋体"/>
          <w:color w:val="auto"/>
          <w:sz w:val="24"/>
          <w:lang w:val="en-US" w:eastAsia="zh-CN"/>
        </w:rPr>
        <w:t>15</w:t>
      </w:r>
      <w:r>
        <w:rPr>
          <w:rFonts w:hint="eastAsia" w:ascii="宋体" w:hAnsi="宋体" w:cs="宋体"/>
          <w:color w:val="auto"/>
          <w:sz w:val="24"/>
        </w:rPr>
        <w:t>个日历天内</w:t>
      </w:r>
      <w:r>
        <w:rPr>
          <w:rFonts w:hint="eastAsia" w:ascii="宋体" w:hAnsi="宋体" w:cs="宋体"/>
          <w:bCs/>
          <w:color w:val="auto"/>
          <w:sz w:val="24"/>
        </w:rPr>
        <w:t>完成项目所有设备的安装及调试，系统运行正常。</w:t>
      </w:r>
    </w:p>
    <w:p w14:paraId="7A28CAD7">
      <w:pPr>
        <w:tabs>
          <w:tab w:val="left" w:pos="540"/>
          <w:tab w:val="left" w:pos="567"/>
        </w:tabs>
        <w:spacing w:line="440" w:lineRule="exact"/>
        <w:ind w:firstLine="472" w:firstLineChars="196"/>
        <w:rPr>
          <w:rFonts w:ascii="宋体" w:hAnsi="宋体" w:cs="宋体"/>
          <w:b/>
          <w:bCs/>
          <w:color w:val="auto"/>
          <w:sz w:val="24"/>
        </w:rPr>
      </w:pPr>
      <w:r>
        <w:rPr>
          <w:rFonts w:hint="eastAsia" w:ascii="宋体" w:hAnsi="宋体" w:cs="宋体"/>
          <w:b/>
          <w:bCs/>
          <w:color w:val="auto"/>
          <w:sz w:val="24"/>
        </w:rPr>
        <w:t>（三）设备包装、发运及运输</w:t>
      </w:r>
    </w:p>
    <w:p w14:paraId="5C8A90A2">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1.投标人应在设备发运前对其进行满足运输距离、防潮、防震、防锈和防破损装卸等要求包装，以保证设备安全运达招标人指定地点。</w:t>
      </w:r>
    </w:p>
    <w:p w14:paraId="580C220F">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2.用户手册、随配附件以及清单一并附于设备内。</w:t>
      </w:r>
    </w:p>
    <w:p w14:paraId="67C334E9">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3.本项目在验收合格前发生的风险均由中标人负责。</w:t>
      </w:r>
    </w:p>
    <w:p w14:paraId="4E7607EB">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（四）验收标准</w:t>
      </w:r>
    </w:p>
    <w:p w14:paraId="1ABEBBC5">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1.施工完成后，招标人以招标文件、中标人的投标文件、合同为依据，成立验收小组，组织完工初步验收。</w:t>
      </w:r>
    </w:p>
    <w:p w14:paraId="582CEFEB">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2.初步验收通过后，本项目最终以新宿舍楼安防专项验收合格视同本项目竣工验收合格。</w:t>
      </w:r>
    </w:p>
    <w:p w14:paraId="7EC8A10D">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（五）履约保证金</w:t>
      </w:r>
    </w:p>
    <w:p w14:paraId="6F0F2405">
      <w:pPr>
        <w:tabs>
          <w:tab w:val="left" w:pos="540"/>
          <w:tab w:val="left" w:pos="567"/>
        </w:tabs>
        <w:spacing w:line="360" w:lineRule="auto"/>
        <w:ind w:firstLine="470" w:firstLineChars="196"/>
        <w:rPr>
          <w:rFonts w:ascii="宋体" w:hAnsi="宋体" w:cs="宋体"/>
          <w:color w:val="auto"/>
          <w:sz w:val="24"/>
        </w:rPr>
      </w:pPr>
      <w:r>
        <w:rPr>
          <w:rFonts w:hint="eastAsia" w:ascii="宋体" w:hAnsi="宋体" w:cs="宋体"/>
          <w:color w:val="auto"/>
          <w:sz w:val="24"/>
        </w:rPr>
        <w:t>1.本项目中标后的履约保证金为项目中标价的5% 。</w:t>
      </w:r>
    </w:p>
    <w:p w14:paraId="037812AE">
      <w:pPr>
        <w:tabs>
          <w:tab w:val="left" w:pos="540"/>
          <w:tab w:val="left" w:pos="567"/>
        </w:tabs>
        <w:spacing w:line="360" w:lineRule="auto"/>
        <w:ind w:firstLine="470" w:firstLineChars="196"/>
        <w:rPr>
          <w:rFonts w:ascii="宋体" w:hAnsi="宋体" w:cs="宋体"/>
          <w:color w:val="auto"/>
          <w:sz w:val="24"/>
        </w:rPr>
      </w:pPr>
      <w:r>
        <w:rPr>
          <w:rFonts w:hint="eastAsia" w:ascii="宋体" w:hAnsi="宋体" w:cs="宋体"/>
          <w:color w:val="auto"/>
          <w:sz w:val="24"/>
        </w:rPr>
        <w:t>2．中标人的履约保证金须在中标通知书发出之日起至合同签订前将保证金汇入招标人账户（应当以银行转账、汇票或金融机构、担保机构出具的保函等非现金形式提交，保函有效期应覆盖项目质保期），中标人凭中标通知书与招标单位签订合同。超期或未有协商，则视为自动放弃中标资格。</w:t>
      </w:r>
    </w:p>
    <w:p w14:paraId="1965AB1A">
      <w:pPr>
        <w:tabs>
          <w:tab w:val="left" w:pos="540"/>
          <w:tab w:val="left" w:pos="567"/>
        </w:tabs>
        <w:spacing w:line="360" w:lineRule="auto"/>
        <w:ind w:firstLine="470" w:firstLineChars="196"/>
        <w:rPr>
          <w:rFonts w:ascii="宋体" w:hAnsi="宋体" w:cs="宋体"/>
          <w:color w:val="auto"/>
          <w:sz w:val="24"/>
        </w:rPr>
      </w:pPr>
      <w:r>
        <w:rPr>
          <w:rFonts w:hint="eastAsia" w:ascii="宋体" w:hAnsi="宋体" w:cs="宋体"/>
          <w:color w:val="auto"/>
          <w:sz w:val="24"/>
        </w:rPr>
        <w:t>3．由于中标人原因，在签订合同后出现不按合同履行的情况，招标单位有权将履约保证金作为违约金，全额不予退还，同时招标单位有权终止合同，中标人须承担相应的法律赔偿责任。</w:t>
      </w:r>
    </w:p>
    <w:p w14:paraId="0F689E3C">
      <w:pPr>
        <w:tabs>
          <w:tab w:val="left" w:pos="540"/>
          <w:tab w:val="left" w:pos="567"/>
        </w:tabs>
        <w:spacing w:line="360" w:lineRule="auto"/>
        <w:ind w:firstLine="470" w:firstLineChars="196"/>
        <w:rPr>
          <w:rFonts w:ascii="宋体" w:hAnsi="宋体" w:cs="宋体"/>
          <w:color w:val="auto"/>
          <w:sz w:val="24"/>
        </w:rPr>
      </w:pPr>
      <w:r>
        <w:rPr>
          <w:rFonts w:hint="eastAsia" w:ascii="宋体" w:hAnsi="宋体" w:cs="宋体"/>
          <w:color w:val="auto"/>
          <w:sz w:val="24"/>
        </w:rPr>
        <w:t>4．质保期满后，招标人凭中标人提交的申请，一次性无息退还汇款方式的该合同项目的履约保证金（或解除保函、保单责任）。</w:t>
      </w:r>
    </w:p>
    <w:p w14:paraId="40291F28">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（六）付款方式</w:t>
      </w:r>
    </w:p>
    <w:p w14:paraId="5DE2E25D">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合同签订后，招标人向中标人支付合同总额的30%作为预付款；安装调试完毕经验收合格后，招标人将支付合同总额的55%；系统运行满一年（自安防专项验收合格之日起计算满一年），且无设备质量及运行故障等问题付清合同余款，所有费用须开具增值税专用发票。</w:t>
      </w:r>
    </w:p>
    <w:p w14:paraId="0FDB99F7">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以上付款均不计利息。由招标人按相关财务支付规定办理支付手续。</w:t>
      </w:r>
    </w:p>
    <w:p w14:paraId="44F4EABA">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（七）质保及售后</w:t>
      </w:r>
    </w:p>
    <w:p w14:paraId="1986D842">
      <w:pPr>
        <w:tabs>
          <w:tab w:val="left" w:pos="540"/>
          <w:tab w:val="left" w:pos="567"/>
        </w:tabs>
        <w:spacing w:line="360" w:lineRule="auto"/>
        <w:ind w:firstLine="470" w:firstLineChars="196"/>
        <w:rPr>
          <w:rFonts w:ascii="宋体" w:hAnsi="宋体" w:cs="宋体"/>
          <w:b/>
          <w:color w:val="auto"/>
          <w:sz w:val="24"/>
          <w:u w:val="double"/>
        </w:rPr>
      </w:pPr>
      <w:r>
        <w:rPr>
          <w:rFonts w:hint="eastAsia" w:ascii="宋体" w:hAnsi="宋体" w:cs="宋体"/>
          <w:bCs/>
          <w:color w:val="auto"/>
          <w:sz w:val="24"/>
        </w:rPr>
        <w:t>免费质保期：自项目验收合格之日起不少于3年，所有设备均包含原厂质保和三包服务，项目内所有软件均须依照使用单位要求免费升级和调试。</w:t>
      </w:r>
      <w:r>
        <w:rPr>
          <w:rFonts w:hint="eastAsia" w:ascii="宋体" w:hAnsi="宋体" w:cs="宋体"/>
          <w:b/>
          <w:color w:val="auto"/>
          <w:sz w:val="24"/>
          <w:u w:val="double"/>
        </w:rPr>
        <w:t>（此项为实质性响应，不接受负偏离）</w:t>
      </w:r>
    </w:p>
    <w:p w14:paraId="2549724E">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投标人承诺在质保期内，向招标人免费提供系统维护、技术支持服务；如系统出现错误和故障，投标人应根据招标人要求给予修正。</w:t>
      </w:r>
    </w:p>
    <w:p w14:paraId="42EC1B1A">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质保期内投标人须提供7*24小时维保服务。</w:t>
      </w:r>
    </w:p>
    <w:p w14:paraId="6997293B">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在质保期内，投标人须提供每周7天×24小时电话热线支持和传真服务，若系统出现影响正常教学的故障，投标人须承诺4小时内到达现场处理故障。故障维修时应当详细记录原因及排除方法，故障须24小时内解决，维修完毕将其移交招标人。</w:t>
      </w:r>
    </w:p>
    <w:p w14:paraId="298682E4">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（八）服务原则</w:t>
      </w:r>
    </w:p>
    <w:p w14:paraId="28B25948">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及时性：投标人应采取适当的手段确保提供的服务能够满足服务时间指标要求，包括技术人员服务时间、技术支持和应急服务的及时到场，对服务需求及时响应、信息资料及时更新、故障问题及时处理、相关报告及时汇总与提交。</w:t>
      </w:r>
    </w:p>
    <w:p w14:paraId="387E2CAE">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规范性：投标人应遵守服务管理流程，并严格执行操作规范，保证服务过程的规范运作。包括制定完善的现场技术服务制度与服务流程。</w:t>
      </w:r>
    </w:p>
    <w:p w14:paraId="74A101A8">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安全性：投标人应采取适当的安全手段或措施，有效管理与控制系统运维以及功能发布等工作的各个环节，确保维护行为本身和设备运行的安全性，包括保证服务流程的周密安全、服务人员遵守运维制度等，确保运维工作的安全可靠性。</w:t>
      </w:r>
    </w:p>
    <w:p w14:paraId="0CE8BB73">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保密性：投标人应建立健全的信息安全管理体系，对本项目实施过程中接触到的所有招标人信息、技术资料、系统配置、监控数据、人员信息等严格保密，未经招标人书面许可不得向任何第三方泄露。投标人须与所有参与本项目的人员签订保密协议，明确保密义务和责任。项目实施期间及质保期满后，保密义务持续有效。因投标人原因造成信息泄露的，应承担全部法律责任和经济赔偿。</w:t>
      </w:r>
    </w:p>
    <w:p w14:paraId="580DB4DF">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可用性：投标人应采取适当措施，按照各项规章制度，保证生产实时监管系统的可用性。在此基础上，根据相关实际情况，提出合理的、可行的调整优化方案，实现改系统的不断优化完善。</w:t>
      </w:r>
    </w:p>
    <w:p w14:paraId="621DD639">
      <w:pPr>
        <w:tabs>
          <w:tab w:val="left" w:pos="540"/>
          <w:tab w:val="left" w:pos="567"/>
        </w:tabs>
        <w:spacing w:line="360" w:lineRule="auto"/>
        <w:ind w:firstLine="472" w:firstLineChars="196"/>
        <w:rPr>
          <w:rFonts w:ascii="宋体" w:hAnsi="宋体" w:cs="宋体"/>
          <w:b/>
          <w:bCs/>
          <w:color w:val="auto"/>
          <w:sz w:val="24"/>
        </w:rPr>
      </w:pPr>
      <w:r>
        <w:rPr>
          <w:rFonts w:hint="eastAsia" w:ascii="宋体" w:hAnsi="宋体" w:cs="宋体"/>
          <w:b/>
          <w:bCs/>
          <w:color w:val="auto"/>
          <w:sz w:val="24"/>
        </w:rPr>
        <w:t>（九）人员培训</w:t>
      </w:r>
    </w:p>
    <w:p w14:paraId="437197AF">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（1）中标人在项目实施过程中，要提供相关软件的维护技术培训，投标人应在投标文件中写明培训计划；</w:t>
      </w:r>
    </w:p>
    <w:p w14:paraId="635CA78C">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（2）提供系统管理员培训课程，提供完备的运营人员培训计划，制作能够指导顺利运营系统的手册文档。</w:t>
      </w:r>
    </w:p>
    <w:p w14:paraId="1B25D95A">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（3）中标人完成设备调试后，提供不少于3个工作日的现场培训教学，确保参训人完全掌握软件，硬件操作及系统平台的操作与维护。</w:t>
      </w:r>
    </w:p>
    <w:p w14:paraId="2B242A8F">
      <w:pPr>
        <w:tabs>
          <w:tab w:val="left" w:pos="540"/>
          <w:tab w:val="left" w:pos="567"/>
        </w:tabs>
        <w:spacing w:line="440" w:lineRule="exact"/>
        <w:ind w:firstLine="413" w:firstLineChars="196"/>
        <w:rPr>
          <w:rFonts w:ascii="宋体" w:hAnsi="宋体" w:cs="宋体"/>
          <w:b/>
          <w:bCs/>
          <w:color w:val="auto"/>
          <w:sz w:val="24"/>
        </w:rPr>
      </w:pPr>
      <w:r>
        <w:rPr>
          <w:rFonts w:hint="eastAsia" w:ascii="宋体" w:hAnsi="宋体" w:cs="宋体"/>
          <w:b/>
          <w:bCs/>
          <w:color w:val="auto"/>
        </w:rPr>
        <w:t>（十）</w:t>
      </w:r>
      <w:r>
        <w:rPr>
          <w:rFonts w:hint="eastAsia" w:ascii="宋体" w:hAnsi="宋体" w:cs="宋体"/>
          <w:b/>
          <w:bCs/>
          <w:color w:val="auto"/>
          <w:sz w:val="24"/>
        </w:rPr>
        <w:t>响应报价</w:t>
      </w:r>
    </w:p>
    <w:p w14:paraId="6877213D">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1.响应报价，是指提供招标项目货物，并进行项目安装、调试、验收及售后等相关服务的所有费用，投标报价还应包含根据招标文件要求需向总承包人支付的总承包服务费。包括但不限于：货物价格（含全套配件货物、备品备件、专用工具、技术资料等）、包装费、运杂费、保险费、卸装、产品保管保护费、调试费、培训及售后服务费、有关行业专管部门验收、税金、利润、不可预见费及其它相关所有费用。</w:t>
      </w:r>
    </w:p>
    <w:p w14:paraId="77A8CC93">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在安装、调试、验收过程中，如发现有漏项、缺件，卖方应无条件、无偿补齐，所发生的一切费用，视为已包含在卖方投标时的投标报价之中，且并不因此而影响交付买方使用的时间。</w:t>
      </w:r>
    </w:p>
    <w:p w14:paraId="534F342E">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投标人应书面承诺给予招标人的各种优惠条件（优惠条件不能包括招标项目本身所包含的采购事项）。投标人不能以“赠送、赠予”等任何名义提供货物和服务以规避招标文件的约束。</w:t>
      </w:r>
    </w:p>
    <w:p w14:paraId="5A71B3C3">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2.投标报价既要有投标总价和分项报价，也要有每种型号规格设备的单价及明细报价。</w:t>
      </w:r>
    </w:p>
    <w:p w14:paraId="73D99362">
      <w:pPr>
        <w:spacing w:line="360" w:lineRule="auto"/>
        <w:ind w:firstLine="480" w:firstLineChars="200"/>
        <w:rPr>
          <w:rFonts w:ascii="宋体" w:hAnsi="宋体" w:cs="宋体"/>
          <w:color w:val="auto"/>
          <w:sz w:val="24"/>
        </w:rPr>
      </w:pPr>
      <w:r>
        <w:rPr>
          <w:rFonts w:hint="eastAsia" w:ascii="宋体" w:hAnsi="宋体" w:cs="宋体"/>
          <w:bCs/>
          <w:color w:val="auto"/>
          <w:sz w:val="24"/>
        </w:rPr>
        <w:t>3.投标报价以人民币元为单位报价。</w:t>
      </w:r>
    </w:p>
    <w:p w14:paraId="7574EAFB">
      <w:pPr>
        <w:rPr>
          <w:rFonts w:ascii="宋体" w:hAnsi="宋体" w:cs="宋体"/>
          <w:bCs/>
          <w:color w:val="auto"/>
          <w:sz w:val="32"/>
          <w:szCs w:val="32"/>
        </w:rPr>
      </w:pPr>
      <w:r>
        <w:rPr>
          <w:rFonts w:hint="eastAsia" w:ascii="宋体" w:hAnsi="宋体" w:cs="宋体"/>
          <w:bCs/>
          <w:color w:val="auto"/>
          <w:sz w:val="32"/>
          <w:szCs w:val="32"/>
        </w:rPr>
        <w:br w:type="page"/>
      </w:r>
    </w:p>
    <w:p w14:paraId="71E43EE4">
      <w:pPr>
        <w:adjustRightInd w:val="0"/>
        <w:snapToGrid w:val="0"/>
        <w:spacing w:line="500" w:lineRule="exact"/>
        <w:jc w:val="center"/>
        <w:outlineLvl w:val="0"/>
        <w:rPr>
          <w:rFonts w:ascii="宋体" w:hAnsi="宋体" w:cs="宋体"/>
          <w:bCs/>
          <w:color w:val="auto"/>
          <w:sz w:val="32"/>
          <w:szCs w:val="32"/>
        </w:rPr>
      </w:pPr>
      <w:r>
        <w:rPr>
          <w:rFonts w:hint="eastAsia" w:ascii="宋体" w:hAnsi="宋体" w:cs="宋体"/>
          <w:bCs/>
          <w:color w:val="auto"/>
          <w:sz w:val="32"/>
          <w:szCs w:val="32"/>
        </w:rPr>
        <w:t>第四部分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开标和评标</w:t>
      </w:r>
    </w:p>
    <w:p w14:paraId="68097FB6">
      <w:pPr>
        <w:pStyle w:val="78"/>
        <w:snapToGrid w:val="0"/>
        <w:spacing w:before="0" w:after="0" w:line="460" w:lineRule="exact"/>
        <w:ind w:left="992" w:right="0" w:hanging="510"/>
        <w:jc w:val="left"/>
        <w:rPr>
          <w:rFonts w:ascii="宋体" w:hAnsi="宋体" w:cs="宋体"/>
          <w:b/>
          <w:color w:val="auto"/>
          <w:kern w:val="2"/>
        </w:rPr>
      </w:pPr>
      <w:r>
        <w:rPr>
          <w:rFonts w:hint="eastAsia" w:ascii="宋体" w:hAnsi="宋体" w:cs="宋体"/>
          <w:color w:val="auto"/>
          <w:kern w:val="2"/>
        </w:rPr>
        <w:t>一、</w:t>
      </w:r>
      <w:r>
        <w:rPr>
          <w:rFonts w:hint="eastAsia" w:ascii="宋体" w:hAnsi="宋体" w:cs="宋体"/>
          <w:b/>
          <w:color w:val="auto"/>
          <w:kern w:val="2"/>
        </w:rPr>
        <w:t>开标</w:t>
      </w:r>
    </w:p>
    <w:p w14:paraId="58C5E315">
      <w:pPr>
        <w:tabs>
          <w:tab w:val="left" w:pos="3585"/>
        </w:tabs>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见面开标模式：投标人在指定地点参加开标会。</w:t>
      </w:r>
    </w:p>
    <w:p w14:paraId="508E06C9">
      <w:pPr>
        <w:pStyle w:val="78"/>
        <w:snapToGrid w:val="0"/>
        <w:spacing w:before="0" w:after="0" w:line="460" w:lineRule="exact"/>
        <w:ind w:left="0" w:right="0" w:firstLine="482" w:firstLineChars="200"/>
        <w:jc w:val="left"/>
        <w:rPr>
          <w:rFonts w:ascii="宋体" w:hAnsi="宋体" w:cs="宋体"/>
          <w:b/>
          <w:color w:val="auto"/>
          <w:kern w:val="2"/>
        </w:rPr>
      </w:pPr>
      <w:r>
        <w:rPr>
          <w:rFonts w:hint="eastAsia" w:ascii="宋体" w:hAnsi="宋体" w:cs="宋体"/>
          <w:b/>
          <w:color w:val="auto"/>
          <w:kern w:val="2"/>
        </w:rPr>
        <w:t>二、评标流程和评标标准</w:t>
      </w:r>
    </w:p>
    <w:p w14:paraId="045E9E64">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采用综合评分法。分资格审查、商务技术标、价格标三部分评审，总分值为100分，加分和减分因素除外。</w:t>
      </w:r>
    </w:p>
    <w:p w14:paraId="24A17B4F">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评审流程：资格审查→技术标评审→商务标评审。</w:t>
      </w:r>
    </w:p>
    <w:p w14:paraId="73664616">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投标人商务、技术部分和价格部分的合计分值，为该投标人的评标总得分。</w:t>
      </w:r>
    </w:p>
    <w:p w14:paraId="6C32B6E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结果按评审后得分由高到低顺序排列。得分相同的，按投标报价由低到高顺序排列。得分且投标报价相同的并列。所有合格投标人的商务技术分与价格分的总和作为最终中标的评判依据。投标文件满足招标文件全部实质性要求，且按照评审因素的量化指标评审得分前三名的投标人为中标候选人。若得分且投标报价相同，则抽签确定排名。抽签顺序为各投标人递交投标文件签到时间的先后顺序。得分最高的为第一中标人，若得分相同，则抽签确定中标人。若中标人放弃或者发现提供虚假材料骗取中标，则由第二名中标或招标人重新组织招标。</w:t>
      </w:r>
    </w:p>
    <w:p w14:paraId="2CC612A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评委在认真审阅投标文件的基础上，根据各投标文件的响应程度独立评判，不得统一打分。</w:t>
      </w:r>
    </w:p>
    <w:p w14:paraId="2A6E4B7F">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（一）招标人（代表）对投标人资格进行审查。</w:t>
      </w:r>
    </w:p>
    <w:p w14:paraId="41A552F4">
      <w:pPr>
        <w:pStyle w:val="82"/>
        <w:adjustRightInd w:val="0"/>
        <w:snapToGrid w:val="0"/>
        <w:spacing w:line="460" w:lineRule="exact"/>
        <w:ind w:firstLine="480" w:firstLineChars="200"/>
        <w:rPr>
          <w:rFonts w:ascii="宋体" w:eastAsia="宋体" w:cs="宋体"/>
          <w:color w:val="auto"/>
          <w:sz w:val="24"/>
          <w:szCs w:val="24"/>
        </w:rPr>
      </w:pPr>
      <w:r>
        <w:rPr>
          <w:rFonts w:hint="eastAsia" w:ascii="宋体" w:eastAsia="宋体" w:cs="宋体"/>
          <w:color w:val="auto"/>
          <w:sz w:val="24"/>
          <w:szCs w:val="24"/>
        </w:rPr>
        <w:t>投标人资格不合格的，其投标文件判定为无效投标文件。</w:t>
      </w:r>
    </w:p>
    <w:p w14:paraId="7F20371A">
      <w:pPr>
        <w:adjustRightInd w:val="0"/>
        <w:snapToGrid w:val="0"/>
        <w:spacing w:line="460" w:lineRule="exact"/>
        <w:ind w:firstLine="482" w:firstLineChars="200"/>
        <w:jc w:val="left"/>
        <w:rPr>
          <w:rFonts w:ascii="宋体" w:hAnsi="宋体" w:cs="宋体"/>
          <w:b/>
          <w:color w:val="auto"/>
          <w:sz w:val="24"/>
        </w:rPr>
      </w:pPr>
      <w:r>
        <w:rPr>
          <w:rFonts w:hint="eastAsia" w:ascii="宋体" w:hAnsi="宋体" w:cs="宋体"/>
          <w:b/>
          <w:color w:val="auto"/>
          <w:sz w:val="24"/>
        </w:rPr>
        <w:t>（二）评标委员会对符合资格投标人的投标文件进行符合性审查。</w:t>
      </w:r>
    </w:p>
    <w:p w14:paraId="08A44C70">
      <w:pPr>
        <w:pStyle w:val="82"/>
        <w:ind w:firstLine="480" w:firstLineChars="200"/>
        <w:rPr>
          <w:rFonts w:ascii="宋体" w:eastAsia="宋体" w:cs="宋体"/>
          <w:color w:val="auto"/>
          <w:sz w:val="24"/>
          <w:szCs w:val="24"/>
        </w:rPr>
      </w:pPr>
      <w:r>
        <w:rPr>
          <w:rFonts w:hint="eastAsia" w:ascii="宋体" w:eastAsia="宋体" w:cs="宋体"/>
          <w:color w:val="auto"/>
          <w:sz w:val="24"/>
          <w:szCs w:val="24"/>
        </w:rPr>
        <w:t>未通过符合性审查的投标文件，将被判为不满足招标文件实质性要求。</w:t>
      </w:r>
    </w:p>
    <w:p w14:paraId="2882C8AE">
      <w:pPr>
        <w:pStyle w:val="82"/>
        <w:ind w:firstLine="480" w:firstLineChars="200"/>
        <w:rPr>
          <w:rFonts w:ascii="宋体" w:eastAsia="宋体" w:cs="宋体"/>
          <w:color w:val="auto"/>
          <w:sz w:val="24"/>
          <w:highlight w:val="yellow"/>
        </w:rPr>
      </w:pPr>
      <w:r>
        <w:rPr>
          <w:rFonts w:hint="eastAsia" w:ascii="宋体" w:eastAsia="宋体" w:cs="宋体"/>
          <w:color w:val="auto"/>
          <w:sz w:val="24"/>
          <w:szCs w:val="24"/>
        </w:rPr>
        <w:t>（三）</w:t>
      </w:r>
      <w:r>
        <w:rPr>
          <w:rFonts w:hint="eastAsia" w:ascii="宋体" w:eastAsia="宋体" w:cs="宋体"/>
          <w:b/>
          <w:color w:val="auto"/>
          <w:sz w:val="24"/>
          <w:lang w:val="zh-CN"/>
        </w:rPr>
        <w:t>商务技术分（</w:t>
      </w:r>
      <w:r>
        <w:rPr>
          <w:rFonts w:hint="eastAsia" w:ascii="宋体" w:eastAsia="宋体" w:cs="宋体"/>
          <w:b/>
          <w:color w:val="auto"/>
          <w:sz w:val="24"/>
        </w:rPr>
        <w:t>7</w:t>
      </w:r>
      <w:r>
        <w:rPr>
          <w:rFonts w:hint="eastAsia" w:ascii="宋体" w:eastAsia="宋体" w:cs="宋体"/>
          <w:b/>
          <w:color w:val="auto"/>
          <w:sz w:val="24"/>
          <w:lang w:val="zh-CN"/>
        </w:rPr>
        <w:t>0分）</w:t>
      </w:r>
    </w:p>
    <w:tbl>
      <w:tblPr>
        <w:tblStyle w:val="38"/>
        <w:tblW w:w="4829" w:type="pct"/>
        <w:jc w:val="center"/>
        <w:tblLayout w:type="autofit"/>
        <w:tblCellMar>
          <w:top w:w="0" w:type="dxa"/>
          <w:left w:w="108" w:type="dxa"/>
          <w:bottom w:w="0" w:type="dxa"/>
          <w:right w:w="108" w:type="dxa"/>
        </w:tblCellMar>
      </w:tblPr>
      <w:tblGrid>
        <w:gridCol w:w="668"/>
        <w:gridCol w:w="1167"/>
        <w:gridCol w:w="5714"/>
        <w:gridCol w:w="682"/>
      </w:tblGrid>
      <w:tr w14:paraId="2729696C">
        <w:tblPrEx>
          <w:tblCellMar>
            <w:top w:w="0" w:type="dxa"/>
            <w:left w:w="108" w:type="dxa"/>
            <w:bottom w:w="0" w:type="dxa"/>
            <w:right w:w="108" w:type="dxa"/>
          </w:tblCellMar>
        </w:tblPrEx>
        <w:trPr>
          <w:trHeight w:val="537"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631DD916">
            <w:pPr>
              <w:widowControl/>
              <w:spacing w:line="280" w:lineRule="exact"/>
              <w:jc w:val="center"/>
              <w:rPr>
                <w:rFonts w:ascii="宋体" w:hAnsi="宋体" w:cs="宋体"/>
                <w:b/>
                <w:color w:val="auto"/>
                <w:szCs w:val="21"/>
              </w:rPr>
            </w:pPr>
            <w:r>
              <w:rPr>
                <w:rFonts w:hint="eastAsia" w:ascii="宋体" w:hAnsi="宋体" w:cs="宋体"/>
                <w:b/>
                <w:color w:val="auto"/>
                <w:szCs w:val="21"/>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19818C42">
            <w:pPr>
              <w:widowControl/>
              <w:spacing w:line="280" w:lineRule="exact"/>
              <w:rPr>
                <w:rFonts w:ascii="宋体" w:hAnsi="宋体" w:cs="宋体"/>
                <w:b/>
                <w:color w:val="auto"/>
                <w:szCs w:val="21"/>
              </w:rPr>
            </w:pPr>
            <w:r>
              <w:rPr>
                <w:rFonts w:hint="eastAsia" w:ascii="宋体" w:hAnsi="宋体" w:cs="宋体"/>
                <w:b/>
                <w:color w:val="auto"/>
                <w:szCs w:val="21"/>
              </w:rPr>
              <w:t>评分因素</w:t>
            </w:r>
          </w:p>
        </w:tc>
        <w:tc>
          <w:tcPr>
            <w:tcW w:w="3469" w:type="pct"/>
            <w:tcBorders>
              <w:top w:val="single" w:color="auto" w:sz="4" w:space="0"/>
              <w:left w:val="single" w:color="auto" w:sz="4" w:space="0"/>
              <w:bottom w:val="single" w:color="auto" w:sz="4" w:space="0"/>
              <w:right w:val="single" w:color="auto" w:sz="4" w:space="0"/>
            </w:tcBorders>
            <w:vAlign w:val="center"/>
          </w:tcPr>
          <w:p w14:paraId="2EA3660F">
            <w:pPr>
              <w:widowControl/>
              <w:spacing w:line="280" w:lineRule="exact"/>
              <w:ind w:firstLine="420"/>
              <w:jc w:val="center"/>
              <w:rPr>
                <w:rFonts w:ascii="宋体" w:hAnsi="宋体" w:cs="宋体"/>
                <w:b/>
                <w:color w:val="auto"/>
                <w:szCs w:val="21"/>
              </w:rPr>
            </w:pPr>
            <w:r>
              <w:rPr>
                <w:rFonts w:hint="eastAsia" w:ascii="宋体" w:hAnsi="宋体" w:cs="宋体"/>
                <w:b/>
                <w:color w:val="auto"/>
                <w:szCs w:val="21"/>
              </w:rPr>
              <w:t>评审细则</w:t>
            </w:r>
          </w:p>
        </w:tc>
        <w:tc>
          <w:tcPr>
            <w:tcW w:w="414" w:type="pct"/>
            <w:tcBorders>
              <w:top w:val="single" w:color="auto" w:sz="4" w:space="0"/>
              <w:left w:val="single" w:color="auto" w:sz="4" w:space="0"/>
              <w:bottom w:val="single" w:color="auto" w:sz="4" w:space="0"/>
              <w:right w:val="single" w:color="auto" w:sz="4" w:space="0"/>
            </w:tcBorders>
            <w:vAlign w:val="center"/>
          </w:tcPr>
          <w:p w14:paraId="6383EEE3">
            <w:pPr>
              <w:widowControl/>
              <w:spacing w:line="280" w:lineRule="exact"/>
              <w:jc w:val="center"/>
              <w:rPr>
                <w:rFonts w:ascii="宋体" w:hAnsi="宋体" w:cs="宋体"/>
                <w:b/>
                <w:color w:val="auto"/>
                <w:szCs w:val="21"/>
              </w:rPr>
            </w:pPr>
            <w:r>
              <w:rPr>
                <w:rFonts w:hint="eastAsia" w:ascii="宋体" w:hAnsi="宋体" w:cs="宋体"/>
                <w:b/>
                <w:color w:val="auto"/>
                <w:szCs w:val="21"/>
              </w:rPr>
              <w:t>分值</w:t>
            </w:r>
          </w:p>
        </w:tc>
      </w:tr>
      <w:tr w14:paraId="09F6EC1A">
        <w:tblPrEx>
          <w:tblCellMar>
            <w:top w:w="0" w:type="dxa"/>
            <w:left w:w="108" w:type="dxa"/>
            <w:bottom w:w="0" w:type="dxa"/>
            <w:right w:w="108" w:type="dxa"/>
          </w:tblCellMar>
        </w:tblPrEx>
        <w:trPr>
          <w:trHeight w:val="410" w:hRule="atLeast"/>
          <w:jc w:val="center"/>
        </w:trPr>
        <w:tc>
          <w:tcPr>
            <w:tcW w:w="406" w:type="pct"/>
            <w:tcBorders>
              <w:top w:val="single" w:color="auto" w:sz="4" w:space="0"/>
              <w:left w:val="single" w:color="auto" w:sz="4" w:space="0"/>
              <w:bottom w:val="nil"/>
              <w:right w:val="single" w:color="auto" w:sz="4" w:space="0"/>
            </w:tcBorders>
            <w:vAlign w:val="center"/>
          </w:tcPr>
          <w:p w14:paraId="238B28E2">
            <w:pPr>
              <w:widowControl/>
              <w:spacing w:line="280" w:lineRule="exact"/>
              <w:jc w:val="center"/>
              <w:rPr>
                <w:rFonts w:ascii="宋体" w:hAnsi="宋体" w:cs="宋体"/>
                <w:color w:val="auto"/>
                <w:szCs w:val="21"/>
              </w:rPr>
            </w:pPr>
            <w:r>
              <w:rPr>
                <w:rFonts w:hint="eastAsia" w:ascii="宋体" w:hAnsi="宋体" w:cs="宋体"/>
                <w:color w:val="auto"/>
                <w:szCs w:val="21"/>
              </w:rPr>
              <w:t>1</w:t>
            </w:r>
          </w:p>
        </w:tc>
        <w:tc>
          <w:tcPr>
            <w:tcW w:w="709" w:type="pct"/>
            <w:tcBorders>
              <w:top w:val="single" w:color="auto" w:sz="4" w:space="0"/>
              <w:left w:val="single" w:color="auto" w:sz="4" w:space="0"/>
              <w:bottom w:val="single" w:color="auto" w:sz="4" w:space="0"/>
              <w:right w:val="single" w:color="auto" w:sz="4" w:space="0"/>
            </w:tcBorders>
            <w:vAlign w:val="center"/>
          </w:tcPr>
          <w:p w14:paraId="102E0224">
            <w:pPr>
              <w:widowControl/>
              <w:spacing w:line="280" w:lineRule="exact"/>
              <w:rPr>
                <w:rFonts w:ascii="宋体" w:hAnsi="宋体" w:cs="宋体"/>
                <w:color w:val="auto"/>
                <w:szCs w:val="21"/>
              </w:rPr>
            </w:pPr>
            <w:r>
              <w:rPr>
                <w:rFonts w:hint="eastAsia" w:ascii="宋体" w:hAnsi="宋体" w:cs="宋体"/>
                <w:color w:val="auto"/>
                <w:szCs w:val="21"/>
              </w:rPr>
              <w:t>技术参数响应情况</w:t>
            </w:r>
          </w:p>
        </w:tc>
        <w:tc>
          <w:tcPr>
            <w:tcW w:w="3469" w:type="pct"/>
            <w:tcBorders>
              <w:top w:val="single" w:color="auto" w:sz="4" w:space="0"/>
              <w:left w:val="single" w:color="auto" w:sz="4" w:space="0"/>
              <w:bottom w:val="single" w:color="auto" w:sz="4" w:space="0"/>
              <w:right w:val="single" w:color="auto" w:sz="4" w:space="0"/>
            </w:tcBorders>
            <w:vAlign w:val="center"/>
          </w:tcPr>
          <w:p w14:paraId="61631C03">
            <w:pPr>
              <w:widowControl/>
              <w:numPr>
                <w:ilvl w:val="0"/>
                <w:numId w:val="5"/>
              </w:numPr>
              <w:spacing w:line="280" w:lineRule="exact"/>
              <w:rPr>
                <w:rFonts w:cs="宋体"/>
                <w:color w:val="auto"/>
                <w:szCs w:val="18"/>
              </w:rPr>
            </w:pPr>
            <w:r>
              <w:rPr>
                <w:rFonts w:hint="eastAsia" w:ascii="宋体" w:hAnsi="宋体" w:cs="宋体"/>
                <w:color w:val="auto"/>
                <w:szCs w:val="21"/>
              </w:rPr>
              <w:t>投标人所投产品全部满足招标文件技术要求的</w:t>
            </w:r>
            <w:r>
              <w:rPr>
                <w:rFonts w:hint="eastAsia" w:ascii="宋体" w:hAnsi="宋体" w:cs="宋体"/>
                <w:color w:val="auto"/>
                <w:szCs w:val="18"/>
              </w:rPr>
              <w:t>，得25分；</w:t>
            </w:r>
            <w:r>
              <w:rPr>
                <w:rFonts w:hint="eastAsia" w:cs="宋体"/>
                <w:color w:val="auto"/>
                <w:szCs w:val="18"/>
              </w:rPr>
              <w:t>（提供技术部分正负偏离表）</w:t>
            </w:r>
          </w:p>
          <w:p w14:paraId="3FBADEA4">
            <w:pPr>
              <w:widowControl/>
              <w:numPr>
                <w:ilvl w:val="0"/>
                <w:numId w:val="5"/>
              </w:numPr>
              <w:spacing w:line="280" w:lineRule="exact"/>
              <w:rPr>
                <w:rFonts w:ascii="宋体" w:hAnsi="宋体" w:cs="宋体"/>
                <w:color w:val="auto"/>
                <w:szCs w:val="18"/>
              </w:rPr>
            </w:pPr>
            <w:r>
              <w:rPr>
                <w:rFonts w:hint="eastAsia" w:ascii="宋体" w:hAnsi="宋体" w:cs="宋体"/>
                <w:color w:val="auto"/>
                <w:szCs w:val="18"/>
              </w:rPr>
              <w:t>投标人所投产品的技术参数响应不满足招标文件要求的，按以下原则扣分：</w:t>
            </w:r>
          </w:p>
          <w:p w14:paraId="6BB116D9">
            <w:pPr>
              <w:widowControl/>
              <w:spacing w:line="280" w:lineRule="exact"/>
              <w:ind w:firstLine="420" w:firstLineChars="200"/>
              <w:rPr>
                <w:rFonts w:ascii="宋体" w:hAnsi="宋体" w:cs="宋体"/>
                <w:color w:val="auto"/>
                <w:szCs w:val="21"/>
              </w:rPr>
            </w:pPr>
            <w:r>
              <w:rPr>
                <w:rFonts w:hint="eastAsia" w:ascii="宋体" w:hAnsi="宋体" w:cs="宋体"/>
                <w:color w:val="auto"/>
                <w:szCs w:val="18"/>
              </w:rPr>
              <w:t>（1）</w:t>
            </w:r>
            <w:r>
              <w:rPr>
                <w:rFonts w:hint="eastAsia" w:ascii="宋体" w:hAnsi="宋体" w:cs="宋体"/>
                <w:color w:val="auto"/>
                <w:szCs w:val="21"/>
              </w:rPr>
              <w:t>一般技术参数条款每有一项不满足招标文件要求的，扣1分，扣完为止；</w:t>
            </w:r>
            <w:r>
              <w:rPr>
                <w:rFonts w:hint="eastAsia" w:ascii="宋体" w:hAnsi="宋体" w:cs="宋体"/>
                <w:color w:val="auto"/>
                <w:szCs w:val="18"/>
              </w:rPr>
              <w:t>（2）</w:t>
            </w:r>
            <w:r>
              <w:rPr>
                <w:rFonts w:hint="eastAsia" w:ascii="宋体" w:hAnsi="宋体" w:cs="宋体"/>
                <w:color w:val="auto"/>
                <w:szCs w:val="21"/>
              </w:rPr>
              <w:t>加“▲”号重点参数条款每有一项不满足招标文件要求的，扣2分，扣完为止。</w:t>
            </w:r>
          </w:p>
          <w:p w14:paraId="5F1405F5">
            <w:pPr>
              <w:widowControl/>
              <w:spacing w:line="280" w:lineRule="exact"/>
              <w:ind w:firstLine="420" w:firstLineChars="200"/>
              <w:rPr>
                <w:rFonts w:ascii="宋体" w:hAnsi="宋体" w:cs="宋体"/>
                <w:color w:val="auto"/>
                <w:szCs w:val="21"/>
              </w:rPr>
            </w:pPr>
            <w:r>
              <w:rPr>
                <w:rFonts w:hint="eastAsia" w:ascii="宋体" w:hAnsi="宋体" w:cs="宋体"/>
                <w:color w:val="auto"/>
                <w:szCs w:val="18"/>
              </w:rPr>
              <w:t>说明：招标文件技术参数中除“</w:t>
            </w:r>
            <w:r>
              <w:rPr>
                <w:rFonts w:hint="eastAsia" w:ascii="宋体" w:hAnsi="宋体" w:cs="宋体"/>
                <w:color w:val="auto"/>
                <w:sz w:val="22"/>
                <w:szCs w:val="22"/>
              </w:rPr>
              <w:t>★</w:t>
            </w:r>
            <w:r>
              <w:rPr>
                <w:rFonts w:hint="eastAsia" w:ascii="宋体" w:hAnsi="宋体" w:cs="宋体"/>
                <w:color w:val="auto"/>
                <w:szCs w:val="18"/>
              </w:rPr>
              <w:t>”</w:t>
            </w:r>
            <w:r>
              <w:rPr>
                <w:rFonts w:hint="eastAsia" w:ascii="宋体" w:hAnsi="宋体" w:cs="宋体"/>
                <w:color w:val="auto"/>
                <w:sz w:val="22"/>
                <w:szCs w:val="22"/>
              </w:rPr>
              <w:t>号项外</w:t>
            </w:r>
            <w:r>
              <w:rPr>
                <w:rFonts w:hint="eastAsia" w:ascii="宋体" w:hAnsi="宋体" w:cs="宋体"/>
                <w:color w:val="auto"/>
                <w:szCs w:val="18"/>
              </w:rPr>
              <w:t>有明确要求提供证明</w:t>
            </w:r>
            <w:r>
              <w:rPr>
                <w:rFonts w:hint="eastAsia" w:ascii="宋体" w:hAnsi="宋体" w:cs="宋体"/>
                <w:color w:val="auto"/>
                <w:szCs w:val="21"/>
              </w:rPr>
              <w:t>材</w:t>
            </w:r>
            <w:r>
              <w:rPr>
                <w:rFonts w:hint="eastAsia" w:ascii="宋体" w:hAnsi="宋体" w:cs="宋体"/>
                <w:color w:val="auto"/>
                <w:szCs w:val="18"/>
              </w:rPr>
              <w:t>料的，必须按照</w:t>
            </w:r>
            <w:r>
              <w:rPr>
                <w:rFonts w:hint="eastAsia" w:cs="宋体"/>
                <w:color w:val="auto"/>
                <w:szCs w:val="18"/>
              </w:rPr>
              <w:t>要求</w:t>
            </w:r>
            <w:r>
              <w:rPr>
                <w:rFonts w:hint="eastAsia" w:ascii="宋体" w:hAnsi="宋体" w:cs="宋体"/>
                <w:color w:val="auto"/>
                <w:szCs w:val="18"/>
              </w:rPr>
              <w:t>提供，如不提供，按负偏离</w:t>
            </w:r>
            <w:r>
              <w:rPr>
                <w:rFonts w:hint="eastAsia" w:cs="宋体"/>
                <w:color w:val="auto"/>
                <w:szCs w:val="18"/>
              </w:rPr>
              <w:t>计且</w:t>
            </w:r>
            <w:r>
              <w:rPr>
                <w:rFonts w:hint="eastAsia" w:ascii="宋体" w:hAnsi="宋体" w:cs="宋体"/>
                <w:color w:val="auto"/>
                <w:szCs w:val="18"/>
              </w:rPr>
              <w:t>不得分；加“</w:t>
            </w:r>
            <w:r>
              <w:rPr>
                <w:rFonts w:hint="eastAsia" w:ascii="宋体" w:hAnsi="宋体" w:cs="宋体"/>
                <w:color w:val="auto"/>
                <w:sz w:val="22"/>
                <w:szCs w:val="22"/>
              </w:rPr>
              <w:t>★</w:t>
            </w:r>
            <w:r>
              <w:rPr>
                <w:rFonts w:hint="eastAsia" w:ascii="宋体" w:hAnsi="宋体" w:cs="宋体"/>
                <w:color w:val="auto"/>
                <w:szCs w:val="18"/>
              </w:rPr>
              <w:t>”</w:t>
            </w:r>
            <w:r>
              <w:rPr>
                <w:rFonts w:hint="eastAsia" w:ascii="宋体" w:hAnsi="宋体" w:cs="宋体"/>
                <w:color w:val="auto"/>
                <w:sz w:val="22"/>
                <w:szCs w:val="22"/>
              </w:rPr>
              <w:t>号项若不满足或未提供相关证明材料按无效响应处理。</w:t>
            </w:r>
            <w:r>
              <w:rPr>
                <w:rFonts w:hint="eastAsia" w:ascii="宋体" w:hAnsi="宋体" w:cs="宋体"/>
                <w:color w:val="auto"/>
                <w:szCs w:val="18"/>
              </w:rPr>
              <w:t>并在技术部分正负偏离表中标注</w:t>
            </w:r>
            <w:r>
              <w:rPr>
                <w:rFonts w:hint="eastAsia" w:ascii="宋体" w:hAnsi="宋体" w:cs="宋体"/>
                <w:color w:val="auto"/>
                <w:szCs w:val="18"/>
                <w:lang w:val="en-US" w:eastAsia="zh-CN"/>
              </w:rPr>
              <w:t>证明材料</w:t>
            </w:r>
            <w:r>
              <w:rPr>
                <w:rFonts w:hint="eastAsia" w:ascii="宋体" w:hAnsi="宋体" w:cs="宋体"/>
                <w:color w:val="auto"/>
                <w:szCs w:val="18"/>
              </w:rPr>
              <w:t>对应页码。</w:t>
            </w:r>
          </w:p>
        </w:tc>
        <w:tc>
          <w:tcPr>
            <w:tcW w:w="414" w:type="pct"/>
            <w:tcBorders>
              <w:top w:val="single" w:color="auto" w:sz="4" w:space="0"/>
              <w:left w:val="single" w:color="auto" w:sz="4" w:space="0"/>
              <w:bottom w:val="single" w:color="auto" w:sz="4" w:space="0"/>
              <w:right w:val="single" w:color="auto" w:sz="4" w:space="0"/>
            </w:tcBorders>
            <w:vAlign w:val="center"/>
          </w:tcPr>
          <w:p w14:paraId="44DECA3D">
            <w:pPr>
              <w:widowControl/>
              <w:spacing w:line="280" w:lineRule="exact"/>
              <w:jc w:val="center"/>
              <w:rPr>
                <w:rFonts w:ascii="宋体" w:hAnsi="宋体" w:cs="宋体"/>
                <w:color w:val="auto"/>
                <w:szCs w:val="21"/>
              </w:rPr>
            </w:pPr>
            <w:r>
              <w:rPr>
                <w:rFonts w:hint="eastAsia" w:ascii="宋体" w:hAnsi="宋体" w:cs="宋体"/>
                <w:color w:val="auto"/>
                <w:szCs w:val="21"/>
              </w:rPr>
              <w:t>25</w:t>
            </w:r>
          </w:p>
        </w:tc>
      </w:tr>
      <w:tr w14:paraId="213512E3">
        <w:tblPrEx>
          <w:tblCellMar>
            <w:top w:w="0" w:type="dxa"/>
            <w:left w:w="108" w:type="dxa"/>
            <w:bottom w:w="0" w:type="dxa"/>
            <w:right w:w="108" w:type="dxa"/>
          </w:tblCellMar>
        </w:tblPrEx>
        <w:trPr>
          <w:jc w:val="center"/>
        </w:trPr>
        <w:tc>
          <w:tcPr>
            <w:tcW w:w="406" w:type="pct"/>
            <w:tcBorders>
              <w:top w:val="single" w:color="auto" w:sz="4" w:space="0"/>
              <w:left w:val="single" w:color="auto" w:sz="4" w:space="0"/>
              <w:bottom w:val="nil"/>
              <w:right w:val="single" w:color="auto" w:sz="4" w:space="0"/>
            </w:tcBorders>
            <w:vAlign w:val="center"/>
          </w:tcPr>
          <w:p w14:paraId="45088960">
            <w:pPr>
              <w:widowControl/>
              <w:jc w:val="center"/>
              <w:rPr>
                <w:rFonts w:ascii="宋体" w:hAnsi="宋体" w:cs="宋体"/>
                <w:color w:val="auto"/>
                <w:szCs w:val="21"/>
              </w:rPr>
            </w:pPr>
            <w:r>
              <w:rPr>
                <w:rFonts w:hint="eastAsia" w:ascii="宋体" w:hAnsi="宋体" w:cs="宋体"/>
                <w:color w:val="auto"/>
                <w:szCs w:val="21"/>
              </w:rPr>
              <w:t>2</w:t>
            </w:r>
          </w:p>
        </w:tc>
        <w:tc>
          <w:tcPr>
            <w:tcW w:w="709" w:type="pct"/>
            <w:tcBorders>
              <w:top w:val="single" w:color="auto" w:sz="4" w:space="0"/>
              <w:left w:val="single" w:color="auto" w:sz="4" w:space="0"/>
              <w:bottom w:val="single" w:color="auto" w:sz="4" w:space="0"/>
              <w:right w:val="single" w:color="auto" w:sz="4" w:space="0"/>
            </w:tcBorders>
            <w:vAlign w:val="center"/>
          </w:tcPr>
          <w:p w14:paraId="4DF79980">
            <w:pPr>
              <w:widowControl/>
              <w:spacing w:line="280" w:lineRule="exact"/>
              <w:rPr>
                <w:rFonts w:ascii="宋体" w:hAnsi="宋体" w:cs="宋体"/>
                <w:color w:val="auto"/>
                <w:szCs w:val="21"/>
              </w:rPr>
            </w:pPr>
            <w:r>
              <w:rPr>
                <w:rFonts w:hint="eastAsia" w:ascii="宋体" w:hAnsi="宋体" w:cs="宋体"/>
                <w:color w:val="auto"/>
                <w:szCs w:val="21"/>
              </w:rPr>
              <w:t>项目实施方案</w:t>
            </w:r>
          </w:p>
        </w:tc>
        <w:tc>
          <w:tcPr>
            <w:tcW w:w="3469" w:type="pct"/>
            <w:tcBorders>
              <w:top w:val="single" w:color="auto" w:sz="4" w:space="0"/>
              <w:left w:val="single" w:color="auto" w:sz="4" w:space="0"/>
              <w:bottom w:val="single" w:color="auto" w:sz="4" w:space="0"/>
              <w:right w:val="single" w:color="auto" w:sz="4" w:space="0"/>
            </w:tcBorders>
            <w:vAlign w:val="center"/>
          </w:tcPr>
          <w:p w14:paraId="670FEA6C">
            <w:pPr>
              <w:widowControl/>
              <w:numPr>
                <w:ilvl w:val="0"/>
                <w:numId w:val="6"/>
              </w:numPr>
              <w:spacing w:line="280" w:lineRule="exact"/>
              <w:rPr>
                <w:rFonts w:ascii="宋体" w:hAnsi="宋体" w:cs="宋体"/>
                <w:color w:val="auto"/>
                <w:szCs w:val="21"/>
              </w:rPr>
            </w:pPr>
            <w:r>
              <w:rPr>
                <w:rFonts w:hint="eastAsia" w:ascii="宋体" w:hAnsi="宋体" w:cs="宋体"/>
                <w:color w:val="auto"/>
                <w:szCs w:val="21"/>
              </w:rPr>
              <w:t>服务方案：方案须包含实施策略、施工组织设计、进度计划、质量保证措施、安全保障措施、文明施工措施、对招标人的培训计划等，</w:t>
            </w:r>
          </w:p>
          <w:p w14:paraId="02455A7D">
            <w:pPr>
              <w:widowControl/>
              <w:spacing w:line="280" w:lineRule="exact"/>
              <w:rPr>
                <w:rFonts w:ascii="宋体" w:hAnsi="宋体" w:cs="宋体"/>
                <w:color w:val="auto"/>
                <w:szCs w:val="21"/>
              </w:rPr>
            </w:pPr>
            <w:r>
              <w:rPr>
                <w:rFonts w:hint="eastAsia" w:ascii="宋体" w:hAnsi="宋体" w:cs="宋体"/>
                <w:color w:val="auto"/>
                <w:szCs w:val="21"/>
              </w:rPr>
              <w:t>（1）方案全面、可行性强、针对性突出，得6分；</w:t>
            </w:r>
          </w:p>
          <w:p w14:paraId="101DD598">
            <w:pPr>
              <w:widowControl/>
              <w:spacing w:line="280" w:lineRule="exact"/>
              <w:rPr>
                <w:rFonts w:ascii="宋体" w:hAnsi="宋体" w:cs="宋体"/>
                <w:color w:val="auto"/>
                <w:szCs w:val="21"/>
              </w:rPr>
            </w:pPr>
            <w:r>
              <w:rPr>
                <w:rFonts w:hint="eastAsia" w:ascii="宋体" w:hAnsi="宋体" w:cs="宋体"/>
                <w:color w:val="auto"/>
                <w:szCs w:val="21"/>
              </w:rPr>
              <w:t>（2）方案较完整、较有可行性和针对性，得4分；</w:t>
            </w:r>
          </w:p>
          <w:p w14:paraId="2DC1825E">
            <w:pPr>
              <w:widowControl/>
              <w:spacing w:line="280" w:lineRule="exact"/>
              <w:rPr>
                <w:rFonts w:ascii="宋体" w:hAnsi="宋体" w:cs="宋体"/>
                <w:color w:val="auto"/>
                <w:szCs w:val="21"/>
              </w:rPr>
            </w:pPr>
            <w:r>
              <w:rPr>
                <w:rFonts w:hint="eastAsia" w:ascii="宋体" w:hAnsi="宋体" w:cs="宋体"/>
                <w:color w:val="auto"/>
                <w:szCs w:val="21"/>
              </w:rPr>
              <w:t>（3）方案简单或缺乏针对性，得2分；</w:t>
            </w:r>
          </w:p>
          <w:p w14:paraId="0FA1B6E2">
            <w:pPr>
              <w:widowControl/>
              <w:spacing w:line="280" w:lineRule="exact"/>
              <w:rPr>
                <w:rFonts w:ascii="宋体" w:hAnsi="宋体" w:cs="宋体"/>
                <w:color w:val="auto"/>
                <w:szCs w:val="21"/>
              </w:rPr>
            </w:pPr>
            <w:r>
              <w:rPr>
                <w:rFonts w:hint="eastAsia" w:ascii="宋体" w:hAnsi="宋体" w:cs="宋体"/>
                <w:color w:val="auto"/>
                <w:szCs w:val="21"/>
              </w:rPr>
              <w:t>（4）未提供不得分。</w:t>
            </w:r>
          </w:p>
          <w:p w14:paraId="72933173">
            <w:pPr>
              <w:widowControl/>
              <w:spacing w:line="280" w:lineRule="exact"/>
              <w:rPr>
                <w:rFonts w:ascii="宋体" w:hAnsi="宋体" w:cs="宋体"/>
                <w:color w:val="auto"/>
                <w:szCs w:val="21"/>
              </w:rPr>
            </w:pPr>
            <w:r>
              <w:rPr>
                <w:rFonts w:hint="eastAsia" w:ascii="宋体" w:hAnsi="宋体" w:cs="宋体"/>
                <w:color w:val="auto"/>
                <w:szCs w:val="21"/>
              </w:rPr>
              <w:t>2. 新旧系统对接方案：方案须包含新旧系统对接方案、兼容性测试计划及风险应对措施等（与原系统一致也须提供详细的新旧对接方案，否则本项不得分），</w:t>
            </w:r>
          </w:p>
          <w:p w14:paraId="004A7073">
            <w:pPr>
              <w:widowControl/>
              <w:spacing w:line="280" w:lineRule="exact"/>
              <w:rPr>
                <w:rFonts w:ascii="宋体" w:hAnsi="宋体" w:cs="宋体"/>
                <w:color w:val="auto"/>
                <w:szCs w:val="21"/>
              </w:rPr>
            </w:pPr>
            <w:r>
              <w:rPr>
                <w:rFonts w:hint="eastAsia" w:ascii="宋体" w:hAnsi="宋体" w:cs="宋体"/>
                <w:color w:val="auto"/>
                <w:szCs w:val="21"/>
              </w:rPr>
              <w:t>（1）方案全面、可行性强、针对性突出，得4分；</w:t>
            </w:r>
          </w:p>
          <w:p w14:paraId="298577FF">
            <w:pPr>
              <w:widowControl/>
              <w:spacing w:line="280" w:lineRule="exact"/>
              <w:rPr>
                <w:color w:val="auto"/>
              </w:rPr>
            </w:pPr>
            <w:r>
              <w:rPr>
                <w:rFonts w:hint="eastAsia" w:ascii="宋体" w:hAnsi="宋体" w:cs="宋体"/>
                <w:color w:val="auto"/>
                <w:szCs w:val="21"/>
              </w:rPr>
              <w:t>（2）方案较完整、较有可行性和针对性，得3分；</w:t>
            </w:r>
          </w:p>
          <w:p w14:paraId="044FF40D">
            <w:pPr>
              <w:widowControl/>
              <w:spacing w:line="280" w:lineRule="exact"/>
              <w:rPr>
                <w:rFonts w:ascii="宋体" w:hAnsi="宋体" w:cs="宋体"/>
                <w:color w:val="auto"/>
                <w:szCs w:val="21"/>
              </w:rPr>
            </w:pPr>
            <w:r>
              <w:rPr>
                <w:rFonts w:hint="eastAsia"/>
                <w:color w:val="auto"/>
              </w:rPr>
              <w:t>（3）</w:t>
            </w:r>
            <w:r>
              <w:rPr>
                <w:rFonts w:hint="eastAsia" w:ascii="宋体" w:hAnsi="宋体" w:cs="宋体"/>
                <w:color w:val="auto"/>
                <w:szCs w:val="21"/>
              </w:rPr>
              <w:t>方案简单或缺乏针对性，得2分；</w:t>
            </w:r>
          </w:p>
          <w:p w14:paraId="15CD722B">
            <w:pPr>
              <w:widowControl/>
              <w:spacing w:line="280" w:lineRule="exact"/>
              <w:rPr>
                <w:rFonts w:ascii="宋体" w:hAnsi="宋体" w:cs="宋体"/>
                <w:color w:val="auto"/>
                <w:szCs w:val="21"/>
              </w:rPr>
            </w:pPr>
            <w:r>
              <w:rPr>
                <w:rFonts w:hint="eastAsia" w:ascii="宋体" w:hAnsi="宋体" w:cs="宋体"/>
                <w:color w:val="auto"/>
                <w:szCs w:val="21"/>
              </w:rPr>
              <w:t>（4）未提供不得分。</w:t>
            </w:r>
          </w:p>
        </w:tc>
        <w:tc>
          <w:tcPr>
            <w:tcW w:w="414" w:type="pct"/>
            <w:tcBorders>
              <w:top w:val="single" w:color="auto" w:sz="4" w:space="0"/>
              <w:left w:val="single" w:color="auto" w:sz="4" w:space="0"/>
              <w:bottom w:val="single" w:color="auto" w:sz="4" w:space="0"/>
              <w:right w:val="single" w:color="auto" w:sz="4" w:space="0"/>
            </w:tcBorders>
            <w:vAlign w:val="center"/>
          </w:tcPr>
          <w:p w14:paraId="2540D4EC">
            <w:pPr>
              <w:widowControl/>
              <w:spacing w:line="280" w:lineRule="exact"/>
              <w:jc w:val="center"/>
              <w:rPr>
                <w:rFonts w:ascii="宋体" w:hAnsi="宋体" w:cs="宋体"/>
                <w:color w:val="auto"/>
                <w:szCs w:val="21"/>
              </w:rPr>
            </w:pPr>
            <w:r>
              <w:rPr>
                <w:rFonts w:hint="eastAsia" w:ascii="宋体" w:hAnsi="宋体" w:cs="宋体"/>
                <w:color w:val="auto"/>
                <w:szCs w:val="21"/>
              </w:rPr>
              <w:t>10</w:t>
            </w:r>
          </w:p>
        </w:tc>
      </w:tr>
      <w:tr w14:paraId="2AD270EE">
        <w:tblPrEx>
          <w:tblCellMar>
            <w:top w:w="0" w:type="dxa"/>
            <w:left w:w="108" w:type="dxa"/>
            <w:bottom w:w="0" w:type="dxa"/>
            <w:right w:w="108" w:type="dxa"/>
          </w:tblCellMar>
        </w:tblPrEx>
        <w:trPr>
          <w:jc w:val="center"/>
        </w:trPr>
        <w:tc>
          <w:tcPr>
            <w:tcW w:w="406" w:type="pct"/>
            <w:tcBorders>
              <w:top w:val="single" w:color="auto" w:sz="4" w:space="0"/>
              <w:left w:val="single" w:color="auto" w:sz="4" w:space="0"/>
              <w:bottom w:val="nil"/>
              <w:right w:val="single" w:color="auto" w:sz="4" w:space="0"/>
            </w:tcBorders>
            <w:vAlign w:val="center"/>
          </w:tcPr>
          <w:p w14:paraId="091BC0C8">
            <w:pPr>
              <w:widowControl/>
              <w:jc w:val="center"/>
              <w:rPr>
                <w:rFonts w:ascii="宋体" w:hAnsi="宋体" w:cs="宋体"/>
                <w:color w:val="auto"/>
                <w:szCs w:val="21"/>
              </w:rPr>
            </w:pPr>
            <w:r>
              <w:rPr>
                <w:rFonts w:hint="eastAsia" w:ascii="宋体" w:hAnsi="宋体" w:cs="宋体"/>
                <w:color w:val="auto"/>
                <w:szCs w:val="21"/>
              </w:rPr>
              <w:t>3</w:t>
            </w:r>
          </w:p>
        </w:tc>
        <w:tc>
          <w:tcPr>
            <w:tcW w:w="709" w:type="pct"/>
            <w:tcBorders>
              <w:top w:val="single" w:color="auto" w:sz="4" w:space="0"/>
              <w:left w:val="single" w:color="auto" w:sz="4" w:space="0"/>
              <w:bottom w:val="single" w:color="auto" w:sz="4" w:space="0"/>
              <w:right w:val="single" w:color="auto" w:sz="4" w:space="0"/>
            </w:tcBorders>
            <w:vAlign w:val="center"/>
          </w:tcPr>
          <w:p w14:paraId="3690EABA">
            <w:pPr>
              <w:widowControl/>
              <w:spacing w:line="280" w:lineRule="exact"/>
              <w:rPr>
                <w:rFonts w:ascii="宋体" w:hAnsi="宋体" w:cs="宋体"/>
                <w:color w:val="auto"/>
                <w:szCs w:val="21"/>
              </w:rPr>
            </w:pPr>
            <w:r>
              <w:rPr>
                <w:rFonts w:hint="eastAsia" w:ascii="宋体" w:hAnsi="宋体" w:cs="宋体"/>
                <w:color w:val="auto"/>
                <w:szCs w:val="21"/>
              </w:rPr>
              <w:t>售后及增值服务</w:t>
            </w:r>
          </w:p>
        </w:tc>
        <w:tc>
          <w:tcPr>
            <w:tcW w:w="3469" w:type="pct"/>
            <w:tcBorders>
              <w:top w:val="single" w:color="auto" w:sz="4" w:space="0"/>
              <w:left w:val="single" w:color="auto" w:sz="4" w:space="0"/>
              <w:bottom w:val="single" w:color="auto" w:sz="4" w:space="0"/>
              <w:right w:val="single" w:color="auto" w:sz="4" w:space="0"/>
            </w:tcBorders>
            <w:vAlign w:val="center"/>
          </w:tcPr>
          <w:p w14:paraId="6EE58692">
            <w:pPr>
              <w:widowControl/>
              <w:numPr>
                <w:ilvl w:val="0"/>
                <w:numId w:val="7"/>
              </w:numPr>
              <w:spacing w:line="280" w:lineRule="exact"/>
              <w:rPr>
                <w:rFonts w:ascii="宋体" w:hAnsi="宋体" w:cs="宋体"/>
                <w:color w:val="auto"/>
                <w:szCs w:val="21"/>
              </w:rPr>
            </w:pPr>
            <w:r>
              <w:rPr>
                <w:rFonts w:hint="eastAsia" w:ascii="宋体" w:hAnsi="宋体" w:cs="宋体"/>
                <w:color w:val="auto"/>
                <w:szCs w:val="21"/>
              </w:rPr>
              <w:t>售后服务基本要求：</w:t>
            </w:r>
          </w:p>
          <w:p w14:paraId="44157C15">
            <w:pPr>
              <w:widowControl/>
              <w:spacing w:line="280" w:lineRule="exact"/>
              <w:ind w:firstLine="420" w:firstLineChars="200"/>
              <w:rPr>
                <w:rFonts w:ascii="宋体" w:hAnsi="宋体" w:cs="宋体"/>
                <w:color w:val="auto"/>
                <w:szCs w:val="21"/>
              </w:rPr>
            </w:pPr>
            <w:r>
              <w:rPr>
                <w:rFonts w:hint="eastAsia" w:ascii="宋体" w:hAnsi="宋体" w:cs="宋体"/>
                <w:color w:val="auto"/>
                <w:szCs w:val="21"/>
              </w:rPr>
              <w:t>（1）承诺质保期内免费提供7×24小时维保服务、电话热线支持及传真服务，故障4小时内到场、24小时内解决，提供不少于2次（累计16课时）系统操作培训，并配套纸质+电子版运维手册的，得2分。</w:t>
            </w:r>
          </w:p>
          <w:p w14:paraId="4BCD5C14">
            <w:pPr>
              <w:widowControl/>
              <w:spacing w:line="280" w:lineRule="exact"/>
              <w:ind w:firstLine="420" w:firstLineChars="200"/>
              <w:rPr>
                <w:rFonts w:ascii="宋体" w:hAnsi="宋体" w:cs="宋体"/>
                <w:color w:val="auto"/>
                <w:szCs w:val="21"/>
              </w:rPr>
            </w:pPr>
            <w:r>
              <w:rPr>
                <w:rFonts w:hint="eastAsia" w:ascii="宋体" w:hAnsi="宋体" w:cs="宋体"/>
                <w:color w:val="auto"/>
                <w:szCs w:val="21"/>
              </w:rPr>
              <w:t>（2）任何一项不满足，本项不得分。</w:t>
            </w:r>
          </w:p>
          <w:p w14:paraId="753C97B0">
            <w:pPr>
              <w:widowControl/>
              <w:spacing w:line="280" w:lineRule="exact"/>
              <w:rPr>
                <w:rFonts w:ascii="宋体" w:hAnsi="宋体" w:cs="宋体"/>
                <w:color w:val="auto"/>
                <w:szCs w:val="21"/>
              </w:rPr>
            </w:pPr>
            <w:r>
              <w:rPr>
                <w:rFonts w:hint="eastAsia" w:ascii="宋体" w:hAnsi="宋体" w:cs="宋体"/>
                <w:color w:val="auto"/>
                <w:szCs w:val="21"/>
              </w:rPr>
              <w:t>2.增值服务：</w:t>
            </w:r>
          </w:p>
          <w:p w14:paraId="1226077D">
            <w:pPr>
              <w:widowControl/>
              <w:spacing w:line="280" w:lineRule="exact"/>
              <w:ind w:firstLine="420" w:firstLineChars="200"/>
              <w:rPr>
                <w:rFonts w:ascii="宋体" w:hAnsi="宋体" w:cs="宋体"/>
                <w:color w:val="auto"/>
                <w:szCs w:val="21"/>
              </w:rPr>
            </w:pPr>
            <w:r>
              <w:rPr>
                <w:rFonts w:hint="eastAsia" w:ascii="宋体" w:hAnsi="宋体" w:cs="宋体"/>
                <w:color w:val="auto"/>
                <w:szCs w:val="21"/>
              </w:rPr>
              <w:t>在满足基本要求的基础上，每提供一项实质性优于基本要求的服务承诺，按以下标准得分：</w:t>
            </w:r>
          </w:p>
          <w:p w14:paraId="7FB1A9BB">
            <w:pPr>
              <w:widowControl/>
              <w:spacing w:line="280" w:lineRule="exact"/>
              <w:ind w:firstLine="210" w:firstLineChars="100"/>
              <w:rPr>
                <w:rFonts w:ascii="宋体" w:hAnsi="宋体" w:cs="宋体"/>
                <w:color w:val="auto"/>
                <w:szCs w:val="21"/>
              </w:rPr>
            </w:pPr>
            <w:r>
              <w:rPr>
                <w:rFonts w:hint="eastAsia" w:ascii="宋体" w:hAnsi="宋体" w:cs="宋体"/>
                <w:color w:val="auto"/>
                <w:szCs w:val="21"/>
              </w:rPr>
              <w:t>（1）承诺在南通市区设有常驻服务团队，能在2小时内到达现场的，得2分；</w:t>
            </w:r>
          </w:p>
          <w:p w14:paraId="01B620EE">
            <w:pPr>
              <w:widowControl/>
              <w:spacing w:line="280" w:lineRule="exact"/>
              <w:ind w:firstLine="210" w:firstLineChars="100"/>
              <w:rPr>
                <w:rFonts w:ascii="宋体" w:hAnsi="宋体" w:cs="宋体"/>
                <w:color w:val="auto"/>
                <w:szCs w:val="21"/>
              </w:rPr>
            </w:pPr>
            <w:r>
              <w:rPr>
                <w:rFonts w:hint="eastAsia" w:ascii="宋体" w:hAnsi="宋体" w:cs="宋体"/>
                <w:color w:val="auto"/>
                <w:szCs w:val="21"/>
              </w:rPr>
              <w:t>（2）承诺在质保期三年基础上每增加一年质保，得1分，本项最高得3分。</w:t>
            </w:r>
          </w:p>
        </w:tc>
        <w:tc>
          <w:tcPr>
            <w:tcW w:w="414" w:type="pct"/>
            <w:tcBorders>
              <w:top w:val="single" w:color="auto" w:sz="4" w:space="0"/>
              <w:left w:val="single" w:color="auto" w:sz="4" w:space="0"/>
              <w:bottom w:val="single" w:color="auto" w:sz="4" w:space="0"/>
              <w:right w:val="single" w:color="auto" w:sz="4" w:space="0"/>
            </w:tcBorders>
            <w:vAlign w:val="center"/>
          </w:tcPr>
          <w:p w14:paraId="25103D28">
            <w:pPr>
              <w:widowControl/>
              <w:spacing w:line="280" w:lineRule="exact"/>
              <w:jc w:val="center"/>
              <w:rPr>
                <w:rFonts w:ascii="宋体" w:hAnsi="宋体" w:cs="宋体"/>
                <w:color w:val="auto"/>
                <w:szCs w:val="21"/>
              </w:rPr>
            </w:pPr>
            <w:r>
              <w:rPr>
                <w:rFonts w:hint="eastAsia" w:ascii="宋体" w:hAnsi="宋体" w:cs="宋体"/>
                <w:color w:val="auto"/>
                <w:szCs w:val="21"/>
              </w:rPr>
              <w:t>7</w:t>
            </w:r>
          </w:p>
        </w:tc>
      </w:tr>
      <w:tr w14:paraId="5A74D3EB">
        <w:tblPrEx>
          <w:tblCellMar>
            <w:top w:w="0" w:type="dxa"/>
            <w:left w:w="108" w:type="dxa"/>
            <w:bottom w:w="0" w:type="dxa"/>
            <w:right w:w="108" w:type="dxa"/>
          </w:tblCellMar>
        </w:tblPrEx>
        <w:trPr>
          <w:jc w:val="center"/>
        </w:trPr>
        <w:tc>
          <w:tcPr>
            <w:tcW w:w="406" w:type="pct"/>
            <w:tcBorders>
              <w:top w:val="single" w:color="auto" w:sz="4" w:space="0"/>
              <w:left w:val="single" w:color="auto" w:sz="4" w:space="0"/>
              <w:bottom w:val="single" w:color="auto" w:sz="4" w:space="0"/>
              <w:right w:val="single" w:color="auto" w:sz="4" w:space="0"/>
            </w:tcBorders>
            <w:vAlign w:val="center"/>
          </w:tcPr>
          <w:p w14:paraId="703C0BB2">
            <w:pPr>
              <w:widowControl/>
              <w:spacing w:line="280" w:lineRule="exact"/>
              <w:jc w:val="center"/>
              <w:rPr>
                <w:rFonts w:ascii="宋体" w:hAnsi="宋体" w:cs="宋体"/>
                <w:color w:val="auto"/>
                <w:szCs w:val="21"/>
              </w:rPr>
            </w:pPr>
            <w:r>
              <w:rPr>
                <w:rFonts w:hint="eastAsia" w:ascii="宋体" w:hAnsi="宋体" w:cs="宋体"/>
                <w:color w:val="auto"/>
                <w:szCs w:val="21"/>
              </w:rPr>
              <w:t>4</w:t>
            </w:r>
          </w:p>
        </w:tc>
        <w:tc>
          <w:tcPr>
            <w:tcW w:w="709" w:type="pct"/>
            <w:tcBorders>
              <w:top w:val="single" w:color="auto" w:sz="4" w:space="0"/>
              <w:left w:val="single" w:color="auto" w:sz="4" w:space="0"/>
              <w:bottom w:val="single" w:color="auto" w:sz="4" w:space="0"/>
              <w:right w:val="single" w:color="auto" w:sz="4" w:space="0"/>
            </w:tcBorders>
            <w:vAlign w:val="center"/>
          </w:tcPr>
          <w:p w14:paraId="3617E0C4">
            <w:pPr>
              <w:widowControl/>
              <w:spacing w:line="280" w:lineRule="exact"/>
              <w:rPr>
                <w:rFonts w:ascii="宋体" w:hAnsi="宋体" w:cs="宋体"/>
                <w:color w:val="auto"/>
                <w:szCs w:val="21"/>
              </w:rPr>
            </w:pPr>
            <w:r>
              <w:rPr>
                <w:rFonts w:hint="eastAsia" w:ascii="宋体" w:hAnsi="宋体" w:cs="宋体"/>
                <w:color w:val="auto"/>
                <w:szCs w:val="21"/>
              </w:rPr>
              <w:t>业绩</w:t>
            </w:r>
          </w:p>
        </w:tc>
        <w:tc>
          <w:tcPr>
            <w:tcW w:w="3469" w:type="pct"/>
            <w:tcBorders>
              <w:top w:val="single" w:color="auto" w:sz="4" w:space="0"/>
              <w:left w:val="single" w:color="auto" w:sz="4" w:space="0"/>
              <w:bottom w:val="single" w:color="auto" w:sz="4" w:space="0"/>
              <w:right w:val="single" w:color="auto" w:sz="4" w:space="0"/>
            </w:tcBorders>
            <w:vAlign w:val="center"/>
          </w:tcPr>
          <w:p w14:paraId="07F51E3B">
            <w:pPr>
              <w:pStyle w:val="143"/>
              <w:keepNext/>
              <w:spacing w:line="280" w:lineRule="exact"/>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自2023年1月1日起（以合同签订日期为准），投标人承接过的类似项目业绩（合同内容须包含安防监控系统集成或存储建设或安防管理平台对接），每个业绩得4分，满分12分。</w:t>
            </w:r>
          </w:p>
          <w:p w14:paraId="7E0CFF4B">
            <w:pPr>
              <w:pStyle w:val="143"/>
              <w:keepNext/>
              <w:spacing w:line="280" w:lineRule="exact"/>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注：</w:t>
            </w:r>
          </w:p>
          <w:p w14:paraId="63367D6F">
            <w:pPr>
              <w:pStyle w:val="143"/>
              <w:keepNext/>
              <w:spacing w:line="280" w:lineRule="exact"/>
              <w:ind w:firstLine="210" w:firstLineChars="100"/>
              <w:rPr>
                <w:rFonts w:ascii="宋体" w:hAnsi="宋体" w:eastAsia="宋体" w:cs="宋体"/>
                <w:color w:val="auto"/>
                <w:kern w:val="2"/>
                <w:sz w:val="21"/>
                <w:szCs w:val="21"/>
              </w:rPr>
            </w:pPr>
            <w:r>
              <w:rPr>
                <w:rFonts w:hint="eastAsia" w:ascii="宋体" w:hAnsi="宋体" w:eastAsia="宋体" w:cs="宋体"/>
                <w:color w:val="auto"/>
                <w:kern w:val="2"/>
                <w:sz w:val="21"/>
                <w:szCs w:val="21"/>
              </w:rPr>
              <w:t>（1）须提供合同关键页（首页、标的页、金额页、签字盖章页）及项目验收合格证明文件的复印件并加盖投标单位公章。</w:t>
            </w:r>
          </w:p>
          <w:p w14:paraId="5B303E01">
            <w:pPr>
              <w:pStyle w:val="143"/>
              <w:keepNext/>
              <w:spacing w:line="280" w:lineRule="exact"/>
              <w:ind w:firstLine="210" w:firstLineChars="100"/>
              <w:rPr>
                <w:rFonts w:ascii="宋体" w:hAnsi="宋体" w:eastAsia="宋体" w:cs="宋体"/>
                <w:color w:val="auto"/>
                <w:kern w:val="2"/>
                <w:sz w:val="21"/>
                <w:szCs w:val="21"/>
              </w:rPr>
            </w:pPr>
            <w:r>
              <w:rPr>
                <w:rFonts w:hint="eastAsia" w:ascii="宋体" w:hAnsi="宋体" w:eastAsia="宋体" w:cs="宋体"/>
                <w:color w:val="auto"/>
                <w:kern w:val="2"/>
                <w:sz w:val="21"/>
                <w:szCs w:val="21"/>
              </w:rPr>
              <w:t>（2）若合同或验收证明中无法体现类似项目业绩关键内容的，可另附业主出具并加盖业主公章的功能证明材料。</w:t>
            </w:r>
          </w:p>
        </w:tc>
        <w:tc>
          <w:tcPr>
            <w:tcW w:w="414" w:type="pct"/>
            <w:tcBorders>
              <w:top w:val="single" w:color="auto" w:sz="4" w:space="0"/>
              <w:left w:val="single" w:color="auto" w:sz="4" w:space="0"/>
              <w:bottom w:val="single" w:color="auto" w:sz="4" w:space="0"/>
              <w:right w:val="single" w:color="auto" w:sz="4" w:space="0"/>
            </w:tcBorders>
            <w:vAlign w:val="center"/>
          </w:tcPr>
          <w:p w14:paraId="16B7CA1A">
            <w:pPr>
              <w:widowControl/>
              <w:spacing w:line="280" w:lineRule="exact"/>
              <w:jc w:val="center"/>
              <w:rPr>
                <w:rFonts w:ascii="宋体" w:hAnsi="宋体" w:cs="宋体"/>
                <w:color w:val="auto"/>
                <w:szCs w:val="21"/>
              </w:rPr>
            </w:pPr>
            <w:r>
              <w:rPr>
                <w:rFonts w:hint="eastAsia" w:ascii="宋体" w:hAnsi="宋体" w:cs="宋体"/>
                <w:color w:val="auto"/>
                <w:szCs w:val="21"/>
              </w:rPr>
              <w:t>12</w:t>
            </w:r>
          </w:p>
        </w:tc>
      </w:tr>
      <w:tr w14:paraId="1B3B9B2E">
        <w:tblPrEx>
          <w:tblCellMar>
            <w:top w:w="0" w:type="dxa"/>
            <w:left w:w="108" w:type="dxa"/>
            <w:bottom w:w="0" w:type="dxa"/>
            <w:right w:w="108" w:type="dxa"/>
          </w:tblCellMar>
        </w:tblPrEx>
        <w:trPr>
          <w:jc w:val="center"/>
        </w:trPr>
        <w:tc>
          <w:tcPr>
            <w:tcW w:w="406" w:type="pct"/>
            <w:tcBorders>
              <w:top w:val="single" w:color="auto" w:sz="4" w:space="0"/>
              <w:left w:val="single" w:color="auto" w:sz="4" w:space="0"/>
              <w:bottom w:val="single" w:color="auto" w:sz="4" w:space="0"/>
              <w:right w:val="single" w:color="auto" w:sz="4" w:space="0"/>
            </w:tcBorders>
            <w:vAlign w:val="center"/>
          </w:tcPr>
          <w:p w14:paraId="2D33FB65">
            <w:pPr>
              <w:widowControl/>
              <w:jc w:val="center"/>
              <w:rPr>
                <w:rFonts w:ascii="宋体" w:hAnsi="宋体" w:cs="宋体"/>
                <w:color w:val="auto"/>
                <w:szCs w:val="21"/>
              </w:rPr>
            </w:pPr>
            <w:r>
              <w:rPr>
                <w:rFonts w:hint="eastAsia" w:ascii="宋体" w:hAnsi="宋体" w:cs="宋体"/>
                <w:color w:val="auto"/>
                <w:szCs w:val="21"/>
              </w:rPr>
              <w:t>5</w:t>
            </w:r>
          </w:p>
        </w:tc>
        <w:tc>
          <w:tcPr>
            <w:tcW w:w="709" w:type="pct"/>
            <w:tcBorders>
              <w:top w:val="single" w:color="auto" w:sz="4" w:space="0"/>
              <w:left w:val="single" w:color="auto" w:sz="4" w:space="0"/>
              <w:bottom w:val="single" w:color="auto" w:sz="4" w:space="0"/>
              <w:right w:val="single" w:color="auto" w:sz="4" w:space="0"/>
            </w:tcBorders>
            <w:vAlign w:val="center"/>
          </w:tcPr>
          <w:p w14:paraId="00DCB171">
            <w:pPr>
              <w:widowControl/>
              <w:spacing w:line="280" w:lineRule="exact"/>
              <w:rPr>
                <w:rFonts w:ascii="宋体" w:hAnsi="宋体" w:cs="宋体"/>
                <w:color w:val="auto"/>
                <w:szCs w:val="21"/>
              </w:rPr>
            </w:pPr>
            <w:r>
              <w:rPr>
                <w:rFonts w:hint="eastAsia" w:ascii="宋体" w:hAnsi="宋体" w:cs="宋体"/>
                <w:color w:val="auto"/>
                <w:szCs w:val="21"/>
              </w:rPr>
              <w:t>企业实力和履约能力</w:t>
            </w:r>
          </w:p>
        </w:tc>
        <w:tc>
          <w:tcPr>
            <w:tcW w:w="3469" w:type="pct"/>
            <w:tcBorders>
              <w:top w:val="single" w:color="auto" w:sz="4" w:space="0"/>
              <w:left w:val="single" w:color="auto" w:sz="4" w:space="0"/>
              <w:bottom w:val="single" w:color="auto" w:sz="4" w:space="0"/>
              <w:right w:val="single" w:color="auto" w:sz="4" w:space="0"/>
            </w:tcBorders>
            <w:vAlign w:val="center"/>
          </w:tcPr>
          <w:p w14:paraId="7F912B41">
            <w:pPr>
              <w:tabs>
                <w:tab w:val="left" w:pos="540"/>
                <w:tab w:val="left" w:pos="567"/>
              </w:tabs>
              <w:spacing w:line="280" w:lineRule="exact"/>
              <w:rPr>
                <w:rFonts w:ascii="宋体" w:hAnsi="宋体" w:cs="宋体"/>
                <w:bCs/>
                <w:color w:val="auto"/>
                <w:szCs w:val="21"/>
              </w:rPr>
            </w:pPr>
            <w:r>
              <w:rPr>
                <w:rFonts w:hint="eastAsia" w:ascii="宋体" w:hAnsi="宋体" w:cs="宋体"/>
                <w:bCs/>
                <w:color w:val="auto"/>
                <w:szCs w:val="21"/>
              </w:rPr>
              <w:t>1.投标人具有有效的建筑智能化系统设计专项资质乙级及以上资质的，得3分；</w:t>
            </w:r>
          </w:p>
          <w:p w14:paraId="593EB589">
            <w:pPr>
              <w:pStyle w:val="143"/>
              <w:spacing w:line="280" w:lineRule="exact"/>
              <w:rPr>
                <w:rFonts w:ascii="宋体" w:hAnsi="宋体" w:eastAsia="宋体" w:cs="宋体"/>
                <w:color w:val="auto"/>
                <w:kern w:val="2"/>
                <w:sz w:val="21"/>
                <w:szCs w:val="21"/>
              </w:rPr>
            </w:pPr>
            <w:r>
              <w:rPr>
                <w:rFonts w:hint="eastAsia" w:ascii="宋体" w:hAnsi="宋体" w:eastAsia="宋体" w:cs="宋体"/>
                <w:color w:val="auto"/>
                <w:kern w:val="2"/>
                <w:sz w:val="21"/>
                <w:szCs w:val="21"/>
              </w:rPr>
              <w:t>2.投标人具有有效的ISO27001信息安全管理体系认证证书的，得2分；</w:t>
            </w:r>
          </w:p>
          <w:p w14:paraId="100C639A">
            <w:pPr>
              <w:pStyle w:val="143"/>
              <w:spacing w:line="280" w:lineRule="exact"/>
              <w:rPr>
                <w:rFonts w:ascii="宋体" w:hAnsi="宋体" w:eastAsia="宋体" w:cs="宋体"/>
                <w:color w:val="auto"/>
                <w:kern w:val="2"/>
                <w:sz w:val="21"/>
                <w:szCs w:val="21"/>
              </w:rPr>
            </w:pPr>
            <w:r>
              <w:rPr>
                <w:rFonts w:hint="eastAsia" w:ascii="宋体" w:hAnsi="宋体" w:eastAsia="宋体" w:cs="宋体"/>
                <w:color w:val="auto"/>
                <w:kern w:val="2"/>
                <w:sz w:val="21"/>
                <w:szCs w:val="21"/>
              </w:rPr>
              <w:t>3.投标人具有CCRC颁发的信息系统安全集成服务资质的，得3分；</w:t>
            </w:r>
          </w:p>
          <w:p w14:paraId="100C2CE8">
            <w:pPr>
              <w:spacing w:line="280" w:lineRule="exact"/>
              <w:rPr>
                <w:color w:val="auto"/>
              </w:rPr>
            </w:pPr>
            <w:r>
              <w:rPr>
                <w:rFonts w:hint="eastAsia" w:ascii="宋体" w:hAnsi="宋体" w:cs="宋体"/>
                <w:color w:val="auto"/>
                <w:szCs w:val="21"/>
              </w:rPr>
              <w:t>4.投标人具有有效的ITSS信息技术服务运行维护标准符合性证书的，得2分。</w:t>
            </w:r>
          </w:p>
        </w:tc>
        <w:tc>
          <w:tcPr>
            <w:tcW w:w="414" w:type="pct"/>
            <w:tcBorders>
              <w:top w:val="single" w:color="auto" w:sz="4" w:space="0"/>
              <w:left w:val="single" w:color="auto" w:sz="4" w:space="0"/>
              <w:bottom w:val="single" w:color="auto" w:sz="4" w:space="0"/>
              <w:right w:val="single" w:color="auto" w:sz="4" w:space="0"/>
            </w:tcBorders>
            <w:vAlign w:val="center"/>
          </w:tcPr>
          <w:p w14:paraId="16E8531B">
            <w:pPr>
              <w:widowControl/>
              <w:spacing w:line="280" w:lineRule="exact"/>
              <w:jc w:val="center"/>
              <w:rPr>
                <w:rFonts w:ascii="宋体" w:hAnsi="宋体" w:cs="宋体"/>
                <w:color w:val="auto"/>
                <w:szCs w:val="21"/>
              </w:rPr>
            </w:pPr>
            <w:r>
              <w:rPr>
                <w:rFonts w:hint="eastAsia" w:ascii="宋体" w:hAnsi="宋体" w:cs="宋体"/>
                <w:color w:val="auto"/>
                <w:szCs w:val="21"/>
              </w:rPr>
              <w:t>10</w:t>
            </w:r>
          </w:p>
        </w:tc>
      </w:tr>
      <w:tr w14:paraId="7D8D4CC7">
        <w:tblPrEx>
          <w:tblCellMar>
            <w:top w:w="0" w:type="dxa"/>
            <w:left w:w="108" w:type="dxa"/>
            <w:bottom w:w="0" w:type="dxa"/>
            <w:right w:w="108" w:type="dxa"/>
          </w:tblCellMar>
        </w:tblPrEx>
        <w:trPr>
          <w:jc w:val="center"/>
        </w:trPr>
        <w:tc>
          <w:tcPr>
            <w:tcW w:w="406" w:type="pct"/>
            <w:tcBorders>
              <w:top w:val="single" w:color="auto" w:sz="4" w:space="0"/>
              <w:left w:val="single" w:color="auto" w:sz="4" w:space="0"/>
              <w:bottom w:val="single" w:color="auto" w:sz="4" w:space="0"/>
              <w:right w:val="single" w:color="auto" w:sz="4" w:space="0"/>
            </w:tcBorders>
            <w:vAlign w:val="center"/>
          </w:tcPr>
          <w:p w14:paraId="40ADBAF7">
            <w:pPr>
              <w:widowControl/>
              <w:jc w:val="center"/>
              <w:rPr>
                <w:rFonts w:ascii="宋体" w:hAnsi="宋体" w:cs="宋体"/>
                <w:color w:val="auto"/>
                <w:szCs w:val="21"/>
              </w:rPr>
            </w:pPr>
            <w:r>
              <w:rPr>
                <w:rFonts w:hint="eastAsia" w:ascii="宋体" w:hAnsi="宋体" w:cs="宋体"/>
                <w:color w:val="auto"/>
                <w:szCs w:val="21"/>
              </w:rPr>
              <w:t>6</w:t>
            </w:r>
          </w:p>
        </w:tc>
        <w:tc>
          <w:tcPr>
            <w:tcW w:w="709" w:type="pct"/>
            <w:tcBorders>
              <w:top w:val="single" w:color="auto" w:sz="4" w:space="0"/>
              <w:left w:val="single" w:color="auto" w:sz="4" w:space="0"/>
              <w:bottom w:val="single" w:color="auto" w:sz="4" w:space="0"/>
              <w:right w:val="single" w:color="auto" w:sz="4" w:space="0"/>
            </w:tcBorders>
            <w:vAlign w:val="center"/>
          </w:tcPr>
          <w:p w14:paraId="091CEEE4">
            <w:pPr>
              <w:widowControl/>
              <w:spacing w:line="280" w:lineRule="exact"/>
              <w:rPr>
                <w:rFonts w:ascii="宋体" w:hAnsi="宋体" w:cs="宋体"/>
                <w:color w:val="auto"/>
                <w:szCs w:val="21"/>
              </w:rPr>
            </w:pPr>
            <w:r>
              <w:rPr>
                <w:rFonts w:hint="eastAsia" w:ascii="宋体" w:hAnsi="宋体" w:cs="宋体"/>
                <w:color w:val="auto"/>
                <w:szCs w:val="21"/>
              </w:rPr>
              <w:t>人员配备</w:t>
            </w:r>
          </w:p>
        </w:tc>
        <w:tc>
          <w:tcPr>
            <w:tcW w:w="3469" w:type="pct"/>
            <w:tcBorders>
              <w:top w:val="single" w:color="auto" w:sz="4" w:space="0"/>
              <w:left w:val="single" w:color="auto" w:sz="4" w:space="0"/>
              <w:bottom w:val="single" w:color="auto" w:sz="4" w:space="0"/>
              <w:right w:val="single" w:color="auto" w:sz="4" w:space="0"/>
            </w:tcBorders>
            <w:vAlign w:val="center"/>
          </w:tcPr>
          <w:p w14:paraId="485763D3">
            <w:pPr>
              <w:pStyle w:val="143"/>
              <w:keepNext/>
              <w:spacing w:line="280" w:lineRule="exact"/>
              <w:rPr>
                <w:rFonts w:ascii="宋体" w:hAnsi="宋体" w:eastAsia="宋体" w:cs="宋体"/>
                <w:color w:val="auto"/>
                <w:kern w:val="2"/>
                <w:sz w:val="21"/>
                <w:szCs w:val="21"/>
              </w:rPr>
            </w:pPr>
            <w:r>
              <w:rPr>
                <w:rFonts w:hint="eastAsia" w:ascii="宋体" w:hAnsi="宋体" w:eastAsia="宋体" w:cs="宋体"/>
                <w:color w:val="auto"/>
                <w:kern w:val="2"/>
                <w:sz w:val="21"/>
                <w:szCs w:val="21"/>
              </w:rPr>
              <w:t>投标人项目核心团队中：</w:t>
            </w:r>
          </w:p>
          <w:p w14:paraId="0B292990">
            <w:pPr>
              <w:pStyle w:val="143"/>
              <w:keepNext/>
              <w:spacing w:line="280" w:lineRule="exact"/>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1.投标人派驻本项目的项目经理持有网络规划设计师高级证书，得2分；</w:t>
            </w:r>
          </w:p>
          <w:p w14:paraId="0398252B">
            <w:pPr>
              <w:pStyle w:val="143"/>
              <w:keepNext/>
              <w:spacing w:line="280" w:lineRule="exact"/>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2.投标人派驻本项目的技术负责人持有注册信息安全工程师认证证书，得2分；</w:t>
            </w:r>
          </w:p>
          <w:p w14:paraId="54B48555">
            <w:pPr>
              <w:widowControl/>
              <w:spacing w:line="280" w:lineRule="exact"/>
              <w:ind w:firstLine="420" w:firstLineChars="200"/>
              <w:rPr>
                <w:rFonts w:ascii="宋体" w:hAnsi="宋体" w:cs="宋体"/>
                <w:color w:val="auto"/>
                <w:szCs w:val="21"/>
              </w:rPr>
            </w:pPr>
            <w:r>
              <w:rPr>
                <w:rFonts w:hint="eastAsia" w:ascii="宋体" w:hAnsi="宋体" w:cs="宋体"/>
                <w:color w:val="auto"/>
                <w:szCs w:val="21"/>
              </w:rPr>
              <w:t>3.投标人派驻本项目的</w:t>
            </w:r>
            <w:r>
              <w:rPr>
                <w:rFonts w:hint="eastAsia" w:ascii="宋体" w:hAnsi="宋体" w:cs="宋体"/>
                <w:color w:val="auto"/>
                <w:kern w:val="0"/>
                <w:szCs w:val="21"/>
              </w:rPr>
              <w:t>安全工程师（负责系统安全配置与运维）</w:t>
            </w:r>
            <w:r>
              <w:rPr>
                <w:rFonts w:hint="eastAsia" w:ascii="宋体" w:hAnsi="宋体" w:cs="宋体"/>
                <w:color w:val="auto"/>
                <w:szCs w:val="21"/>
              </w:rPr>
              <w:t>持有信息安全保障人员认证证书，得2分。</w:t>
            </w:r>
          </w:p>
          <w:p w14:paraId="53498F6F">
            <w:pPr>
              <w:widowControl/>
              <w:spacing w:line="280" w:lineRule="exact"/>
              <w:ind w:firstLine="420" w:firstLineChars="200"/>
              <w:rPr>
                <w:rFonts w:ascii="宋体" w:hAnsi="宋体" w:cs="宋体"/>
                <w:color w:val="auto"/>
                <w:szCs w:val="21"/>
              </w:rPr>
            </w:pPr>
            <w:r>
              <w:rPr>
                <w:rFonts w:hint="eastAsia" w:ascii="宋体" w:hAnsi="宋体" w:cs="宋体"/>
                <w:color w:val="auto"/>
                <w:szCs w:val="21"/>
              </w:rPr>
              <w:t>注：</w:t>
            </w:r>
          </w:p>
          <w:p w14:paraId="5EF70731">
            <w:pPr>
              <w:widowControl/>
              <w:numPr>
                <w:ilvl w:val="255"/>
                <w:numId w:val="0"/>
              </w:numPr>
              <w:spacing w:line="280" w:lineRule="exact"/>
              <w:ind w:firstLine="210" w:firstLineChars="100"/>
              <w:rPr>
                <w:rFonts w:ascii="宋体" w:hAnsi="宋体" w:cs="宋体"/>
                <w:color w:val="auto"/>
                <w:szCs w:val="21"/>
              </w:rPr>
            </w:pPr>
            <w:r>
              <w:rPr>
                <w:rFonts w:hint="eastAsia" w:ascii="宋体" w:hAnsi="宋体" w:cs="宋体"/>
                <w:color w:val="auto"/>
                <w:szCs w:val="21"/>
              </w:rPr>
              <w:t>（1）以上人员须为投标人正式员工，提供证书复印件及自2025年10月以来任意1个月的社保缴纳证明，否则不得分；</w:t>
            </w:r>
          </w:p>
          <w:p w14:paraId="0D534036">
            <w:pPr>
              <w:widowControl/>
              <w:numPr>
                <w:ilvl w:val="255"/>
                <w:numId w:val="0"/>
              </w:numPr>
              <w:spacing w:line="280" w:lineRule="exact"/>
              <w:ind w:firstLine="210" w:firstLineChars="100"/>
              <w:rPr>
                <w:rFonts w:ascii="宋体" w:hAnsi="宋体" w:cs="宋体"/>
                <w:color w:val="auto"/>
                <w:szCs w:val="21"/>
              </w:rPr>
            </w:pPr>
            <w:r>
              <w:rPr>
                <w:rFonts w:hint="eastAsia" w:ascii="宋体" w:hAnsi="宋体" w:cs="宋体"/>
                <w:color w:val="auto"/>
                <w:szCs w:val="21"/>
              </w:rPr>
              <w:t>（2）“网络规划设计师”指人力资源和社会保障部、工业和信息化部联合颁发的计算机技术与软件专业技术资格（水平）考试中的高级资格证书；</w:t>
            </w:r>
          </w:p>
          <w:p w14:paraId="22374348">
            <w:pPr>
              <w:widowControl/>
              <w:numPr>
                <w:ilvl w:val="255"/>
                <w:numId w:val="0"/>
              </w:numPr>
              <w:spacing w:line="280" w:lineRule="exact"/>
              <w:ind w:firstLine="210" w:firstLineChars="100"/>
              <w:rPr>
                <w:rFonts w:ascii="宋体" w:hAnsi="宋体" w:cs="宋体"/>
                <w:color w:val="auto"/>
                <w:szCs w:val="21"/>
              </w:rPr>
            </w:pPr>
            <w:r>
              <w:rPr>
                <w:rFonts w:hint="eastAsia" w:ascii="宋体" w:hAnsi="宋体" w:cs="宋体"/>
                <w:color w:val="auto"/>
                <w:szCs w:val="21"/>
              </w:rPr>
              <w:t>（3）“注册信息安全工程师”指中国信息安全测评中心颁发的CISP资质证书；</w:t>
            </w:r>
          </w:p>
          <w:p w14:paraId="28B0269C">
            <w:pPr>
              <w:widowControl/>
              <w:numPr>
                <w:ilvl w:val="255"/>
                <w:numId w:val="0"/>
              </w:numPr>
              <w:spacing w:line="280" w:lineRule="exact"/>
              <w:ind w:firstLine="210" w:firstLineChars="100"/>
              <w:rPr>
                <w:rFonts w:ascii="宋体" w:hAnsi="宋体" w:cs="宋体"/>
                <w:color w:val="auto"/>
                <w:szCs w:val="21"/>
              </w:rPr>
            </w:pPr>
            <w:r>
              <w:rPr>
                <w:rFonts w:hint="eastAsia" w:ascii="宋体" w:hAnsi="宋体" w:cs="宋体"/>
                <w:color w:val="auto"/>
                <w:szCs w:val="21"/>
              </w:rPr>
              <w:t>（4）“信息安全保障人员认证”指中国网络安全审查认证和市场监管大数据中心（CCRC）颁发的同类资质证书。</w:t>
            </w:r>
          </w:p>
        </w:tc>
        <w:tc>
          <w:tcPr>
            <w:tcW w:w="414" w:type="pct"/>
            <w:tcBorders>
              <w:top w:val="single" w:color="auto" w:sz="4" w:space="0"/>
              <w:left w:val="single" w:color="auto" w:sz="4" w:space="0"/>
              <w:bottom w:val="single" w:color="auto" w:sz="4" w:space="0"/>
              <w:right w:val="single" w:color="auto" w:sz="4" w:space="0"/>
            </w:tcBorders>
            <w:vAlign w:val="center"/>
          </w:tcPr>
          <w:p w14:paraId="3A2CB9AB">
            <w:pPr>
              <w:widowControl/>
              <w:spacing w:line="280" w:lineRule="exact"/>
              <w:jc w:val="center"/>
              <w:rPr>
                <w:rFonts w:ascii="宋体" w:hAnsi="宋体" w:cs="宋体"/>
                <w:color w:val="auto"/>
                <w:szCs w:val="21"/>
              </w:rPr>
            </w:pPr>
            <w:r>
              <w:rPr>
                <w:rFonts w:hint="eastAsia" w:ascii="宋体" w:hAnsi="宋体" w:cs="宋体"/>
                <w:color w:val="auto"/>
                <w:szCs w:val="21"/>
              </w:rPr>
              <w:t>6</w:t>
            </w:r>
          </w:p>
        </w:tc>
      </w:tr>
      <w:tr w14:paraId="08B731E5">
        <w:tblPrEx>
          <w:tblCellMar>
            <w:top w:w="0" w:type="dxa"/>
            <w:left w:w="108" w:type="dxa"/>
            <w:bottom w:w="0" w:type="dxa"/>
            <w:right w:w="108" w:type="dxa"/>
          </w:tblCellMar>
        </w:tblPrEx>
        <w:trPr>
          <w:trHeight w:val="634" w:hRule="atLeast"/>
          <w:jc w:val="center"/>
        </w:trPr>
        <w:tc>
          <w:tcPr>
            <w:tcW w:w="4585" w:type="pct"/>
            <w:gridSpan w:val="3"/>
            <w:tcBorders>
              <w:top w:val="single" w:color="auto" w:sz="4" w:space="0"/>
              <w:left w:val="single" w:color="auto" w:sz="4" w:space="0"/>
              <w:bottom w:val="single" w:color="auto" w:sz="4" w:space="0"/>
              <w:right w:val="single" w:color="auto" w:sz="4" w:space="0"/>
            </w:tcBorders>
            <w:vAlign w:val="center"/>
          </w:tcPr>
          <w:p w14:paraId="2D06C2B9">
            <w:pPr>
              <w:widowControl/>
              <w:spacing w:line="280" w:lineRule="exact"/>
              <w:jc w:val="center"/>
              <w:rPr>
                <w:rFonts w:ascii="宋体" w:hAnsi="宋体" w:cs="宋体"/>
                <w:color w:val="auto"/>
                <w:szCs w:val="21"/>
              </w:rPr>
            </w:pPr>
            <w:r>
              <w:rPr>
                <w:rFonts w:hint="eastAsia" w:ascii="宋体" w:hAnsi="宋体" w:cs="宋体"/>
                <w:color w:val="auto"/>
                <w:szCs w:val="21"/>
              </w:rPr>
              <w:t>合计</w:t>
            </w:r>
          </w:p>
        </w:tc>
        <w:tc>
          <w:tcPr>
            <w:tcW w:w="414" w:type="pct"/>
            <w:tcBorders>
              <w:top w:val="single" w:color="auto" w:sz="4" w:space="0"/>
              <w:left w:val="single" w:color="auto" w:sz="4" w:space="0"/>
              <w:bottom w:val="single" w:color="auto" w:sz="4" w:space="0"/>
              <w:right w:val="single" w:color="auto" w:sz="4" w:space="0"/>
            </w:tcBorders>
            <w:vAlign w:val="center"/>
          </w:tcPr>
          <w:p w14:paraId="322CF400">
            <w:pPr>
              <w:widowControl/>
              <w:spacing w:line="280" w:lineRule="exact"/>
              <w:jc w:val="center"/>
              <w:rPr>
                <w:rFonts w:ascii="宋体" w:hAnsi="宋体" w:cs="宋体"/>
                <w:color w:val="auto"/>
                <w:szCs w:val="21"/>
              </w:rPr>
            </w:pPr>
            <w:r>
              <w:rPr>
                <w:rFonts w:hint="eastAsia" w:ascii="宋体" w:hAnsi="宋体" w:cs="宋体"/>
                <w:color w:val="auto"/>
                <w:szCs w:val="21"/>
              </w:rPr>
              <w:t>70</w:t>
            </w:r>
          </w:p>
        </w:tc>
      </w:tr>
    </w:tbl>
    <w:p w14:paraId="56ED3298">
      <w:pPr>
        <w:adjustRightInd w:val="0"/>
        <w:snapToGrid w:val="0"/>
        <w:spacing w:line="460" w:lineRule="exact"/>
        <w:ind w:firstLine="482" w:firstLineChars="200"/>
        <w:jc w:val="left"/>
        <w:rPr>
          <w:color w:val="auto"/>
        </w:rPr>
      </w:pPr>
      <w:r>
        <w:rPr>
          <w:rFonts w:hint="eastAsia" w:ascii="宋体" w:hAnsi="宋体" w:cs="宋体"/>
          <w:b/>
          <w:bCs/>
          <w:color w:val="auto"/>
          <w:sz w:val="24"/>
        </w:rPr>
        <w:t>注：投标人技术分得分畸低，评审专家认为不合理的，按未实质性响应招标文件要求处理。</w:t>
      </w:r>
    </w:p>
    <w:p w14:paraId="05C7516F">
      <w:pPr>
        <w:adjustRightInd w:val="0"/>
        <w:snapToGrid w:val="0"/>
        <w:spacing w:line="460" w:lineRule="exact"/>
        <w:ind w:firstLine="482" w:firstLineChars="200"/>
        <w:jc w:val="left"/>
        <w:rPr>
          <w:rFonts w:ascii="宋体" w:hAnsi="宋体" w:cs="宋体"/>
          <w:color w:val="auto"/>
          <w:sz w:val="24"/>
          <w:highlight w:val="yellow"/>
        </w:rPr>
      </w:pPr>
      <w:r>
        <w:rPr>
          <w:rFonts w:hint="eastAsia" w:ascii="宋体" w:hAnsi="宋体" w:cs="宋体"/>
          <w:b/>
          <w:bCs/>
          <w:color w:val="auto"/>
          <w:sz w:val="24"/>
        </w:rPr>
        <w:t>（四）</w:t>
      </w:r>
      <w:r>
        <w:rPr>
          <w:rFonts w:hint="eastAsia" w:ascii="宋体" w:hAnsi="宋体" w:cs="宋体"/>
          <w:b/>
          <w:color w:val="auto"/>
          <w:sz w:val="24"/>
        </w:rPr>
        <w:t>价格</w:t>
      </w:r>
      <w:r>
        <w:rPr>
          <w:rFonts w:hint="eastAsia" w:ascii="宋体" w:hAnsi="宋体" w:cs="宋体"/>
          <w:b/>
          <w:color w:val="auto"/>
          <w:sz w:val="24"/>
          <w:lang w:val="zh-CN"/>
        </w:rPr>
        <w:t>分</w:t>
      </w:r>
      <w:r>
        <w:rPr>
          <w:rFonts w:hint="eastAsia" w:ascii="宋体" w:hAnsi="宋体" w:cs="宋体"/>
          <w:b/>
          <w:color w:val="auto"/>
          <w:sz w:val="24"/>
        </w:rPr>
        <w:t>：（30分）</w:t>
      </w:r>
    </w:p>
    <w:p w14:paraId="11FD8ABF">
      <w:pPr>
        <w:adjustRightInd w:val="0"/>
        <w:snapToGrid w:val="0"/>
        <w:spacing w:line="460" w:lineRule="exact"/>
        <w:ind w:firstLine="480" w:firstLineChars="200"/>
        <w:jc w:val="left"/>
        <w:rPr>
          <w:color w:val="auto"/>
          <w:sz w:val="24"/>
          <w:szCs w:val="32"/>
        </w:rPr>
      </w:pPr>
      <w:r>
        <w:rPr>
          <w:rFonts w:hint="eastAsia"/>
          <w:color w:val="auto"/>
          <w:sz w:val="24"/>
          <w:szCs w:val="32"/>
        </w:rPr>
        <w:t>价格分统一采用低价优先法计算，即满足招标文件要求且</w:t>
      </w:r>
      <w:r>
        <w:rPr>
          <w:rFonts w:hint="eastAsia" w:ascii="宋体" w:hAnsi="宋体" w:cs="宋体"/>
          <w:color w:val="auto"/>
          <w:sz w:val="24"/>
        </w:rPr>
        <w:t>投标价格最低</w:t>
      </w:r>
      <w:r>
        <w:rPr>
          <w:rFonts w:hint="eastAsia"/>
          <w:color w:val="auto"/>
          <w:sz w:val="24"/>
          <w:szCs w:val="32"/>
        </w:rPr>
        <w:t>的投标人的价格为基准价，其价格分为满分。其他投标人的价格分统一按照下列公式计算：</w:t>
      </w:r>
    </w:p>
    <w:p w14:paraId="4577A2C8">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投标报价得分=（评标基准价/投标报价）×价格权值×100（小数点后保留两位，第三位四舍五入）</w:t>
      </w:r>
    </w:p>
    <w:p w14:paraId="402CA472">
      <w:pPr>
        <w:adjustRightInd w:val="0"/>
        <w:snapToGrid w:val="0"/>
        <w:spacing w:line="460" w:lineRule="exact"/>
        <w:ind w:firstLine="482" w:firstLineChars="200"/>
        <w:jc w:val="left"/>
        <w:rPr>
          <w:rFonts w:ascii="宋体" w:hAnsi="宋体" w:cs="宋体"/>
          <w:b/>
          <w:bCs/>
          <w:color w:val="auto"/>
          <w:sz w:val="24"/>
        </w:rPr>
      </w:pPr>
      <w:r>
        <w:rPr>
          <w:rFonts w:hint="eastAsia"/>
          <w:b/>
          <w:bCs/>
          <w:color w:val="auto"/>
          <w:sz w:val="24"/>
          <w:szCs w:val="32"/>
        </w:rPr>
        <w:t>注：投标人报价</w:t>
      </w:r>
      <w:r>
        <w:rPr>
          <w:rFonts w:hint="eastAsia" w:ascii="宋体" w:hAnsi="宋体" w:cs="宋体"/>
          <w:b/>
          <w:bCs/>
          <w:color w:val="auto"/>
          <w:sz w:val="24"/>
        </w:rPr>
        <w:t>畸低，经评审专家评定认为不合理的，按未实质性响应招标文件要求处理。（详见第二部分投标须知第五项第6.1.9条规定）</w:t>
      </w:r>
    </w:p>
    <w:p w14:paraId="153AFC62">
      <w:pPr>
        <w:autoSpaceDE w:val="0"/>
        <w:autoSpaceDN w:val="0"/>
        <w:adjustRightInd w:val="0"/>
        <w:snapToGrid w:val="0"/>
        <w:spacing w:line="460" w:lineRule="exact"/>
        <w:ind w:firstLine="482" w:firstLineChars="200"/>
        <w:rPr>
          <w:rFonts w:ascii="宋体" w:hAnsi="宋体" w:cs="宋体"/>
          <w:bCs/>
          <w:color w:val="auto"/>
          <w:sz w:val="24"/>
        </w:rPr>
      </w:pPr>
      <w:r>
        <w:rPr>
          <w:rFonts w:hint="eastAsia" w:ascii="宋体" w:hAnsi="宋体" w:cs="宋体"/>
          <w:b/>
          <w:color w:val="auto"/>
          <w:sz w:val="24"/>
        </w:rPr>
        <w:t>（五）中标人的确定</w:t>
      </w:r>
    </w:p>
    <w:p w14:paraId="26965F20">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所有合格投标人的商务技术分与价格分的总和作为最终中标的评判依据。投标文件满足招标文件全部实质性要求，且按照评审因素的量化指标评审得分前三名的投标人为中标候选人。</w:t>
      </w:r>
    </w:p>
    <w:p w14:paraId="0CFECE83">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评标委员会直接确定排名第一的中标候选人为中标人。</w:t>
      </w:r>
    </w:p>
    <w:p w14:paraId="7D7F8B64">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（六）公告中标结果</w:t>
      </w:r>
    </w:p>
    <w:p w14:paraId="0CA51536">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自确定中标人之日起2个工作日内，在江苏商贸职业学院网（http://www.jsbc.edu.cn/）公告中标结果，公告期限为1个工作日。</w:t>
      </w:r>
    </w:p>
    <w:p w14:paraId="63EFA703">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color w:val="auto"/>
          <w:sz w:val="24"/>
        </w:rPr>
        <w:t>（七）</w:t>
      </w:r>
      <w:r>
        <w:rPr>
          <w:rFonts w:hint="eastAsia" w:ascii="宋体" w:hAnsi="宋体" w:cs="宋体"/>
          <w:b/>
          <w:bCs/>
          <w:color w:val="auto"/>
          <w:sz w:val="24"/>
        </w:rPr>
        <w:t>发放中标通知书</w:t>
      </w:r>
    </w:p>
    <w:p w14:paraId="7A80E4DD">
      <w:pPr>
        <w:adjustRightInd w:val="0"/>
        <w:snapToGrid w:val="0"/>
        <w:spacing w:line="460" w:lineRule="exact"/>
        <w:ind w:firstLine="480" w:firstLineChars="200"/>
        <w:rPr>
          <w:rFonts w:ascii="宋体" w:hAnsi="宋体" w:cs="宋体"/>
          <w:bCs/>
          <w:color w:val="auto"/>
          <w:sz w:val="24"/>
        </w:rPr>
      </w:pPr>
      <w:r>
        <w:rPr>
          <w:rFonts w:hint="eastAsia" w:ascii="宋体" w:hAnsi="宋体" w:cs="宋体"/>
          <w:color w:val="auto"/>
          <w:sz w:val="24"/>
        </w:rPr>
        <w:t>公告中标结果的同时，招标人</w:t>
      </w:r>
      <w:r>
        <w:rPr>
          <w:rFonts w:hint="eastAsia" w:ascii="宋体" w:hAnsi="宋体" w:cs="宋体"/>
          <w:bCs/>
          <w:color w:val="auto"/>
          <w:sz w:val="24"/>
        </w:rPr>
        <w:t>向中标人发放中标通知书。</w:t>
      </w:r>
    </w:p>
    <w:p w14:paraId="1633B8F1">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中标通知书发出后，招标人不得违法改变中标结果，中标人无正当理由不得放弃中标。</w:t>
      </w:r>
    </w:p>
    <w:p w14:paraId="6A75A7F2">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（八）其他</w:t>
      </w:r>
    </w:p>
    <w:p w14:paraId="359783C4">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160D0A84">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FC74B0B">
      <w:pPr>
        <w:adjustRightInd w:val="0"/>
        <w:snapToGrid w:val="0"/>
        <w:spacing w:line="460" w:lineRule="exact"/>
        <w:ind w:firstLine="480" w:firstLineChars="200"/>
        <w:rPr>
          <w:rFonts w:ascii="宋体" w:hAnsi="宋体" w:cs="宋体"/>
          <w:color w:val="auto"/>
          <w:sz w:val="24"/>
        </w:rPr>
      </w:pPr>
    </w:p>
    <w:p w14:paraId="67B55F2E">
      <w:pPr>
        <w:spacing w:after="60" w:line="360" w:lineRule="auto"/>
        <w:rPr>
          <w:rFonts w:ascii="宋体" w:hAnsi="宋体" w:cs="宋体"/>
          <w:color w:val="auto"/>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color w:val="auto"/>
          <w:sz w:val="32"/>
          <w:szCs w:val="32"/>
        </w:rPr>
        <w:br w:type="page"/>
      </w:r>
    </w:p>
    <w:p w14:paraId="59EC9A9E">
      <w:pPr>
        <w:numPr>
          <w:ilvl w:val="0"/>
          <w:numId w:val="8"/>
        </w:numPr>
        <w:adjustRightInd w:val="0"/>
        <w:snapToGrid w:val="0"/>
        <w:spacing w:line="460" w:lineRule="exact"/>
        <w:jc w:val="center"/>
        <w:textAlignment w:val="baseline"/>
        <w:outlineLvl w:val="0"/>
        <w:rPr>
          <w:rFonts w:ascii="宋体" w:hAnsi="宋体" w:cs="宋体"/>
          <w:bCs/>
          <w:color w:val="auto"/>
          <w:sz w:val="32"/>
          <w:szCs w:val="32"/>
        </w:rPr>
      </w:pPr>
      <w:r>
        <w:rPr>
          <w:rFonts w:hint="eastAsia" w:ascii="宋体" w:hAnsi="宋体" w:cs="宋体"/>
          <w:bCs/>
          <w:color w:val="auto"/>
          <w:sz w:val="32"/>
          <w:szCs w:val="32"/>
        </w:rPr>
        <w:t>合同主要条款</w:t>
      </w:r>
    </w:p>
    <w:p w14:paraId="1BF968CA">
      <w:pPr>
        <w:pStyle w:val="5"/>
        <w:rPr>
          <w:color w:val="auto"/>
        </w:rPr>
      </w:pPr>
      <w:r>
        <w:rPr>
          <w:rFonts w:hint="eastAsia" w:ascii="宋体" w:hAnsi="宋体" w:cs="仿宋"/>
          <w:color w:val="auto"/>
          <w:sz w:val="24"/>
        </w:rPr>
        <w:t>（下述为通用合同模板，最终以实际合同为准）</w:t>
      </w:r>
    </w:p>
    <w:p w14:paraId="724793B5">
      <w:pPr>
        <w:spacing w:line="360" w:lineRule="auto"/>
        <w:rPr>
          <w:rFonts w:ascii="宋体" w:hAnsi="宋体" w:cs="仿宋"/>
          <w:b/>
          <w:bCs/>
          <w:color w:val="auto"/>
          <w:sz w:val="24"/>
        </w:rPr>
      </w:pPr>
      <w:r>
        <w:rPr>
          <w:rFonts w:hint="eastAsia" w:ascii="宋体" w:hAnsi="宋体" w:cs="仿宋"/>
          <w:b/>
          <w:bCs/>
          <w:color w:val="auto"/>
          <w:sz w:val="24"/>
        </w:rPr>
        <w:t>江苏商贸职业学院学生宿舍四、五及学生和教师集体宿舍安防监控存储及平台</w:t>
      </w:r>
    </w:p>
    <w:p w14:paraId="369980DF">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合同编号：</w:t>
      </w:r>
    </w:p>
    <w:p w14:paraId="51AC0773">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签订地点：江苏商贸职业学院</w:t>
      </w:r>
    </w:p>
    <w:p w14:paraId="600FAD6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签订日期： 2026年月日</w:t>
      </w:r>
    </w:p>
    <w:p w14:paraId="001E7FFB">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甲方（招标人）：江苏商贸职业学院</w:t>
      </w:r>
    </w:p>
    <w:p w14:paraId="23ECF1E7">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乙方（中标人）：</w:t>
      </w:r>
    </w:p>
    <w:p w14:paraId="5ED91E74">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根据《中华人民共和国民法典》、《中华人民共和国政府采购法》等法律法规，以及江苏商贸职业学院新校区扩建三期工程学生宿舍四、五及学生和教师集体宿舍安防监控存储及平台接入项目（采购项目名称、编号）的招标文件、乙方的投标文件及中标通知书，甲乙双方经平等协商，签订本合同，共同信守。</w:t>
      </w:r>
    </w:p>
    <w:p w14:paraId="0E133939">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第一条合同标的</w:t>
      </w:r>
    </w:p>
    <w:p w14:paraId="643F4A6C">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1.1 项目内容：乙方为甲方提供安防监控存储及平台接入所需的设备、系统集成及相关服务，包括但不限于光纤传输链路建设、安防交换机部署与调试、监控存储系统建设、平台授权与接入、高空抛物智能分析模块、其他零星设备及系统集成等。具体设备清单、技术参数及服务要求详见附件（招标文件第三章项目需求“四、设备清单”及“五、技术参数要求”）。</w:t>
      </w:r>
    </w:p>
    <w:p w14:paraId="495FA0EA">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1.2 乙方承诺所提供的存储磁盘阵列、新增视频监控点位、人脸识别抓拍、高空抛物溯源等子系统能够免费接入至学校现有综合安防管理平台（海康威视），实现统一的分组管理、实时调看、系统设置、录像资源共享等功能，并提供无缝对接承诺函。</w:t>
      </w:r>
    </w:p>
    <w:p w14:paraId="6357DF71">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1.3 乙方负责根据招标人案出具最终施工竣工图纸，相关费用已包含在合同总价中。</w:t>
      </w:r>
    </w:p>
    <w:p w14:paraId="1D336D53">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第二条合同价款及支付方式</w:t>
      </w:r>
    </w:p>
    <w:p w14:paraId="35EF702B">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2.1 合同总价为人民币（大写）</w:t>
      </w:r>
      <w:r>
        <w:rPr>
          <w:rFonts w:hint="eastAsia" w:ascii="宋体" w:hAnsi="宋体" w:cs="宋体"/>
          <w:bCs/>
          <w:color w:val="auto"/>
          <w:sz w:val="24"/>
          <w:u w:val="single"/>
        </w:rPr>
        <w:t>_________________</w:t>
      </w:r>
      <w:r>
        <w:rPr>
          <w:rFonts w:hint="eastAsia" w:ascii="宋体" w:hAnsi="宋体" w:cs="宋体"/>
          <w:bCs/>
          <w:color w:val="auto"/>
          <w:sz w:val="24"/>
        </w:rPr>
        <w:t>元整（¥</w:t>
      </w:r>
      <w:r>
        <w:rPr>
          <w:rFonts w:hint="eastAsia" w:ascii="宋体" w:hAnsi="宋体" w:cs="宋体"/>
          <w:bCs/>
          <w:color w:val="auto"/>
          <w:sz w:val="24"/>
          <w:u w:val="single"/>
        </w:rPr>
        <w:t>________</w:t>
      </w:r>
      <w:r>
        <w:rPr>
          <w:rFonts w:hint="eastAsia" w:ascii="宋体" w:hAnsi="宋体" w:cs="宋体"/>
          <w:bCs/>
          <w:color w:val="auto"/>
          <w:sz w:val="24"/>
        </w:rPr>
        <w:t>元）。此价为固定不变价，包含货物价格、包装、运输、保险、卸装、保管、调试、培训、售后服务、税金、总承包服务费（按结算价格不含设备费的2%计取）及所有相关费用，所有费用需开具增值税专用发票。</w:t>
      </w:r>
    </w:p>
    <w:p w14:paraId="786805C7">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2.2 付款方式：</w:t>
      </w:r>
    </w:p>
    <w:p w14:paraId="495C99E4">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（1）预付款：本合同签订生效后10个工作日内，甲方向乙方支付合同总额的30%作为预付款，即人民币（大写）</w:t>
      </w:r>
      <w:r>
        <w:rPr>
          <w:rFonts w:hint="eastAsia" w:ascii="宋体" w:hAnsi="宋体" w:cs="宋体"/>
          <w:bCs/>
          <w:color w:val="auto"/>
          <w:sz w:val="24"/>
          <w:u w:val="single"/>
        </w:rPr>
        <w:t>_________________</w:t>
      </w:r>
      <w:r>
        <w:rPr>
          <w:rFonts w:hint="eastAsia" w:ascii="宋体" w:hAnsi="宋体" w:cs="宋体"/>
          <w:bCs/>
          <w:color w:val="auto"/>
          <w:sz w:val="24"/>
        </w:rPr>
        <w:t>元整（¥</w:t>
      </w:r>
      <w:r>
        <w:rPr>
          <w:rFonts w:hint="eastAsia" w:ascii="宋体" w:hAnsi="宋体" w:cs="宋体"/>
          <w:bCs/>
          <w:color w:val="auto"/>
          <w:sz w:val="24"/>
          <w:u w:val="single"/>
        </w:rPr>
        <w:t>_________</w:t>
      </w:r>
      <w:r>
        <w:rPr>
          <w:rFonts w:hint="eastAsia" w:ascii="宋体" w:hAnsi="宋体" w:cs="宋体"/>
          <w:bCs/>
          <w:color w:val="auto"/>
          <w:sz w:val="24"/>
        </w:rPr>
        <w:t>元）。乙方在收到预付款前须向甲方提交等额发票。</w:t>
      </w:r>
    </w:p>
    <w:p w14:paraId="0F6BCFE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（2）验收合格付款：全部设备安装调试完毕并经项目验收合格后10个工作日内，甲方向乙方支付合同总额的55%，即人民币（大写）</w:t>
      </w:r>
      <w:r>
        <w:rPr>
          <w:rFonts w:hint="eastAsia" w:ascii="宋体" w:hAnsi="宋体" w:cs="宋体"/>
          <w:bCs/>
          <w:color w:val="auto"/>
          <w:sz w:val="24"/>
          <w:u w:val="single"/>
        </w:rPr>
        <w:t>_________________</w:t>
      </w:r>
      <w:r>
        <w:rPr>
          <w:rFonts w:hint="eastAsia" w:ascii="宋体" w:hAnsi="宋体" w:cs="宋体"/>
          <w:bCs/>
          <w:color w:val="auto"/>
          <w:sz w:val="24"/>
        </w:rPr>
        <w:t>元整（¥</w:t>
      </w:r>
      <w:r>
        <w:rPr>
          <w:rFonts w:hint="eastAsia" w:ascii="宋体" w:hAnsi="宋体" w:cs="宋体"/>
          <w:bCs/>
          <w:color w:val="auto"/>
          <w:sz w:val="24"/>
          <w:u w:val="single"/>
        </w:rPr>
        <w:t>_________</w:t>
      </w:r>
      <w:r>
        <w:rPr>
          <w:rFonts w:hint="eastAsia" w:ascii="宋体" w:hAnsi="宋体" w:cs="宋体"/>
          <w:bCs/>
          <w:color w:val="auto"/>
          <w:sz w:val="24"/>
        </w:rPr>
        <w:t>元）。乙方在收到该笔款项前须向甲方提交等额发票。</w:t>
      </w:r>
    </w:p>
    <w:p w14:paraId="3E11A9F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（3）质保期满一年付款：系统运行满一年（自新宿舍楼安防专项验收合格之日起计算满一年），且无设备质量及运行故障等问题，经甲方确认后10个工作日内，甲方向乙方支付合同总额的15%，即人民币（大写）</w:t>
      </w:r>
      <w:r>
        <w:rPr>
          <w:rFonts w:hint="eastAsia" w:ascii="宋体" w:hAnsi="宋体" w:cs="宋体"/>
          <w:bCs/>
          <w:color w:val="auto"/>
          <w:sz w:val="24"/>
          <w:u w:val="single"/>
        </w:rPr>
        <w:t>_________________</w:t>
      </w:r>
      <w:r>
        <w:rPr>
          <w:rFonts w:hint="eastAsia" w:ascii="宋体" w:hAnsi="宋体" w:cs="宋体"/>
          <w:bCs/>
          <w:color w:val="auto"/>
          <w:sz w:val="24"/>
        </w:rPr>
        <w:t>元整（¥</w:t>
      </w:r>
      <w:r>
        <w:rPr>
          <w:rFonts w:hint="eastAsia" w:ascii="宋体" w:hAnsi="宋体" w:cs="宋体"/>
          <w:bCs/>
          <w:color w:val="auto"/>
          <w:sz w:val="24"/>
          <w:u w:val="single"/>
        </w:rPr>
        <w:t>_________</w:t>
      </w:r>
      <w:r>
        <w:rPr>
          <w:rFonts w:hint="eastAsia" w:ascii="宋体" w:hAnsi="宋体" w:cs="宋体"/>
          <w:bCs/>
          <w:color w:val="auto"/>
          <w:sz w:val="24"/>
        </w:rPr>
        <w:t>元）。乙方在收到该笔款项前须向甲方提交等额发票。</w:t>
      </w:r>
    </w:p>
    <w:p w14:paraId="6B6DC967">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（4）履约保证金：乙方在合同签订后5个工作日内，可选择以下任一方式提交合同总价5%的履约保证金，即人民币（大写）</w:t>
      </w:r>
      <w:r>
        <w:rPr>
          <w:rFonts w:hint="eastAsia" w:ascii="宋体" w:hAnsi="宋体" w:cs="宋体"/>
          <w:bCs/>
          <w:color w:val="auto"/>
          <w:sz w:val="24"/>
          <w:u w:val="single"/>
        </w:rPr>
        <w:t>_________________</w:t>
      </w:r>
      <w:r>
        <w:rPr>
          <w:rFonts w:hint="eastAsia" w:ascii="宋体" w:hAnsi="宋体" w:cs="宋体"/>
          <w:bCs/>
          <w:color w:val="auto"/>
          <w:sz w:val="24"/>
        </w:rPr>
        <w:t>元整（¥</w:t>
      </w:r>
      <w:r>
        <w:rPr>
          <w:rFonts w:hint="eastAsia" w:ascii="宋体" w:hAnsi="宋体" w:cs="宋体"/>
          <w:bCs/>
          <w:color w:val="auto"/>
          <w:sz w:val="24"/>
          <w:u w:val="single"/>
        </w:rPr>
        <w:t>_________________</w:t>
      </w:r>
      <w:r>
        <w:rPr>
          <w:rFonts w:hint="eastAsia" w:ascii="宋体" w:hAnsi="宋体" w:cs="宋体"/>
          <w:bCs/>
          <w:color w:val="auto"/>
          <w:sz w:val="24"/>
        </w:rPr>
        <w:t>元）；</w:t>
      </w:r>
    </w:p>
    <w:p w14:paraId="2E72C697">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①汇款方式：通过银行汇款至甲方指定对公账户（户名：江苏商贸职业学院；账号：522258202631；开户银行：中国银行金海岸支行）；</w:t>
      </w:r>
    </w:p>
    <w:p w14:paraId="392AB1DE">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②汇票或金融机构、担保机构出具的保函等：保函有效期应覆盖项目质保期（自项目验收合格之日起年）。保函格式须经甲方认可；</w:t>
      </w:r>
    </w:p>
    <w:p w14:paraId="5810FB8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质保期满后且无质量及服务问题，甲方在收到乙方的申请后退还汇款方式提交的保证金（不计利息），或解除保函、保单责任。</w:t>
      </w:r>
    </w:p>
    <w:p w14:paraId="28524B4F">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（5）以上付款均不计利息，甲方不得无故拖延支付。</w:t>
      </w:r>
    </w:p>
    <w:p w14:paraId="4EA19A8B">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第三条交付时间及地点</w:t>
      </w:r>
    </w:p>
    <w:p w14:paraId="7F329AEE">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bCs/>
          <w:color w:val="auto"/>
          <w:sz w:val="24"/>
        </w:rPr>
        <w:t>3.1 交付时间：合同签订后20个日历天内供货至用户单位，在</w:t>
      </w:r>
      <w:r>
        <w:rPr>
          <w:rFonts w:hint="eastAsia" w:ascii="宋体" w:hAnsi="宋体" w:cs="宋体"/>
          <w:color w:val="auto"/>
          <w:sz w:val="24"/>
        </w:rPr>
        <w:t>接到招标人现场满足施工条件书面通知后</w:t>
      </w:r>
      <w:r>
        <w:rPr>
          <w:rFonts w:hint="eastAsia" w:ascii="宋体" w:hAnsi="宋体" w:cs="宋体"/>
          <w:color w:val="auto"/>
          <w:sz w:val="24"/>
          <w:lang w:val="en-US" w:eastAsia="zh-CN"/>
        </w:rPr>
        <w:t>15</w:t>
      </w:r>
      <w:r>
        <w:rPr>
          <w:rFonts w:hint="eastAsia" w:ascii="宋体" w:hAnsi="宋体" w:cs="宋体"/>
          <w:color w:val="auto"/>
          <w:sz w:val="24"/>
        </w:rPr>
        <w:t>个日历天内</w:t>
      </w:r>
      <w:r>
        <w:rPr>
          <w:rFonts w:hint="eastAsia" w:ascii="宋体" w:hAnsi="宋体" w:cs="宋体"/>
          <w:bCs/>
          <w:color w:val="auto"/>
          <w:sz w:val="24"/>
        </w:rPr>
        <w:t>完成项目所有设备的安装及调试，系统运行正常。</w:t>
      </w:r>
    </w:p>
    <w:p w14:paraId="6EFD73C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3.2 交付地点：江苏商贸职业学院指定地点。</w:t>
      </w:r>
    </w:p>
    <w:p w14:paraId="3C5C3194">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第四条包装及运输</w:t>
      </w:r>
    </w:p>
    <w:p w14:paraId="4B00C669">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4.1 乙方负责所供货物的包装，包装应适应运输距离、防潮、防震、防锈和防破损，确保货物安全运抵交付地点。</w:t>
      </w:r>
    </w:p>
    <w:p w14:paraId="1584044B">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4.2 运输、装卸、保管等费用及风险由乙方承担，直至项目验收合格。</w:t>
      </w:r>
    </w:p>
    <w:p w14:paraId="7C865893">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第五条验收标准</w:t>
      </w:r>
    </w:p>
    <w:p w14:paraId="66042D6A">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5.1 初步验收：乙方完成安装调试后，向甲方提交验收申请。甲方在收到申请后10个工作日内，以招标文件、乙方投标文件、合同及国家/行业相关标准为依据，组织完工初步验收。</w:t>
      </w:r>
    </w:p>
    <w:p w14:paraId="10C93894">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5.2 最终验收：初步验收通过后，本项目最终以新宿舍楼安防专项验收合格视同本项目竣工验收合格。</w:t>
      </w:r>
    </w:p>
    <w:p w14:paraId="14C8AB88">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5.3 验收时如发现设备质量不符合同约定，乙方应在7日内无条件更换或整改，并承担因此产生的全部费用。</w:t>
      </w:r>
    </w:p>
    <w:p w14:paraId="3DDF647B">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第六条质量保证及售后服务</w:t>
      </w:r>
    </w:p>
    <w:p w14:paraId="274874CC">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6.1 免费质保期：签订合同前，乙方需提供主要设备原厂质保函，项目质保期年（根据投标承诺），自新宿舍楼安防专项验收合格之日起计算。质保期内，因产品质量问题导致的故障，乙方免费维修或更换；因乙方原因造成的系统故障，乙方免费修复。</w:t>
      </w:r>
    </w:p>
    <w:p w14:paraId="357C017F">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6.2 维保服务：质保期内乙方提供7×24小时维保服务，接到故障报修后4小时内到达现场，24小时内解决故障。</w:t>
      </w:r>
    </w:p>
    <w:p w14:paraId="3DF3CC7E">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6.3 培训服务：乙方承诺提供不少于2次（累计16课时）系统操作培训，并配套纸质及电子版运维手册。</w:t>
      </w:r>
    </w:p>
    <w:p w14:paraId="4A049789">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6.4 终身维修：质保期满后，乙方应提供有偿终身维修服务，维修费用按成本价收取。</w:t>
      </w:r>
    </w:p>
    <w:p w14:paraId="04ACE8EE">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第七条违约责任</w:t>
      </w:r>
    </w:p>
    <w:p w14:paraId="00667C1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7.1 乙方逾期交付的，每逾期一日，按合同总价的万分之五向甲方支付违约金；逾期超过30日的，甲方有权解除合同，并要求乙方支付合同总价20%的违约金。</w:t>
      </w:r>
    </w:p>
    <w:p w14:paraId="57C039F6">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7.2 乙方交付的设备质量不符合合同约定的，甲方有权要求乙方限期更换或修理，因此造成逾期交付的，乙方按本条第一款承担违约责任。</w:t>
      </w:r>
    </w:p>
    <w:p w14:paraId="192BEBE6">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7.3 甲方逾期支付款项的，每逾期一日，按应付未付款项的万分之五向乙方支付违约金。</w:t>
      </w:r>
    </w:p>
    <w:p w14:paraId="7BC42B3D">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7.4 任何一方违约导致合同无法履行的，守约方有权解除合同，并要求违约方赔偿损失。</w:t>
      </w:r>
    </w:p>
    <w:p w14:paraId="520537E1">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第八条不可抗力</w:t>
      </w:r>
    </w:p>
    <w:p w14:paraId="14996791">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8.1 因不可抗力不能履行合同的，遭受不可抗力一方应及时通知对方，并提供相关证明，可免除相应违约责任。</w:t>
      </w:r>
    </w:p>
    <w:p w14:paraId="1525B48E">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8.2 不可抗力事件持续超过30日的，双方可协商解除合同。</w:t>
      </w:r>
    </w:p>
    <w:p w14:paraId="78ABAA18">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第九条争议解决</w:t>
      </w:r>
    </w:p>
    <w:p w14:paraId="50CF2E6F">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9.1 因本合同发生的争议，双方应协商解决；协商不成的，向甲方所在地人民法院提起诉讼。</w:t>
      </w:r>
    </w:p>
    <w:p w14:paraId="02685FEC">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第十条保密义务</w:t>
      </w:r>
    </w:p>
    <w:p w14:paraId="33AD3CB3">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10.1 乙方应对本项目实施过程中接触到的所有甲方信息、技术资料、系统配置、监控数据、人员信息等严格保密，未经甲方书面许可不得向任何第三方泄露。</w:t>
      </w:r>
    </w:p>
    <w:p w14:paraId="541E4B2E">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10.2 乙方须与所有参与本项目的人员签订保密协议，明确保密义务和责任。项目实施期间及质保期满后，保密义务持续有效。</w:t>
      </w:r>
    </w:p>
    <w:p w14:paraId="50251F29">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10.3 因乙方原因造成信息泄露的，乙方应承担全部法律责任和经济赔偿。</w:t>
      </w:r>
    </w:p>
    <w:p w14:paraId="1532594A">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第十一条其他</w:t>
      </w:r>
    </w:p>
    <w:p w14:paraId="02F81409">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11.1 招标文件、投标文件、中标通知书、澄清承诺等均为本合同的有效组成部分，与本合同具有同等法律效力。</w:t>
      </w:r>
    </w:p>
    <w:p w14:paraId="07E3928C">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11.2 本合同一式陆份，甲方执肆份，乙方执贰份，自双方法定代表人或授权代表签字并盖章之日起生效。</w:t>
      </w:r>
    </w:p>
    <w:p w14:paraId="19E5354D">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甲方（盖章）：乙方（盖章）：</w:t>
      </w:r>
    </w:p>
    <w:p w14:paraId="0CF7B126">
      <w:pPr>
        <w:tabs>
          <w:tab w:val="left" w:pos="540"/>
          <w:tab w:val="left" w:pos="567"/>
        </w:tabs>
        <w:spacing w:line="440" w:lineRule="exact"/>
        <w:ind w:firstLine="470" w:firstLineChars="196"/>
        <w:rPr>
          <w:rFonts w:ascii="宋体" w:hAnsi="宋体" w:cs="宋体"/>
          <w:bCs/>
          <w:color w:val="auto"/>
          <w:sz w:val="24"/>
        </w:rPr>
      </w:pPr>
    </w:p>
    <w:p w14:paraId="44156ED5">
      <w:pPr>
        <w:tabs>
          <w:tab w:val="left" w:pos="540"/>
          <w:tab w:val="left" w:pos="567"/>
        </w:tabs>
        <w:spacing w:line="440" w:lineRule="exact"/>
        <w:ind w:firstLine="470" w:firstLineChars="196"/>
        <w:rPr>
          <w:rFonts w:ascii="宋体" w:hAnsi="宋体" w:cs="宋体"/>
          <w:bCs/>
          <w:color w:val="auto"/>
          <w:sz w:val="24"/>
        </w:rPr>
      </w:pPr>
      <w:bookmarkStart w:id="103" w:name="OLE_LINK12"/>
      <w:bookmarkStart w:id="104" w:name="OLE_LINK11"/>
      <w:r>
        <w:rPr>
          <w:rFonts w:hint="eastAsia" w:ascii="宋体" w:hAnsi="宋体" w:cs="宋体"/>
          <w:bCs/>
          <w:color w:val="auto"/>
          <w:sz w:val="24"/>
        </w:rPr>
        <w:t>法定代表人/                                 法定代表人/</w:t>
      </w:r>
    </w:p>
    <w:p w14:paraId="5F22A45D">
      <w:pPr>
        <w:tabs>
          <w:tab w:val="left" w:pos="540"/>
          <w:tab w:val="left" w:pos="567"/>
        </w:tabs>
        <w:spacing w:line="440" w:lineRule="exact"/>
        <w:ind w:firstLine="470" w:firstLineChars="196"/>
        <w:rPr>
          <w:rFonts w:ascii="宋体" w:hAnsi="宋体" w:cs="宋体"/>
          <w:bCs/>
          <w:color w:val="auto"/>
          <w:sz w:val="24"/>
        </w:rPr>
      </w:pPr>
      <w:bookmarkStart w:id="105" w:name="OLE_LINK13"/>
      <w:bookmarkStart w:id="106" w:name="OLE_LINK14"/>
      <w:r>
        <w:rPr>
          <w:rFonts w:hint="eastAsia" w:ascii="宋体" w:hAnsi="宋体" w:cs="宋体"/>
          <w:bCs/>
          <w:color w:val="auto"/>
          <w:sz w:val="24"/>
        </w:rPr>
        <w:t>负责人（签字）：</w:t>
      </w:r>
      <w:bookmarkEnd w:id="105"/>
      <w:bookmarkEnd w:id="106"/>
      <w:r>
        <w:rPr>
          <w:rFonts w:hint="eastAsia" w:ascii="宋体" w:hAnsi="宋体" w:cs="宋体"/>
          <w:bCs/>
          <w:color w:val="auto"/>
          <w:sz w:val="24"/>
        </w:rPr>
        <w:t>负责人（签字）：</w:t>
      </w:r>
    </w:p>
    <w:bookmarkEnd w:id="103"/>
    <w:bookmarkEnd w:id="104"/>
    <w:p w14:paraId="735988BA">
      <w:pPr>
        <w:tabs>
          <w:tab w:val="left" w:pos="540"/>
          <w:tab w:val="left" w:pos="567"/>
        </w:tabs>
        <w:spacing w:line="440" w:lineRule="exact"/>
        <w:ind w:firstLine="470" w:firstLineChars="196"/>
        <w:rPr>
          <w:rFonts w:ascii="宋体" w:hAnsi="宋体" w:cs="宋体"/>
          <w:bCs/>
          <w:color w:val="auto"/>
          <w:sz w:val="24"/>
        </w:rPr>
      </w:pPr>
    </w:p>
    <w:p w14:paraId="1B2108B6">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地址：地址：</w:t>
      </w:r>
    </w:p>
    <w:p w14:paraId="5B8D8E4A">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联系人：联系人：</w:t>
      </w:r>
    </w:p>
    <w:p w14:paraId="7C3D3792">
      <w:pPr>
        <w:tabs>
          <w:tab w:val="left" w:pos="540"/>
          <w:tab w:val="left" w:pos="567"/>
        </w:tabs>
        <w:spacing w:line="440" w:lineRule="exact"/>
        <w:ind w:firstLine="470" w:firstLineChars="196"/>
        <w:rPr>
          <w:rFonts w:ascii="宋体" w:hAnsi="宋体" w:cs="宋体"/>
          <w:bCs/>
          <w:color w:val="auto"/>
          <w:sz w:val="24"/>
        </w:rPr>
      </w:pPr>
      <w:bookmarkStart w:id="107" w:name="OLE_LINK17"/>
      <w:bookmarkStart w:id="108" w:name="OLE_LINK19"/>
      <w:bookmarkStart w:id="109" w:name="OLE_LINK18"/>
      <w:r>
        <w:rPr>
          <w:rFonts w:hint="eastAsia" w:ascii="宋体" w:hAnsi="宋体" w:cs="宋体"/>
          <w:bCs/>
          <w:color w:val="auto"/>
          <w:sz w:val="24"/>
        </w:rPr>
        <w:t>联系电话：</w:t>
      </w:r>
      <w:bookmarkEnd w:id="107"/>
      <w:r>
        <w:rPr>
          <w:rFonts w:hint="eastAsia" w:ascii="宋体" w:hAnsi="宋体" w:cs="宋体"/>
          <w:bCs/>
          <w:color w:val="auto"/>
          <w:sz w:val="24"/>
        </w:rPr>
        <w:t>联系电话：</w:t>
      </w:r>
    </w:p>
    <w:bookmarkEnd w:id="108"/>
    <w:bookmarkEnd w:id="109"/>
    <w:p w14:paraId="424EBDF2">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签订日期：签订日期</w:t>
      </w:r>
    </w:p>
    <w:p w14:paraId="0C8578DC">
      <w:pPr>
        <w:tabs>
          <w:tab w:val="left" w:pos="540"/>
          <w:tab w:val="left" w:pos="567"/>
        </w:tabs>
        <w:spacing w:line="440" w:lineRule="exact"/>
        <w:ind w:firstLine="470" w:firstLineChars="196"/>
        <w:rPr>
          <w:rFonts w:ascii="宋体" w:hAnsi="宋体" w:cs="宋体"/>
          <w:bCs/>
          <w:color w:val="auto"/>
          <w:sz w:val="24"/>
        </w:rPr>
      </w:pPr>
    </w:p>
    <w:p w14:paraId="7D252C9A">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附件：</w:t>
      </w:r>
    </w:p>
    <w:p w14:paraId="59ABDA35">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1. 招标文件</w:t>
      </w:r>
    </w:p>
    <w:p w14:paraId="30AA2ACC">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2. 乙方投标文件</w:t>
      </w:r>
    </w:p>
    <w:p w14:paraId="6958E550">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3. 中标通知书</w:t>
      </w:r>
    </w:p>
    <w:p w14:paraId="653AE326">
      <w:pPr>
        <w:tabs>
          <w:tab w:val="left" w:pos="540"/>
          <w:tab w:val="left" w:pos="567"/>
        </w:tabs>
        <w:spacing w:line="440" w:lineRule="exact"/>
        <w:ind w:firstLine="470" w:firstLineChars="196"/>
        <w:rPr>
          <w:rFonts w:ascii="宋体" w:hAnsi="宋体" w:cs="宋体"/>
          <w:bCs/>
          <w:color w:val="auto"/>
          <w:sz w:val="24"/>
        </w:rPr>
      </w:pPr>
      <w:r>
        <w:rPr>
          <w:rFonts w:hint="eastAsia" w:ascii="宋体" w:hAnsi="宋体" w:cs="宋体"/>
          <w:bCs/>
          <w:color w:val="auto"/>
          <w:sz w:val="24"/>
        </w:rPr>
        <w:t>4. 免费无缝对接承诺函</w:t>
      </w:r>
    </w:p>
    <w:p w14:paraId="5AC2A74D">
      <w:pPr>
        <w:tabs>
          <w:tab w:val="left" w:pos="540"/>
          <w:tab w:val="left" w:pos="567"/>
        </w:tabs>
        <w:spacing w:line="440" w:lineRule="exact"/>
        <w:ind w:firstLine="470" w:firstLineChars="196"/>
        <w:rPr>
          <w:rFonts w:ascii="宋体" w:hAnsi="宋体" w:cs="宋体"/>
          <w:color w:val="auto"/>
        </w:rPr>
      </w:pPr>
      <w:r>
        <w:rPr>
          <w:rFonts w:hint="eastAsia" w:ascii="宋体" w:hAnsi="宋体" w:cs="宋体"/>
          <w:bCs/>
          <w:color w:val="auto"/>
          <w:sz w:val="24"/>
        </w:rPr>
        <w:t>5. 设备清单及技术参数</w:t>
      </w:r>
    </w:p>
    <w:p w14:paraId="39DA4BE4">
      <w:pPr>
        <w:pStyle w:val="36"/>
        <w:ind w:firstLine="240"/>
        <w:rPr>
          <w:rFonts w:ascii="宋体" w:hAnsi="宋体" w:cs="宋体"/>
          <w:color w:val="auto"/>
        </w:rPr>
      </w:pPr>
      <w:r>
        <w:rPr>
          <w:rFonts w:hint="eastAsia" w:ascii="宋体" w:hAnsi="宋体" w:cs="宋体"/>
          <w:color w:val="auto"/>
        </w:rPr>
        <w:br w:type="page"/>
      </w:r>
    </w:p>
    <w:p w14:paraId="178EE7D6">
      <w:pPr>
        <w:adjustRightInd w:val="0"/>
        <w:snapToGrid w:val="0"/>
        <w:spacing w:line="460" w:lineRule="exact"/>
        <w:jc w:val="center"/>
        <w:textAlignment w:val="baseline"/>
        <w:outlineLvl w:val="0"/>
        <w:rPr>
          <w:rFonts w:ascii="宋体" w:hAnsi="宋体" w:cs="宋体"/>
          <w:bCs/>
          <w:color w:val="auto"/>
          <w:sz w:val="32"/>
          <w:szCs w:val="32"/>
        </w:rPr>
      </w:pPr>
      <w:r>
        <w:rPr>
          <w:rFonts w:hint="eastAsia" w:ascii="宋体" w:hAnsi="宋体" w:cs="宋体"/>
          <w:bCs/>
          <w:color w:val="auto"/>
          <w:sz w:val="32"/>
          <w:szCs w:val="32"/>
        </w:rPr>
        <w:t>第六部分</w:t>
      </w:r>
      <w:r>
        <w:rPr>
          <w:rFonts w:hint="eastAsia" w:ascii="宋体" w:hAnsi="宋体" w:cs="宋体"/>
          <w:bCs/>
          <w:color w:val="auto"/>
          <w:sz w:val="32"/>
          <w:szCs w:val="32"/>
          <w:lang w:val="en-US" w:eastAsia="zh-CN"/>
        </w:rPr>
        <w:t xml:space="preserve"> </w:t>
      </w:r>
      <w:r>
        <w:rPr>
          <w:rFonts w:hint="eastAsia" w:ascii="宋体" w:hAnsi="宋体" w:cs="宋体"/>
          <w:bCs/>
          <w:color w:val="auto"/>
          <w:sz w:val="32"/>
          <w:szCs w:val="32"/>
        </w:rPr>
        <w:t>质疑与投诉</w:t>
      </w:r>
    </w:p>
    <w:p w14:paraId="7DDC4768">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一、质疑的提出</w:t>
      </w:r>
    </w:p>
    <w:p w14:paraId="2994BA98">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1.质疑人必须是直接参加本次投标活动的当事人。</w:t>
      </w:r>
    </w:p>
    <w:p w14:paraId="1A561F7E">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B1DCFEA">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5E3DC949">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BF1B61F">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对不能提供相关佐证材料的、涉及商业秘密的、非书面形式的、非送达的、匿名的《质疑函》将不予受理。</w:t>
      </w:r>
    </w:p>
    <w:p w14:paraId="5FBB7336">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相关佐证材料要具备客观性、关联性、合法性，无法查实的（如宣传册、媒体报道、猜测、推理等）不能作为佐证材料。</w:t>
      </w:r>
    </w:p>
    <w:p w14:paraId="327B65D8">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招标单位或代理机构不负责搜集相关佐证材料等工作。</w:t>
      </w:r>
    </w:p>
    <w:p w14:paraId="15F90EDC">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二、《质疑函》的受理和回复</w:t>
      </w:r>
    </w:p>
    <w:p w14:paraId="0E06F2C2">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1.《质疑函》须由质疑人的法定代表人或参加本次投标授权人送达招标单位和代理机构。</w:t>
      </w:r>
    </w:p>
    <w:p w14:paraId="24FAAC6C">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734CA304">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3.对不符合提出质疑要求的，出具《质疑退回通知书》并提出相关补充材料要求，质疑人未在规定的时间内提供补充佐证材料的，视同放弃质疑。</w:t>
      </w:r>
    </w:p>
    <w:p w14:paraId="41A752B0">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4.招标单位、代理机构负责将质疑人提出的质疑相关材料提供给相关专家或评标小组审核，并将审核意见回复质疑人。</w:t>
      </w:r>
    </w:p>
    <w:p w14:paraId="33F2C762">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102D6B4">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5.因质疑情况复杂，组织论证或审查时间较长的，招标人、代理机构以书面形式通知质疑人，可适当延长质疑回复处理时间。</w:t>
      </w:r>
    </w:p>
    <w:p w14:paraId="3C5EEE6E">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三、质疑处理</w:t>
      </w:r>
    </w:p>
    <w:p w14:paraId="50E8474F">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1.质疑成立的处理。招标人或代理机构终止招标，并建议有关部门给相关当事人予以处理。</w:t>
      </w:r>
    </w:p>
    <w:p w14:paraId="46C29B0E">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2.质疑不成立的处理。</w:t>
      </w:r>
    </w:p>
    <w:p w14:paraId="01E3D38A">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1）质疑人书面《申请撤回质疑函》的，不作违约处理。</w:t>
      </w:r>
    </w:p>
    <w:p w14:paraId="47FAFB9F">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2）质疑人在规定的时间内不配合进行质疑调查处理的，按自动撤回《质疑函》处理。</w:t>
      </w:r>
    </w:p>
    <w:p w14:paraId="6D177413">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3）质疑人不按《质疑函》格式就提出质疑的，作违约处理。同时，视情列入不良投标人名单。</w:t>
      </w:r>
    </w:p>
    <w:p w14:paraId="4DEA465E">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4）质疑人虽提供了相关佐证材料，但不能证明其质疑成立的，招标人或代理机构请质疑人补充相关佐证材料，仍不能证明其质疑成立的，作违约处理。</w:t>
      </w:r>
    </w:p>
    <w:p w14:paraId="37456E4F">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5）质疑人不能提供相关佐证材料的，招标人、代理机构已指出，质疑人仍然坚持提出质疑的，作违约处理。</w:t>
      </w:r>
    </w:p>
    <w:p w14:paraId="2CDF3014">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6）对明显有违事实的、经相关专家或评标小组认定无依据的、经其他投标人举证无依据的质疑，作违约处理，视情在招标人官网媒体予以披露。</w:t>
      </w:r>
    </w:p>
    <w:p w14:paraId="7705A3C1">
      <w:pPr>
        <w:adjustRightInd w:val="0"/>
        <w:snapToGrid w:val="0"/>
        <w:spacing w:line="460" w:lineRule="exact"/>
        <w:ind w:firstLine="240" w:firstLineChars="100"/>
        <w:contextualSpacing/>
        <w:rPr>
          <w:rFonts w:ascii="宋体" w:hAnsi="宋体" w:cs="宋体"/>
          <w:color w:val="auto"/>
          <w:sz w:val="24"/>
        </w:rPr>
      </w:pPr>
      <w:r>
        <w:rPr>
          <w:rFonts w:hint="eastAsia" w:ascii="宋体" w:hAnsi="宋体" w:cs="宋体"/>
          <w:color w:val="auto"/>
          <w:sz w:val="24"/>
        </w:rPr>
        <w:t>（7）质疑人承担使用虚假材料或恶意方式质疑的法律责任。</w:t>
      </w:r>
    </w:p>
    <w:p w14:paraId="02E9C6D1">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四、无佐证材料的举报作违约处理。投标人不得进行不提供相关佐证材料（含无法查实的如宣传册、媒体报道、猜测、推理等）向有关部门的举报，否则作违约处理。</w:t>
      </w:r>
    </w:p>
    <w:p w14:paraId="6B93E1F4">
      <w:pPr>
        <w:adjustRightInd w:val="0"/>
        <w:snapToGrid w:val="0"/>
        <w:spacing w:line="460" w:lineRule="exact"/>
        <w:ind w:firstLine="480" w:firstLineChars="200"/>
        <w:contextualSpacing/>
        <w:rPr>
          <w:rFonts w:ascii="宋体" w:hAnsi="宋体" w:cs="宋体"/>
          <w:color w:val="auto"/>
          <w:sz w:val="24"/>
        </w:rPr>
      </w:pPr>
      <w:r>
        <w:rPr>
          <w:rFonts w:hint="eastAsia" w:ascii="宋体" w:hAnsi="宋体" w:cs="宋体"/>
          <w:color w:val="auto"/>
          <w:sz w:val="24"/>
        </w:rPr>
        <w:t>五、投诉不成立的作违约处理。投标人进行质疑后，招标人回复质疑不成立，投标人仍进行投诉的，并最终投诉不成立的，作违约处理。</w:t>
      </w:r>
    </w:p>
    <w:p w14:paraId="47588002">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六、《质疑函》、《质疑回复函》，质疑、举报、投诉不成立的等相关情况，视情在招标人官网等相关媒体予以披露。</w:t>
      </w:r>
    </w:p>
    <w:p w14:paraId="0F637E4C">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七、质疑人对招标人或代理机构的答复不满意或者招标人、代理机构未在规定的时间内作出答复的，可以在答复期满后15个工作日内向相关监督管理部门投诉。</w:t>
      </w:r>
    </w:p>
    <w:p w14:paraId="2BB83227">
      <w:pPr>
        <w:adjustRightInd w:val="0"/>
        <w:snapToGrid w:val="0"/>
        <w:spacing w:line="460" w:lineRule="exact"/>
        <w:ind w:firstLine="482" w:firstLineChars="200"/>
        <w:jc w:val="center"/>
        <w:rPr>
          <w:rFonts w:ascii="宋体" w:hAnsi="宋体" w:cs="宋体"/>
          <w:bCs/>
          <w:color w:val="auto"/>
          <w:sz w:val="36"/>
          <w:szCs w:val="36"/>
        </w:rPr>
      </w:pPr>
      <w:r>
        <w:rPr>
          <w:rFonts w:hint="eastAsia" w:ascii="宋体" w:hAnsi="宋体" w:cs="宋体"/>
          <w:b/>
          <w:color w:val="auto"/>
          <w:sz w:val="24"/>
        </w:rPr>
        <w:br w:type="page"/>
      </w:r>
      <w:r>
        <w:rPr>
          <w:rFonts w:hint="eastAsia" w:ascii="宋体" w:hAnsi="宋体" w:cs="宋体"/>
          <w:bCs/>
          <w:color w:val="auto"/>
          <w:sz w:val="36"/>
          <w:szCs w:val="36"/>
        </w:rPr>
        <w:t>第七部分</w:t>
      </w:r>
      <w:r>
        <w:rPr>
          <w:rFonts w:hint="eastAsia" w:ascii="宋体" w:hAnsi="宋体" w:cs="宋体"/>
          <w:bCs/>
          <w:color w:val="auto"/>
          <w:sz w:val="36"/>
          <w:szCs w:val="36"/>
          <w:lang w:val="en-US" w:eastAsia="zh-CN"/>
        </w:rPr>
        <w:t xml:space="preserve"> </w:t>
      </w:r>
      <w:r>
        <w:rPr>
          <w:rFonts w:hint="eastAsia" w:ascii="宋体" w:hAnsi="宋体" w:cs="宋体"/>
          <w:bCs/>
          <w:color w:val="auto"/>
          <w:sz w:val="36"/>
          <w:szCs w:val="36"/>
        </w:rPr>
        <w:t>投标文件组成</w:t>
      </w:r>
    </w:p>
    <w:p w14:paraId="30E32242">
      <w:pPr>
        <w:adjustRightInd w:val="0"/>
        <w:snapToGrid w:val="0"/>
        <w:spacing w:line="460" w:lineRule="exact"/>
        <w:ind w:firstLine="482" w:firstLineChars="200"/>
        <w:jc w:val="left"/>
        <w:rPr>
          <w:rFonts w:ascii="宋体" w:hAnsi="宋体" w:cs="宋体"/>
          <w:b/>
          <w:color w:val="auto"/>
          <w:sz w:val="24"/>
        </w:rPr>
      </w:pPr>
      <w:r>
        <w:rPr>
          <w:rFonts w:hint="eastAsia" w:ascii="宋体" w:hAnsi="宋体" w:cs="宋体"/>
          <w:b/>
          <w:color w:val="auto"/>
          <w:sz w:val="24"/>
        </w:rPr>
        <w:t>投标文件由资格审查文件、商务技术标、价格标、电子响应文件四部分组成。</w:t>
      </w:r>
    </w:p>
    <w:p w14:paraId="2274ED28">
      <w:pPr>
        <w:adjustRightInd w:val="0"/>
        <w:snapToGrid w:val="0"/>
        <w:spacing w:line="460" w:lineRule="exact"/>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一、资格审查文件</w:t>
      </w:r>
    </w:p>
    <w:p w14:paraId="59B1EFAE">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承诺函（格式见附件）</w:t>
      </w:r>
      <w:r>
        <w:rPr>
          <w:rFonts w:hint="eastAsia" w:ascii="宋体" w:hAnsi="宋体" w:cs="宋体"/>
          <w:color w:val="auto"/>
          <w:kern w:val="0"/>
          <w:sz w:val="24"/>
          <w:lang w:val="zh-CN"/>
        </w:rPr>
        <w:t>；</w:t>
      </w:r>
    </w:p>
    <w:p w14:paraId="39B8BC76">
      <w:pPr>
        <w:tabs>
          <w:tab w:val="left" w:pos="360"/>
        </w:tabs>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2.如法定代表人参加投标，则提供法定代表人身份证明书（格式见附件）；如授权委托人参加投标，则提供法定代表人授权委托书（格式见附件）；</w:t>
      </w:r>
      <w:r>
        <w:rPr>
          <w:rFonts w:hint="eastAsia" w:ascii="宋体" w:hAnsi="宋体" w:cs="宋体"/>
          <w:color w:val="auto"/>
          <w:kern w:val="0"/>
          <w:sz w:val="24"/>
        </w:rPr>
        <w:t>并提供</w:t>
      </w:r>
      <w:r>
        <w:rPr>
          <w:rFonts w:hint="eastAsia" w:ascii="宋体" w:hAnsi="宋体" w:cs="宋体"/>
          <w:color w:val="auto"/>
          <w:sz w:val="24"/>
          <w:lang w:val="zh-CN"/>
        </w:rPr>
        <w:t>被授权人为投标人正式人员</w:t>
      </w:r>
      <w:r>
        <w:rPr>
          <w:rFonts w:hint="eastAsia" w:ascii="宋体" w:hAnsi="宋体" w:cs="宋体"/>
          <w:color w:val="auto"/>
          <w:sz w:val="24"/>
        </w:rPr>
        <w:t>的</w:t>
      </w:r>
      <w:r>
        <w:rPr>
          <w:rFonts w:hint="eastAsia" w:ascii="宋体" w:hAnsi="宋体" w:cs="宋体"/>
          <w:color w:val="auto"/>
          <w:sz w:val="24"/>
          <w:lang w:val="zh-CN"/>
        </w:rPr>
        <w:t>证明材料【提供①与投标人签订的有效劳动合同复印件</w:t>
      </w:r>
      <w:r>
        <w:rPr>
          <w:rFonts w:hint="eastAsia" w:ascii="宋体" w:hAnsi="宋体" w:cs="宋体"/>
          <w:color w:val="auto"/>
          <w:sz w:val="24"/>
        </w:rPr>
        <w:t>并加盖投标单位公章</w:t>
      </w:r>
      <w:r>
        <w:rPr>
          <w:rFonts w:hint="eastAsia" w:ascii="宋体" w:hAnsi="宋体" w:cs="宋体"/>
          <w:color w:val="auto"/>
          <w:sz w:val="24"/>
          <w:lang w:val="zh-CN"/>
        </w:rPr>
        <w:t>；②社保机构出具并盖章的投标人为其缴纳的</w:t>
      </w:r>
      <w:r>
        <w:rPr>
          <w:rFonts w:hint="eastAsia" w:ascii="宋体" w:hAnsi="宋体" w:cs="宋体"/>
          <w:color w:val="auto"/>
          <w:sz w:val="24"/>
        </w:rPr>
        <w:t>自2025年10月以来</w:t>
      </w:r>
      <w:r>
        <w:rPr>
          <w:rFonts w:hint="eastAsia" w:ascii="宋体" w:hAnsi="宋体" w:cs="宋体"/>
          <w:color w:val="auto"/>
          <w:sz w:val="24"/>
          <w:lang w:val="zh-CN"/>
        </w:rPr>
        <w:t>任意1个月的养老保险缴费清单</w:t>
      </w:r>
      <w:r>
        <w:rPr>
          <w:rFonts w:hint="eastAsia" w:ascii="宋体" w:hAnsi="宋体" w:cs="宋体"/>
          <w:color w:val="auto"/>
          <w:sz w:val="24"/>
        </w:rPr>
        <w:t>并加盖投标单位公章</w:t>
      </w:r>
      <w:r>
        <w:rPr>
          <w:rFonts w:hint="eastAsia" w:ascii="宋体" w:hAnsi="宋体" w:cs="宋体"/>
          <w:color w:val="auto"/>
          <w:sz w:val="24"/>
          <w:lang w:val="zh-CN"/>
        </w:rPr>
        <w:t>】；</w:t>
      </w:r>
    </w:p>
    <w:p w14:paraId="7A8C7A41">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3</w:t>
      </w:r>
      <w:r>
        <w:rPr>
          <w:rFonts w:hint="eastAsia" w:ascii="宋体" w:hAnsi="宋体" w:cs="宋体"/>
          <w:color w:val="auto"/>
          <w:kern w:val="0"/>
          <w:sz w:val="24"/>
          <w:lang w:val="zh-CN"/>
        </w:rPr>
        <w:t>.有效的营业执照复印件并加盖投标单位公章；</w:t>
      </w:r>
    </w:p>
    <w:p w14:paraId="33EBE25E">
      <w:pPr>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4.未被“信用中国”网站列入失信被执行人、重大税收违法案件当事人名单、政府采购严重违法失信行为记录名单，提供官网截图；</w:t>
      </w:r>
    </w:p>
    <w:p w14:paraId="64C63988">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kern w:val="0"/>
          <w:sz w:val="24"/>
        </w:rPr>
        <w:t>5.</w:t>
      </w:r>
      <w:r>
        <w:rPr>
          <w:rFonts w:hint="eastAsia" w:ascii="宋体" w:hAnsi="宋体" w:cs="宋体"/>
          <w:color w:val="auto"/>
          <w:sz w:val="24"/>
        </w:rPr>
        <w:t>投标人具有有效的电子与智能化工程专业承包二级及以上资质证书，提供有效的证书复印件并加盖投标单位公章；</w:t>
      </w:r>
    </w:p>
    <w:p w14:paraId="1CB27D88">
      <w:pPr>
        <w:tabs>
          <w:tab w:val="left" w:pos="540"/>
          <w:tab w:val="left" w:pos="567"/>
          <w:tab w:val="left" w:pos="8325"/>
        </w:tabs>
        <w:spacing w:line="440" w:lineRule="exact"/>
        <w:ind w:firstLine="480" w:firstLineChars="200"/>
        <w:rPr>
          <w:rFonts w:ascii="宋体" w:hAnsi="宋体" w:cs="宋体"/>
          <w:color w:val="auto"/>
          <w:sz w:val="24"/>
        </w:rPr>
      </w:pPr>
      <w:r>
        <w:rPr>
          <w:rFonts w:hint="eastAsia" w:ascii="宋体" w:hAnsi="宋体" w:cs="宋体"/>
          <w:color w:val="auto"/>
          <w:sz w:val="24"/>
        </w:rPr>
        <w:t>6.投标人须提供免费无缝对接承诺函，承诺所投产品（存储磁盘阵列、新增视频监控点位、人脸识别抓拍、高空抛物溯源等子系统）能够免费接入至学校现有综合安防管理平台（海康威视），实现统一的分组管理、实时调看、系统设置、录像资源共享等功能。承诺函格式自拟，须加盖投标投标人公章。未提供承诺函或承诺内容不符合要求的，视为未实质性响应招标文件，作无效投标处理。</w:t>
      </w:r>
    </w:p>
    <w:p w14:paraId="302D07DB">
      <w:pPr>
        <w:tabs>
          <w:tab w:val="left" w:pos="540"/>
          <w:tab w:val="left" w:pos="567"/>
          <w:tab w:val="left" w:pos="8325"/>
        </w:tabs>
        <w:spacing w:line="440" w:lineRule="exact"/>
        <w:ind w:firstLine="480" w:firstLineChars="200"/>
        <w:rPr>
          <w:rFonts w:ascii="宋体" w:hAnsi="宋体" w:cs="宋体"/>
          <w:color w:val="auto"/>
          <w:sz w:val="24"/>
        </w:rPr>
      </w:pPr>
      <w:r>
        <w:rPr>
          <w:rFonts w:hint="eastAsia" w:ascii="宋体" w:hAnsi="宋体" w:cs="宋体"/>
          <w:color w:val="auto"/>
          <w:sz w:val="24"/>
        </w:rPr>
        <w:t>7. 投标人须在投标文件中提供书面承诺函（格式自拟，加盖投标投标人公章），承诺内容如下：</w:t>
      </w:r>
    </w:p>
    <w:p w14:paraId="367840ED">
      <w:pPr>
        <w:tabs>
          <w:tab w:val="left" w:pos="540"/>
          <w:tab w:val="left" w:pos="567"/>
          <w:tab w:val="left" w:pos="8325"/>
        </w:tabs>
        <w:spacing w:line="440" w:lineRule="exact"/>
        <w:ind w:firstLine="480" w:firstLineChars="200"/>
        <w:rPr>
          <w:rFonts w:ascii="宋体" w:hAnsi="宋体" w:cs="宋体"/>
          <w:color w:val="auto"/>
          <w:sz w:val="24"/>
        </w:rPr>
      </w:pPr>
      <w:r>
        <w:rPr>
          <w:rFonts w:hint="eastAsia" w:ascii="宋体" w:hAnsi="宋体" w:cs="宋体"/>
          <w:color w:val="auto"/>
          <w:sz w:val="24"/>
        </w:rPr>
        <w:t>（1）所投产品（存储磁盘阵列、新增视频监控点位、人脸识别抓拍、高空抛物溯源等子系统）能够免费、无缝接入至学校现有综合安防管理平台（品牌：海康威视；软件名称：高校安全管理平台；版本信息：V1.2.100_20230726），实现统一的分组管理、实时调看、系统设置、录像资源共享等功能。</w:t>
      </w:r>
    </w:p>
    <w:p w14:paraId="7CE7B116">
      <w:pPr>
        <w:tabs>
          <w:tab w:val="left" w:pos="540"/>
          <w:tab w:val="left" w:pos="567"/>
          <w:tab w:val="left" w:pos="8325"/>
        </w:tabs>
        <w:spacing w:line="440" w:lineRule="exact"/>
        <w:ind w:firstLine="480" w:firstLineChars="200"/>
        <w:rPr>
          <w:rFonts w:ascii="宋体" w:hAnsi="宋体" w:cs="宋体"/>
          <w:color w:val="auto"/>
          <w:sz w:val="24"/>
        </w:rPr>
      </w:pPr>
      <w:r>
        <w:rPr>
          <w:rFonts w:hint="eastAsia" w:ascii="宋体" w:hAnsi="宋体" w:cs="宋体"/>
          <w:color w:val="auto"/>
          <w:sz w:val="24"/>
        </w:rPr>
        <w:t>（2）中标后，投标人将独立负责与平台原厂商或授权服务商进行技术协调与对接，承担对接过程中可能产生的全部费用及责任，确保系统功能完整实现。学校可提供必要的协助。</w:t>
      </w:r>
    </w:p>
    <w:p w14:paraId="43671DE6">
      <w:pPr>
        <w:tabs>
          <w:tab w:val="left" w:pos="540"/>
          <w:tab w:val="left" w:pos="567"/>
          <w:tab w:val="left" w:pos="8325"/>
        </w:tabs>
        <w:spacing w:line="440" w:lineRule="exact"/>
        <w:ind w:firstLine="480" w:firstLineChars="200"/>
        <w:rPr>
          <w:rFonts w:ascii="宋体" w:hAnsi="宋体" w:cs="宋体"/>
          <w:color w:val="auto"/>
          <w:sz w:val="24"/>
        </w:rPr>
      </w:pPr>
      <w:r>
        <w:rPr>
          <w:rFonts w:hint="eastAsia" w:ascii="宋体" w:hAnsi="宋体" w:cs="宋体"/>
          <w:color w:val="auto"/>
          <w:sz w:val="24"/>
        </w:rPr>
        <w:t>（3）项目验收前，投标人须确保所有接入点位的授权清晰、合法有效，并配合学校完成授权数量的最终确认。学校不接受任何以“厂家未授权”为由导致的履约延迟或功能缺失。</w:t>
      </w:r>
    </w:p>
    <w:p w14:paraId="14AD3BD3">
      <w:pPr>
        <w:tabs>
          <w:tab w:val="left" w:pos="540"/>
          <w:tab w:val="left" w:pos="567"/>
          <w:tab w:val="left" w:pos="8325"/>
        </w:tabs>
        <w:spacing w:line="440" w:lineRule="exact"/>
        <w:ind w:firstLine="480" w:firstLineChars="200"/>
        <w:rPr>
          <w:rFonts w:ascii="宋体" w:hAnsi="宋体" w:cs="宋体"/>
          <w:color w:val="auto"/>
          <w:sz w:val="24"/>
        </w:rPr>
      </w:pPr>
      <w:r>
        <w:rPr>
          <w:rFonts w:hint="eastAsia" w:ascii="宋体" w:hAnsi="宋体" w:cs="宋体"/>
          <w:color w:val="auto"/>
          <w:sz w:val="24"/>
        </w:rPr>
        <w:t>未提供上述承诺函或承诺内容不符合要求的，视为未实质性响应招标文件，作无效投标处理。中标后，若因投标人对接不力导致项目无法通过验收，学校有权追究其违约责任。</w:t>
      </w:r>
    </w:p>
    <w:p w14:paraId="1FC680A6">
      <w:pPr>
        <w:adjustRightInd w:val="0"/>
        <w:snapToGrid w:val="0"/>
        <w:spacing w:line="460" w:lineRule="exact"/>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二、商务技术标（不能出现价格标）</w:t>
      </w:r>
    </w:p>
    <w:p w14:paraId="6AEA03BB">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sz w:val="24"/>
        </w:rPr>
        <w:t>投标响应函</w:t>
      </w:r>
      <w:r>
        <w:rPr>
          <w:rFonts w:hint="eastAsia" w:ascii="宋体" w:hAnsi="宋体" w:cs="宋体"/>
          <w:color w:val="auto"/>
          <w:kern w:val="0"/>
          <w:sz w:val="24"/>
          <w:lang w:val="zh-CN"/>
        </w:rPr>
        <w:t>（格式见附件）；</w:t>
      </w:r>
    </w:p>
    <w:p w14:paraId="3E07D486">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2.</w:t>
      </w:r>
      <w:r>
        <w:rPr>
          <w:rFonts w:hint="eastAsia" w:ascii="宋体" w:hAnsi="宋体" w:cs="宋体"/>
          <w:color w:val="auto"/>
          <w:kern w:val="0"/>
          <w:sz w:val="24"/>
          <w:lang w:val="zh-CN"/>
        </w:rPr>
        <w:t>商务部分正负偏离表（格式见附件）；</w:t>
      </w:r>
    </w:p>
    <w:p w14:paraId="3F5759F3">
      <w:pPr>
        <w:adjustRightInd w:val="0"/>
        <w:snapToGrid w:val="0"/>
        <w:spacing w:line="460" w:lineRule="exact"/>
        <w:ind w:firstLine="480" w:firstLineChars="200"/>
        <w:rPr>
          <w:color w:val="auto"/>
        </w:rPr>
      </w:pPr>
      <w:r>
        <w:rPr>
          <w:rFonts w:hint="eastAsia" w:ascii="宋体" w:hAnsi="宋体" w:cs="宋体"/>
          <w:color w:val="auto"/>
          <w:kern w:val="0"/>
          <w:sz w:val="24"/>
        </w:rPr>
        <w:t>3.</w:t>
      </w:r>
      <w:r>
        <w:rPr>
          <w:rFonts w:hint="eastAsia" w:ascii="宋体" w:hAnsi="宋体" w:cs="宋体"/>
          <w:color w:val="auto"/>
          <w:kern w:val="0"/>
          <w:sz w:val="24"/>
          <w:lang w:val="zh-CN"/>
        </w:rPr>
        <w:t>技术部分正负偏离表（格式见附件）；</w:t>
      </w:r>
    </w:p>
    <w:p w14:paraId="3DF698ED">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4.</w:t>
      </w:r>
      <w:r>
        <w:rPr>
          <w:rFonts w:hint="eastAsia" w:ascii="宋体" w:hAnsi="宋体" w:cs="宋体"/>
          <w:color w:val="auto"/>
          <w:kern w:val="0"/>
          <w:sz w:val="24"/>
          <w:lang w:val="zh-CN"/>
        </w:rPr>
        <w:t>商务技术评分标准中须提供的相关得分佐证材料；</w:t>
      </w:r>
    </w:p>
    <w:p w14:paraId="2046D9C1">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rPr>
        <w:t>5.</w:t>
      </w:r>
      <w:r>
        <w:rPr>
          <w:rFonts w:hint="eastAsia" w:ascii="宋体" w:hAnsi="宋体" w:cs="宋体"/>
          <w:color w:val="auto"/>
          <w:kern w:val="0"/>
          <w:sz w:val="24"/>
          <w:lang w:val="zh-CN"/>
        </w:rPr>
        <w:t>投标人认为需要提交的其他商务技术材料。</w:t>
      </w:r>
    </w:p>
    <w:p w14:paraId="63BA7905">
      <w:pPr>
        <w:adjustRightInd w:val="0"/>
        <w:snapToGrid w:val="0"/>
        <w:spacing w:line="460" w:lineRule="exact"/>
        <w:ind w:firstLine="482" w:firstLineChars="200"/>
        <w:rPr>
          <w:rFonts w:ascii="宋体" w:hAnsi="宋体" w:cs="宋体"/>
          <w:b/>
          <w:bCs/>
          <w:color w:val="auto"/>
          <w:kern w:val="0"/>
          <w:sz w:val="24"/>
          <w:lang w:val="zh-CN"/>
        </w:rPr>
      </w:pPr>
      <w:r>
        <w:rPr>
          <w:rFonts w:hint="eastAsia" w:ascii="宋体" w:hAnsi="宋体" w:cs="宋体"/>
          <w:b/>
          <w:bCs/>
          <w:color w:val="auto"/>
          <w:kern w:val="0"/>
          <w:sz w:val="24"/>
          <w:lang w:val="zh-CN"/>
        </w:rPr>
        <w:t>三、价格标</w:t>
      </w:r>
    </w:p>
    <w:p w14:paraId="604E7C15">
      <w:pPr>
        <w:adjustRightInd w:val="0"/>
        <w:snapToGrid w:val="0"/>
        <w:spacing w:line="460" w:lineRule="exact"/>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1.响应报价表（格式见附件）；</w:t>
      </w:r>
    </w:p>
    <w:p w14:paraId="62E2F876">
      <w:pPr>
        <w:adjustRightInd w:val="0"/>
        <w:snapToGrid w:val="0"/>
        <w:spacing w:line="460" w:lineRule="exact"/>
        <w:ind w:firstLine="480" w:firstLineChars="200"/>
        <w:rPr>
          <w:color w:val="auto"/>
        </w:rPr>
      </w:pPr>
      <w:r>
        <w:rPr>
          <w:rFonts w:hint="eastAsia" w:ascii="宋体" w:hAnsi="宋体" w:cs="宋体"/>
          <w:color w:val="auto"/>
          <w:kern w:val="0"/>
          <w:sz w:val="24"/>
        </w:rPr>
        <w:t>2.分项报价表（格式自拟）</w:t>
      </w:r>
      <w:r>
        <w:rPr>
          <w:rFonts w:hint="eastAsia" w:ascii="宋体" w:hAnsi="宋体" w:cs="宋体"/>
          <w:color w:val="auto"/>
          <w:kern w:val="0"/>
          <w:sz w:val="24"/>
          <w:lang w:val="zh-CN"/>
        </w:rPr>
        <w:t>。</w:t>
      </w:r>
    </w:p>
    <w:p w14:paraId="5FBE33BC">
      <w:pPr>
        <w:adjustRightInd w:val="0"/>
        <w:snapToGrid w:val="0"/>
        <w:spacing w:line="4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四、电子响应文件（一份、单独密封提交）</w:t>
      </w:r>
    </w:p>
    <w:p w14:paraId="62E382A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存于一个U盘中即可，须单独密封提交。</w:t>
      </w:r>
    </w:p>
    <w:p w14:paraId="2DCA0679">
      <w:pPr>
        <w:snapToGrid w:val="0"/>
        <w:spacing w:line="460" w:lineRule="exact"/>
        <w:contextualSpacing/>
        <w:rPr>
          <w:rFonts w:ascii="宋体" w:hAnsi="宋体" w:cs="宋体"/>
          <w:color w:val="auto"/>
          <w:kern w:val="0"/>
          <w:sz w:val="32"/>
          <w:szCs w:val="32"/>
          <w:lang w:val="zh-CN"/>
        </w:rPr>
      </w:pPr>
      <w:r>
        <w:rPr>
          <w:rFonts w:hint="eastAsia" w:ascii="宋体" w:hAnsi="宋体" w:cs="宋体"/>
          <w:color w:val="auto"/>
          <w:kern w:val="0"/>
          <w:sz w:val="32"/>
          <w:szCs w:val="32"/>
          <w:lang w:val="zh-CN"/>
        </w:rPr>
        <w:br w:type="page"/>
      </w:r>
      <w:r>
        <w:rPr>
          <w:rFonts w:hint="eastAsia" w:ascii="宋体" w:hAnsi="宋体" w:cs="宋体"/>
          <w:color w:val="auto"/>
          <w:kern w:val="0"/>
          <w:sz w:val="32"/>
          <w:szCs w:val="32"/>
          <w:lang w:val="zh-CN"/>
        </w:rPr>
        <w:t>附件1</w:t>
      </w:r>
    </w:p>
    <w:p w14:paraId="3EE3CB3B">
      <w:pPr>
        <w:spacing w:line="460" w:lineRule="exact"/>
        <w:jc w:val="center"/>
        <w:rPr>
          <w:rFonts w:ascii="宋体" w:hAnsi="宋体" w:cs="宋体"/>
          <w:b/>
          <w:color w:val="auto"/>
          <w:sz w:val="30"/>
          <w:szCs w:val="30"/>
        </w:rPr>
      </w:pPr>
    </w:p>
    <w:p w14:paraId="7BD3A5F5">
      <w:pPr>
        <w:spacing w:line="460" w:lineRule="exact"/>
        <w:jc w:val="center"/>
        <w:rPr>
          <w:rFonts w:ascii="宋体" w:hAnsi="宋体" w:cs="宋体"/>
          <w:b/>
          <w:color w:val="auto"/>
          <w:sz w:val="30"/>
          <w:szCs w:val="30"/>
        </w:rPr>
      </w:pPr>
    </w:p>
    <w:p w14:paraId="05A644C8">
      <w:pPr>
        <w:spacing w:line="460" w:lineRule="exact"/>
        <w:jc w:val="center"/>
        <w:rPr>
          <w:rFonts w:ascii="宋体" w:hAnsi="宋体" w:cs="宋体"/>
          <w:b/>
          <w:color w:val="auto"/>
          <w:sz w:val="30"/>
          <w:szCs w:val="30"/>
        </w:rPr>
      </w:pPr>
      <w:r>
        <w:rPr>
          <w:rFonts w:hint="eastAsia" w:ascii="宋体" w:hAnsi="宋体" w:cs="宋体"/>
          <w:b/>
          <w:color w:val="auto"/>
          <w:sz w:val="30"/>
          <w:szCs w:val="30"/>
        </w:rPr>
        <w:t>符合投标人资格要求的承诺函</w:t>
      </w:r>
    </w:p>
    <w:p w14:paraId="7D80F737">
      <w:pPr>
        <w:spacing w:line="460" w:lineRule="exact"/>
        <w:rPr>
          <w:rFonts w:ascii="宋体" w:hAnsi="宋体" w:cs="宋体"/>
          <w:b/>
          <w:bCs/>
          <w:color w:val="auto"/>
          <w:sz w:val="44"/>
          <w:szCs w:val="44"/>
        </w:rPr>
      </w:pPr>
    </w:p>
    <w:p w14:paraId="785E753B">
      <w:pPr>
        <w:spacing w:line="460" w:lineRule="exact"/>
        <w:ind w:firstLine="480" w:firstLineChars="200"/>
        <w:rPr>
          <w:rFonts w:ascii="宋体" w:hAnsi="宋体" w:cs="宋体"/>
          <w:b/>
          <w:bCs/>
          <w:color w:val="auto"/>
          <w:sz w:val="24"/>
        </w:rPr>
      </w:pPr>
      <w:r>
        <w:rPr>
          <w:rFonts w:hint="eastAsia" w:ascii="宋体" w:hAnsi="宋体" w:cs="宋体"/>
          <w:bCs/>
          <w:color w:val="auto"/>
          <w:sz w:val="24"/>
        </w:rPr>
        <w:t>我单位参加</w:t>
      </w:r>
      <w:r>
        <w:rPr>
          <w:rFonts w:hint="eastAsia" w:ascii="宋体" w:hAnsi="宋体" w:cs="宋体"/>
          <w:bCs/>
          <w:color w:val="auto"/>
          <w:sz w:val="24"/>
          <w:szCs w:val="21"/>
          <w:u w:val="single"/>
        </w:rPr>
        <w:t>________________ _</w:t>
      </w:r>
      <w:r>
        <w:rPr>
          <w:rFonts w:hint="eastAsia" w:ascii="宋体" w:hAnsi="宋体" w:cs="宋体"/>
          <w:bCs/>
          <w:color w:val="auto"/>
          <w:sz w:val="24"/>
          <w:szCs w:val="21"/>
        </w:rPr>
        <w:t>（项目名称），</w:t>
      </w:r>
      <w:r>
        <w:rPr>
          <w:rFonts w:hint="eastAsia" w:ascii="宋体" w:hAnsi="宋体" w:cs="宋体"/>
          <w:bCs/>
          <w:color w:val="auto"/>
          <w:sz w:val="24"/>
          <w:szCs w:val="21"/>
          <w:u w:val="single"/>
        </w:rPr>
        <w:t>_______ __________</w:t>
      </w:r>
      <w:r>
        <w:rPr>
          <w:rFonts w:hint="eastAsia" w:ascii="宋体" w:hAnsi="宋体" w:cs="宋体"/>
          <w:bCs/>
          <w:color w:val="auto"/>
          <w:sz w:val="24"/>
          <w:szCs w:val="21"/>
        </w:rPr>
        <w:t>（项目编号）投标活动。现做出如下承诺：</w:t>
      </w:r>
    </w:p>
    <w:p w14:paraId="4159D180">
      <w:pPr>
        <w:spacing w:line="460" w:lineRule="exact"/>
        <w:ind w:firstLine="480" w:firstLineChars="200"/>
        <w:rPr>
          <w:rFonts w:ascii="宋体" w:hAnsi="宋体" w:cs="宋体"/>
          <w:color w:val="auto"/>
          <w:sz w:val="24"/>
        </w:rPr>
      </w:pPr>
      <w:r>
        <w:rPr>
          <w:rFonts w:hint="eastAsia" w:ascii="宋体" w:hAnsi="宋体" w:cs="宋体"/>
          <w:bCs/>
          <w:color w:val="auto"/>
          <w:sz w:val="24"/>
          <w:szCs w:val="21"/>
        </w:rPr>
        <w:t>1.我单位具有独立承担民事责任的能力；</w:t>
      </w:r>
    </w:p>
    <w:p w14:paraId="356AFD31">
      <w:pPr>
        <w:spacing w:line="460" w:lineRule="exact"/>
        <w:ind w:firstLine="480" w:firstLineChars="200"/>
        <w:rPr>
          <w:rFonts w:ascii="宋体" w:hAnsi="宋体" w:cs="宋体"/>
          <w:color w:val="auto"/>
          <w:sz w:val="24"/>
        </w:rPr>
      </w:pPr>
      <w:r>
        <w:rPr>
          <w:rFonts w:hint="eastAsia" w:ascii="宋体" w:hAnsi="宋体" w:cs="宋体"/>
          <w:color w:val="auto"/>
          <w:sz w:val="24"/>
        </w:rPr>
        <w:t>2.我单位具有良好的商业信誉和健全的财务会计制度；</w:t>
      </w:r>
    </w:p>
    <w:p w14:paraId="38F3CEFB">
      <w:pPr>
        <w:spacing w:line="460" w:lineRule="exact"/>
        <w:ind w:firstLine="480" w:firstLineChars="200"/>
        <w:rPr>
          <w:rFonts w:ascii="宋体" w:hAnsi="宋体" w:cs="宋体"/>
          <w:color w:val="auto"/>
          <w:sz w:val="24"/>
        </w:rPr>
      </w:pPr>
      <w:r>
        <w:rPr>
          <w:rFonts w:hint="eastAsia" w:ascii="宋体" w:hAnsi="宋体" w:cs="宋体"/>
          <w:color w:val="auto"/>
          <w:sz w:val="24"/>
        </w:rPr>
        <w:t>3.我单位具有履行合同所必需的设备和专业技术能力；</w:t>
      </w:r>
    </w:p>
    <w:p w14:paraId="73491B24">
      <w:pPr>
        <w:spacing w:line="460" w:lineRule="exact"/>
        <w:ind w:firstLine="480" w:firstLineChars="200"/>
        <w:rPr>
          <w:rFonts w:ascii="宋体" w:hAnsi="宋体" w:cs="宋体"/>
          <w:color w:val="auto"/>
          <w:sz w:val="24"/>
        </w:rPr>
      </w:pPr>
      <w:r>
        <w:rPr>
          <w:rFonts w:hint="eastAsia" w:ascii="宋体" w:hAnsi="宋体" w:cs="宋体"/>
          <w:color w:val="auto"/>
          <w:sz w:val="24"/>
        </w:rPr>
        <w:t>4.我单位有依法缴纳税收和社会保障资金的良好记录；</w:t>
      </w:r>
    </w:p>
    <w:p w14:paraId="3A8AA1FB">
      <w:pPr>
        <w:spacing w:line="460" w:lineRule="exact"/>
        <w:ind w:firstLine="480" w:firstLineChars="200"/>
        <w:rPr>
          <w:rFonts w:ascii="宋体" w:hAnsi="宋体" w:cs="宋体"/>
          <w:color w:val="auto"/>
          <w:sz w:val="24"/>
        </w:rPr>
      </w:pPr>
      <w:r>
        <w:rPr>
          <w:rFonts w:hint="eastAsia" w:ascii="宋体" w:hAnsi="宋体" w:cs="宋体"/>
          <w:color w:val="auto"/>
          <w:sz w:val="24"/>
        </w:rPr>
        <w:t>5.我单位参加采购活动前三年内，在经营活动中没有重大违法记录。</w:t>
      </w:r>
    </w:p>
    <w:p w14:paraId="3A637142">
      <w:pPr>
        <w:spacing w:line="460" w:lineRule="exact"/>
        <w:ind w:firstLine="480" w:firstLineChars="200"/>
        <w:rPr>
          <w:rFonts w:ascii="宋体" w:hAnsi="宋体" w:cs="宋体"/>
          <w:color w:val="auto"/>
          <w:sz w:val="24"/>
        </w:rPr>
      </w:pPr>
      <w:r>
        <w:rPr>
          <w:rFonts w:hint="eastAsia" w:ascii="宋体" w:hAnsi="宋体" w:cs="宋体"/>
          <w:color w:val="auto"/>
          <w:sz w:val="24"/>
        </w:rPr>
        <w:t>6.我单位满足法律、行政法规规定的其他条件。</w:t>
      </w:r>
    </w:p>
    <w:p w14:paraId="185C9E86">
      <w:pPr>
        <w:spacing w:line="460" w:lineRule="exact"/>
        <w:ind w:firstLine="480" w:firstLineChars="200"/>
        <w:rPr>
          <w:rFonts w:ascii="宋体" w:hAnsi="宋体" w:cs="宋体"/>
          <w:color w:val="auto"/>
          <w:sz w:val="24"/>
        </w:rPr>
      </w:pPr>
    </w:p>
    <w:p w14:paraId="1BADF70A">
      <w:pPr>
        <w:spacing w:line="460" w:lineRule="exact"/>
        <w:ind w:firstLine="480" w:firstLineChars="200"/>
        <w:rPr>
          <w:rFonts w:ascii="宋体" w:hAnsi="宋体" w:cs="宋体"/>
          <w:color w:val="auto"/>
          <w:sz w:val="24"/>
        </w:rPr>
      </w:pPr>
    </w:p>
    <w:p w14:paraId="3F272E41">
      <w:pPr>
        <w:spacing w:line="460" w:lineRule="exact"/>
        <w:ind w:firstLine="480" w:firstLineChars="200"/>
        <w:rPr>
          <w:rFonts w:ascii="宋体" w:hAnsi="宋体" w:cs="宋体"/>
          <w:bCs/>
          <w:color w:val="auto"/>
          <w:sz w:val="24"/>
          <w:szCs w:val="21"/>
        </w:rPr>
      </w:pPr>
    </w:p>
    <w:p w14:paraId="0BF45272">
      <w:pPr>
        <w:spacing w:line="460" w:lineRule="exact"/>
        <w:ind w:firstLine="480" w:firstLineChars="200"/>
        <w:rPr>
          <w:rFonts w:ascii="宋体" w:hAnsi="宋体" w:cs="宋体"/>
          <w:bCs/>
          <w:color w:val="auto"/>
          <w:sz w:val="24"/>
          <w:szCs w:val="21"/>
        </w:rPr>
      </w:pPr>
    </w:p>
    <w:p w14:paraId="1B4F924C">
      <w:pPr>
        <w:spacing w:line="460" w:lineRule="exact"/>
        <w:ind w:firstLine="480" w:firstLineChars="200"/>
        <w:rPr>
          <w:rFonts w:ascii="宋体" w:hAnsi="宋体" w:cs="宋体"/>
          <w:bCs/>
          <w:color w:val="auto"/>
          <w:sz w:val="24"/>
          <w:szCs w:val="21"/>
        </w:rPr>
      </w:pPr>
    </w:p>
    <w:p w14:paraId="0800FF90">
      <w:pPr>
        <w:spacing w:line="460" w:lineRule="exact"/>
        <w:ind w:firstLine="480" w:firstLineChars="200"/>
        <w:jc w:val="center"/>
        <w:rPr>
          <w:rFonts w:ascii="宋体" w:hAnsi="宋体" w:cs="宋体"/>
          <w:bCs/>
          <w:color w:val="auto"/>
          <w:sz w:val="24"/>
          <w:szCs w:val="21"/>
        </w:rPr>
      </w:pPr>
      <w:r>
        <w:rPr>
          <w:rFonts w:hint="eastAsia" w:ascii="宋体" w:hAnsi="宋体" w:cs="宋体"/>
          <w:bCs/>
          <w:color w:val="auto"/>
          <w:sz w:val="24"/>
          <w:szCs w:val="21"/>
        </w:rPr>
        <w:t>承诺人名称（公章）：</w:t>
      </w:r>
    </w:p>
    <w:p w14:paraId="2DD3F17F">
      <w:pPr>
        <w:spacing w:line="460" w:lineRule="exact"/>
        <w:ind w:firstLine="480" w:firstLineChars="200"/>
        <w:jc w:val="right"/>
        <w:rPr>
          <w:rFonts w:ascii="宋体" w:hAnsi="宋体" w:cs="宋体"/>
          <w:bCs/>
          <w:color w:val="auto"/>
          <w:sz w:val="24"/>
          <w:szCs w:val="21"/>
        </w:rPr>
      </w:pPr>
    </w:p>
    <w:p w14:paraId="523559FC">
      <w:pPr>
        <w:spacing w:line="460" w:lineRule="exact"/>
        <w:ind w:firstLine="480" w:firstLineChars="200"/>
        <w:jc w:val="right"/>
        <w:rPr>
          <w:rFonts w:ascii="宋体" w:hAnsi="宋体" w:cs="宋体"/>
          <w:bCs/>
          <w:color w:val="auto"/>
          <w:sz w:val="24"/>
          <w:szCs w:val="21"/>
        </w:rPr>
      </w:pPr>
      <w:r>
        <w:rPr>
          <w:rFonts w:hint="eastAsia" w:ascii="宋体" w:hAnsi="宋体" w:cs="宋体"/>
          <w:bCs/>
          <w:color w:val="auto"/>
          <w:sz w:val="24"/>
          <w:szCs w:val="21"/>
        </w:rPr>
        <w:t>日期：</w:t>
      </w:r>
      <w:r>
        <w:rPr>
          <w:rFonts w:hint="eastAsia" w:ascii="宋体" w:hAnsi="宋体" w:cs="宋体"/>
          <w:bCs/>
          <w:color w:val="auto"/>
          <w:sz w:val="24"/>
          <w:szCs w:val="21"/>
          <w:u w:val="single"/>
        </w:rPr>
        <w:t>______</w:t>
      </w:r>
      <w:r>
        <w:rPr>
          <w:rFonts w:hint="eastAsia" w:ascii="宋体" w:hAnsi="宋体" w:cs="宋体"/>
          <w:bCs/>
          <w:color w:val="auto"/>
          <w:sz w:val="24"/>
          <w:szCs w:val="21"/>
        </w:rPr>
        <w:t>年月日</w:t>
      </w:r>
    </w:p>
    <w:p w14:paraId="24EC815F">
      <w:pPr>
        <w:snapToGrid w:val="0"/>
        <w:spacing w:line="400" w:lineRule="exact"/>
        <w:contextualSpacing/>
        <w:rPr>
          <w:rFonts w:ascii="宋体" w:hAnsi="宋体" w:cs="宋体"/>
          <w:b/>
          <w:color w:val="auto"/>
          <w:kern w:val="0"/>
          <w:sz w:val="28"/>
          <w:szCs w:val="28"/>
          <w:lang w:val="zh-CN"/>
        </w:rPr>
      </w:pPr>
    </w:p>
    <w:p w14:paraId="75C30A8B">
      <w:pPr>
        <w:pStyle w:val="12"/>
        <w:rPr>
          <w:rFonts w:ascii="宋体" w:hAnsi="宋体" w:cs="宋体"/>
          <w:b/>
          <w:color w:val="auto"/>
          <w:kern w:val="0"/>
          <w:sz w:val="28"/>
          <w:szCs w:val="28"/>
          <w:lang w:val="zh-CN"/>
        </w:rPr>
      </w:pPr>
    </w:p>
    <w:p w14:paraId="7CC97033">
      <w:pPr>
        <w:rPr>
          <w:rFonts w:ascii="宋体" w:hAnsi="宋体" w:cs="宋体"/>
          <w:b/>
          <w:color w:val="auto"/>
          <w:kern w:val="0"/>
          <w:sz w:val="28"/>
          <w:szCs w:val="28"/>
          <w:lang w:val="zh-CN"/>
        </w:rPr>
      </w:pPr>
    </w:p>
    <w:p w14:paraId="296C66F8">
      <w:pPr>
        <w:snapToGrid w:val="0"/>
        <w:spacing w:line="400" w:lineRule="exact"/>
        <w:contextualSpacing/>
        <w:rPr>
          <w:rFonts w:ascii="宋体" w:hAnsi="宋体" w:cs="宋体"/>
          <w:b/>
          <w:color w:val="auto"/>
          <w:kern w:val="0"/>
          <w:sz w:val="28"/>
          <w:szCs w:val="28"/>
          <w:lang w:val="zh-CN"/>
        </w:rPr>
      </w:pPr>
    </w:p>
    <w:p w14:paraId="4A21C73B">
      <w:pPr>
        <w:snapToGrid w:val="0"/>
        <w:spacing w:line="300" w:lineRule="auto"/>
        <w:outlineLvl w:val="0"/>
        <w:rPr>
          <w:rFonts w:ascii="宋体" w:hAnsi="宋体" w:cs="宋体"/>
          <w:color w:val="auto"/>
          <w:sz w:val="32"/>
          <w:szCs w:val="32"/>
          <w:lang w:val="zh-CN"/>
        </w:rPr>
      </w:pPr>
      <w:r>
        <w:rPr>
          <w:rFonts w:hint="eastAsia" w:ascii="宋体" w:hAnsi="宋体" w:cs="宋体"/>
          <w:color w:val="auto"/>
          <w:sz w:val="32"/>
          <w:szCs w:val="32"/>
          <w:lang w:val="zh-CN"/>
        </w:rPr>
        <w:br w:type="column"/>
      </w:r>
      <w:r>
        <w:rPr>
          <w:rFonts w:hint="eastAsia" w:ascii="宋体" w:hAnsi="宋体" w:cs="宋体"/>
          <w:color w:val="auto"/>
          <w:sz w:val="32"/>
          <w:szCs w:val="32"/>
          <w:lang w:val="zh-CN"/>
        </w:rPr>
        <w:t>附件2</w:t>
      </w:r>
    </w:p>
    <w:p w14:paraId="1626FB9C">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法定代表人身份证明</w:t>
      </w:r>
    </w:p>
    <w:p w14:paraId="7A6F4078">
      <w:pPr>
        <w:spacing w:line="360" w:lineRule="auto"/>
        <w:jc w:val="center"/>
        <w:rPr>
          <w:rFonts w:ascii="宋体" w:hAnsi="宋体" w:cs="宋体"/>
          <w:color w:val="auto"/>
          <w:sz w:val="24"/>
          <w:u w:val="double"/>
        </w:rPr>
      </w:pPr>
      <w:r>
        <w:rPr>
          <w:rFonts w:hint="eastAsia" w:ascii="宋体" w:hAnsi="宋体" w:cs="宋体"/>
          <w:color w:val="auto"/>
          <w:sz w:val="24"/>
          <w:u w:val="double"/>
        </w:rPr>
        <w:t>（若法定代表人参加，则提供）</w:t>
      </w:r>
    </w:p>
    <w:p w14:paraId="48B0D3CE">
      <w:pPr>
        <w:spacing w:line="360" w:lineRule="auto"/>
        <w:rPr>
          <w:rFonts w:ascii="宋体" w:hAnsi="宋体" w:cs="宋体"/>
          <w:color w:val="auto"/>
          <w:sz w:val="24"/>
        </w:rPr>
      </w:pPr>
      <w:r>
        <w:rPr>
          <w:rFonts w:hint="eastAsia" w:ascii="宋体" w:hAnsi="宋体" w:cs="宋体"/>
          <w:color w:val="auto"/>
          <w:sz w:val="24"/>
        </w:rPr>
        <w:t>江苏商贸职业学院：</w:t>
      </w:r>
    </w:p>
    <w:p w14:paraId="537C8F07">
      <w:pPr>
        <w:spacing w:line="360" w:lineRule="auto"/>
        <w:ind w:firstLine="480" w:firstLineChars="200"/>
        <w:rPr>
          <w:rFonts w:ascii="宋体" w:hAnsi="宋体" w:cs="宋体"/>
          <w:color w:val="auto"/>
          <w:sz w:val="24"/>
        </w:rPr>
      </w:pPr>
      <w:r>
        <w:rPr>
          <w:rFonts w:hint="eastAsia" w:ascii="宋体" w:hAnsi="宋体" w:cs="宋体"/>
          <w:color w:val="auto"/>
          <w:sz w:val="24"/>
        </w:rPr>
        <w:t>我公司法定代表人参加贵单位组织的（采购项目名称及项目编号)项目公开招标采购活动，全权代表我公司处理投标的有关事宜。</w:t>
      </w:r>
    </w:p>
    <w:p w14:paraId="17BCC66B">
      <w:pPr>
        <w:spacing w:line="360" w:lineRule="auto"/>
        <w:ind w:firstLine="480" w:firstLineChars="200"/>
        <w:rPr>
          <w:rFonts w:ascii="宋体" w:hAnsi="宋体" w:cs="宋体"/>
          <w:color w:val="auto"/>
          <w:sz w:val="24"/>
        </w:rPr>
      </w:pPr>
    </w:p>
    <w:p w14:paraId="2C427B03">
      <w:pPr>
        <w:spacing w:line="360" w:lineRule="auto"/>
        <w:rPr>
          <w:rFonts w:ascii="宋体" w:hAnsi="宋体" w:cs="宋体"/>
          <w:color w:val="auto"/>
          <w:sz w:val="24"/>
        </w:rPr>
      </w:pPr>
      <w:r>
        <w:rPr>
          <w:rFonts w:hint="eastAsia" w:ascii="宋体" w:hAnsi="宋体" w:cs="宋体"/>
          <w:color w:val="auto"/>
          <w:sz w:val="24"/>
        </w:rPr>
        <w:t>附：法定代表人情况：</w:t>
      </w:r>
    </w:p>
    <w:p w14:paraId="5A0E5B23">
      <w:pPr>
        <w:spacing w:line="360" w:lineRule="auto"/>
        <w:rPr>
          <w:rFonts w:ascii="宋体" w:hAnsi="宋体" w:cs="宋体"/>
          <w:color w:val="auto"/>
          <w:sz w:val="24"/>
          <w:u w:val="single"/>
        </w:rPr>
      </w:pPr>
      <w:r>
        <w:rPr>
          <w:rFonts w:hint="eastAsia" w:ascii="宋体" w:hAnsi="宋体" w:cs="宋体"/>
          <w:color w:val="auto"/>
          <w:sz w:val="24"/>
        </w:rPr>
        <w:t>姓名：性别：年龄：职务：</w:t>
      </w:r>
    </w:p>
    <w:p w14:paraId="29409C36">
      <w:pPr>
        <w:spacing w:line="360" w:lineRule="auto"/>
        <w:rPr>
          <w:rFonts w:ascii="宋体" w:hAnsi="宋体" w:cs="宋体"/>
          <w:color w:val="auto"/>
          <w:sz w:val="24"/>
        </w:rPr>
      </w:pPr>
      <w:r>
        <w:rPr>
          <w:rFonts w:hint="eastAsia" w:ascii="宋体" w:hAnsi="宋体" w:cs="宋体"/>
          <w:color w:val="auto"/>
          <w:sz w:val="24"/>
        </w:rPr>
        <w:t>身份证号码：</w:t>
      </w:r>
    </w:p>
    <w:p w14:paraId="0A058AD1">
      <w:pPr>
        <w:spacing w:line="360" w:lineRule="auto"/>
        <w:rPr>
          <w:rFonts w:ascii="宋体" w:hAnsi="宋体" w:cs="宋体"/>
          <w:color w:val="auto"/>
          <w:sz w:val="24"/>
        </w:rPr>
      </w:pPr>
      <w:r>
        <w:rPr>
          <w:rFonts w:hint="eastAsia" w:ascii="宋体" w:hAnsi="宋体" w:cs="宋体"/>
          <w:color w:val="auto"/>
          <w:sz w:val="24"/>
        </w:rPr>
        <w:t>手机：传真：</w:t>
      </w:r>
    </w:p>
    <w:p w14:paraId="264733CD">
      <w:pPr>
        <w:spacing w:line="360" w:lineRule="auto"/>
        <w:rPr>
          <w:rFonts w:ascii="宋体" w:hAnsi="宋体" w:cs="宋体"/>
          <w:color w:val="auto"/>
          <w:sz w:val="24"/>
        </w:rPr>
      </w:pPr>
      <w:r>
        <w:rPr>
          <w:rFonts w:hint="eastAsia" w:ascii="宋体" w:hAnsi="宋体" w:cs="宋体"/>
          <w:color w:val="auto"/>
          <w:sz w:val="24"/>
        </w:rPr>
        <w:t>单位名称（公章）法定代表人（签字或盖章）</w:t>
      </w:r>
    </w:p>
    <w:p w14:paraId="6BC8EAE9">
      <w:pPr>
        <w:spacing w:line="360" w:lineRule="auto"/>
        <w:ind w:firstLine="1200" w:firstLineChars="500"/>
        <w:rPr>
          <w:rFonts w:ascii="宋体" w:hAnsi="宋体" w:cs="宋体"/>
          <w:color w:val="auto"/>
          <w:sz w:val="24"/>
        </w:rPr>
      </w:pPr>
      <w:r>
        <w:rPr>
          <w:rFonts w:hint="eastAsia" w:ascii="宋体" w:hAnsi="宋体" w:cs="宋体"/>
          <w:color w:val="auto"/>
          <w:sz w:val="24"/>
        </w:rPr>
        <w:t>年月日年月日</w:t>
      </w:r>
    </w:p>
    <w:p w14:paraId="1B8599B2">
      <w:pPr>
        <w:spacing w:line="360" w:lineRule="auto"/>
        <w:rPr>
          <w:rFonts w:ascii="宋体" w:hAnsi="宋体" w:cs="宋体"/>
          <w:color w:val="auto"/>
          <w:sz w:val="24"/>
        </w:rPr>
      </w:pPr>
    </w:p>
    <w:p w14:paraId="4D1C06A8">
      <w:pPr>
        <w:spacing w:line="360" w:lineRule="auto"/>
        <w:rPr>
          <w:rFonts w:ascii="宋体" w:hAnsi="宋体" w:cs="宋体"/>
          <w:color w:val="auto"/>
          <w:sz w:val="24"/>
        </w:rPr>
      </w:pPr>
    </w:p>
    <w:p w14:paraId="1BA01C9C">
      <w:pPr>
        <w:spacing w:line="360" w:lineRule="auto"/>
        <w:rPr>
          <w:rFonts w:ascii="宋体" w:hAnsi="宋体" w:cs="宋体"/>
          <w:color w:val="auto"/>
          <w:sz w:val="24"/>
        </w:rPr>
      </w:pPr>
      <w:r>
        <w:rPr>
          <w:rFonts w:hint="eastAsia" w:ascii="宋体" w:hAnsi="宋体" w:cs="宋体"/>
          <w:color w:val="auto"/>
          <w:sz w:val="24"/>
        </w:rPr>
        <w:t>法定代表人身份证正反面复印件</w:t>
      </w:r>
    </w:p>
    <w:p w14:paraId="73A78F53">
      <w:pPr>
        <w:spacing w:line="360" w:lineRule="auto"/>
        <w:rPr>
          <w:rFonts w:ascii="宋体" w:hAnsi="宋体" w:cs="宋体"/>
          <w:color w:val="auto"/>
          <w:sz w:val="24"/>
        </w:rPr>
      </w:pPr>
    </w:p>
    <w:p w14:paraId="68A5EF52">
      <w:pPr>
        <w:spacing w:line="360" w:lineRule="auto"/>
        <w:ind w:firstLine="2280" w:firstLineChars="950"/>
        <w:rPr>
          <w:rFonts w:ascii="宋体" w:hAnsi="宋体" w:cs="宋体"/>
          <w:color w:val="auto"/>
          <w:sz w:val="24"/>
        </w:rPr>
      </w:pPr>
      <w:r>
        <w:rPr>
          <w:rFonts w:hint="eastAsia" w:ascii="宋体" w:hAnsi="宋体" w:cs="宋体"/>
          <w:color w:val="auto"/>
          <w:sz w:val="24"/>
        </w:rPr>
        <w:t>（粘贴此处）</w:t>
      </w:r>
    </w:p>
    <w:p w14:paraId="69DA3F26">
      <w:pPr>
        <w:rPr>
          <w:rFonts w:ascii="宋体" w:hAnsi="宋体" w:cs="宋体"/>
          <w:color w:val="auto"/>
        </w:rPr>
      </w:pPr>
    </w:p>
    <w:p w14:paraId="024E70AD">
      <w:pPr>
        <w:snapToGrid w:val="0"/>
        <w:spacing w:line="400" w:lineRule="exact"/>
        <w:ind w:firstLine="540" w:firstLineChars="192"/>
        <w:contextualSpacing/>
        <w:rPr>
          <w:rFonts w:ascii="宋体" w:hAnsi="宋体" w:cs="宋体"/>
          <w:b/>
          <w:color w:val="auto"/>
          <w:kern w:val="0"/>
          <w:sz w:val="28"/>
          <w:szCs w:val="28"/>
        </w:rPr>
      </w:pPr>
    </w:p>
    <w:p w14:paraId="250168B6">
      <w:pPr>
        <w:snapToGrid w:val="0"/>
        <w:spacing w:line="400" w:lineRule="exact"/>
        <w:ind w:firstLine="540" w:firstLineChars="192"/>
        <w:contextualSpacing/>
        <w:rPr>
          <w:rFonts w:ascii="宋体" w:hAnsi="宋体" w:cs="宋体"/>
          <w:b/>
          <w:color w:val="auto"/>
          <w:kern w:val="0"/>
          <w:sz w:val="28"/>
          <w:szCs w:val="28"/>
          <w:lang w:val="zh-CN"/>
        </w:rPr>
      </w:pPr>
    </w:p>
    <w:p w14:paraId="2D23E745">
      <w:pPr>
        <w:snapToGrid w:val="0"/>
        <w:spacing w:line="400" w:lineRule="exact"/>
        <w:ind w:firstLine="540" w:firstLineChars="192"/>
        <w:contextualSpacing/>
        <w:rPr>
          <w:rFonts w:ascii="宋体" w:hAnsi="宋体" w:cs="宋体"/>
          <w:b/>
          <w:color w:val="auto"/>
          <w:kern w:val="0"/>
          <w:sz w:val="28"/>
          <w:szCs w:val="28"/>
          <w:lang w:val="zh-CN"/>
        </w:rPr>
      </w:pPr>
    </w:p>
    <w:p w14:paraId="71E4E712">
      <w:pPr>
        <w:snapToGrid w:val="0"/>
        <w:spacing w:line="400" w:lineRule="exact"/>
        <w:ind w:firstLine="540" w:firstLineChars="192"/>
        <w:contextualSpacing/>
        <w:rPr>
          <w:rFonts w:ascii="宋体" w:hAnsi="宋体" w:cs="宋体"/>
          <w:b/>
          <w:color w:val="auto"/>
          <w:kern w:val="0"/>
          <w:sz w:val="28"/>
          <w:szCs w:val="28"/>
          <w:lang w:val="zh-CN"/>
        </w:rPr>
      </w:pPr>
    </w:p>
    <w:p w14:paraId="45E77D1C">
      <w:pPr>
        <w:snapToGrid w:val="0"/>
        <w:spacing w:line="400" w:lineRule="exact"/>
        <w:ind w:firstLine="540" w:firstLineChars="192"/>
        <w:contextualSpacing/>
        <w:rPr>
          <w:rFonts w:ascii="宋体" w:hAnsi="宋体" w:cs="宋体"/>
          <w:b/>
          <w:color w:val="auto"/>
          <w:kern w:val="0"/>
          <w:sz w:val="28"/>
          <w:szCs w:val="28"/>
          <w:lang w:val="zh-CN"/>
        </w:rPr>
      </w:pPr>
    </w:p>
    <w:p w14:paraId="09C74F2D">
      <w:pPr>
        <w:snapToGrid w:val="0"/>
        <w:spacing w:line="400" w:lineRule="exact"/>
        <w:ind w:firstLine="540" w:firstLineChars="192"/>
        <w:contextualSpacing/>
        <w:rPr>
          <w:rFonts w:ascii="宋体" w:hAnsi="宋体" w:cs="宋体"/>
          <w:b/>
          <w:color w:val="auto"/>
          <w:kern w:val="0"/>
          <w:sz w:val="28"/>
          <w:szCs w:val="28"/>
          <w:lang w:val="zh-CN"/>
        </w:rPr>
      </w:pPr>
    </w:p>
    <w:p w14:paraId="57C60D32">
      <w:pPr>
        <w:snapToGrid w:val="0"/>
        <w:spacing w:line="400" w:lineRule="exact"/>
        <w:contextualSpacing/>
        <w:rPr>
          <w:rFonts w:ascii="宋体" w:hAnsi="宋体" w:cs="宋体"/>
          <w:b/>
          <w:color w:val="auto"/>
          <w:kern w:val="0"/>
          <w:sz w:val="28"/>
          <w:szCs w:val="28"/>
          <w:lang w:val="zh-CN"/>
        </w:rPr>
      </w:pPr>
    </w:p>
    <w:p w14:paraId="7932AC31">
      <w:pPr>
        <w:snapToGrid w:val="0"/>
        <w:spacing w:line="300" w:lineRule="auto"/>
        <w:outlineLvl w:val="0"/>
        <w:rPr>
          <w:rFonts w:ascii="宋体" w:hAnsi="宋体" w:cs="宋体"/>
          <w:color w:val="auto"/>
          <w:sz w:val="32"/>
          <w:szCs w:val="32"/>
          <w:lang w:val="zh-CN"/>
        </w:rPr>
      </w:pPr>
      <w:r>
        <w:rPr>
          <w:rFonts w:hint="eastAsia" w:ascii="宋体" w:hAnsi="宋体" w:cs="宋体"/>
          <w:color w:val="auto"/>
          <w:sz w:val="32"/>
          <w:szCs w:val="32"/>
          <w:lang w:val="zh-CN"/>
        </w:rPr>
        <w:br w:type="page"/>
      </w:r>
      <w:r>
        <w:rPr>
          <w:rFonts w:hint="eastAsia" w:ascii="宋体" w:hAnsi="宋体" w:cs="宋体"/>
          <w:color w:val="auto"/>
          <w:sz w:val="32"/>
          <w:szCs w:val="32"/>
          <w:lang w:val="zh-CN"/>
        </w:rPr>
        <w:t>附件3</w:t>
      </w:r>
    </w:p>
    <w:p w14:paraId="0F38D5E0">
      <w:pPr>
        <w:jc w:val="center"/>
        <w:rPr>
          <w:rFonts w:ascii="宋体" w:hAnsi="宋体" w:cs="宋体"/>
          <w:color w:val="auto"/>
          <w:sz w:val="32"/>
          <w:szCs w:val="32"/>
        </w:rPr>
      </w:pPr>
      <w:r>
        <w:rPr>
          <w:rFonts w:hint="eastAsia" w:ascii="宋体" w:hAnsi="宋体" w:cs="宋体"/>
          <w:color w:val="auto"/>
          <w:sz w:val="32"/>
          <w:szCs w:val="32"/>
        </w:rPr>
        <w:t>法定代表人授权委托书</w:t>
      </w:r>
    </w:p>
    <w:p w14:paraId="31335404">
      <w:pPr>
        <w:snapToGrid w:val="0"/>
        <w:spacing w:line="360" w:lineRule="auto"/>
        <w:jc w:val="center"/>
        <w:rPr>
          <w:rFonts w:ascii="宋体" w:hAnsi="宋体" w:cs="宋体"/>
          <w:color w:val="auto"/>
          <w:sz w:val="24"/>
          <w:u w:val="double"/>
        </w:rPr>
      </w:pPr>
      <w:r>
        <w:rPr>
          <w:rFonts w:hint="eastAsia" w:ascii="宋体" w:hAnsi="宋体" w:cs="宋体"/>
          <w:color w:val="auto"/>
          <w:sz w:val="24"/>
          <w:u w:val="double"/>
        </w:rPr>
        <w:t>（若授权代表参加，则提供）</w:t>
      </w:r>
    </w:p>
    <w:p w14:paraId="035C0D11">
      <w:pPr>
        <w:snapToGrid w:val="0"/>
        <w:spacing w:line="360" w:lineRule="auto"/>
        <w:rPr>
          <w:rFonts w:ascii="宋体" w:hAnsi="宋体" w:cs="宋体"/>
          <w:color w:val="auto"/>
          <w:sz w:val="24"/>
        </w:rPr>
      </w:pPr>
      <w:r>
        <w:rPr>
          <w:rFonts w:hint="eastAsia" w:ascii="宋体" w:hAnsi="宋体" w:cs="宋体"/>
          <w:color w:val="auto"/>
          <w:sz w:val="24"/>
        </w:rPr>
        <w:t>江苏商贸职业学院：</w:t>
      </w:r>
    </w:p>
    <w:p w14:paraId="0436900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w:t>
      </w:r>
      <w:r>
        <w:rPr>
          <w:rFonts w:hint="eastAsia" w:ascii="宋体" w:hAnsi="宋体" w:cs="宋体"/>
          <w:color w:val="auto"/>
          <w:sz w:val="24"/>
        </w:rPr>
        <w:t>被授权人的姓名）代表我公司参加（采购项目名称及项目编号)项目的采购活动，全权处理一切与该项目公开招标有关的事务。其在办理上述事宜过程中所签署的所有文件我公司均予以承认。</w:t>
      </w:r>
    </w:p>
    <w:p w14:paraId="783C482D">
      <w:pPr>
        <w:pStyle w:val="23"/>
        <w:adjustRightInd w:val="0"/>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被授权人无转委托权，特此委托。</w:t>
      </w:r>
    </w:p>
    <w:p w14:paraId="5A9B44F4">
      <w:pPr>
        <w:pStyle w:val="23"/>
        <w:adjustRightInd w:val="0"/>
        <w:snapToGrid w:val="0"/>
        <w:spacing w:line="360" w:lineRule="auto"/>
        <w:ind w:firstLine="480" w:firstLineChars="200"/>
        <w:jc w:val="left"/>
        <w:rPr>
          <w:rFonts w:hAnsi="宋体" w:cs="宋体"/>
          <w:color w:val="auto"/>
          <w:sz w:val="24"/>
          <w:szCs w:val="24"/>
        </w:rPr>
      </w:pPr>
    </w:p>
    <w:p w14:paraId="420B027C">
      <w:pPr>
        <w:spacing w:line="360" w:lineRule="auto"/>
        <w:rPr>
          <w:rFonts w:ascii="宋体" w:hAnsi="宋体" w:cs="宋体"/>
          <w:color w:val="auto"/>
          <w:sz w:val="24"/>
        </w:rPr>
      </w:pPr>
      <w:r>
        <w:rPr>
          <w:rFonts w:hint="eastAsia" w:ascii="宋体" w:hAnsi="宋体" w:cs="宋体"/>
          <w:color w:val="auto"/>
          <w:sz w:val="24"/>
        </w:rPr>
        <w:t>附：被授权人情况：</w:t>
      </w:r>
    </w:p>
    <w:p w14:paraId="65C47D47">
      <w:pPr>
        <w:spacing w:line="360" w:lineRule="auto"/>
        <w:rPr>
          <w:rFonts w:ascii="宋体" w:hAnsi="宋体" w:cs="宋体"/>
          <w:color w:val="auto"/>
          <w:sz w:val="24"/>
          <w:u w:val="single"/>
        </w:rPr>
      </w:pPr>
      <w:r>
        <w:rPr>
          <w:rFonts w:hint="eastAsia" w:ascii="宋体" w:hAnsi="宋体" w:cs="宋体"/>
          <w:color w:val="auto"/>
          <w:sz w:val="24"/>
        </w:rPr>
        <w:t>姓名：性别：年龄：职务：</w:t>
      </w:r>
    </w:p>
    <w:p w14:paraId="3A2AAB2C">
      <w:pPr>
        <w:spacing w:line="360" w:lineRule="auto"/>
        <w:rPr>
          <w:rFonts w:ascii="宋体" w:hAnsi="宋体" w:cs="宋体"/>
          <w:color w:val="auto"/>
          <w:sz w:val="24"/>
        </w:rPr>
      </w:pPr>
      <w:r>
        <w:rPr>
          <w:rFonts w:hint="eastAsia" w:ascii="宋体" w:hAnsi="宋体" w:cs="宋体"/>
          <w:color w:val="auto"/>
          <w:sz w:val="24"/>
        </w:rPr>
        <w:t>身份证号码：</w:t>
      </w:r>
    </w:p>
    <w:p w14:paraId="280A7685">
      <w:pPr>
        <w:spacing w:line="360" w:lineRule="auto"/>
        <w:rPr>
          <w:rFonts w:ascii="宋体" w:hAnsi="宋体" w:cs="宋体"/>
          <w:color w:val="auto"/>
          <w:sz w:val="24"/>
        </w:rPr>
      </w:pPr>
      <w:r>
        <w:rPr>
          <w:rFonts w:hint="eastAsia" w:ascii="宋体" w:hAnsi="宋体" w:cs="宋体"/>
          <w:color w:val="auto"/>
          <w:sz w:val="24"/>
        </w:rPr>
        <w:t>手机：传真：</w:t>
      </w:r>
    </w:p>
    <w:p w14:paraId="22FC207D">
      <w:pPr>
        <w:spacing w:line="360" w:lineRule="auto"/>
        <w:rPr>
          <w:rFonts w:ascii="宋体" w:hAnsi="宋体" w:cs="宋体"/>
          <w:color w:val="auto"/>
          <w:sz w:val="24"/>
        </w:rPr>
      </w:pPr>
      <w:r>
        <w:rPr>
          <w:rFonts w:hint="eastAsia" w:ascii="宋体" w:hAnsi="宋体" w:cs="宋体"/>
          <w:color w:val="auto"/>
          <w:sz w:val="24"/>
        </w:rPr>
        <w:t>单位名称（公章）法定代表人（签字或盖章）</w:t>
      </w:r>
    </w:p>
    <w:p w14:paraId="5E4490D2">
      <w:pPr>
        <w:spacing w:line="360" w:lineRule="auto"/>
        <w:ind w:firstLine="1200" w:firstLineChars="500"/>
        <w:rPr>
          <w:rFonts w:ascii="宋体" w:hAnsi="宋体" w:cs="宋体"/>
          <w:color w:val="auto"/>
          <w:sz w:val="24"/>
        </w:rPr>
      </w:pPr>
      <w:r>
        <w:rPr>
          <w:rFonts w:hint="eastAsia" w:ascii="宋体" w:hAnsi="宋体" w:cs="宋体"/>
          <w:color w:val="auto"/>
          <w:sz w:val="24"/>
        </w:rPr>
        <w:t>年月日年月日</w:t>
      </w:r>
    </w:p>
    <w:p w14:paraId="2674B964">
      <w:pPr>
        <w:spacing w:line="360" w:lineRule="auto"/>
        <w:rPr>
          <w:rFonts w:ascii="宋体" w:hAnsi="宋体" w:cs="宋体"/>
          <w:color w:val="auto"/>
          <w:sz w:val="24"/>
        </w:rPr>
      </w:pPr>
    </w:p>
    <w:p w14:paraId="0C70D49B">
      <w:pPr>
        <w:spacing w:line="360" w:lineRule="auto"/>
        <w:rPr>
          <w:rFonts w:ascii="宋体" w:hAnsi="宋体" w:cs="宋体"/>
          <w:color w:val="auto"/>
          <w:sz w:val="24"/>
        </w:rPr>
      </w:pPr>
    </w:p>
    <w:p w14:paraId="4B69D0BC">
      <w:pPr>
        <w:spacing w:line="360" w:lineRule="auto"/>
        <w:rPr>
          <w:rFonts w:ascii="宋体" w:hAnsi="宋体" w:cs="宋体"/>
          <w:color w:val="auto"/>
          <w:sz w:val="24"/>
        </w:rPr>
      </w:pPr>
      <w:r>
        <w:rPr>
          <w:rFonts w:hint="eastAsia" w:ascii="宋体" w:hAnsi="宋体" w:cs="宋体"/>
          <w:color w:val="auto"/>
          <w:sz w:val="24"/>
        </w:rPr>
        <w:t>法定代表人身份证正反面复印件</w:t>
      </w:r>
    </w:p>
    <w:p w14:paraId="6FAC8900">
      <w:pPr>
        <w:spacing w:line="360" w:lineRule="auto"/>
        <w:rPr>
          <w:rFonts w:ascii="宋体" w:hAnsi="宋体" w:cs="宋体"/>
          <w:color w:val="auto"/>
          <w:sz w:val="24"/>
        </w:rPr>
      </w:pPr>
    </w:p>
    <w:p w14:paraId="0F1D00C6">
      <w:pPr>
        <w:spacing w:line="360" w:lineRule="auto"/>
        <w:rPr>
          <w:rFonts w:ascii="宋体" w:hAnsi="宋体" w:cs="宋体"/>
          <w:color w:val="auto"/>
          <w:sz w:val="24"/>
        </w:rPr>
      </w:pPr>
    </w:p>
    <w:p w14:paraId="600C88F8">
      <w:pPr>
        <w:spacing w:line="360" w:lineRule="auto"/>
        <w:rPr>
          <w:rFonts w:ascii="宋体" w:hAnsi="宋体" w:cs="宋体"/>
          <w:color w:val="auto"/>
          <w:sz w:val="24"/>
        </w:rPr>
      </w:pPr>
    </w:p>
    <w:p w14:paraId="5D5AD1D8">
      <w:pPr>
        <w:spacing w:line="360" w:lineRule="auto"/>
        <w:rPr>
          <w:rFonts w:ascii="宋体" w:hAnsi="宋体" w:cs="宋体"/>
          <w:color w:val="auto"/>
          <w:sz w:val="24"/>
        </w:rPr>
      </w:pPr>
    </w:p>
    <w:p w14:paraId="61546A2F">
      <w:pPr>
        <w:spacing w:line="360" w:lineRule="auto"/>
        <w:rPr>
          <w:rFonts w:ascii="宋体" w:hAnsi="宋体" w:cs="宋体"/>
          <w:color w:val="auto"/>
          <w:sz w:val="24"/>
        </w:rPr>
      </w:pPr>
      <w:r>
        <w:rPr>
          <w:rFonts w:hint="eastAsia" w:ascii="宋体" w:hAnsi="宋体" w:cs="宋体"/>
          <w:color w:val="auto"/>
          <w:sz w:val="24"/>
        </w:rPr>
        <w:t>被授权人身份证正反面复印件</w:t>
      </w:r>
    </w:p>
    <w:p w14:paraId="387602FE">
      <w:pPr>
        <w:spacing w:line="360" w:lineRule="auto"/>
        <w:rPr>
          <w:rFonts w:ascii="宋体" w:hAnsi="宋体" w:cs="宋体"/>
          <w:color w:val="auto"/>
          <w:sz w:val="24"/>
        </w:rPr>
      </w:pPr>
    </w:p>
    <w:p w14:paraId="547A0B56">
      <w:pPr>
        <w:spacing w:line="360" w:lineRule="auto"/>
        <w:rPr>
          <w:rFonts w:ascii="宋体" w:hAnsi="宋体" w:cs="宋体"/>
          <w:color w:val="auto"/>
          <w:sz w:val="24"/>
        </w:rPr>
      </w:pPr>
    </w:p>
    <w:p w14:paraId="492AF190">
      <w:pPr>
        <w:spacing w:line="360" w:lineRule="auto"/>
        <w:ind w:firstLine="2280" w:firstLineChars="950"/>
        <w:rPr>
          <w:rFonts w:ascii="宋体" w:hAnsi="宋体" w:cs="宋体"/>
          <w:color w:val="auto"/>
          <w:sz w:val="24"/>
        </w:rPr>
      </w:pPr>
      <w:r>
        <w:rPr>
          <w:rFonts w:hint="eastAsia" w:ascii="宋体" w:hAnsi="宋体" w:cs="宋体"/>
          <w:color w:val="auto"/>
          <w:sz w:val="24"/>
        </w:rPr>
        <w:t>（粘贴此处）</w:t>
      </w:r>
    </w:p>
    <w:p w14:paraId="21A9C7A2">
      <w:pPr>
        <w:spacing w:line="360" w:lineRule="auto"/>
        <w:ind w:firstLine="2289" w:firstLineChars="950"/>
        <w:rPr>
          <w:rFonts w:ascii="宋体" w:hAnsi="宋体" w:cs="宋体"/>
          <w:b/>
          <w:bCs/>
          <w:color w:val="auto"/>
          <w:sz w:val="24"/>
        </w:rPr>
      </w:pPr>
    </w:p>
    <w:p w14:paraId="6F2DD104">
      <w:pPr>
        <w:snapToGrid w:val="0"/>
        <w:spacing w:line="400" w:lineRule="exact"/>
        <w:contextualSpacing/>
        <w:rPr>
          <w:rFonts w:ascii="宋体" w:hAnsi="宋体" w:cs="宋体"/>
          <w:b/>
          <w:color w:val="auto"/>
          <w:kern w:val="0"/>
          <w:sz w:val="28"/>
          <w:szCs w:val="28"/>
        </w:rPr>
      </w:pPr>
    </w:p>
    <w:p w14:paraId="1F651886">
      <w:pPr>
        <w:snapToGrid w:val="0"/>
        <w:spacing w:line="460" w:lineRule="exact"/>
        <w:jc w:val="left"/>
        <w:outlineLvl w:val="1"/>
        <w:rPr>
          <w:rFonts w:ascii="宋体" w:hAnsi="宋体" w:cs="宋体"/>
          <w:color w:val="auto"/>
          <w:sz w:val="32"/>
          <w:szCs w:val="32"/>
        </w:rPr>
      </w:pPr>
    </w:p>
    <w:p w14:paraId="5BB935D5">
      <w:pPr>
        <w:spacing w:line="360" w:lineRule="auto"/>
        <w:jc w:val="left"/>
        <w:outlineLvl w:val="2"/>
        <w:rPr>
          <w:rFonts w:ascii="宋体" w:hAnsi="宋体" w:cs="宋体"/>
          <w:b/>
          <w:color w:val="auto"/>
          <w:kern w:val="0"/>
          <w:sz w:val="28"/>
          <w:szCs w:val="28"/>
        </w:rPr>
      </w:pPr>
      <w:r>
        <w:rPr>
          <w:rFonts w:hint="eastAsia" w:ascii="宋体" w:hAnsi="宋体" w:cs="宋体"/>
          <w:b/>
          <w:color w:val="auto"/>
          <w:kern w:val="0"/>
          <w:sz w:val="28"/>
          <w:szCs w:val="28"/>
        </w:rPr>
        <w:br w:type="page"/>
      </w:r>
    </w:p>
    <w:p w14:paraId="799E06F9">
      <w:pPr>
        <w:spacing w:line="360" w:lineRule="auto"/>
        <w:jc w:val="left"/>
        <w:rPr>
          <w:rFonts w:ascii="宋体" w:hAnsi="宋体" w:cs="宋体"/>
          <w:color w:val="auto"/>
          <w:sz w:val="32"/>
          <w:szCs w:val="32"/>
        </w:rPr>
      </w:pPr>
      <w:r>
        <w:rPr>
          <w:rFonts w:hint="eastAsia" w:ascii="宋体" w:hAnsi="宋体" w:cs="宋体"/>
          <w:color w:val="auto"/>
          <w:sz w:val="32"/>
          <w:szCs w:val="32"/>
        </w:rPr>
        <w:t>附件4</w:t>
      </w:r>
    </w:p>
    <w:p w14:paraId="406C4CC5">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投标响应函</w:t>
      </w:r>
    </w:p>
    <w:p w14:paraId="24EB7B13">
      <w:pPr>
        <w:spacing w:line="360" w:lineRule="auto"/>
        <w:rPr>
          <w:rFonts w:ascii="宋体" w:hAnsi="宋体" w:cs="宋体"/>
          <w:color w:val="auto"/>
          <w:sz w:val="24"/>
        </w:rPr>
      </w:pPr>
      <w:r>
        <w:rPr>
          <w:rFonts w:hint="eastAsia" w:ascii="宋体" w:hAnsi="宋体" w:cs="宋体"/>
          <w:color w:val="auto"/>
          <w:sz w:val="24"/>
        </w:rPr>
        <w:t>江苏商贸职业学院：</w:t>
      </w:r>
    </w:p>
    <w:p w14:paraId="47E26E06">
      <w:pPr>
        <w:spacing w:line="360" w:lineRule="auto"/>
        <w:ind w:firstLine="480" w:firstLineChars="200"/>
        <w:rPr>
          <w:rFonts w:ascii="宋体" w:hAnsi="宋体" w:cs="宋体"/>
          <w:color w:val="auto"/>
          <w:sz w:val="24"/>
        </w:rPr>
      </w:pPr>
      <w:r>
        <w:rPr>
          <w:rFonts w:hint="eastAsia" w:ascii="宋体" w:hAnsi="宋体" w:cs="宋体"/>
          <w:color w:val="auto"/>
          <w:sz w:val="24"/>
        </w:rPr>
        <w:t>依据贵单位（投标项目名称及项目编号）项目采购的邀请，我方授权（姓名）（职务）为全权代表参加该项目的投标工作，全权处理本次采购的有关事宜。同时，我公司声明如下：</w:t>
      </w:r>
    </w:p>
    <w:p w14:paraId="688597C5">
      <w:pPr>
        <w:spacing w:line="360" w:lineRule="auto"/>
        <w:ind w:firstLine="480" w:firstLineChars="200"/>
        <w:rPr>
          <w:rFonts w:ascii="宋体" w:hAnsi="宋体" w:cs="宋体"/>
          <w:color w:val="auto"/>
          <w:sz w:val="24"/>
        </w:rPr>
      </w:pPr>
      <w:r>
        <w:rPr>
          <w:rFonts w:hint="eastAsia" w:ascii="宋体" w:hAnsi="宋体" w:cs="宋体"/>
          <w:color w:val="auto"/>
          <w:sz w:val="24"/>
        </w:rPr>
        <w:t>1、同意并接受招标文件的各项要求，遵守招标文件中的各项规定，按招标文件的要求提供报价。</w:t>
      </w:r>
    </w:p>
    <w:p w14:paraId="0C5E4A0C">
      <w:pPr>
        <w:spacing w:line="360" w:lineRule="auto"/>
        <w:ind w:firstLine="480" w:firstLineChars="200"/>
        <w:rPr>
          <w:rFonts w:ascii="宋体" w:hAnsi="宋体" w:cs="宋体"/>
          <w:color w:val="auto"/>
          <w:sz w:val="24"/>
        </w:rPr>
      </w:pPr>
      <w:r>
        <w:rPr>
          <w:rFonts w:hint="eastAsia" w:ascii="宋体" w:hAnsi="宋体" w:cs="宋体"/>
          <w:color w:val="auto"/>
          <w:sz w:val="24"/>
        </w:rPr>
        <w:t>2、我方已经详细阅读了全部招标文件及其附件，完全清晰理解招标文件的要求，不存在任何含糊不清和误解之处，同意放弃对这些文件所提出的异议和质疑的权利。</w:t>
      </w:r>
    </w:p>
    <w:p w14:paraId="0D4E3041">
      <w:pPr>
        <w:spacing w:line="360" w:lineRule="auto"/>
        <w:ind w:firstLine="480" w:firstLineChars="200"/>
        <w:rPr>
          <w:rFonts w:ascii="宋体" w:hAnsi="宋体" w:cs="宋体"/>
          <w:color w:val="auto"/>
          <w:sz w:val="24"/>
        </w:rPr>
      </w:pPr>
      <w:r>
        <w:rPr>
          <w:rFonts w:hint="eastAsia" w:ascii="宋体" w:hAnsi="宋体" w:cs="宋体"/>
          <w:color w:val="auto"/>
          <w:sz w:val="24"/>
        </w:rPr>
        <w:t>3、我方已毫无保留地向贵方提供一切所需的证明材料。</w:t>
      </w:r>
    </w:p>
    <w:p w14:paraId="4B4842C9">
      <w:pPr>
        <w:spacing w:line="360" w:lineRule="auto"/>
        <w:ind w:firstLine="480" w:firstLineChars="200"/>
        <w:rPr>
          <w:rFonts w:ascii="宋体" w:hAnsi="宋体" w:cs="宋体"/>
          <w:color w:val="auto"/>
          <w:sz w:val="24"/>
        </w:rPr>
      </w:pPr>
      <w:r>
        <w:rPr>
          <w:rFonts w:hint="eastAsia" w:ascii="宋体" w:hAnsi="宋体" w:cs="宋体"/>
          <w:color w:val="auto"/>
          <w:sz w:val="24"/>
        </w:rPr>
        <w:t>4、我公司承诺在本次投标响应中提供的一切文件，无论是原件还是复印件均真实有效，绝无任何虚假、伪造和夸大的成份。否则，愿承担相应的后果和法律责任。</w:t>
      </w:r>
    </w:p>
    <w:p w14:paraId="1013FEBB">
      <w:pPr>
        <w:spacing w:line="360" w:lineRule="auto"/>
        <w:ind w:firstLine="480" w:firstLineChars="200"/>
        <w:rPr>
          <w:rFonts w:ascii="宋体" w:hAnsi="宋体" w:cs="宋体"/>
          <w:color w:val="auto"/>
          <w:sz w:val="24"/>
        </w:rPr>
      </w:pPr>
      <w:r>
        <w:rPr>
          <w:rFonts w:hint="eastAsia" w:ascii="宋体" w:hAnsi="宋体" w:cs="宋体"/>
          <w:color w:val="auto"/>
          <w:sz w:val="24"/>
        </w:rPr>
        <w:t>5、我方尊重评标委员会所作的评定结果，同时清楚理解到报价最低并非意味着必定获得中标资格。</w:t>
      </w:r>
    </w:p>
    <w:p w14:paraId="08E9B685">
      <w:pPr>
        <w:spacing w:line="360" w:lineRule="auto"/>
        <w:ind w:firstLine="480" w:firstLineChars="200"/>
        <w:rPr>
          <w:rFonts w:ascii="宋体" w:hAnsi="宋体" w:cs="宋体"/>
          <w:color w:val="auto"/>
          <w:sz w:val="24"/>
        </w:rPr>
      </w:pPr>
      <w:r>
        <w:rPr>
          <w:rFonts w:hint="eastAsia" w:ascii="宋体" w:hAnsi="宋体" w:cs="宋体"/>
          <w:color w:val="auto"/>
          <w:sz w:val="24"/>
        </w:rPr>
        <w:t>6、一旦我方中标,我方将根据招标文件的规定，严格履行合同的责任和义务,并保证按招标文件规定的项目工期时间内完成，交付招标人验收、使用。</w:t>
      </w:r>
    </w:p>
    <w:p w14:paraId="03220A7F">
      <w:pPr>
        <w:spacing w:line="360" w:lineRule="auto"/>
        <w:ind w:firstLine="480" w:firstLineChars="200"/>
        <w:jc w:val="right"/>
        <w:rPr>
          <w:rFonts w:ascii="宋体" w:hAnsi="宋体" w:cs="宋体"/>
          <w:color w:val="auto"/>
          <w:sz w:val="24"/>
        </w:rPr>
      </w:pPr>
      <w:r>
        <w:rPr>
          <w:rFonts w:hint="eastAsia" w:ascii="宋体" w:hAnsi="宋体" w:cs="宋体"/>
          <w:color w:val="auto"/>
          <w:sz w:val="24"/>
        </w:rPr>
        <w:t>投标人：（加盖公章）</w:t>
      </w:r>
    </w:p>
    <w:p w14:paraId="3B7C1960">
      <w:pPr>
        <w:spacing w:line="360" w:lineRule="auto"/>
        <w:ind w:firstLine="480" w:firstLineChars="200"/>
        <w:jc w:val="right"/>
        <w:rPr>
          <w:rFonts w:ascii="宋体" w:hAnsi="宋体" w:cs="宋体"/>
          <w:color w:val="auto"/>
          <w:sz w:val="24"/>
        </w:rPr>
      </w:pPr>
      <w:r>
        <w:rPr>
          <w:rFonts w:hint="eastAsia" w:ascii="宋体" w:hAnsi="宋体" w:cs="宋体"/>
          <w:color w:val="auto"/>
          <w:sz w:val="24"/>
        </w:rPr>
        <w:t>法定代表人或被授权人：（签字或盖章）</w:t>
      </w:r>
    </w:p>
    <w:p w14:paraId="55413425">
      <w:pPr>
        <w:spacing w:line="360" w:lineRule="auto"/>
        <w:ind w:firstLine="1320" w:firstLineChars="550"/>
        <w:jc w:val="right"/>
        <w:rPr>
          <w:rFonts w:ascii="宋体" w:hAnsi="宋体" w:cs="宋体"/>
          <w:color w:val="auto"/>
          <w:sz w:val="24"/>
        </w:rPr>
      </w:pPr>
      <w:r>
        <w:rPr>
          <w:rFonts w:hint="eastAsia" w:ascii="宋体" w:hAnsi="宋体" w:cs="宋体"/>
          <w:color w:val="auto"/>
          <w:sz w:val="24"/>
        </w:rPr>
        <w:t>年月日</w:t>
      </w:r>
    </w:p>
    <w:p w14:paraId="6AE68590">
      <w:pPr>
        <w:snapToGrid w:val="0"/>
        <w:spacing w:line="300" w:lineRule="auto"/>
        <w:outlineLvl w:val="0"/>
        <w:rPr>
          <w:rFonts w:ascii="宋体" w:hAnsi="宋体" w:cs="宋体"/>
          <w:color w:val="auto"/>
          <w:sz w:val="32"/>
          <w:szCs w:val="32"/>
        </w:rPr>
      </w:pPr>
    </w:p>
    <w:p w14:paraId="23015731">
      <w:pPr>
        <w:snapToGrid w:val="0"/>
        <w:spacing w:line="300" w:lineRule="auto"/>
        <w:outlineLvl w:val="0"/>
        <w:rPr>
          <w:rFonts w:ascii="宋体" w:hAnsi="宋体" w:cs="宋体"/>
          <w:color w:val="auto"/>
          <w:sz w:val="32"/>
          <w:szCs w:val="32"/>
        </w:rPr>
      </w:pPr>
    </w:p>
    <w:p w14:paraId="6244F05A">
      <w:pPr>
        <w:snapToGrid w:val="0"/>
        <w:spacing w:line="300" w:lineRule="auto"/>
        <w:outlineLvl w:val="0"/>
        <w:rPr>
          <w:rFonts w:ascii="宋体" w:hAnsi="宋体" w:cs="宋体"/>
          <w:color w:val="auto"/>
          <w:sz w:val="32"/>
          <w:szCs w:val="32"/>
        </w:rPr>
      </w:pPr>
    </w:p>
    <w:p w14:paraId="0ACF3A07">
      <w:pPr>
        <w:snapToGrid w:val="0"/>
        <w:spacing w:line="300" w:lineRule="auto"/>
        <w:outlineLvl w:val="0"/>
        <w:rPr>
          <w:rFonts w:ascii="宋体" w:hAnsi="宋体" w:cs="宋体"/>
          <w:color w:val="auto"/>
          <w:sz w:val="32"/>
          <w:szCs w:val="32"/>
        </w:rPr>
      </w:pPr>
    </w:p>
    <w:p w14:paraId="0B561D91">
      <w:pPr>
        <w:snapToGrid w:val="0"/>
        <w:spacing w:line="300" w:lineRule="auto"/>
        <w:outlineLvl w:val="0"/>
        <w:rPr>
          <w:rFonts w:ascii="宋体" w:hAnsi="宋体" w:cs="宋体"/>
          <w:color w:val="auto"/>
          <w:sz w:val="32"/>
          <w:szCs w:val="32"/>
        </w:rPr>
      </w:pPr>
    </w:p>
    <w:p w14:paraId="051B39D3">
      <w:pPr>
        <w:snapToGrid w:val="0"/>
        <w:spacing w:line="300" w:lineRule="auto"/>
        <w:outlineLvl w:val="0"/>
        <w:rPr>
          <w:rFonts w:ascii="宋体" w:hAnsi="宋体" w:cs="宋体"/>
          <w:color w:val="auto"/>
          <w:sz w:val="32"/>
          <w:szCs w:val="32"/>
        </w:rPr>
      </w:pPr>
    </w:p>
    <w:p w14:paraId="1BD46DFF">
      <w:pPr>
        <w:snapToGrid w:val="0"/>
        <w:spacing w:line="300" w:lineRule="auto"/>
        <w:outlineLvl w:val="0"/>
        <w:rPr>
          <w:rFonts w:ascii="宋体" w:hAnsi="宋体" w:cs="宋体"/>
          <w:color w:val="auto"/>
          <w:sz w:val="32"/>
          <w:szCs w:val="32"/>
        </w:rPr>
      </w:pPr>
    </w:p>
    <w:p w14:paraId="4729F27F">
      <w:pPr>
        <w:snapToGrid w:val="0"/>
        <w:spacing w:line="300" w:lineRule="auto"/>
        <w:contextualSpacing/>
        <w:jc w:val="left"/>
        <w:rPr>
          <w:rFonts w:ascii="宋体" w:hAnsi="宋体" w:cs="宋体"/>
          <w:b/>
          <w:color w:val="auto"/>
          <w:sz w:val="32"/>
          <w:szCs w:val="32"/>
        </w:rPr>
      </w:pPr>
      <w:r>
        <w:rPr>
          <w:rFonts w:hint="eastAsia" w:ascii="宋体" w:hAnsi="宋体" w:cs="宋体"/>
          <w:color w:val="auto"/>
          <w:sz w:val="32"/>
          <w:szCs w:val="32"/>
        </w:rPr>
        <w:t>附件5</w:t>
      </w:r>
    </w:p>
    <w:p w14:paraId="38635AF5">
      <w:pPr>
        <w:snapToGrid w:val="0"/>
        <w:spacing w:line="300" w:lineRule="auto"/>
        <w:contextualSpacing/>
        <w:jc w:val="center"/>
        <w:rPr>
          <w:rFonts w:ascii="宋体" w:hAnsi="宋体" w:cs="宋体"/>
          <w:b/>
          <w:color w:val="auto"/>
          <w:sz w:val="32"/>
          <w:szCs w:val="32"/>
        </w:rPr>
      </w:pPr>
      <w:r>
        <w:rPr>
          <w:rFonts w:hint="eastAsia" w:ascii="宋体" w:hAnsi="宋体" w:cs="宋体"/>
          <w:b/>
          <w:color w:val="auto"/>
          <w:sz w:val="32"/>
          <w:szCs w:val="32"/>
        </w:rPr>
        <w:t>商务部分正负偏离表</w:t>
      </w:r>
    </w:p>
    <w:p w14:paraId="50EBC7E3">
      <w:pPr>
        <w:ind w:firstLine="560" w:firstLineChars="200"/>
        <w:jc w:val="center"/>
        <w:rPr>
          <w:rFonts w:ascii="宋体" w:hAnsi="宋体" w:cs="宋体"/>
          <w:color w:val="auto"/>
          <w:sz w:val="28"/>
          <w:szCs w:val="28"/>
        </w:rPr>
      </w:pPr>
      <w:r>
        <w:rPr>
          <w:rFonts w:hint="eastAsia" w:ascii="宋体" w:hAnsi="宋体" w:cs="宋体"/>
          <w:color w:val="auto"/>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2217C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08181C6">
            <w:pPr>
              <w:spacing w:line="340" w:lineRule="exact"/>
              <w:jc w:val="center"/>
              <w:rPr>
                <w:rFonts w:ascii="宋体" w:hAnsi="宋体" w:cs="宋体"/>
                <w:color w:val="auto"/>
                <w:sz w:val="24"/>
              </w:rPr>
            </w:pPr>
            <w:r>
              <w:rPr>
                <w:rFonts w:hint="eastAsia" w:ascii="宋体" w:hAnsi="宋体" w:cs="宋体"/>
                <w:color w:val="auto"/>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F3D1799">
            <w:pPr>
              <w:spacing w:line="340" w:lineRule="exact"/>
              <w:jc w:val="center"/>
              <w:rPr>
                <w:rFonts w:ascii="宋体" w:hAnsi="宋体" w:cs="宋体"/>
                <w:color w:val="auto"/>
                <w:sz w:val="24"/>
              </w:rPr>
            </w:pPr>
            <w:r>
              <w:rPr>
                <w:rFonts w:hint="eastAsia" w:ascii="宋体" w:hAnsi="宋体" w:cs="宋体"/>
                <w:color w:val="auto"/>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B4AB983">
            <w:pPr>
              <w:spacing w:line="340" w:lineRule="exact"/>
              <w:jc w:val="center"/>
              <w:rPr>
                <w:rFonts w:ascii="宋体" w:hAnsi="宋体" w:cs="宋体"/>
                <w:color w:val="auto"/>
                <w:sz w:val="24"/>
              </w:rPr>
            </w:pPr>
            <w:r>
              <w:rPr>
                <w:rFonts w:hint="eastAsia" w:ascii="宋体" w:hAnsi="宋体" w:cs="宋体"/>
                <w:color w:val="auto"/>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7FC87B2">
            <w:pPr>
              <w:spacing w:line="340" w:lineRule="exact"/>
              <w:jc w:val="center"/>
              <w:rPr>
                <w:rFonts w:ascii="宋体" w:hAnsi="宋体" w:cs="宋体"/>
                <w:color w:val="auto"/>
                <w:sz w:val="24"/>
              </w:rPr>
            </w:pPr>
            <w:r>
              <w:rPr>
                <w:rFonts w:hint="eastAsia" w:ascii="宋体" w:hAnsi="宋体" w:cs="宋体"/>
                <w:color w:val="auto"/>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09072B62">
            <w:pPr>
              <w:spacing w:line="340" w:lineRule="exact"/>
              <w:jc w:val="center"/>
              <w:rPr>
                <w:rFonts w:ascii="宋体" w:hAnsi="宋体" w:cs="宋体"/>
                <w:color w:val="auto"/>
                <w:sz w:val="24"/>
              </w:rPr>
            </w:pPr>
          </w:p>
          <w:p w14:paraId="43D658E1">
            <w:pPr>
              <w:spacing w:line="340" w:lineRule="exact"/>
              <w:jc w:val="center"/>
              <w:rPr>
                <w:rFonts w:ascii="宋体" w:hAnsi="宋体" w:cs="宋体"/>
                <w:color w:val="auto"/>
                <w:sz w:val="24"/>
              </w:rPr>
            </w:pPr>
            <w:r>
              <w:rPr>
                <w:rFonts w:hint="eastAsia" w:ascii="宋体" w:hAnsi="宋体" w:cs="宋体"/>
                <w:color w:val="auto"/>
                <w:sz w:val="24"/>
              </w:rPr>
              <w:t>偏离说明</w:t>
            </w:r>
          </w:p>
        </w:tc>
      </w:tr>
      <w:tr w14:paraId="4C714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460" w:type="pct"/>
            <w:tcBorders>
              <w:top w:val="single" w:color="auto" w:sz="6" w:space="0"/>
              <w:left w:val="single" w:color="auto" w:sz="12" w:space="0"/>
              <w:bottom w:val="single" w:color="auto" w:sz="6" w:space="0"/>
              <w:right w:val="single" w:color="auto" w:sz="6" w:space="0"/>
            </w:tcBorders>
          </w:tcPr>
          <w:p w14:paraId="3CC26B0D">
            <w:pPr>
              <w:spacing w:line="340" w:lineRule="exact"/>
              <w:jc w:val="center"/>
              <w:rPr>
                <w:rFonts w:ascii="宋体" w:hAnsi="宋体" w:cs="宋体"/>
                <w:color w:val="auto"/>
                <w:sz w:val="24"/>
              </w:rPr>
            </w:pPr>
            <w:r>
              <w:rPr>
                <w:rFonts w:hint="eastAsia" w:ascii="宋体" w:hAnsi="宋体" w:cs="宋体"/>
                <w:color w:val="auto"/>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D23323C">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A986B7">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D12ECFC">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45607A1F">
            <w:pPr>
              <w:spacing w:line="340" w:lineRule="exact"/>
              <w:jc w:val="left"/>
              <w:rPr>
                <w:rFonts w:ascii="宋体" w:hAnsi="宋体" w:cs="宋体"/>
                <w:color w:val="auto"/>
                <w:sz w:val="24"/>
              </w:rPr>
            </w:pPr>
          </w:p>
        </w:tc>
      </w:tr>
      <w:tr w14:paraId="646C3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713B2A9">
            <w:pPr>
              <w:spacing w:line="340" w:lineRule="exact"/>
              <w:jc w:val="center"/>
              <w:rPr>
                <w:rFonts w:ascii="宋体" w:hAnsi="宋体" w:cs="宋体"/>
                <w:color w:val="auto"/>
                <w:sz w:val="24"/>
              </w:rPr>
            </w:pPr>
            <w:r>
              <w:rPr>
                <w:rFonts w:hint="eastAsia" w:ascii="宋体" w:hAnsi="宋体" w:cs="宋体"/>
                <w:color w:val="auto"/>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6B940C6">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E2CC968">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A839B42">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0684743A">
            <w:pPr>
              <w:spacing w:line="340" w:lineRule="exact"/>
              <w:jc w:val="left"/>
              <w:rPr>
                <w:rFonts w:ascii="宋体" w:hAnsi="宋体" w:cs="宋体"/>
                <w:color w:val="auto"/>
                <w:sz w:val="24"/>
              </w:rPr>
            </w:pPr>
          </w:p>
        </w:tc>
      </w:tr>
      <w:tr w14:paraId="5B05E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460" w:type="pct"/>
            <w:tcBorders>
              <w:top w:val="single" w:color="auto" w:sz="6" w:space="0"/>
              <w:left w:val="single" w:color="auto" w:sz="12" w:space="0"/>
              <w:bottom w:val="single" w:color="auto" w:sz="6" w:space="0"/>
              <w:right w:val="single" w:color="auto" w:sz="6" w:space="0"/>
            </w:tcBorders>
          </w:tcPr>
          <w:p w14:paraId="4691CD06">
            <w:pPr>
              <w:spacing w:line="340" w:lineRule="exact"/>
              <w:jc w:val="center"/>
              <w:rPr>
                <w:rFonts w:ascii="宋体" w:hAnsi="宋体" w:cs="宋体"/>
                <w:color w:val="auto"/>
                <w:sz w:val="24"/>
              </w:rPr>
            </w:pPr>
            <w:r>
              <w:rPr>
                <w:rFonts w:hint="eastAsia" w:ascii="宋体" w:hAnsi="宋体" w:cs="宋体"/>
                <w:color w:val="auto"/>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9AB852A">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3F46FCF">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DD327E4">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FBE0778">
            <w:pPr>
              <w:spacing w:line="340" w:lineRule="exact"/>
              <w:jc w:val="left"/>
              <w:rPr>
                <w:rFonts w:ascii="宋体" w:hAnsi="宋体" w:cs="宋体"/>
                <w:color w:val="auto"/>
                <w:sz w:val="24"/>
              </w:rPr>
            </w:pPr>
          </w:p>
        </w:tc>
      </w:tr>
      <w:tr w14:paraId="2D153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60" w:type="pct"/>
            <w:tcBorders>
              <w:top w:val="single" w:color="auto" w:sz="6" w:space="0"/>
              <w:left w:val="single" w:color="auto" w:sz="12" w:space="0"/>
              <w:bottom w:val="single" w:color="auto" w:sz="6" w:space="0"/>
              <w:right w:val="single" w:color="auto" w:sz="6" w:space="0"/>
            </w:tcBorders>
          </w:tcPr>
          <w:p w14:paraId="1F49F295">
            <w:pPr>
              <w:spacing w:line="340" w:lineRule="exact"/>
              <w:jc w:val="center"/>
              <w:rPr>
                <w:rFonts w:ascii="宋体" w:hAnsi="宋体" w:cs="宋体"/>
                <w:color w:val="auto"/>
                <w:sz w:val="24"/>
              </w:rPr>
            </w:pPr>
            <w:r>
              <w:rPr>
                <w:rFonts w:hint="eastAsia" w:ascii="宋体" w:hAnsi="宋体" w:cs="宋体"/>
                <w:color w:val="auto"/>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E5281F3">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656F1C">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680ED85">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48EB7879">
            <w:pPr>
              <w:spacing w:line="340" w:lineRule="exact"/>
              <w:jc w:val="left"/>
              <w:rPr>
                <w:rFonts w:ascii="宋体" w:hAnsi="宋体" w:cs="宋体"/>
                <w:color w:val="auto"/>
                <w:sz w:val="24"/>
              </w:rPr>
            </w:pPr>
          </w:p>
        </w:tc>
      </w:tr>
    </w:tbl>
    <w:p w14:paraId="5723962D">
      <w:pPr>
        <w:snapToGrid w:val="0"/>
        <w:spacing w:line="300" w:lineRule="auto"/>
        <w:contextualSpacing/>
        <w:rPr>
          <w:rFonts w:ascii="宋体" w:hAnsi="宋体" w:cs="宋体"/>
          <w:b/>
          <w:color w:val="auto"/>
          <w:sz w:val="24"/>
        </w:rPr>
      </w:pPr>
      <w:r>
        <w:rPr>
          <w:rFonts w:hint="eastAsia" w:ascii="宋体" w:hAnsi="宋体" w:cs="宋体"/>
          <w:b/>
          <w:color w:val="auto"/>
          <w:sz w:val="24"/>
        </w:rPr>
        <w:t>注：</w:t>
      </w:r>
    </w:p>
    <w:p w14:paraId="54778539">
      <w:pPr>
        <w:snapToGrid w:val="0"/>
        <w:spacing w:line="300" w:lineRule="auto"/>
        <w:ind w:firstLine="480" w:firstLineChars="200"/>
        <w:contextualSpacing/>
        <w:rPr>
          <w:rFonts w:ascii="宋体" w:hAnsi="宋体" w:cs="宋体"/>
          <w:color w:val="auto"/>
          <w:sz w:val="24"/>
        </w:rPr>
      </w:pPr>
      <w:r>
        <w:rPr>
          <w:rFonts w:hint="eastAsia" w:ascii="宋体" w:hAnsi="宋体" w:cs="宋体"/>
          <w:color w:val="auto"/>
          <w:sz w:val="24"/>
        </w:rPr>
        <w:t>1.投标人提交的投标文件中与招标文件第三部分“项目需求”中的商务部分的要求，应逐条填列在偏离表中。</w:t>
      </w:r>
    </w:p>
    <w:p w14:paraId="30604250">
      <w:pPr>
        <w:snapToGrid w:val="0"/>
        <w:spacing w:line="300" w:lineRule="auto"/>
        <w:ind w:firstLine="480" w:firstLineChars="200"/>
        <w:contextualSpacing/>
        <w:rPr>
          <w:rFonts w:ascii="宋体" w:hAnsi="宋体" w:cs="宋体"/>
          <w:bCs/>
          <w:color w:val="auto"/>
          <w:sz w:val="24"/>
        </w:rPr>
      </w:pPr>
      <w:r>
        <w:rPr>
          <w:rFonts w:hint="eastAsia" w:ascii="宋体" w:hAnsi="宋体" w:cs="宋体"/>
          <w:color w:val="auto"/>
          <w:sz w:val="24"/>
        </w:rPr>
        <w:t>2.“偏离说明”一栏选择“正偏离”、“负偏离”、“无偏离”进行填写。正</w:t>
      </w:r>
      <w:r>
        <w:rPr>
          <w:rFonts w:hint="eastAsia" w:ascii="宋体" w:hAnsi="宋体" w:cs="宋体"/>
          <w:bCs/>
          <w:color w:val="auto"/>
          <w:sz w:val="24"/>
        </w:rPr>
        <w:t>偏离、负偏离、无偏离的确认，由评标小组认定。</w:t>
      </w:r>
    </w:p>
    <w:p w14:paraId="691DA2FC">
      <w:pPr>
        <w:snapToGrid w:val="0"/>
        <w:spacing w:line="300" w:lineRule="auto"/>
        <w:ind w:firstLine="480" w:firstLineChars="200"/>
        <w:contextualSpacing/>
        <w:rPr>
          <w:rFonts w:ascii="宋体" w:hAnsi="宋体" w:cs="宋体"/>
          <w:bCs/>
          <w:color w:val="auto"/>
          <w:sz w:val="24"/>
        </w:rPr>
      </w:pPr>
      <w:r>
        <w:rPr>
          <w:rFonts w:hint="eastAsia" w:ascii="宋体" w:hAnsi="宋体" w:cs="宋体"/>
          <w:bCs/>
          <w:color w:val="auto"/>
          <w:sz w:val="24"/>
        </w:rPr>
        <w:t>3.投标人若提供其他增值服务，可以在表中自行据实填写。</w:t>
      </w:r>
    </w:p>
    <w:p w14:paraId="56501C87">
      <w:pPr>
        <w:snapToGrid w:val="0"/>
        <w:spacing w:line="300" w:lineRule="auto"/>
        <w:ind w:firstLine="480" w:firstLineChars="200"/>
        <w:contextualSpacing/>
        <w:rPr>
          <w:rFonts w:ascii="宋体" w:hAnsi="宋体" w:cs="宋体"/>
          <w:bCs/>
          <w:color w:val="auto"/>
          <w:sz w:val="24"/>
        </w:rPr>
      </w:pPr>
      <w:r>
        <w:rPr>
          <w:rFonts w:hint="eastAsia" w:ascii="宋体" w:hAnsi="宋体" w:cs="宋体"/>
          <w:bCs/>
          <w:color w:val="auto"/>
          <w:sz w:val="24"/>
        </w:rPr>
        <w:t>4.若完全响应本项目需求且无偏离，投标时本表可空白盖章提供。</w:t>
      </w:r>
    </w:p>
    <w:p w14:paraId="082234E9">
      <w:pPr>
        <w:pStyle w:val="36"/>
        <w:ind w:firstLine="240"/>
        <w:rPr>
          <w:color w:val="auto"/>
        </w:rPr>
      </w:pPr>
    </w:p>
    <w:p w14:paraId="71D213A0">
      <w:pPr>
        <w:snapToGrid w:val="0"/>
        <w:spacing w:line="300" w:lineRule="auto"/>
        <w:ind w:firstLine="480" w:firstLineChars="200"/>
        <w:contextualSpacing/>
        <w:rPr>
          <w:rFonts w:ascii="宋体" w:hAnsi="宋体" w:cs="宋体"/>
          <w:bCs/>
          <w:color w:val="auto"/>
          <w:sz w:val="24"/>
        </w:rPr>
      </w:pPr>
    </w:p>
    <w:p w14:paraId="530FDF1E">
      <w:pPr>
        <w:snapToGrid w:val="0"/>
        <w:spacing w:line="300" w:lineRule="auto"/>
        <w:ind w:firstLine="480" w:firstLineChars="200"/>
        <w:contextualSpacing/>
        <w:rPr>
          <w:rFonts w:ascii="宋体" w:hAnsi="宋体" w:cs="宋体"/>
          <w:bCs/>
          <w:color w:val="auto"/>
          <w:sz w:val="24"/>
        </w:rPr>
      </w:pPr>
    </w:p>
    <w:p w14:paraId="71785AAB">
      <w:pPr>
        <w:snapToGrid w:val="0"/>
        <w:spacing w:line="400" w:lineRule="exact"/>
        <w:ind w:firstLine="540" w:firstLineChars="192"/>
        <w:contextualSpacing/>
        <w:rPr>
          <w:rFonts w:ascii="宋体" w:hAnsi="宋体" w:cs="宋体"/>
          <w:b/>
          <w:color w:val="auto"/>
          <w:kern w:val="0"/>
          <w:sz w:val="28"/>
          <w:szCs w:val="28"/>
        </w:rPr>
      </w:pPr>
    </w:p>
    <w:p w14:paraId="769E9CC9">
      <w:pPr>
        <w:snapToGrid w:val="0"/>
        <w:spacing w:line="400" w:lineRule="exact"/>
        <w:ind w:firstLine="540" w:firstLineChars="192"/>
        <w:contextualSpacing/>
        <w:rPr>
          <w:rFonts w:ascii="宋体" w:hAnsi="宋体" w:cs="宋体"/>
          <w:b/>
          <w:color w:val="auto"/>
          <w:kern w:val="0"/>
          <w:sz w:val="28"/>
          <w:szCs w:val="28"/>
        </w:rPr>
      </w:pPr>
    </w:p>
    <w:p w14:paraId="3909A05E">
      <w:pPr>
        <w:snapToGrid w:val="0"/>
        <w:spacing w:line="400" w:lineRule="exact"/>
        <w:ind w:firstLine="540" w:firstLineChars="192"/>
        <w:contextualSpacing/>
        <w:rPr>
          <w:rFonts w:ascii="宋体" w:hAnsi="宋体" w:cs="宋体"/>
          <w:b/>
          <w:color w:val="auto"/>
          <w:kern w:val="0"/>
          <w:sz w:val="28"/>
          <w:szCs w:val="28"/>
        </w:rPr>
      </w:pPr>
    </w:p>
    <w:p w14:paraId="208670BF">
      <w:pPr>
        <w:snapToGrid w:val="0"/>
        <w:spacing w:line="400" w:lineRule="exact"/>
        <w:ind w:firstLine="540" w:firstLineChars="192"/>
        <w:contextualSpacing/>
        <w:rPr>
          <w:rFonts w:ascii="宋体" w:hAnsi="宋体" w:cs="宋体"/>
          <w:b/>
          <w:color w:val="auto"/>
          <w:kern w:val="0"/>
          <w:sz w:val="28"/>
          <w:szCs w:val="28"/>
        </w:rPr>
      </w:pPr>
    </w:p>
    <w:p w14:paraId="3E55234B">
      <w:pPr>
        <w:snapToGrid w:val="0"/>
        <w:spacing w:line="400" w:lineRule="exact"/>
        <w:ind w:firstLine="540" w:firstLineChars="192"/>
        <w:contextualSpacing/>
        <w:rPr>
          <w:rFonts w:ascii="宋体" w:hAnsi="宋体" w:cs="宋体"/>
          <w:b/>
          <w:color w:val="auto"/>
          <w:kern w:val="0"/>
          <w:sz w:val="28"/>
          <w:szCs w:val="28"/>
        </w:rPr>
      </w:pPr>
    </w:p>
    <w:p w14:paraId="7E9F7A5D">
      <w:pPr>
        <w:snapToGrid w:val="0"/>
        <w:spacing w:line="400" w:lineRule="exact"/>
        <w:ind w:firstLine="540" w:firstLineChars="192"/>
        <w:contextualSpacing/>
        <w:rPr>
          <w:rFonts w:ascii="宋体" w:hAnsi="宋体" w:cs="宋体"/>
          <w:b/>
          <w:color w:val="auto"/>
          <w:kern w:val="0"/>
          <w:sz w:val="28"/>
          <w:szCs w:val="28"/>
        </w:rPr>
      </w:pPr>
    </w:p>
    <w:p w14:paraId="7CA263FC">
      <w:pPr>
        <w:snapToGrid w:val="0"/>
        <w:spacing w:line="400" w:lineRule="exact"/>
        <w:ind w:firstLine="540" w:firstLineChars="192"/>
        <w:contextualSpacing/>
        <w:rPr>
          <w:rFonts w:ascii="宋体" w:hAnsi="宋体" w:cs="宋体"/>
          <w:b/>
          <w:color w:val="auto"/>
          <w:kern w:val="0"/>
          <w:sz w:val="28"/>
          <w:szCs w:val="28"/>
        </w:rPr>
      </w:pPr>
    </w:p>
    <w:p w14:paraId="6B9862A4">
      <w:pPr>
        <w:snapToGrid w:val="0"/>
        <w:spacing w:line="400" w:lineRule="exact"/>
        <w:ind w:firstLine="540" w:firstLineChars="192"/>
        <w:contextualSpacing/>
        <w:rPr>
          <w:rFonts w:ascii="宋体" w:hAnsi="宋体" w:cs="宋体"/>
          <w:b/>
          <w:color w:val="auto"/>
          <w:kern w:val="0"/>
          <w:sz w:val="28"/>
          <w:szCs w:val="28"/>
        </w:rPr>
      </w:pPr>
    </w:p>
    <w:p w14:paraId="6552F7B3">
      <w:pPr>
        <w:snapToGrid w:val="0"/>
        <w:spacing w:line="400" w:lineRule="exact"/>
        <w:ind w:firstLine="540" w:firstLineChars="192"/>
        <w:contextualSpacing/>
        <w:rPr>
          <w:rFonts w:ascii="宋体" w:hAnsi="宋体" w:cs="宋体"/>
          <w:b/>
          <w:color w:val="auto"/>
          <w:kern w:val="0"/>
          <w:sz w:val="28"/>
          <w:szCs w:val="28"/>
        </w:rPr>
      </w:pPr>
    </w:p>
    <w:p w14:paraId="028A3C91">
      <w:pPr>
        <w:snapToGrid w:val="0"/>
        <w:spacing w:line="400" w:lineRule="exact"/>
        <w:ind w:firstLine="540" w:firstLineChars="192"/>
        <w:contextualSpacing/>
        <w:rPr>
          <w:rFonts w:ascii="宋体" w:hAnsi="宋体" w:cs="宋体"/>
          <w:b/>
          <w:color w:val="auto"/>
          <w:kern w:val="0"/>
          <w:sz w:val="28"/>
          <w:szCs w:val="28"/>
        </w:rPr>
      </w:pPr>
    </w:p>
    <w:p w14:paraId="132E1EFF">
      <w:pPr>
        <w:snapToGrid w:val="0"/>
        <w:spacing w:line="300" w:lineRule="auto"/>
        <w:contextualSpacing/>
        <w:rPr>
          <w:rFonts w:ascii="宋体" w:hAnsi="宋体" w:cs="宋体"/>
          <w:color w:val="auto"/>
          <w:sz w:val="32"/>
          <w:szCs w:val="32"/>
        </w:rPr>
      </w:pPr>
      <w:r>
        <w:rPr>
          <w:rFonts w:hint="eastAsia" w:ascii="宋体" w:hAnsi="宋体" w:cs="宋体"/>
          <w:color w:val="auto"/>
          <w:sz w:val="32"/>
          <w:szCs w:val="32"/>
        </w:rPr>
        <w:t>附件6</w:t>
      </w:r>
    </w:p>
    <w:p w14:paraId="3213ACA8">
      <w:pPr>
        <w:snapToGrid w:val="0"/>
        <w:spacing w:line="300" w:lineRule="auto"/>
        <w:contextualSpacing/>
        <w:jc w:val="center"/>
        <w:rPr>
          <w:rFonts w:ascii="宋体" w:hAnsi="宋体" w:cs="宋体"/>
          <w:b/>
          <w:color w:val="auto"/>
          <w:sz w:val="32"/>
          <w:szCs w:val="32"/>
        </w:rPr>
      </w:pPr>
      <w:r>
        <w:rPr>
          <w:rFonts w:hint="eastAsia" w:ascii="宋体" w:hAnsi="宋体" w:cs="宋体"/>
          <w:b/>
          <w:color w:val="auto"/>
          <w:sz w:val="32"/>
          <w:szCs w:val="32"/>
        </w:rPr>
        <w:t>技术部分正负偏离表</w:t>
      </w:r>
    </w:p>
    <w:p w14:paraId="370583B1">
      <w:pPr>
        <w:ind w:firstLine="560" w:firstLineChars="200"/>
        <w:jc w:val="center"/>
        <w:rPr>
          <w:rFonts w:ascii="宋体" w:hAnsi="宋体" w:cs="宋体"/>
          <w:color w:val="auto"/>
          <w:sz w:val="28"/>
          <w:szCs w:val="28"/>
        </w:rPr>
      </w:pPr>
      <w:r>
        <w:rPr>
          <w:rFonts w:hint="eastAsia" w:ascii="宋体" w:hAnsi="宋体" w:cs="宋体"/>
          <w:color w:val="auto"/>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FA2E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CC8E2FB">
            <w:pPr>
              <w:spacing w:line="340" w:lineRule="exact"/>
              <w:jc w:val="center"/>
              <w:rPr>
                <w:rFonts w:ascii="宋体" w:hAnsi="宋体" w:cs="宋体"/>
                <w:color w:val="auto"/>
                <w:sz w:val="24"/>
              </w:rPr>
            </w:pPr>
            <w:r>
              <w:rPr>
                <w:rFonts w:hint="eastAsia" w:ascii="宋体" w:hAnsi="宋体" w:cs="宋体"/>
                <w:color w:val="auto"/>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3E156E8">
            <w:pPr>
              <w:spacing w:line="340" w:lineRule="exact"/>
              <w:jc w:val="center"/>
              <w:rPr>
                <w:rFonts w:ascii="宋体" w:hAnsi="宋体" w:cs="宋体"/>
                <w:color w:val="auto"/>
                <w:sz w:val="24"/>
              </w:rPr>
            </w:pPr>
            <w:r>
              <w:rPr>
                <w:rFonts w:hint="eastAsia" w:ascii="宋体" w:hAnsi="宋体" w:cs="宋体"/>
                <w:color w:val="auto"/>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7AA66E8">
            <w:pPr>
              <w:spacing w:line="340" w:lineRule="exact"/>
              <w:jc w:val="center"/>
              <w:rPr>
                <w:rFonts w:ascii="宋体" w:hAnsi="宋体" w:cs="宋体"/>
                <w:color w:val="auto"/>
                <w:sz w:val="24"/>
              </w:rPr>
            </w:pPr>
            <w:r>
              <w:rPr>
                <w:rFonts w:hint="eastAsia" w:ascii="宋体" w:hAnsi="宋体" w:cs="宋体"/>
                <w:color w:val="auto"/>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515B5A3">
            <w:pPr>
              <w:spacing w:line="340" w:lineRule="exact"/>
              <w:jc w:val="center"/>
              <w:rPr>
                <w:rFonts w:ascii="宋体" w:hAnsi="宋体" w:cs="宋体"/>
                <w:color w:val="auto"/>
                <w:sz w:val="24"/>
              </w:rPr>
            </w:pPr>
            <w:r>
              <w:rPr>
                <w:rFonts w:hint="eastAsia" w:ascii="宋体" w:hAnsi="宋体" w:cs="宋体"/>
                <w:color w:val="auto"/>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868C72C">
            <w:pPr>
              <w:spacing w:line="340" w:lineRule="exact"/>
              <w:jc w:val="center"/>
              <w:rPr>
                <w:rFonts w:ascii="宋体" w:hAnsi="宋体" w:cs="宋体"/>
                <w:color w:val="auto"/>
                <w:sz w:val="24"/>
              </w:rPr>
            </w:pPr>
          </w:p>
          <w:p w14:paraId="46060B4D">
            <w:pPr>
              <w:spacing w:line="340" w:lineRule="exact"/>
              <w:jc w:val="center"/>
              <w:rPr>
                <w:rFonts w:ascii="宋体" w:hAnsi="宋体" w:cs="宋体"/>
                <w:color w:val="auto"/>
                <w:sz w:val="24"/>
              </w:rPr>
            </w:pPr>
            <w:r>
              <w:rPr>
                <w:rFonts w:hint="eastAsia" w:ascii="宋体" w:hAnsi="宋体" w:cs="宋体"/>
                <w:color w:val="auto"/>
                <w:sz w:val="24"/>
              </w:rPr>
              <w:t>偏离说明</w:t>
            </w:r>
          </w:p>
        </w:tc>
      </w:tr>
      <w:tr w14:paraId="44082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4E10F55">
            <w:pPr>
              <w:spacing w:line="340" w:lineRule="exact"/>
              <w:jc w:val="center"/>
              <w:rPr>
                <w:rFonts w:ascii="宋体" w:hAnsi="宋体" w:cs="宋体"/>
                <w:color w:val="auto"/>
                <w:sz w:val="24"/>
              </w:rPr>
            </w:pPr>
            <w:r>
              <w:rPr>
                <w:rFonts w:hint="eastAsia" w:ascii="宋体" w:hAnsi="宋体" w:cs="宋体"/>
                <w:color w:val="auto"/>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F007524">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0354059">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08CF73A">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00F8AC3B">
            <w:pPr>
              <w:spacing w:line="340" w:lineRule="exact"/>
              <w:jc w:val="left"/>
              <w:rPr>
                <w:rFonts w:ascii="宋体" w:hAnsi="宋体" w:cs="宋体"/>
                <w:color w:val="auto"/>
                <w:sz w:val="24"/>
              </w:rPr>
            </w:pPr>
          </w:p>
        </w:tc>
      </w:tr>
      <w:tr w14:paraId="4149B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DCC6FFA">
            <w:pPr>
              <w:spacing w:line="340" w:lineRule="exact"/>
              <w:jc w:val="center"/>
              <w:rPr>
                <w:rFonts w:ascii="宋体" w:hAnsi="宋体" w:cs="宋体"/>
                <w:color w:val="auto"/>
                <w:sz w:val="24"/>
              </w:rPr>
            </w:pPr>
            <w:r>
              <w:rPr>
                <w:rFonts w:hint="eastAsia" w:ascii="宋体" w:hAnsi="宋体" w:cs="宋体"/>
                <w:color w:val="auto"/>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049A5C2">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ABA453D">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20204F9">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7724F6A">
            <w:pPr>
              <w:spacing w:line="340" w:lineRule="exact"/>
              <w:jc w:val="left"/>
              <w:rPr>
                <w:rFonts w:ascii="宋体" w:hAnsi="宋体" w:cs="宋体"/>
                <w:color w:val="auto"/>
                <w:sz w:val="24"/>
              </w:rPr>
            </w:pPr>
          </w:p>
        </w:tc>
      </w:tr>
      <w:tr w14:paraId="26E10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109EEE1">
            <w:pPr>
              <w:spacing w:line="340" w:lineRule="exact"/>
              <w:jc w:val="center"/>
              <w:rPr>
                <w:rFonts w:ascii="宋体" w:hAnsi="宋体" w:cs="宋体"/>
                <w:color w:val="auto"/>
                <w:sz w:val="24"/>
              </w:rPr>
            </w:pPr>
            <w:r>
              <w:rPr>
                <w:rFonts w:hint="eastAsia" w:ascii="宋体" w:hAnsi="宋体" w:cs="宋体"/>
                <w:color w:val="auto"/>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0CA9DF9">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FC2F841">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456C75D">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751CA0E2">
            <w:pPr>
              <w:spacing w:line="340" w:lineRule="exact"/>
              <w:jc w:val="left"/>
              <w:rPr>
                <w:rFonts w:ascii="宋体" w:hAnsi="宋体" w:cs="宋体"/>
                <w:color w:val="auto"/>
                <w:sz w:val="24"/>
              </w:rPr>
            </w:pPr>
          </w:p>
        </w:tc>
      </w:tr>
      <w:tr w14:paraId="64DFF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CD58B68">
            <w:pPr>
              <w:spacing w:line="340" w:lineRule="exact"/>
              <w:jc w:val="center"/>
              <w:rPr>
                <w:rFonts w:ascii="宋体" w:hAnsi="宋体" w:cs="宋体"/>
                <w:color w:val="auto"/>
                <w:sz w:val="24"/>
              </w:rPr>
            </w:pPr>
            <w:r>
              <w:rPr>
                <w:rFonts w:hint="eastAsia" w:ascii="宋体" w:hAnsi="宋体" w:cs="宋体"/>
                <w:color w:val="auto"/>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8C6E8F6">
            <w:pPr>
              <w:spacing w:line="340" w:lineRule="exact"/>
              <w:jc w:val="left"/>
              <w:rPr>
                <w:rFonts w:ascii="宋体" w:hAnsi="宋体" w:cs="宋体"/>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4E17661">
            <w:pPr>
              <w:spacing w:line="340" w:lineRule="exact"/>
              <w:jc w:val="left"/>
              <w:rPr>
                <w:rFonts w:ascii="宋体" w:hAnsi="宋体" w:cs="宋体"/>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2165458">
            <w:pPr>
              <w:spacing w:line="340" w:lineRule="exact"/>
              <w:jc w:val="left"/>
              <w:rPr>
                <w:rFonts w:ascii="宋体" w:hAnsi="宋体" w:cs="宋体"/>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29832BAB">
            <w:pPr>
              <w:spacing w:line="340" w:lineRule="exact"/>
              <w:jc w:val="left"/>
              <w:rPr>
                <w:rFonts w:ascii="宋体" w:hAnsi="宋体" w:cs="宋体"/>
                <w:color w:val="auto"/>
                <w:sz w:val="24"/>
              </w:rPr>
            </w:pPr>
          </w:p>
        </w:tc>
      </w:tr>
    </w:tbl>
    <w:p w14:paraId="75FAEB3C">
      <w:pPr>
        <w:snapToGrid w:val="0"/>
        <w:spacing w:line="300" w:lineRule="auto"/>
        <w:contextualSpacing/>
        <w:rPr>
          <w:rFonts w:ascii="宋体" w:hAnsi="宋体" w:cs="宋体"/>
          <w:b/>
          <w:color w:val="auto"/>
          <w:sz w:val="24"/>
        </w:rPr>
      </w:pPr>
      <w:r>
        <w:rPr>
          <w:rFonts w:hint="eastAsia" w:ascii="宋体" w:hAnsi="宋体" w:cs="宋体"/>
          <w:b/>
          <w:color w:val="auto"/>
          <w:sz w:val="24"/>
        </w:rPr>
        <w:t>注：</w:t>
      </w:r>
    </w:p>
    <w:p w14:paraId="34C1BA28">
      <w:pPr>
        <w:snapToGrid w:val="0"/>
        <w:spacing w:line="300" w:lineRule="auto"/>
        <w:ind w:firstLine="480" w:firstLineChars="200"/>
        <w:contextualSpacing/>
        <w:rPr>
          <w:rFonts w:ascii="宋体" w:hAnsi="宋体" w:cs="宋体"/>
          <w:color w:val="auto"/>
          <w:sz w:val="24"/>
        </w:rPr>
      </w:pPr>
      <w:r>
        <w:rPr>
          <w:rFonts w:hint="eastAsia" w:ascii="宋体" w:hAnsi="宋体" w:cs="宋体"/>
          <w:color w:val="auto"/>
          <w:sz w:val="24"/>
        </w:rPr>
        <w:t>1.投标人提交的投标文件中与招标文件第三部分“项目需求”中的技术部分的要求，应逐条填列在偏离表中。</w:t>
      </w:r>
    </w:p>
    <w:p w14:paraId="6C13C9A4">
      <w:pPr>
        <w:snapToGrid w:val="0"/>
        <w:spacing w:line="300" w:lineRule="auto"/>
        <w:ind w:firstLine="480" w:firstLineChars="200"/>
        <w:contextualSpacing/>
        <w:rPr>
          <w:rFonts w:ascii="宋体" w:hAnsi="宋体" w:cs="宋体"/>
          <w:color w:val="auto"/>
          <w:sz w:val="24"/>
        </w:rPr>
      </w:pPr>
      <w:r>
        <w:rPr>
          <w:rFonts w:hint="eastAsia" w:ascii="宋体" w:hAnsi="宋体" w:cs="宋体"/>
          <w:color w:val="auto"/>
          <w:sz w:val="24"/>
        </w:rPr>
        <w:t>2.“偏离说明”一栏选择“正偏离”、“负偏离”、“无偏离”进行填写。正偏离、负偏离、无偏离的确认，由评标小组认定。</w:t>
      </w:r>
    </w:p>
    <w:p w14:paraId="7A22C82E">
      <w:pPr>
        <w:snapToGrid w:val="0"/>
        <w:spacing w:line="300" w:lineRule="auto"/>
        <w:ind w:firstLine="480" w:firstLineChars="200"/>
        <w:contextualSpacing/>
        <w:rPr>
          <w:rFonts w:ascii="宋体" w:hAnsi="宋体" w:cs="宋体"/>
          <w:bCs/>
          <w:color w:val="auto"/>
          <w:sz w:val="24"/>
        </w:rPr>
      </w:pPr>
      <w:r>
        <w:rPr>
          <w:rFonts w:hint="eastAsia" w:ascii="宋体" w:hAnsi="宋体" w:cs="宋体"/>
          <w:bCs/>
          <w:color w:val="auto"/>
          <w:sz w:val="24"/>
        </w:rPr>
        <w:t>3.投标人若提供其他增值服务，可以在表中自行据实填写。</w:t>
      </w:r>
    </w:p>
    <w:p w14:paraId="19E7F474">
      <w:pPr>
        <w:rPr>
          <w:color w:val="auto"/>
        </w:rPr>
      </w:pPr>
    </w:p>
    <w:p w14:paraId="6D5FEC97">
      <w:pPr>
        <w:snapToGrid w:val="0"/>
        <w:spacing w:line="300" w:lineRule="auto"/>
        <w:ind w:firstLine="480" w:firstLineChars="200"/>
        <w:contextualSpacing/>
        <w:rPr>
          <w:rFonts w:ascii="宋体" w:hAnsi="宋体" w:cs="宋体"/>
          <w:bCs/>
          <w:color w:val="auto"/>
          <w:sz w:val="24"/>
        </w:rPr>
      </w:pPr>
    </w:p>
    <w:p w14:paraId="4739DE98">
      <w:pPr>
        <w:rPr>
          <w:rFonts w:ascii="宋体" w:hAnsi="宋体" w:cs="宋体"/>
          <w:bCs/>
          <w:color w:val="auto"/>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kern w:val="0"/>
          <w:sz w:val="32"/>
          <w:szCs w:val="32"/>
        </w:rPr>
        <w:br w:type="page"/>
      </w:r>
    </w:p>
    <w:p w14:paraId="65C7C71F">
      <w:pPr>
        <w:pStyle w:val="71"/>
        <w:ind w:left="0"/>
        <w:rPr>
          <w:rFonts w:ascii="宋体" w:hAnsi="宋体" w:cs="宋体"/>
          <w:color w:val="auto"/>
          <w:sz w:val="32"/>
          <w:szCs w:val="32"/>
        </w:rPr>
      </w:pPr>
      <w:r>
        <w:rPr>
          <w:rFonts w:hint="eastAsia" w:ascii="宋体" w:hAnsi="宋体" w:cs="宋体"/>
          <w:color w:val="auto"/>
          <w:sz w:val="32"/>
          <w:szCs w:val="32"/>
          <w:lang w:eastAsia="zh-CN"/>
        </w:rPr>
        <w:t>附件7</w:t>
      </w:r>
    </w:p>
    <w:p w14:paraId="76F01637">
      <w:pPr>
        <w:spacing w:line="460" w:lineRule="exact"/>
        <w:jc w:val="center"/>
        <w:outlineLvl w:val="2"/>
        <w:rPr>
          <w:rFonts w:ascii="宋体" w:hAnsi="宋体" w:cs="宋体"/>
          <w:color w:val="auto"/>
          <w:sz w:val="28"/>
          <w:szCs w:val="28"/>
        </w:rPr>
      </w:pPr>
      <w:r>
        <w:rPr>
          <w:rFonts w:hint="eastAsia" w:ascii="宋体" w:hAnsi="宋体" w:cs="宋体"/>
          <w:b/>
          <w:color w:val="auto"/>
          <w:sz w:val="30"/>
          <w:szCs w:val="30"/>
        </w:rPr>
        <w:t>响应报价表</w:t>
      </w:r>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4470A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8DA0E3B">
            <w:pPr>
              <w:kinsoku w:val="0"/>
              <w:topLinePunct/>
              <w:spacing w:line="440" w:lineRule="exact"/>
              <w:jc w:val="center"/>
              <w:rPr>
                <w:rFonts w:ascii="宋体" w:hAnsi="宋体" w:cs="宋体"/>
                <w:color w:val="auto"/>
                <w:sz w:val="24"/>
              </w:rPr>
            </w:pPr>
            <w:r>
              <w:rPr>
                <w:rFonts w:hint="eastAsia" w:ascii="宋体" w:hAnsi="宋体" w:cs="宋体"/>
                <w:color w:val="auto"/>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1F942F6">
            <w:pPr>
              <w:kinsoku w:val="0"/>
              <w:topLinePunct/>
              <w:spacing w:line="440" w:lineRule="exact"/>
              <w:jc w:val="center"/>
              <w:rPr>
                <w:rFonts w:ascii="宋体" w:hAnsi="宋体" w:cs="宋体"/>
                <w:color w:val="auto"/>
                <w:sz w:val="24"/>
              </w:rPr>
            </w:pPr>
            <w:r>
              <w:rPr>
                <w:rFonts w:hint="eastAsia" w:ascii="宋体" w:hAnsi="宋体" w:cs="宋体"/>
                <w:color w:val="auto"/>
                <w:sz w:val="24"/>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121431E3">
            <w:pPr>
              <w:kinsoku w:val="0"/>
              <w:topLinePunct/>
              <w:spacing w:line="440" w:lineRule="exact"/>
              <w:jc w:val="center"/>
              <w:rPr>
                <w:rFonts w:ascii="宋体" w:hAnsi="宋体" w:cs="宋体"/>
                <w:color w:val="auto"/>
                <w:sz w:val="24"/>
              </w:rPr>
            </w:pPr>
            <w:r>
              <w:rPr>
                <w:rFonts w:hint="eastAsia" w:ascii="宋体" w:hAnsi="宋体" w:cs="宋体"/>
                <w:color w:val="auto"/>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BAF3761">
            <w:pPr>
              <w:kinsoku w:val="0"/>
              <w:topLinePunct/>
              <w:spacing w:line="440" w:lineRule="exact"/>
              <w:jc w:val="center"/>
              <w:rPr>
                <w:rFonts w:ascii="宋体" w:hAnsi="宋体" w:cs="宋体"/>
                <w:color w:val="auto"/>
                <w:sz w:val="24"/>
              </w:rPr>
            </w:pPr>
            <w:r>
              <w:rPr>
                <w:rFonts w:hint="eastAsia" w:ascii="宋体" w:hAnsi="宋体" w:cs="宋体"/>
                <w:color w:val="auto"/>
                <w:sz w:val="24"/>
              </w:rPr>
              <w:t>付款方式</w:t>
            </w:r>
          </w:p>
        </w:tc>
      </w:tr>
      <w:tr w14:paraId="68CA0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21C8CAB8">
            <w:pPr>
              <w:kinsoku w:val="0"/>
              <w:topLinePunct/>
              <w:spacing w:line="440" w:lineRule="exact"/>
              <w:rPr>
                <w:rFonts w:ascii="宋体" w:hAnsi="宋体" w:cs="宋体"/>
                <w:b/>
                <w:bCs/>
                <w:color w:val="auto"/>
                <w:sz w:val="24"/>
              </w:rPr>
            </w:pPr>
            <w:r>
              <w:rPr>
                <w:rFonts w:hint="eastAsia" w:ascii="宋体" w:hAnsi="宋体" w:cs="宋体"/>
                <w:b/>
                <w:bCs/>
                <w:color w:val="auto"/>
                <w:sz w:val="24"/>
              </w:rPr>
              <w:t>江苏商贸职业学院学生宿舍四、五及学生和教师集体宿舍安防监控存储及平台接入项目</w:t>
            </w:r>
          </w:p>
        </w:tc>
        <w:tc>
          <w:tcPr>
            <w:tcW w:w="2400" w:type="dxa"/>
            <w:tcBorders>
              <w:top w:val="single" w:color="auto" w:sz="4" w:space="0"/>
              <w:left w:val="single" w:color="auto" w:sz="4" w:space="0"/>
              <w:bottom w:val="single" w:color="auto" w:sz="4" w:space="0"/>
              <w:right w:val="single" w:color="auto" w:sz="4" w:space="0"/>
            </w:tcBorders>
            <w:vAlign w:val="center"/>
          </w:tcPr>
          <w:p w14:paraId="5E93544C">
            <w:pPr>
              <w:kinsoku w:val="0"/>
              <w:topLinePunct/>
              <w:spacing w:line="440" w:lineRule="exact"/>
              <w:rPr>
                <w:rFonts w:ascii="宋体" w:hAnsi="宋体" w:cs="宋体"/>
                <w:color w:val="auto"/>
                <w:sz w:val="24"/>
              </w:rPr>
            </w:pPr>
            <w:r>
              <w:rPr>
                <w:rFonts w:hint="eastAsia" w:ascii="宋体" w:hAnsi="宋体" w:cs="宋体"/>
                <w:color w:val="auto"/>
                <w:sz w:val="24"/>
              </w:rPr>
              <w:t>大写：元</w:t>
            </w:r>
          </w:p>
          <w:p w14:paraId="5F7E0133">
            <w:pPr>
              <w:kinsoku w:val="0"/>
              <w:topLinePunct/>
              <w:spacing w:line="440" w:lineRule="exact"/>
              <w:rPr>
                <w:rFonts w:ascii="宋体" w:hAnsi="宋体" w:cs="宋体"/>
                <w:color w:val="auto"/>
                <w:sz w:val="24"/>
              </w:rPr>
            </w:pPr>
            <w:r>
              <w:rPr>
                <w:rFonts w:hint="eastAsia" w:ascii="宋体" w:hAnsi="宋体" w:cs="宋体"/>
                <w:color w:val="auto"/>
                <w:sz w:val="24"/>
              </w:rPr>
              <w:t>小写：元</w:t>
            </w:r>
          </w:p>
        </w:tc>
        <w:tc>
          <w:tcPr>
            <w:tcW w:w="1990" w:type="dxa"/>
            <w:tcBorders>
              <w:top w:val="single" w:color="auto" w:sz="4" w:space="0"/>
              <w:left w:val="single" w:color="auto" w:sz="4" w:space="0"/>
              <w:bottom w:val="single" w:color="auto" w:sz="4" w:space="0"/>
              <w:right w:val="single" w:color="auto" w:sz="4" w:space="0"/>
            </w:tcBorders>
            <w:vAlign w:val="center"/>
          </w:tcPr>
          <w:p w14:paraId="1F932BF0">
            <w:pPr>
              <w:kinsoku w:val="0"/>
              <w:topLinePunct/>
              <w:spacing w:line="440" w:lineRule="exact"/>
              <w:rPr>
                <w:rFonts w:ascii="宋体" w:hAnsi="宋体" w:cs="宋体"/>
                <w:color w:val="auto"/>
                <w:sz w:val="24"/>
              </w:rPr>
            </w:pPr>
            <w:r>
              <w:rPr>
                <w:rFonts w:hint="eastAsia" w:ascii="宋体" w:hAnsi="宋体" w:cs="宋体"/>
                <w:color w:val="auto"/>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085D03DE">
            <w:pPr>
              <w:kinsoku w:val="0"/>
              <w:topLinePunct/>
              <w:spacing w:line="440" w:lineRule="exact"/>
              <w:rPr>
                <w:rFonts w:ascii="宋体" w:hAnsi="宋体" w:cs="宋体"/>
                <w:color w:val="auto"/>
                <w:sz w:val="24"/>
              </w:rPr>
            </w:pPr>
            <w:r>
              <w:rPr>
                <w:rFonts w:hint="eastAsia" w:ascii="宋体" w:hAnsi="宋体" w:cs="宋体"/>
                <w:color w:val="auto"/>
                <w:sz w:val="24"/>
              </w:rPr>
              <w:t>完全响应招标文件要求的付款方式</w:t>
            </w:r>
          </w:p>
        </w:tc>
      </w:tr>
    </w:tbl>
    <w:p w14:paraId="189F64E7">
      <w:pPr>
        <w:widowControl/>
        <w:spacing w:line="440" w:lineRule="exact"/>
        <w:jc w:val="left"/>
        <w:rPr>
          <w:rFonts w:ascii="宋体" w:hAnsi="宋体" w:cs="宋体"/>
          <w:color w:val="auto"/>
          <w:kern w:val="0"/>
          <w:sz w:val="28"/>
          <w:szCs w:val="28"/>
        </w:rPr>
      </w:pPr>
    </w:p>
    <w:p w14:paraId="0892DB90">
      <w:pPr>
        <w:snapToGrid w:val="0"/>
        <w:spacing w:line="460" w:lineRule="exact"/>
        <w:ind w:firstLine="470" w:firstLineChars="196"/>
        <w:outlineLvl w:val="1"/>
        <w:rPr>
          <w:rFonts w:ascii="宋体" w:hAnsi="宋体" w:cs="宋体"/>
          <w:color w:val="auto"/>
          <w:kern w:val="0"/>
          <w:sz w:val="24"/>
        </w:rPr>
      </w:pPr>
      <w:r>
        <w:rPr>
          <w:rFonts w:hint="eastAsia" w:ascii="宋体" w:hAnsi="宋体" w:cs="宋体"/>
          <w:color w:val="auto"/>
          <w:kern w:val="0"/>
          <w:sz w:val="24"/>
        </w:rPr>
        <w:t>1.本表为格式表，不得自行改动，必须提供，否则视为未实质性响应招标文件。</w:t>
      </w:r>
    </w:p>
    <w:p w14:paraId="3D42E01C">
      <w:pPr>
        <w:spacing w:line="480" w:lineRule="exact"/>
        <w:ind w:firstLine="480" w:firstLineChars="200"/>
        <w:rPr>
          <w:rFonts w:ascii="宋体" w:hAnsi="宋体" w:cs="宋体"/>
          <w:color w:val="auto"/>
          <w:kern w:val="0"/>
          <w:sz w:val="24"/>
        </w:rPr>
      </w:pPr>
    </w:p>
    <w:p w14:paraId="61A64C79">
      <w:pPr>
        <w:spacing w:line="480" w:lineRule="exact"/>
        <w:ind w:firstLine="480" w:firstLineChars="200"/>
        <w:rPr>
          <w:rFonts w:ascii="宋体" w:hAnsi="宋体" w:cs="宋体"/>
          <w:color w:val="auto"/>
          <w:kern w:val="0"/>
          <w:sz w:val="24"/>
        </w:rPr>
      </w:pPr>
    </w:p>
    <w:p w14:paraId="6A1C441D">
      <w:pPr>
        <w:snapToGrid w:val="0"/>
        <w:spacing w:line="460" w:lineRule="exact"/>
        <w:ind w:firstLine="470" w:firstLineChars="196"/>
        <w:outlineLvl w:val="1"/>
        <w:rPr>
          <w:rFonts w:ascii="宋体" w:hAnsi="宋体" w:cs="宋体"/>
          <w:color w:val="auto"/>
          <w:kern w:val="0"/>
          <w:sz w:val="24"/>
        </w:rPr>
      </w:pPr>
    </w:p>
    <w:p w14:paraId="353F14F4">
      <w:pPr>
        <w:snapToGrid w:val="0"/>
        <w:spacing w:line="460" w:lineRule="exact"/>
        <w:ind w:firstLine="470" w:firstLineChars="196"/>
        <w:outlineLvl w:val="1"/>
        <w:rPr>
          <w:rFonts w:ascii="宋体" w:hAnsi="宋体" w:cs="宋体"/>
          <w:color w:val="auto"/>
          <w:kern w:val="0"/>
          <w:sz w:val="24"/>
        </w:rPr>
      </w:pPr>
    </w:p>
    <w:p w14:paraId="1D7851C5">
      <w:pPr>
        <w:spacing w:line="480" w:lineRule="exact"/>
        <w:rPr>
          <w:rFonts w:ascii="宋体" w:hAnsi="宋体" w:cs="宋体"/>
          <w:color w:val="auto"/>
          <w:kern w:val="0"/>
          <w:sz w:val="24"/>
        </w:rPr>
      </w:pPr>
    </w:p>
    <w:p w14:paraId="1B4C123C">
      <w:pPr>
        <w:snapToGrid w:val="0"/>
        <w:spacing w:line="480" w:lineRule="exact"/>
        <w:ind w:firstLine="463" w:firstLineChars="192"/>
        <w:contextualSpacing/>
        <w:rPr>
          <w:rFonts w:ascii="宋体" w:hAnsi="宋体" w:cs="宋体"/>
          <w:b/>
          <w:color w:val="auto"/>
          <w:kern w:val="0"/>
          <w:sz w:val="24"/>
        </w:rPr>
      </w:pPr>
    </w:p>
    <w:p w14:paraId="30AF89DF">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投标人名称：（盖章）</w:t>
      </w:r>
    </w:p>
    <w:p w14:paraId="137E3112">
      <w:pPr>
        <w:snapToGrid w:val="0"/>
        <w:spacing w:line="500" w:lineRule="exact"/>
        <w:ind w:left="1133" w:hanging="1132" w:hangingChars="472"/>
        <w:jc w:val="center"/>
        <w:rPr>
          <w:rFonts w:ascii="宋体" w:hAnsi="宋体" w:cs="宋体"/>
          <w:color w:val="auto"/>
          <w:sz w:val="24"/>
        </w:rPr>
      </w:pPr>
      <w:r>
        <w:rPr>
          <w:rFonts w:hint="eastAsia" w:ascii="宋体" w:hAnsi="宋体" w:cs="宋体"/>
          <w:color w:val="auto"/>
          <w:sz w:val="24"/>
        </w:rPr>
        <w:t>法定代表人或授权委托人（签字或盖章）：</w:t>
      </w:r>
    </w:p>
    <w:p w14:paraId="3B67F1D4">
      <w:pPr>
        <w:snapToGrid w:val="0"/>
        <w:spacing w:line="500" w:lineRule="exact"/>
        <w:ind w:firstLine="4320" w:firstLineChars="1800"/>
        <w:rPr>
          <w:rFonts w:ascii="宋体" w:hAnsi="宋体" w:cs="宋体"/>
          <w:color w:val="auto"/>
          <w:sz w:val="24"/>
        </w:rPr>
      </w:pPr>
      <w:r>
        <w:rPr>
          <w:rFonts w:hint="eastAsia" w:ascii="宋体" w:hAnsi="宋体" w:cs="宋体"/>
          <w:color w:val="auto"/>
          <w:sz w:val="24"/>
        </w:rPr>
        <w:t>日期：</w:t>
      </w:r>
    </w:p>
    <w:p w14:paraId="7CBCBBB3">
      <w:pPr>
        <w:rPr>
          <w:rFonts w:ascii="宋体" w:hAnsi="宋体" w:cs="宋体"/>
          <w:color w:val="auto"/>
          <w:sz w:val="24"/>
        </w:rPr>
      </w:pPr>
      <w:r>
        <w:rPr>
          <w:rFonts w:hint="eastAsia" w:ascii="宋体" w:hAnsi="宋体" w:cs="宋体"/>
          <w:color w:val="auto"/>
          <w:sz w:val="24"/>
        </w:rPr>
        <w:br w:type="page"/>
      </w:r>
    </w:p>
    <w:p w14:paraId="10F9CFB8">
      <w:pPr>
        <w:pStyle w:val="71"/>
        <w:keepNext w:val="0"/>
        <w:keepLines w:val="0"/>
        <w:pageBreakBefore w:val="0"/>
        <w:kinsoku/>
        <w:wordWrap/>
        <w:overflowPunct/>
        <w:topLinePunct w:val="0"/>
        <w:autoSpaceDE/>
        <w:autoSpaceDN/>
        <w:bidi w:val="0"/>
        <w:spacing w:line="360" w:lineRule="auto"/>
        <w:ind w:left="0"/>
        <w:textAlignment w:val="auto"/>
        <w:rPr>
          <w:rFonts w:ascii="宋体" w:hAnsi="宋体" w:cs="宋体"/>
          <w:color w:val="auto"/>
          <w:sz w:val="24"/>
          <w:szCs w:val="24"/>
          <w:lang w:eastAsia="zh-CN"/>
        </w:rPr>
      </w:pPr>
      <w:r>
        <w:rPr>
          <w:rFonts w:hint="eastAsia" w:ascii="宋体" w:hAnsi="宋体" w:cs="宋体"/>
          <w:color w:val="auto"/>
          <w:sz w:val="24"/>
          <w:szCs w:val="24"/>
          <w:lang w:eastAsia="zh-CN"/>
        </w:rPr>
        <w:t>附件8</w:t>
      </w:r>
      <w:bookmarkStart w:id="110" w:name="_GoBack"/>
      <w:bookmarkEnd w:id="110"/>
    </w:p>
    <w:p w14:paraId="52809965">
      <w:pPr>
        <w:keepNext w:val="0"/>
        <w:keepLines w:val="0"/>
        <w:pageBreakBefore w:val="0"/>
        <w:kinsoku/>
        <w:wordWrap/>
        <w:overflowPunct/>
        <w:topLinePunct w:val="0"/>
        <w:autoSpaceDE/>
        <w:autoSpaceDN/>
        <w:bidi w:val="0"/>
        <w:spacing w:line="360" w:lineRule="auto"/>
        <w:textAlignment w:val="auto"/>
        <w:rPr>
          <w:color w:val="auto"/>
          <w:sz w:val="24"/>
          <w:szCs w:val="24"/>
        </w:rPr>
      </w:pPr>
    </w:p>
    <w:p w14:paraId="2453A7E8">
      <w:pPr>
        <w:keepNext w:val="0"/>
        <w:keepLines w:val="0"/>
        <w:pageBreakBefore w:val="0"/>
        <w:kinsoku/>
        <w:wordWrap/>
        <w:overflowPunct/>
        <w:topLinePunct w:val="0"/>
        <w:autoSpaceDE/>
        <w:autoSpaceDN/>
        <w:bidi w:val="0"/>
        <w:spacing w:line="360" w:lineRule="auto"/>
        <w:jc w:val="center"/>
        <w:textAlignment w:val="auto"/>
        <w:rPr>
          <w:rFonts w:ascii="宋体" w:hAnsi="宋体" w:cs="宋体"/>
          <w:b/>
          <w:bCs w:val="0"/>
          <w:color w:val="auto"/>
          <w:sz w:val="28"/>
          <w:szCs w:val="28"/>
        </w:rPr>
      </w:pPr>
      <w:r>
        <w:rPr>
          <w:rFonts w:hint="eastAsia" w:ascii="宋体" w:hAnsi="宋体" w:cs="宋体"/>
          <w:b/>
          <w:bCs w:val="0"/>
          <w:color w:val="auto"/>
          <w:sz w:val="28"/>
          <w:szCs w:val="28"/>
        </w:rPr>
        <w:t>质疑函范本</w:t>
      </w:r>
    </w:p>
    <w:p w14:paraId="0F358021">
      <w:pPr>
        <w:keepNext w:val="0"/>
        <w:keepLines w:val="0"/>
        <w:pageBreakBefore w:val="0"/>
        <w:widowControl w:val="0"/>
        <w:kinsoku/>
        <w:wordWrap/>
        <w:overflowPunct/>
        <w:topLinePunct w:val="0"/>
        <w:autoSpaceDE/>
        <w:autoSpaceDN/>
        <w:bidi w:val="0"/>
        <w:adjustRightInd w:val="0"/>
        <w:snapToGrid w:val="0"/>
        <w:spacing w:beforeLines="100" w:line="360" w:lineRule="auto"/>
        <w:textAlignment w:val="auto"/>
        <w:rPr>
          <w:rFonts w:ascii="宋体" w:hAnsi="宋体" w:cs="宋体"/>
          <w:bCs/>
          <w:color w:val="auto"/>
          <w:sz w:val="24"/>
          <w:szCs w:val="24"/>
        </w:rPr>
      </w:pPr>
      <w:r>
        <w:rPr>
          <w:rFonts w:hint="eastAsia" w:ascii="宋体" w:hAnsi="宋体" w:cs="宋体"/>
          <w:bCs/>
          <w:color w:val="auto"/>
          <w:sz w:val="24"/>
          <w:szCs w:val="24"/>
        </w:rPr>
        <w:t>一、质疑投标人基本信息</w:t>
      </w:r>
    </w:p>
    <w:p w14:paraId="5BF6CB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质疑投标人：</w:t>
      </w:r>
    </w:p>
    <w:p w14:paraId="307322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地址：邮编：</w:t>
      </w:r>
    </w:p>
    <w:p w14:paraId="449E45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联系人：联系电话：</w:t>
      </w:r>
    </w:p>
    <w:p w14:paraId="43FEC5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授权代表：</w:t>
      </w:r>
    </w:p>
    <w:p w14:paraId="37B9DB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联系电话：</w:t>
      </w:r>
    </w:p>
    <w:p w14:paraId="7D9C11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地址：邮编：</w:t>
      </w:r>
    </w:p>
    <w:p w14:paraId="7745BB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Cs/>
          <w:color w:val="auto"/>
          <w:sz w:val="24"/>
          <w:szCs w:val="24"/>
        </w:rPr>
      </w:pPr>
      <w:r>
        <w:rPr>
          <w:rFonts w:hint="eastAsia" w:ascii="宋体" w:hAnsi="宋体" w:cs="宋体"/>
          <w:bCs/>
          <w:color w:val="auto"/>
          <w:sz w:val="24"/>
          <w:szCs w:val="24"/>
        </w:rPr>
        <w:t>二、质疑项目基本情况</w:t>
      </w:r>
    </w:p>
    <w:p w14:paraId="2328D5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质疑项目的名称：</w:t>
      </w:r>
    </w:p>
    <w:p w14:paraId="554A83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质疑项目的编号：包号：</w:t>
      </w:r>
    </w:p>
    <w:p w14:paraId="06B149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招标人名称：</w:t>
      </w:r>
    </w:p>
    <w:p w14:paraId="34B105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招标文件获取日期：</w:t>
      </w:r>
    </w:p>
    <w:p w14:paraId="3E540D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Cs/>
          <w:color w:val="auto"/>
          <w:sz w:val="24"/>
          <w:szCs w:val="24"/>
        </w:rPr>
      </w:pPr>
      <w:r>
        <w:rPr>
          <w:rFonts w:hint="eastAsia" w:ascii="宋体" w:hAnsi="宋体" w:cs="宋体"/>
          <w:bCs/>
          <w:color w:val="auto"/>
          <w:sz w:val="24"/>
          <w:szCs w:val="24"/>
        </w:rPr>
        <w:t>三、质疑事项具体内容</w:t>
      </w:r>
    </w:p>
    <w:p w14:paraId="5BE851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质疑事项1：</w:t>
      </w:r>
    </w:p>
    <w:p w14:paraId="2BA6ED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事实依据：</w:t>
      </w:r>
    </w:p>
    <w:p w14:paraId="7CE516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p>
    <w:p w14:paraId="4D4E3B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法律依据：</w:t>
      </w:r>
    </w:p>
    <w:p w14:paraId="10CE1A0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p>
    <w:p w14:paraId="34DE8E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质疑事项2</w:t>
      </w:r>
    </w:p>
    <w:p w14:paraId="6B9B31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s="宋体"/>
          <w:color w:val="auto"/>
          <w:sz w:val="24"/>
          <w:szCs w:val="24"/>
        </w:rPr>
        <w:t>……</w:t>
      </w:r>
    </w:p>
    <w:p w14:paraId="54C222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Cs/>
          <w:color w:val="auto"/>
          <w:sz w:val="24"/>
          <w:szCs w:val="24"/>
        </w:rPr>
      </w:pPr>
      <w:r>
        <w:rPr>
          <w:rFonts w:hint="eastAsia" w:ascii="宋体" w:hAnsi="宋体" w:cs="宋体"/>
          <w:bCs/>
          <w:color w:val="auto"/>
          <w:sz w:val="24"/>
          <w:szCs w:val="24"/>
        </w:rPr>
        <w:t>四、与质疑事项相关的质疑请求</w:t>
      </w:r>
    </w:p>
    <w:p w14:paraId="39427B9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u w:val="dotted"/>
        </w:rPr>
      </w:pPr>
      <w:r>
        <w:rPr>
          <w:rFonts w:hint="eastAsia" w:ascii="宋体" w:hAnsi="宋体" w:cs="宋体"/>
          <w:color w:val="auto"/>
          <w:sz w:val="24"/>
          <w:szCs w:val="24"/>
        </w:rPr>
        <w:t>请求：</w:t>
      </w:r>
    </w:p>
    <w:p w14:paraId="566CDA1B">
      <w:pPr>
        <w:keepNext w:val="0"/>
        <w:keepLines w:val="0"/>
        <w:pageBreakBefore w:val="0"/>
        <w:kinsoku/>
        <w:wordWrap/>
        <w:overflowPunct/>
        <w:topLinePunct w:val="0"/>
        <w:autoSpaceDE/>
        <w:autoSpaceDN/>
        <w:bidi w:val="0"/>
        <w:spacing w:line="360" w:lineRule="auto"/>
        <w:textAlignment w:val="auto"/>
        <w:rPr>
          <w:rFonts w:ascii="宋体" w:hAnsi="宋体" w:cs="宋体"/>
          <w:color w:val="auto"/>
          <w:sz w:val="24"/>
          <w:szCs w:val="24"/>
        </w:rPr>
      </w:pPr>
      <w:r>
        <w:rPr>
          <w:rFonts w:hint="eastAsia" w:ascii="宋体" w:hAnsi="宋体" w:cs="宋体"/>
          <w:color w:val="auto"/>
          <w:sz w:val="24"/>
          <w:szCs w:val="24"/>
        </w:rPr>
        <w:t>签字(签章)：公章：</w:t>
      </w:r>
    </w:p>
    <w:p w14:paraId="28F9E8BE">
      <w:pPr>
        <w:keepNext w:val="0"/>
        <w:keepLines w:val="0"/>
        <w:pageBreakBefore w:val="0"/>
        <w:kinsoku/>
        <w:wordWrap/>
        <w:overflowPunct/>
        <w:topLinePunct w:val="0"/>
        <w:autoSpaceDE/>
        <w:autoSpaceDN/>
        <w:bidi w:val="0"/>
        <w:spacing w:line="360" w:lineRule="auto"/>
        <w:textAlignment w:val="auto"/>
        <w:rPr>
          <w:rFonts w:ascii="宋体" w:hAnsi="宋体" w:cs="宋体"/>
          <w:color w:val="auto"/>
          <w:sz w:val="24"/>
          <w:szCs w:val="24"/>
        </w:rPr>
      </w:pPr>
      <w:r>
        <w:rPr>
          <w:rFonts w:hint="eastAsia" w:ascii="宋体" w:hAnsi="宋体" w:cs="宋体"/>
          <w:color w:val="auto"/>
          <w:sz w:val="24"/>
          <w:szCs w:val="24"/>
        </w:rPr>
        <w:t>日期：</w:t>
      </w:r>
    </w:p>
    <w:p w14:paraId="46BA830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p>
    <w:p w14:paraId="4CE2560C">
      <w:pPr>
        <w:keepNext w:val="0"/>
        <w:keepLines w:val="0"/>
        <w:pageBreakBefore w:val="0"/>
        <w:kinsoku/>
        <w:wordWrap/>
        <w:overflowPunct/>
        <w:topLinePunct w:val="0"/>
        <w:autoSpaceDE/>
        <w:autoSpaceDN/>
        <w:bidi w:val="0"/>
        <w:spacing w:line="360" w:lineRule="auto"/>
        <w:textAlignment w:val="auto"/>
        <w:rPr>
          <w:rFonts w:ascii="宋体" w:hAnsi="宋体" w:cs="宋体"/>
          <w:b/>
          <w:color w:val="auto"/>
          <w:sz w:val="24"/>
          <w:szCs w:val="24"/>
        </w:rPr>
      </w:pPr>
    </w:p>
    <w:p w14:paraId="6DA345F9">
      <w:pPr>
        <w:keepNext w:val="0"/>
        <w:keepLines w:val="0"/>
        <w:pageBreakBefore w:val="0"/>
        <w:kinsoku/>
        <w:wordWrap/>
        <w:overflowPunct/>
        <w:topLinePunct w:val="0"/>
        <w:autoSpaceDE/>
        <w:autoSpaceDN/>
        <w:bidi w:val="0"/>
        <w:spacing w:line="360" w:lineRule="auto"/>
        <w:textAlignment w:val="auto"/>
        <w:rPr>
          <w:rFonts w:ascii="宋体" w:hAnsi="宋体" w:cs="宋体"/>
          <w:b/>
          <w:color w:val="auto"/>
          <w:sz w:val="24"/>
          <w:szCs w:val="24"/>
        </w:rPr>
      </w:pPr>
      <w:r>
        <w:rPr>
          <w:rFonts w:hint="eastAsia" w:ascii="宋体" w:hAnsi="宋体" w:cs="宋体"/>
          <w:b/>
          <w:color w:val="auto"/>
          <w:sz w:val="24"/>
          <w:szCs w:val="24"/>
        </w:rPr>
        <w:t>质疑函制作说明：</w:t>
      </w:r>
    </w:p>
    <w:p w14:paraId="4582BB7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1.投标人提出质疑时，应提交质疑函和必要的证明材料。</w:t>
      </w:r>
    </w:p>
    <w:p w14:paraId="6E69AED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2.质疑投标人若委托代理人进行质疑的，质疑函应按要求列明“授权代表”的有关内容，并在附件中提交由质疑</w:t>
      </w:r>
      <w:r>
        <w:rPr>
          <w:rFonts w:hint="eastAsia" w:ascii="宋体" w:hAnsi="宋体" w:cs="宋体"/>
          <w:color w:val="auto"/>
          <w:kern w:val="0"/>
          <w:sz w:val="24"/>
          <w:szCs w:val="24"/>
        </w:rPr>
        <w:t>投标人签署的授权委托书。授权委托书应载明代理人的姓名或者名称、代理事项、具体权限、期限和相关事项。</w:t>
      </w:r>
    </w:p>
    <w:p w14:paraId="5B6A12B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3.质疑投标人若对项目的某一分包进行质疑，质疑函中应列明具体分包号。</w:t>
      </w:r>
    </w:p>
    <w:p w14:paraId="7346860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4.质疑函的质疑事项应具体、明确，并有必要的事实依据和法律依据。</w:t>
      </w:r>
    </w:p>
    <w:p w14:paraId="3F5DC80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5.质疑函的质疑请求应与质疑事项相关。</w:t>
      </w:r>
    </w:p>
    <w:p w14:paraId="78F0822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6.质疑投标人为自然人的，质疑函应由本人签字；质疑投标人为法人或者其他组织的，质疑函应由法定代表人、主要负责人，或者其授权代表签字或者盖章，并加盖公章。</w:t>
      </w:r>
    </w:p>
    <w:p w14:paraId="3CA8EE1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rPr>
      </w:pPr>
    </w:p>
    <w:p w14:paraId="585C05F1">
      <w:pPr>
        <w:widowControl/>
        <w:ind w:firstLine="640" w:firstLineChars="200"/>
        <w:jc w:val="left"/>
        <w:rPr>
          <w:rFonts w:ascii="宋体" w:hAnsi="宋体" w:cs="宋体"/>
          <w:color w:val="auto"/>
          <w:sz w:val="32"/>
          <w:szCs w:val="32"/>
        </w:rPr>
      </w:pPr>
    </w:p>
    <w:p w14:paraId="3D4461F6">
      <w:pPr>
        <w:widowControl/>
        <w:ind w:firstLine="640" w:firstLineChars="200"/>
        <w:jc w:val="left"/>
        <w:rPr>
          <w:rFonts w:ascii="宋体" w:hAnsi="宋体" w:cs="宋体"/>
          <w:color w:val="auto"/>
          <w:sz w:val="32"/>
          <w:szCs w:val="32"/>
        </w:rPr>
      </w:pPr>
    </w:p>
    <w:p w14:paraId="12A3423C">
      <w:pPr>
        <w:widowControl/>
        <w:ind w:firstLine="640" w:firstLineChars="200"/>
        <w:jc w:val="left"/>
        <w:rPr>
          <w:rFonts w:ascii="宋体" w:hAnsi="宋体" w:cs="宋体"/>
          <w:color w:val="auto"/>
          <w:sz w:val="32"/>
          <w:szCs w:val="32"/>
        </w:rPr>
      </w:pPr>
    </w:p>
    <w:p w14:paraId="0C7CCFF1">
      <w:pPr>
        <w:widowControl/>
        <w:ind w:firstLine="640" w:firstLineChars="200"/>
        <w:jc w:val="left"/>
        <w:rPr>
          <w:rFonts w:ascii="宋体" w:hAnsi="宋体" w:cs="宋体"/>
          <w:color w:val="auto"/>
          <w:sz w:val="32"/>
          <w:szCs w:val="32"/>
        </w:rPr>
      </w:pPr>
    </w:p>
    <w:p w14:paraId="332F9676">
      <w:pPr>
        <w:widowControl/>
        <w:ind w:firstLine="640" w:firstLineChars="200"/>
        <w:jc w:val="left"/>
        <w:rPr>
          <w:rFonts w:ascii="宋体" w:hAnsi="宋体" w:cs="宋体"/>
          <w:color w:val="auto"/>
          <w:sz w:val="32"/>
          <w:szCs w:val="32"/>
        </w:rPr>
      </w:pPr>
    </w:p>
    <w:p w14:paraId="5BADA4ED">
      <w:pPr>
        <w:widowControl/>
        <w:jc w:val="left"/>
        <w:rPr>
          <w:rFonts w:ascii="宋体" w:hAnsi="宋体" w:cs="宋体"/>
          <w:color w:val="auto"/>
          <w:sz w:val="32"/>
          <w:szCs w:val="32"/>
        </w:rPr>
      </w:pPr>
    </w:p>
    <w:sectPr>
      <w:headerReference r:id="rId9"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6B567">
    <w:pPr>
      <w:pStyle w:val="27"/>
      <w:tabs>
        <w:tab w:val="left" w:pos="4850"/>
      </w:tabs>
    </w:pPr>
    <w:r>
      <w:tab/>
    </w:r>
  </w:p>
  <w:p w14:paraId="5EF3F248">
    <w:pPr>
      <w:pStyle w:val="2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6D6C">
    <w:pPr>
      <w:pStyle w:val="27"/>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EB36826">
                          <w:pPr>
                            <w:pStyle w:val="2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VHi/0TcCAABgBAAADgAAAAAAAAABACAAAAAgAQAAZHJzL2Uyb0RvYy54&#10;bWxQSwUGAAAAAAYABgBZAQAAyQUAAAAA&#10;">
              <v:fill on="f" focussize="0,0"/>
              <v:stroke on="f" weight="0.5pt"/>
              <v:imagedata o:title=""/>
              <o:lock v:ext="edit" aspectratio="f"/>
              <v:textbox inset="0mm,0mm,0mm,0mm" style="mso-fit-shape-to-text:t;">
                <w:txbxContent>
                  <w:p w14:paraId="3EB36826">
                    <w:pPr>
                      <w:pStyle w:val="27"/>
                    </w:pPr>
                    <w:r>
                      <w:fldChar w:fldCharType="begin"/>
                    </w:r>
                    <w:r>
                      <w:instrText xml:space="preserve"> PAGE  \* MERGEFORMAT </w:instrText>
                    </w:r>
                    <w:r>
                      <w:fldChar w:fldCharType="separate"/>
                    </w:r>
                    <w:r>
                      <w:t>31</w:t>
                    </w:r>
                    <w:r>
                      <w:fldChar w:fldCharType="end"/>
                    </w:r>
                  </w:p>
                </w:txbxContent>
              </v:textbox>
            </v:shape>
          </w:pict>
        </mc:Fallback>
      </mc:AlternateContent>
    </w:r>
    <w:r>
      <w:tab/>
    </w:r>
  </w:p>
  <w:p w14:paraId="7A4F2C7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4196">
    <w:pPr>
      <w:pStyle w:val="27"/>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6CF033E6">
                          <w:pPr>
                            <w:pStyle w:val="2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snaWyzYCAABh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WJsSJ1Qg8TCXUP&#10;j1Zod23PcgflCUk66LrEW76R+JQ75sMDc9gWyAsHJ9zjUinAlNBblNTgvvzrPMZjtdBLSYNtVlCD&#10;U0WJem+wirEjB8MNxm4wzEHfAvZtjgNpeTLxggtqMCsH+jNO0yrmQBczHDMVNAzmbehaHaeRi9Uq&#10;BWHfWRbuzNbyCB3l8XZ1CChnUjmK0imB1Ykb7LxUp35KYmv/uU9Rj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snaWyzYCAABhBAAADgAAAAAAAAABACAAAAAhAQAAZHJzL2Uyb0RvYy54&#10;bWxQSwUGAAAAAAYABgBZAQAAyQUAAAAA&#10;">
              <v:fill on="f" focussize="0,0"/>
              <v:stroke on="f" weight="0.5pt"/>
              <v:imagedata o:title=""/>
              <o:lock v:ext="edit" aspectratio="f"/>
              <v:textbox inset="0mm,0mm,0mm,0mm" style="mso-fit-shape-to-text:t;">
                <w:txbxContent>
                  <w:p w14:paraId="6CF033E6">
                    <w:pPr>
                      <w:pStyle w:val="27"/>
                    </w:pPr>
                    <w:r>
                      <w:fldChar w:fldCharType="begin"/>
                    </w:r>
                    <w:r>
                      <w:instrText xml:space="preserve"> PAGE  \* MERGEFORMAT </w:instrText>
                    </w:r>
                    <w:r>
                      <w:fldChar w:fldCharType="separate"/>
                    </w:r>
                    <w:r>
                      <w:t>49</w:t>
                    </w:r>
                    <w:r>
                      <w:fldChar w:fldCharType="end"/>
                    </w:r>
                  </w:p>
                </w:txbxContent>
              </v:textbox>
            </v:shape>
          </w:pict>
        </mc:Fallback>
      </mc:AlternateContent>
    </w:r>
    <w:r>
      <w:tab/>
    </w:r>
  </w:p>
  <w:p w14:paraId="6B07264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97BF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510A">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7A7C">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1565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06213"/>
    <w:multiLevelType w:val="singleLevel"/>
    <w:tmpl w:val="DF906213"/>
    <w:lvl w:ilvl="0" w:tentative="0">
      <w:start w:val="4"/>
      <w:numFmt w:val="chineseCounting"/>
      <w:suff w:val="nothing"/>
      <w:lvlText w:val="%1、"/>
      <w:lvlJc w:val="left"/>
      <w:rPr>
        <w:rFonts w:hint="eastAsia"/>
      </w:rPr>
    </w:lvl>
  </w:abstractNum>
  <w:abstractNum w:abstractNumId="1">
    <w:nsid w:val="F3336955"/>
    <w:multiLevelType w:val="singleLevel"/>
    <w:tmpl w:val="F3336955"/>
    <w:lvl w:ilvl="0" w:tentative="0">
      <w:start w:val="3"/>
      <w:numFmt w:val="chineseCounting"/>
      <w:pStyle w:val="2"/>
      <w:suff w:val="nothing"/>
      <w:lvlText w:val="%1、"/>
      <w:lvlJc w:val="left"/>
      <w:rPr>
        <w:rFonts w:hint="eastAsia"/>
      </w:rPr>
    </w:lvl>
  </w:abstractNum>
  <w:abstractNum w:abstractNumId="2">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0BA1694C"/>
    <w:multiLevelType w:val="singleLevel"/>
    <w:tmpl w:val="0BA1694C"/>
    <w:lvl w:ilvl="0" w:tentative="0">
      <w:start w:val="1"/>
      <w:numFmt w:val="decimal"/>
      <w:suff w:val="space"/>
      <w:lvlText w:val="%1."/>
      <w:lvlJc w:val="left"/>
    </w:lvl>
  </w:abstractNum>
  <w:abstractNum w:abstractNumId="4">
    <w:nsid w:val="269BC616"/>
    <w:multiLevelType w:val="singleLevel"/>
    <w:tmpl w:val="269BC616"/>
    <w:lvl w:ilvl="0" w:tentative="0">
      <w:start w:val="1"/>
      <w:numFmt w:val="decimal"/>
      <w:suff w:val="space"/>
      <w:lvlText w:val="%1."/>
      <w:lvlJc w:val="left"/>
    </w:lvl>
  </w:abstractNum>
  <w:abstractNum w:abstractNumId="5">
    <w:nsid w:val="482B339A"/>
    <w:multiLevelType w:val="singleLevel"/>
    <w:tmpl w:val="482B339A"/>
    <w:lvl w:ilvl="0" w:tentative="0">
      <w:start w:val="5"/>
      <w:numFmt w:val="chineseCounting"/>
      <w:suff w:val="space"/>
      <w:lvlText w:val="第%1部分"/>
      <w:lvlJc w:val="left"/>
      <w:rPr>
        <w:rFonts w:hint="eastAsia"/>
      </w:rPr>
    </w:lvl>
  </w:abstractNum>
  <w:abstractNum w:abstractNumId="6">
    <w:nsid w:val="54FD51A7"/>
    <w:multiLevelType w:val="singleLevel"/>
    <w:tmpl w:val="54FD51A7"/>
    <w:lvl w:ilvl="0" w:tentative="0">
      <w:start w:val="1"/>
      <w:numFmt w:val="decimal"/>
      <w:suff w:val="nothing"/>
      <w:lvlText w:val="%1、"/>
      <w:lvlJc w:val="left"/>
    </w:lvl>
  </w:abstractNum>
  <w:abstractNum w:abstractNumId="7">
    <w:nsid w:val="6E9A0CC8"/>
    <w:multiLevelType w:val="singleLevel"/>
    <w:tmpl w:val="6E9A0CC8"/>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4D"/>
    <w:rsid w:val="00041E72"/>
    <w:rsid w:val="00042135"/>
    <w:rsid w:val="0005027A"/>
    <w:rsid w:val="00060C6A"/>
    <w:rsid w:val="00074F9A"/>
    <w:rsid w:val="00080049"/>
    <w:rsid w:val="000845E3"/>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2A35"/>
    <w:rsid w:val="00167DAF"/>
    <w:rsid w:val="00182236"/>
    <w:rsid w:val="001823E8"/>
    <w:rsid w:val="0018459C"/>
    <w:rsid w:val="001877A5"/>
    <w:rsid w:val="00193DCB"/>
    <w:rsid w:val="001A14DE"/>
    <w:rsid w:val="001B4633"/>
    <w:rsid w:val="001B57BE"/>
    <w:rsid w:val="001C61B0"/>
    <w:rsid w:val="001C6CD0"/>
    <w:rsid w:val="001D4696"/>
    <w:rsid w:val="001D5DD0"/>
    <w:rsid w:val="001E4565"/>
    <w:rsid w:val="001F59A5"/>
    <w:rsid w:val="002220EC"/>
    <w:rsid w:val="00262F99"/>
    <w:rsid w:val="00277E8E"/>
    <w:rsid w:val="00280515"/>
    <w:rsid w:val="00281C73"/>
    <w:rsid w:val="002821AD"/>
    <w:rsid w:val="00292934"/>
    <w:rsid w:val="002A05C4"/>
    <w:rsid w:val="002A621A"/>
    <w:rsid w:val="002B0C54"/>
    <w:rsid w:val="002B2386"/>
    <w:rsid w:val="002B37E2"/>
    <w:rsid w:val="002B57A6"/>
    <w:rsid w:val="002C7FDD"/>
    <w:rsid w:val="002D0058"/>
    <w:rsid w:val="002D17CA"/>
    <w:rsid w:val="002E0AE8"/>
    <w:rsid w:val="002E2F63"/>
    <w:rsid w:val="002E3122"/>
    <w:rsid w:val="0030484A"/>
    <w:rsid w:val="00343552"/>
    <w:rsid w:val="00343B56"/>
    <w:rsid w:val="00345118"/>
    <w:rsid w:val="003521C4"/>
    <w:rsid w:val="0037650A"/>
    <w:rsid w:val="00377390"/>
    <w:rsid w:val="00377ADF"/>
    <w:rsid w:val="003960A9"/>
    <w:rsid w:val="003C1FF6"/>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A3F06"/>
    <w:rsid w:val="004B72E1"/>
    <w:rsid w:val="004D2396"/>
    <w:rsid w:val="004F2987"/>
    <w:rsid w:val="0050638A"/>
    <w:rsid w:val="0051788B"/>
    <w:rsid w:val="005308C8"/>
    <w:rsid w:val="005516EA"/>
    <w:rsid w:val="00562733"/>
    <w:rsid w:val="00570349"/>
    <w:rsid w:val="00580ACF"/>
    <w:rsid w:val="00593490"/>
    <w:rsid w:val="00596C63"/>
    <w:rsid w:val="005A0422"/>
    <w:rsid w:val="005A28DC"/>
    <w:rsid w:val="005B3B3B"/>
    <w:rsid w:val="005B5590"/>
    <w:rsid w:val="005C7F52"/>
    <w:rsid w:val="005F72CD"/>
    <w:rsid w:val="00600356"/>
    <w:rsid w:val="0060172A"/>
    <w:rsid w:val="00613CA9"/>
    <w:rsid w:val="00621429"/>
    <w:rsid w:val="006520D5"/>
    <w:rsid w:val="006539D4"/>
    <w:rsid w:val="00662D42"/>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143C"/>
    <w:rsid w:val="00786B2F"/>
    <w:rsid w:val="007B1243"/>
    <w:rsid w:val="007E511B"/>
    <w:rsid w:val="008024B7"/>
    <w:rsid w:val="00804BED"/>
    <w:rsid w:val="00810FC4"/>
    <w:rsid w:val="00815509"/>
    <w:rsid w:val="00843D97"/>
    <w:rsid w:val="00846033"/>
    <w:rsid w:val="00851F2E"/>
    <w:rsid w:val="008627DC"/>
    <w:rsid w:val="00874C80"/>
    <w:rsid w:val="0089240E"/>
    <w:rsid w:val="008A071E"/>
    <w:rsid w:val="008A682D"/>
    <w:rsid w:val="008A6E68"/>
    <w:rsid w:val="008B3207"/>
    <w:rsid w:val="008B73C2"/>
    <w:rsid w:val="008D2BAB"/>
    <w:rsid w:val="008D58A2"/>
    <w:rsid w:val="008E75FC"/>
    <w:rsid w:val="008F6934"/>
    <w:rsid w:val="0092404C"/>
    <w:rsid w:val="00925A6C"/>
    <w:rsid w:val="00941D27"/>
    <w:rsid w:val="00941F46"/>
    <w:rsid w:val="00943D2C"/>
    <w:rsid w:val="00954886"/>
    <w:rsid w:val="009574A2"/>
    <w:rsid w:val="00990DBF"/>
    <w:rsid w:val="009A06DA"/>
    <w:rsid w:val="009A0CD6"/>
    <w:rsid w:val="009A2B1D"/>
    <w:rsid w:val="009B4CB6"/>
    <w:rsid w:val="009B6422"/>
    <w:rsid w:val="009B7A09"/>
    <w:rsid w:val="009C0E94"/>
    <w:rsid w:val="009C4117"/>
    <w:rsid w:val="009E160D"/>
    <w:rsid w:val="009E3DBF"/>
    <w:rsid w:val="00A00B51"/>
    <w:rsid w:val="00A07F45"/>
    <w:rsid w:val="00A1203C"/>
    <w:rsid w:val="00A12EBE"/>
    <w:rsid w:val="00A15111"/>
    <w:rsid w:val="00A37FB7"/>
    <w:rsid w:val="00A53698"/>
    <w:rsid w:val="00A54EA1"/>
    <w:rsid w:val="00A62FD2"/>
    <w:rsid w:val="00A80487"/>
    <w:rsid w:val="00AB0388"/>
    <w:rsid w:val="00AB4315"/>
    <w:rsid w:val="00AB7D85"/>
    <w:rsid w:val="00AC3B98"/>
    <w:rsid w:val="00AD10E6"/>
    <w:rsid w:val="00AD4D4E"/>
    <w:rsid w:val="00AD7338"/>
    <w:rsid w:val="00AE2E77"/>
    <w:rsid w:val="00AE3A08"/>
    <w:rsid w:val="00AE730F"/>
    <w:rsid w:val="00AF1532"/>
    <w:rsid w:val="00AF4F00"/>
    <w:rsid w:val="00B20DF2"/>
    <w:rsid w:val="00B2317B"/>
    <w:rsid w:val="00B25766"/>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2233C"/>
    <w:rsid w:val="00C3024C"/>
    <w:rsid w:val="00C35DD8"/>
    <w:rsid w:val="00C4234F"/>
    <w:rsid w:val="00C42B2B"/>
    <w:rsid w:val="00C4390D"/>
    <w:rsid w:val="00C44D1C"/>
    <w:rsid w:val="00C56D3A"/>
    <w:rsid w:val="00C613A4"/>
    <w:rsid w:val="00C85F20"/>
    <w:rsid w:val="00CB56EF"/>
    <w:rsid w:val="00CB798F"/>
    <w:rsid w:val="00CC68B8"/>
    <w:rsid w:val="00CD6D92"/>
    <w:rsid w:val="00CE20ED"/>
    <w:rsid w:val="00CF0369"/>
    <w:rsid w:val="00CF1A2E"/>
    <w:rsid w:val="00CF4B60"/>
    <w:rsid w:val="00D0405D"/>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DD552E"/>
    <w:rsid w:val="00E04839"/>
    <w:rsid w:val="00E10D6C"/>
    <w:rsid w:val="00E13486"/>
    <w:rsid w:val="00E1602B"/>
    <w:rsid w:val="00E2766B"/>
    <w:rsid w:val="00E27988"/>
    <w:rsid w:val="00E347B5"/>
    <w:rsid w:val="00E37BC6"/>
    <w:rsid w:val="00E541CD"/>
    <w:rsid w:val="00E54627"/>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191B"/>
    <w:rsid w:val="00F17D0B"/>
    <w:rsid w:val="00F20F9F"/>
    <w:rsid w:val="00F23FE8"/>
    <w:rsid w:val="00F2558B"/>
    <w:rsid w:val="00F34D54"/>
    <w:rsid w:val="00F42781"/>
    <w:rsid w:val="00F46715"/>
    <w:rsid w:val="00F541A3"/>
    <w:rsid w:val="00F600B7"/>
    <w:rsid w:val="00F731A4"/>
    <w:rsid w:val="00F843B6"/>
    <w:rsid w:val="00F92984"/>
    <w:rsid w:val="00F97478"/>
    <w:rsid w:val="00FB68E1"/>
    <w:rsid w:val="00FB7991"/>
    <w:rsid w:val="00FC74FD"/>
    <w:rsid w:val="00FD2B88"/>
    <w:rsid w:val="00FE2967"/>
    <w:rsid w:val="00FE3B06"/>
    <w:rsid w:val="00FF1674"/>
    <w:rsid w:val="00FF3A52"/>
    <w:rsid w:val="01042CD0"/>
    <w:rsid w:val="01260E98"/>
    <w:rsid w:val="01287707"/>
    <w:rsid w:val="013063A7"/>
    <w:rsid w:val="014D4677"/>
    <w:rsid w:val="014F4893"/>
    <w:rsid w:val="016A306B"/>
    <w:rsid w:val="0170580D"/>
    <w:rsid w:val="01767990"/>
    <w:rsid w:val="01877B89"/>
    <w:rsid w:val="01973B44"/>
    <w:rsid w:val="019B53E2"/>
    <w:rsid w:val="01A544B3"/>
    <w:rsid w:val="01A71FD9"/>
    <w:rsid w:val="01A86A05"/>
    <w:rsid w:val="01B841E6"/>
    <w:rsid w:val="01BB5A85"/>
    <w:rsid w:val="01C012ED"/>
    <w:rsid w:val="01C54B55"/>
    <w:rsid w:val="01E07299"/>
    <w:rsid w:val="01EA48BD"/>
    <w:rsid w:val="01F178BE"/>
    <w:rsid w:val="01F77F95"/>
    <w:rsid w:val="01F80A87"/>
    <w:rsid w:val="01FA08BE"/>
    <w:rsid w:val="021031C0"/>
    <w:rsid w:val="02165FAF"/>
    <w:rsid w:val="021D229B"/>
    <w:rsid w:val="02355837"/>
    <w:rsid w:val="023A109F"/>
    <w:rsid w:val="023A1598"/>
    <w:rsid w:val="024535A0"/>
    <w:rsid w:val="0247747B"/>
    <w:rsid w:val="02511F45"/>
    <w:rsid w:val="02555ED9"/>
    <w:rsid w:val="025D61A0"/>
    <w:rsid w:val="0273635F"/>
    <w:rsid w:val="027D0F8C"/>
    <w:rsid w:val="0284231A"/>
    <w:rsid w:val="02847D1E"/>
    <w:rsid w:val="029F53A6"/>
    <w:rsid w:val="02A00E1C"/>
    <w:rsid w:val="02A8425B"/>
    <w:rsid w:val="02AE55E9"/>
    <w:rsid w:val="02BE582C"/>
    <w:rsid w:val="02C678D8"/>
    <w:rsid w:val="02CD3CC1"/>
    <w:rsid w:val="02CE17E8"/>
    <w:rsid w:val="02D72E63"/>
    <w:rsid w:val="02EE364C"/>
    <w:rsid w:val="02EE59E6"/>
    <w:rsid w:val="02FE7CB2"/>
    <w:rsid w:val="030A1867"/>
    <w:rsid w:val="0317318F"/>
    <w:rsid w:val="03231B33"/>
    <w:rsid w:val="032928CD"/>
    <w:rsid w:val="033402EB"/>
    <w:rsid w:val="03435D32"/>
    <w:rsid w:val="034C30A9"/>
    <w:rsid w:val="035717DD"/>
    <w:rsid w:val="035B3DEC"/>
    <w:rsid w:val="0365518B"/>
    <w:rsid w:val="03655CA8"/>
    <w:rsid w:val="0374413D"/>
    <w:rsid w:val="03767BF5"/>
    <w:rsid w:val="037A3B41"/>
    <w:rsid w:val="038C592B"/>
    <w:rsid w:val="03970EF3"/>
    <w:rsid w:val="03A04F32"/>
    <w:rsid w:val="03A9642F"/>
    <w:rsid w:val="03BA4FC8"/>
    <w:rsid w:val="03C34149"/>
    <w:rsid w:val="03CF5817"/>
    <w:rsid w:val="03CF75C5"/>
    <w:rsid w:val="03D90444"/>
    <w:rsid w:val="03DA48E8"/>
    <w:rsid w:val="040019A3"/>
    <w:rsid w:val="040114EC"/>
    <w:rsid w:val="040C25C7"/>
    <w:rsid w:val="040C6A6B"/>
    <w:rsid w:val="040E4592"/>
    <w:rsid w:val="041C6F4E"/>
    <w:rsid w:val="04210707"/>
    <w:rsid w:val="0433224A"/>
    <w:rsid w:val="04366E94"/>
    <w:rsid w:val="04461F7D"/>
    <w:rsid w:val="04514153"/>
    <w:rsid w:val="045301F6"/>
    <w:rsid w:val="04553F6E"/>
    <w:rsid w:val="046E1379"/>
    <w:rsid w:val="04733276"/>
    <w:rsid w:val="047918CE"/>
    <w:rsid w:val="04934A97"/>
    <w:rsid w:val="04B46107"/>
    <w:rsid w:val="04BA0275"/>
    <w:rsid w:val="04BE2226"/>
    <w:rsid w:val="04C6656D"/>
    <w:rsid w:val="04C91A28"/>
    <w:rsid w:val="04DD3F64"/>
    <w:rsid w:val="04DE107D"/>
    <w:rsid w:val="04E1216E"/>
    <w:rsid w:val="04E777B9"/>
    <w:rsid w:val="04F96FF0"/>
    <w:rsid w:val="04FA68C4"/>
    <w:rsid w:val="05091D29"/>
    <w:rsid w:val="050F6813"/>
    <w:rsid w:val="05127654"/>
    <w:rsid w:val="05145BD8"/>
    <w:rsid w:val="05171224"/>
    <w:rsid w:val="051922E9"/>
    <w:rsid w:val="051C2CDE"/>
    <w:rsid w:val="051F457C"/>
    <w:rsid w:val="052D4EEB"/>
    <w:rsid w:val="053A13B6"/>
    <w:rsid w:val="054A30B5"/>
    <w:rsid w:val="05551D4C"/>
    <w:rsid w:val="055A65D5"/>
    <w:rsid w:val="0563090D"/>
    <w:rsid w:val="056577FD"/>
    <w:rsid w:val="05704DD8"/>
    <w:rsid w:val="05855B18"/>
    <w:rsid w:val="058D4CB4"/>
    <w:rsid w:val="0595565C"/>
    <w:rsid w:val="05975A9E"/>
    <w:rsid w:val="05995792"/>
    <w:rsid w:val="059E1945"/>
    <w:rsid w:val="05BD5BF8"/>
    <w:rsid w:val="05C50C80"/>
    <w:rsid w:val="05DD1535"/>
    <w:rsid w:val="05EF21A1"/>
    <w:rsid w:val="060317A8"/>
    <w:rsid w:val="060B52E5"/>
    <w:rsid w:val="061D6D0E"/>
    <w:rsid w:val="061F2E9B"/>
    <w:rsid w:val="063469F7"/>
    <w:rsid w:val="064047AA"/>
    <w:rsid w:val="065169B7"/>
    <w:rsid w:val="065D2D60"/>
    <w:rsid w:val="066866A4"/>
    <w:rsid w:val="06840B3B"/>
    <w:rsid w:val="069B5E85"/>
    <w:rsid w:val="06A0349B"/>
    <w:rsid w:val="06B01930"/>
    <w:rsid w:val="06B3590D"/>
    <w:rsid w:val="06BD229F"/>
    <w:rsid w:val="06BD6AB8"/>
    <w:rsid w:val="06D446DE"/>
    <w:rsid w:val="06EE4206"/>
    <w:rsid w:val="06F7755F"/>
    <w:rsid w:val="0706543C"/>
    <w:rsid w:val="07133C6D"/>
    <w:rsid w:val="074309F6"/>
    <w:rsid w:val="07794418"/>
    <w:rsid w:val="077E37DC"/>
    <w:rsid w:val="07846919"/>
    <w:rsid w:val="078A03D3"/>
    <w:rsid w:val="079067C5"/>
    <w:rsid w:val="07A1396F"/>
    <w:rsid w:val="07B436A2"/>
    <w:rsid w:val="07B60A47"/>
    <w:rsid w:val="07B64236"/>
    <w:rsid w:val="07C913D8"/>
    <w:rsid w:val="07CF5257"/>
    <w:rsid w:val="07D91D1C"/>
    <w:rsid w:val="07F07FA3"/>
    <w:rsid w:val="08002443"/>
    <w:rsid w:val="08114650"/>
    <w:rsid w:val="08137088"/>
    <w:rsid w:val="081936A4"/>
    <w:rsid w:val="08236FF3"/>
    <w:rsid w:val="082A74C0"/>
    <w:rsid w:val="08336B6D"/>
    <w:rsid w:val="083B791F"/>
    <w:rsid w:val="084C38DA"/>
    <w:rsid w:val="085207C5"/>
    <w:rsid w:val="08532E26"/>
    <w:rsid w:val="085B3B1D"/>
    <w:rsid w:val="085F360E"/>
    <w:rsid w:val="08652BE4"/>
    <w:rsid w:val="086707D7"/>
    <w:rsid w:val="08730E67"/>
    <w:rsid w:val="08791A00"/>
    <w:rsid w:val="088A61B1"/>
    <w:rsid w:val="08A70B11"/>
    <w:rsid w:val="08AB479D"/>
    <w:rsid w:val="08AF5C17"/>
    <w:rsid w:val="08B051FF"/>
    <w:rsid w:val="08BD6586"/>
    <w:rsid w:val="08C04BA9"/>
    <w:rsid w:val="08C04C7F"/>
    <w:rsid w:val="08C22170"/>
    <w:rsid w:val="08E1269F"/>
    <w:rsid w:val="08E65ADD"/>
    <w:rsid w:val="08F47141"/>
    <w:rsid w:val="09043664"/>
    <w:rsid w:val="09306D58"/>
    <w:rsid w:val="09361F6C"/>
    <w:rsid w:val="09376339"/>
    <w:rsid w:val="094D790A"/>
    <w:rsid w:val="095512E2"/>
    <w:rsid w:val="097C3D4B"/>
    <w:rsid w:val="097D342F"/>
    <w:rsid w:val="09815806"/>
    <w:rsid w:val="09837B34"/>
    <w:rsid w:val="09C340D7"/>
    <w:rsid w:val="09DC47EA"/>
    <w:rsid w:val="09E74D21"/>
    <w:rsid w:val="09F16955"/>
    <w:rsid w:val="09FB1114"/>
    <w:rsid w:val="0A0F4BBF"/>
    <w:rsid w:val="0A103009"/>
    <w:rsid w:val="0A270FF7"/>
    <w:rsid w:val="0A2E2D1E"/>
    <w:rsid w:val="0A2F5262"/>
    <w:rsid w:val="0A344626"/>
    <w:rsid w:val="0A40746F"/>
    <w:rsid w:val="0A7113D6"/>
    <w:rsid w:val="0A7A4A3B"/>
    <w:rsid w:val="0A8F3F52"/>
    <w:rsid w:val="0AA3285A"/>
    <w:rsid w:val="0AB55459"/>
    <w:rsid w:val="0ABC5E6F"/>
    <w:rsid w:val="0ACB4F8A"/>
    <w:rsid w:val="0ACC0D02"/>
    <w:rsid w:val="0AD33E3F"/>
    <w:rsid w:val="0AEE2A27"/>
    <w:rsid w:val="0AF12517"/>
    <w:rsid w:val="0B02541A"/>
    <w:rsid w:val="0B091922"/>
    <w:rsid w:val="0B154457"/>
    <w:rsid w:val="0B2B5A29"/>
    <w:rsid w:val="0B2D5EA7"/>
    <w:rsid w:val="0B310B66"/>
    <w:rsid w:val="0B511A6F"/>
    <w:rsid w:val="0B584344"/>
    <w:rsid w:val="0B6E3B68"/>
    <w:rsid w:val="0B835865"/>
    <w:rsid w:val="0B8547F2"/>
    <w:rsid w:val="0B8A42A9"/>
    <w:rsid w:val="0B906C26"/>
    <w:rsid w:val="0B91306B"/>
    <w:rsid w:val="0B9A495D"/>
    <w:rsid w:val="0B9F6806"/>
    <w:rsid w:val="0BA852CC"/>
    <w:rsid w:val="0BAA5EE2"/>
    <w:rsid w:val="0BB27F3E"/>
    <w:rsid w:val="0BB73761"/>
    <w:rsid w:val="0BDA3FAF"/>
    <w:rsid w:val="0BDE2EEB"/>
    <w:rsid w:val="0BE47415"/>
    <w:rsid w:val="0BE65DF4"/>
    <w:rsid w:val="0BEA6E3E"/>
    <w:rsid w:val="0C050C69"/>
    <w:rsid w:val="0C065DCD"/>
    <w:rsid w:val="0C2A5CE1"/>
    <w:rsid w:val="0C2D2D0D"/>
    <w:rsid w:val="0C31268F"/>
    <w:rsid w:val="0C321039"/>
    <w:rsid w:val="0C382A92"/>
    <w:rsid w:val="0C411129"/>
    <w:rsid w:val="0C4B68F0"/>
    <w:rsid w:val="0C4B79E7"/>
    <w:rsid w:val="0C5E1E2E"/>
    <w:rsid w:val="0C6301CD"/>
    <w:rsid w:val="0C781676"/>
    <w:rsid w:val="0C796C68"/>
    <w:rsid w:val="0C7C3EC4"/>
    <w:rsid w:val="0C8353F1"/>
    <w:rsid w:val="0C9870EE"/>
    <w:rsid w:val="0C9910B8"/>
    <w:rsid w:val="0CB80F31"/>
    <w:rsid w:val="0CC14C15"/>
    <w:rsid w:val="0CC47C1E"/>
    <w:rsid w:val="0CC76208"/>
    <w:rsid w:val="0CD43E9E"/>
    <w:rsid w:val="0CDF2F6F"/>
    <w:rsid w:val="0CE556BC"/>
    <w:rsid w:val="0CEA5470"/>
    <w:rsid w:val="0CEC2F96"/>
    <w:rsid w:val="0CFA69C9"/>
    <w:rsid w:val="0D2546FA"/>
    <w:rsid w:val="0D2A3ABE"/>
    <w:rsid w:val="0D3C1DAE"/>
    <w:rsid w:val="0D3C30EC"/>
    <w:rsid w:val="0D4B23B2"/>
    <w:rsid w:val="0D5F347D"/>
    <w:rsid w:val="0D5F7C0C"/>
    <w:rsid w:val="0D73211D"/>
    <w:rsid w:val="0D9A7DDF"/>
    <w:rsid w:val="0DA10224"/>
    <w:rsid w:val="0DAD4E1B"/>
    <w:rsid w:val="0DB31D06"/>
    <w:rsid w:val="0DBA3AA3"/>
    <w:rsid w:val="0DBF06AB"/>
    <w:rsid w:val="0DD73C46"/>
    <w:rsid w:val="0DE1223E"/>
    <w:rsid w:val="0DEF71E2"/>
    <w:rsid w:val="0DF02F5A"/>
    <w:rsid w:val="0E043EA9"/>
    <w:rsid w:val="0E1E642B"/>
    <w:rsid w:val="0E34397D"/>
    <w:rsid w:val="0E344BF5"/>
    <w:rsid w:val="0E377358"/>
    <w:rsid w:val="0E481E5C"/>
    <w:rsid w:val="0E495D44"/>
    <w:rsid w:val="0E553045"/>
    <w:rsid w:val="0E6A2D0C"/>
    <w:rsid w:val="0E7A3365"/>
    <w:rsid w:val="0E853758"/>
    <w:rsid w:val="0EC35F79"/>
    <w:rsid w:val="0EC46AE7"/>
    <w:rsid w:val="0ED40186"/>
    <w:rsid w:val="0ED94312"/>
    <w:rsid w:val="0F01164D"/>
    <w:rsid w:val="0F064724"/>
    <w:rsid w:val="0F0F5675"/>
    <w:rsid w:val="0F166DEA"/>
    <w:rsid w:val="0F182768"/>
    <w:rsid w:val="0F1B4006"/>
    <w:rsid w:val="0F29227F"/>
    <w:rsid w:val="0F3550C8"/>
    <w:rsid w:val="0F3B1FB3"/>
    <w:rsid w:val="0F460B7F"/>
    <w:rsid w:val="0F557518"/>
    <w:rsid w:val="0F572B3C"/>
    <w:rsid w:val="0F5A0A4F"/>
    <w:rsid w:val="0F6E4136"/>
    <w:rsid w:val="0F7B0E5E"/>
    <w:rsid w:val="0F8F1A64"/>
    <w:rsid w:val="0F916077"/>
    <w:rsid w:val="0F9E57C4"/>
    <w:rsid w:val="0FA84635"/>
    <w:rsid w:val="0FAA556B"/>
    <w:rsid w:val="0FBA55CD"/>
    <w:rsid w:val="0FBF2BE4"/>
    <w:rsid w:val="0FCD6065"/>
    <w:rsid w:val="0FE97C61"/>
    <w:rsid w:val="0FFC5BE6"/>
    <w:rsid w:val="0FFF1232"/>
    <w:rsid w:val="10196798"/>
    <w:rsid w:val="101B44FB"/>
    <w:rsid w:val="101D6928"/>
    <w:rsid w:val="10207B26"/>
    <w:rsid w:val="103709CC"/>
    <w:rsid w:val="103D03AA"/>
    <w:rsid w:val="104650B3"/>
    <w:rsid w:val="10466E61"/>
    <w:rsid w:val="10607CBB"/>
    <w:rsid w:val="1068327B"/>
    <w:rsid w:val="10753310"/>
    <w:rsid w:val="10861954"/>
    <w:rsid w:val="109611B9"/>
    <w:rsid w:val="109A0E82"/>
    <w:rsid w:val="10D80401"/>
    <w:rsid w:val="10E12E48"/>
    <w:rsid w:val="10EC085B"/>
    <w:rsid w:val="110D2D8A"/>
    <w:rsid w:val="111B209C"/>
    <w:rsid w:val="112C42A9"/>
    <w:rsid w:val="112E4AFF"/>
    <w:rsid w:val="11357601"/>
    <w:rsid w:val="113E5D8A"/>
    <w:rsid w:val="113F222E"/>
    <w:rsid w:val="116021A5"/>
    <w:rsid w:val="116972AB"/>
    <w:rsid w:val="11733C86"/>
    <w:rsid w:val="117B32BD"/>
    <w:rsid w:val="1182036D"/>
    <w:rsid w:val="11895BE1"/>
    <w:rsid w:val="118F4379"/>
    <w:rsid w:val="11965BC6"/>
    <w:rsid w:val="11A7392F"/>
    <w:rsid w:val="11AC3497"/>
    <w:rsid w:val="11B76268"/>
    <w:rsid w:val="11BA18B5"/>
    <w:rsid w:val="11BD77B3"/>
    <w:rsid w:val="11D7737B"/>
    <w:rsid w:val="11D83CAC"/>
    <w:rsid w:val="11DC7A7D"/>
    <w:rsid w:val="11DF131B"/>
    <w:rsid w:val="11EE155E"/>
    <w:rsid w:val="12017F94"/>
    <w:rsid w:val="12067AF4"/>
    <w:rsid w:val="120D5E88"/>
    <w:rsid w:val="12107B3C"/>
    <w:rsid w:val="12160722"/>
    <w:rsid w:val="12266F4A"/>
    <w:rsid w:val="122D652B"/>
    <w:rsid w:val="12372F05"/>
    <w:rsid w:val="12373065"/>
    <w:rsid w:val="123809E4"/>
    <w:rsid w:val="123A29F6"/>
    <w:rsid w:val="12445622"/>
    <w:rsid w:val="124D55C0"/>
    <w:rsid w:val="12597320"/>
    <w:rsid w:val="126F38F8"/>
    <w:rsid w:val="127203E1"/>
    <w:rsid w:val="12723F3D"/>
    <w:rsid w:val="127C08E1"/>
    <w:rsid w:val="128800FC"/>
    <w:rsid w:val="129245E0"/>
    <w:rsid w:val="12942106"/>
    <w:rsid w:val="129C0FBA"/>
    <w:rsid w:val="12C312C4"/>
    <w:rsid w:val="12C64289"/>
    <w:rsid w:val="12CC5D44"/>
    <w:rsid w:val="12CD5273"/>
    <w:rsid w:val="12E82452"/>
    <w:rsid w:val="12F16C37"/>
    <w:rsid w:val="12F232D0"/>
    <w:rsid w:val="12F2507E"/>
    <w:rsid w:val="12F928B1"/>
    <w:rsid w:val="12FA017B"/>
    <w:rsid w:val="12FC4B00"/>
    <w:rsid w:val="130A23C8"/>
    <w:rsid w:val="13113756"/>
    <w:rsid w:val="133E777B"/>
    <w:rsid w:val="13457C9A"/>
    <w:rsid w:val="1351449B"/>
    <w:rsid w:val="135D699C"/>
    <w:rsid w:val="136A056A"/>
    <w:rsid w:val="136F0D23"/>
    <w:rsid w:val="13732930"/>
    <w:rsid w:val="13861C5C"/>
    <w:rsid w:val="13893C35"/>
    <w:rsid w:val="138B0AC2"/>
    <w:rsid w:val="138C54D3"/>
    <w:rsid w:val="13904FC3"/>
    <w:rsid w:val="1395483A"/>
    <w:rsid w:val="139B5716"/>
    <w:rsid w:val="13A02D2C"/>
    <w:rsid w:val="13A740BB"/>
    <w:rsid w:val="13AA7707"/>
    <w:rsid w:val="13AB20A7"/>
    <w:rsid w:val="13AE71F7"/>
    <w:rsid w:val="13B54558"/>
    <w:rsid w:val="13BA2040"/>
    <w:rsid w:val="13BD743A"/>
    <w:rsid w:val="13C42655"/>
    <w:rsid w:val="13D77510"/>
    <w:rsid w:val="14021E18"/>
    <w:rsid w:val="14290F74"/>
    <w:rsid w:val="14400F48"/>
    <w:rsid w:val="14550167"/>
    <w:rsid w:val="146E25C8"/>
    <w:rsid w:val="146E6986"/>
    <w:rsid w:val="14737FA1"/>
    <w:rsid w:val="147C72F5"/>
    <w:rsid w:val="14863CD0"/>
    <w:rsid w:val="14A72ABD"/>
    <w:rsid w:val="14C03686"/>
    <w:rsid w:val="14C044BD"/>
    <w:rsid w:val="14D013EF"/>
    <w:rsid w:val="14D7277E"/>
    <w:rsid w:val="14DD6A07"/>
    <w:rsid w:val="14EA425F"/>
    <w:rsid w:val="14F417B4"/>
    <w:rsid w:val="14FE0980"/>
    <w:rsid w:val="15007FD1"/>
    <w:rsid w:val="15127C5A"/>
    <w:rsid w:val="15267261"/>
    <w:rsid w:val="1528122B"/>
    <w:rsid w:val="153100E0"/>
    <w:rsid w:val="15325C06"/>
    <w:rsid w:val="154E4E4D"/>
    <w:rsid w:val="15510782"/>
    <w:rsid w:val="155C2C83"/>
    <w:rsid w:val="156404B5"/>
    <w:rsid w:val="156C55BC"/>
    <w:rsid w:val="15787ABD"/>
    <w:rsid w:val="15AA7E92"/>
    <w:rsid w:val="15AE34DE"/>
    <w:rsid w:val="15C54CCC"/>
    <w:rsid w:val="15C84AEE"/>
    <w:rsid w:val="15CA22E2"/>
    <w:rsid w:val="15D466AF"/>
    <w:rsid w:val="15D8610A"/>
    <w:rsid w:val="15DA0777"/>
    <w:rsid w:val="15DD1E4A"/>
    <w:rsid w:val="15E46F00"/>
    <w:rsid w:val="15EA028F"/>
    <w:rsid w:val="15EC2259"/>
    <w:rsid w:val="15FA6724"/>
    <w:rsid w:val="15FB249C"/>
    <w:rsid w:val="15FF01DE"/>
    <w:rsid w:val="160557EF"/>
    <w:rsid w:val="1609105D"/>
    <w:rsid w:val="160B0931"/>
    <w:rsid w:val="160E6673"/>
    <w:rsid w:val="161A5018"/>
    <w:rsid w:val="161E6C46"/>
    <w:rsid w:val="164976AB"/>
    <w:rsid w:val="164F3055"/>
    <w:rsid w:val="165C73DE"/>
    <w:rsid w:val="165E3DC0"/>
    <w:rsid w:val="166167A3"/>
    <w:rsid w:val="16695657"/>
    <w:rsid w:val="167A757C"/>
    <w:rsid w:val="167F4E7B"/>
    <w:rsid w:val="16842491"/>
    <w:rsid w:val="16895CFA"/>
    <w:rsid w:val="168D57EA"/>
    <w:rsid w:val="1699418F"/>
    <w:rsid w:val="169F00AC"/>
    <w:rsid w:val="169F214C"/>
    <w:rsid w:val="16B67A21"/>
    <w:rsid w:val="16D02BA8"/>
    <w:rsid w:val="16DB6903"/>
    <w:rsid w:val="16E3789C"/>
    <w:rsid w:val="16F24EF5"/>
    <w:rsid w:val="16FC0247"/>
    <w:rsid w:val="170830C2"/>
    <w:rsid w:val="17125CEF"/>
    <w:rsid w:val="171544BC"/>
    <w:rsid w:val="172A128B"/>
    <w:rsid w:val="17545CF1"/>
    <w:rsid w:val="176D1718"/>
    <w:rsid w:val="176E0569"/>
    <w:rsid w:val="1788002A"/>
    <w:rsid w:val="17A374DC"/>
    <w:rsid w:val="17A56B63"/>
    <w:rsid w:val="17B1375A"/>
    <w:rsid w:val="17B352BD"/>
    <w:rsid w:val="17D17958"/>
    <w:rsid w:val="17D24696"/>
    <w:rsid w:val="17D84343"/>
    <w:rsid w:val="17DD1CB2"/>
    <w:rsid w:val="17E550F6"/>
    <w:rsid w:val="17F83142"/>
    <w:rsid w:val="17FD6111"/>
    <w:rsid w:val="18064A63"/>
    <w:rsid w:val="181207D6"/>
    <w:rsid w:val="181656F5"/>
    <w:rsid w:val="1821268E"/>
    <w:rsid w:val="18266FBF"/>
    <w:rsid w:val="18294E0B"/>
    <w:rsid w:val="182C2DE0"/>
    <w:rsid w:val="18377F44"/>
    <w:rsid w:val="18432B19"/>
    <w:rsid w:val="186715DB"/>
    <w:rsid w:val="186B2053"/>
    <w:rsid w:val="18707171"/>
    <w:rsid w:val="18814B4E"/>
    <w:rsid w:val="18907D48"/>
    <w:rsid w:val="1891013E"/>
    <w:rsid w:val="189C60C5"/>
    <w:rsid w:val="18B7629C"/>
    <w:rsid w:val="18B828C6"/>
    <w:rsid w:val="18BE612E"/>
    <w:rsid w:val="18CD6371"/>
    <w:rsid w:val="18DA0A8E"/>
    <w:rsid w:val="18DE7482"/>
    <w:rsid w:val="18E5190D"/>
    <w:rsid w:val="190C5396"/>
    <w:rsid w:val="19181A3A"/>
    <w:rsid w:val="19287A4C"/>
    <w:rsid w:val="19322678"/>
    <w:rsid w:val="1934019F"/>
    <w:rsid w:val="19353C09"/>
    <w:rsid w:val="193726FE"/>
    <w:rsid w:val="1938661F"/>
    <w:rsid w:val="193C34F7"/>
    <w:rsid w:val="195E521C"/>
    <w:rsid w:val="19694CBC"/>
    <w:rsid w:val="19882298"/>
    <w:rsid w:val="198F1879"/>
    <w:rsid w:val="198F342C"/>
    <w:rsid w:val="19960FF8"/>
    <w:rsid w:val="19A8293B"/>
    <w:rsid w:val="19B15BFB"/>
    <w:rsid w:val="19BB4AC7"/>
    <w:rsid w:val="19C21C4E"/>
    <w:rsid w:val="19C808E7"/>
    <w:rsid w:val="19C86B39"/>
    <w:rsid w:val="19CF7E4E"/>
    <w:rsid w:val="19E35721"/>
    <w:rsid w:val="1A0F5BFA"/>
    <w:rsid w:val="1A147FD0"/>
    <w:rsid w:val="1A206975"/>
    <w:rsid w:val="1A255D39"/>
    <w:rsid w:val="1A277D03"/>
    <w:rsid w:val="1A366198"/>
    <w:rsid w:val="1A3D3D9B"/>
    <w:rsid w:val="1A55661F"/>
    <w:rsid w:val="1A587903"/>
    <w:rsid w:val="1A606D71"/>
    <w:rsid w:val="1A6155C4"/>
    <w:rsid w:val="1A6525DA"/>
    <w:rsid w:val="1A70429B"/>
    <w:rsid w:val="1A725422"/>
    <w:rsid w:val="1A754EA6"/>
    <w:rsid w:val="1A7A6085"/>
    <w:rsid w:val="1A7F73F9"/>
    <w:rsid w:val="1A9C7AD3"/>
    <w:rsid w:val="1AA90718"/>
    <w:rsid w:val="1ACD08AB"/>
    <w:rsid w:val="1ACE5888"/>
    <w:rsid w:val="1AD27C6F"/>
    <w:rsid w:val="1AE41750"/>
    <w:rsid w:val="1AE654C9"/>
    <w:rsid w:val="1AE84F71"/>
    <w:rsid w:val="1AE92F5E"/>
    <w:rsid w:val="1AF31C5C"/>
    <w:rsid w:val="1B067919"/>
    <w:rsid w:val="1B097409"/>
    <w:rsid w:val="1B0E4A1F"/>
    <w:rsid w:val="1B101963"/>
    <w:rsid w:val="1B293607"/>
    <w:rsid w:val="1B334486"/>
    <w:rsid w:val="1B392D05"/>
    <w:rsid w:val="1B46065D"/>
    <w:rsid w:val="1B5E59A7"/>
    <w:rsid w:val="1B872686"/>
    <w:rsid w:val="1B981220"/>
    <w:rsid w:val="1B99253B"/>
    <w:rsid w:val="1B9F1DBD"/>
    <w:rsid w:val="1BA62EAA"/>
    <w:rsid w:val="1BA710FC"/>
    <w:rsid w:val="1BAA13D7"/>
    <w:rsid w:val="1BAC0F75"/>
    <w:rsid w:val="1BC026B6"/>
    <w:rsid w:val="1BC31618"/>
    <w:rsid w:val="1BC670A8"/>
    <w:rsid w:val="1BD163B0"/>
    <w:rsid w:val="1BD9532E"/>
    <w:rsid w:val="1BE85270"/>
    <w:rsid w:val="1BF4474B"/>
    <w:rsid w:val="1C152129"/>
    <w:rsid w:val="1C1938F6"/>
    <w:rsid w:val="1C362480"/>
    <w:rsid w:val="1C8F6A79"/>
    <w:rsid w:val="1C907DE2"/>
    <w:rsid w:val="1C9378D2"/>
    <w:rsid w:val="1CA32F0A"/>
    <w:rsid w:val="1CAD0994"/>
    <w:rsid w:val="1CC90469"/>
    <w:rsid w:val="1CC96E50"/>
    <w:rsid w:val="1CD37CCF"/>
    <w:rsid w:val="1CD93454"/>
    <w:rsid w:val="1CD94D8F"/>
    <w:rsid w:val="1CDA72AF"/>
    <w:rsid w:val="1CDB049A"/>
    <w:rsid w:val="1CDC4DD5"/>
    <w:rsid w:val="1CE65C54"/>
    <w:rsid w:val="1CEA3872"/>
    <w:rsid w:val="1D0E0D07"/>
    <w:rsid w:val="1D182E6D"/>
    <w:rsid w:val="1D1E0C8A"/>
    <w:rsid w:val="1D2821E4"/>
    <w:rsid w:val="1D2A503E"/>
    <w:rsid w:val="1D41732E"/>
    <w:rsid w:val="1D525097"/>
    <w:rsid w:val="1D594678"/>
    <w:rsid w:val="1D5A219E"/>
    <w:rsid w:val="1D631052"/>
    <w:rsid w:val="1D666D95"/>
    <w:rsid w:val="1D69272D"/>
    <w:rsid w:val="1D6E79F7"/>
    <w:rsid w:val="1D772EB6"/>
    <w:rsid w:val="1D7A45EE"/>
    <w:rsid w:val="1D965E95"/>
    <w:rsid w:val="1DA11B7B"/>
    <w:rsid w:val="1DA5166B"/>
    <w:rsid w:val="1DA756F1"/>
    <w:rsid w:val="1DAA6C81"/>
    <w:rsid w:val="1DC00253"/>
    <w:rsid w:val="1DC345E1"/>
    <w:rsid w:val="1DC7686B"/>
    <w:rsid w:val="1DD53F58"/>
    <w:rsid w:val="1E1F4CFB"/>
    <w:rsid w:val="1E3B7CA8"/>
    <w:rsid w:val="1E3C62D7"/>
    <w:rsid w:val="1E3D18A3"/>
    <w:rsid w:val="1E441D20"/>
    <w:rsid w:val="1E4B06F4"/>
    <w:rsid w:val="1E515AED"/>
    <w:rsid w:val="1E616D7F"/>
    <w:rsid w:val="1E674B72"/>
    <w:rsid w:val="1E6D7CAF"/>
    <w:rsid w:val="1E752555"/>
    <w:rsid w:val="1E7C1595"/>
    <w:rsid w:val="1E7E3C6A"/>
    <w:rsid w:val="1E8B407E"/>
    <w:rsid w:val="1E8D2452"/>
    <w:rsid w:val="1E9063E4"/>
    <w:rsid w:val="1E91399D"/>
    <w:rsid w:val="1EAA4A5F"/>
    <w:rsid w:val="1EB55B06"/>
    <w:rsid w:val="1EBC3110"/>
    <w:rsid w:val="1EF467A7"/>
    <w:rsid w:val="1F0359FA"/>
    <w:rsid w:val="1F120F82"/>
    <w:rsid w:val="1F152820"/>
    <w:rsid w:val="1F1F33F8"/>
    <w:rsid w:val="1F226CEB"/>
    <w:rsid w:val="1F2E77D6"/>
    <w:rsid w:val="1F466D70"/>
    <w:rsid w:val="1F574BE7"/>
    <w:rsid w:val="1F5C044F"/>
    <w:rsid w:val="1F5C568D"/>
    <w:rsid w:val="1F5F3A9B"/>
    <w:rsid w:val="1F6E3CDF"/>
    <w:rsid w:val="1F9D0539"/>
    <w:rsid w:val="1FA671BB"/>
    <w:rsid w:val="1FA871F0"/>
    <w:rsid w:val="1FAC5655"/>
    <w:rsid w:val="1FB817C9"/>
    <w:rsid w:val="1FBA502C"/>
    <w:rsid w:val="1FBF2ACF"/>
    <w:rsid w:val="1FCC2B22"/>
    <w:rsid w:val="1FCD30FB"/>
    <w:rsid w:val="1FD22F20"/>
    <w:rsid w:val="1FDC50EC"/>
    <w:rsid w:val="1FDE2C12"/>
    <w:rsid w:val="1FE8583F"/>
    <w:rsid w:val="20112EEE"/>
    <w:rsid w:val="201D2B69"/>
    <w:rsid w:val="203E7B55"/>
    <w:rsid w:val="20442516"/>
    <w:rsid w:val="204F58BE"/>
    <w:rsid w:val="2052713E"/>
    <w:rsid w:val="20585D61"/>
    <w:rsid w:val="20651585"/>
    <w:rsid w:val="20672C08"/>
    <w:rsid w:val="20692753"/>
    <w:rsid w:val="20796DDF"/>
    <w:rsid w:val="20895274"/>
    <w:rsid w:val="2099122F"/>
    <w:rsid w:val="20AA1E26"/>
    <w:rsid w:val="20AB0737"/>
    <w:rsid w:val="20AB2051"/>
    <w:rsid w:val="20AD37B8"/>
    <w:rsid w:val="20C718F8"/>
    <w:rsid w:val="20D067E3"/>
    <w:rsid w:val="20F666EB"/>
    <w:rsid w:val="210963B5"/>
    <w:rsid w:val="214B7D38"/>
    <w:rsid w:val="215240CB"/>
    <w:rsid w:val="216A30E1"/>
    <w:rsid w:val="21815F4B"/>
    <w:rsid w:val="218F2F30"/>
    <w:rsid w:val="219167A7"/>
    <w:rsid w:val="219F4623"/>
    <w:rsid w:val="21AE4866"/>
    <w:rsid w:val="21C4408A"/>
    <w:rsid w:val="21CF23D1"/>
    <w:rsid w:val="21CF315A"/>
    <w:rsid w:val="21D9026F"/>
    <w:rsid w:val="21E01EA3"/>
    <w:rsid w:val="21F77FBB"/>
    <w:rsid w:val="22084D20"/>
    <w:rsid w:val="2230760B"/>
    <w:rsid w:val="223C6316"/>
    <w:rsid w:val="22592A24"/>
    <w:rsid w:val="22614D52"/>
    <w:rsid w:val="226A06FE"/>
    <w:rsid w:val="226C6BFB"/>
    <w:rsid w:val="22701B07"/>
    <w:rsid w:val="22736A7A"/>
    <w:rsid w:val="227F4BB4"/>
    <w:rsid w:val="22883309"/>
    <w:rsid w:val="228D5F39"/>
    <w:rsid w:val="229972C4"/>
    <w:rsid w:val="22B563A2"/>
    <w:rsid w:val="22B673C3"/>
    <w:rsid w:val="22BB1CAD"/>
    <w:rsid w:val="22C72083"/>
    <w:rsid w:val="22CF3D2A"/>
    <w:rsid w:val="22D02899"/>
    <w:rsid w:val="22F4452E"/>
    <w:rsid w:val="22F66168"/>
    <w:rsid w:val="22FB3ADB"/>
    <w:rsid w:val="23063A8E"/>
    <w:rsid w:val="23076924"/>
    <w:rsid w:val="23082487"/>
    <w:rsid w:val="231132FF"/>
    <w:rsid w:val="23223512"/>
    <w:rsid w:val="233610F9"/>
    <w:rsid w:val="23362D65"/>
    <w:rsid w:val="233D3D5B"/>
    <w:rsid w:val="233F1C1A"/>
    <w:rsid w:val="23483E3A"/>
    <w:rsid w:val="23533917"/>
    <w:rsid w:val="2358582D"/>
    <w:rsid w:val="23625BAF"/>
    <w:rsid w:val="236B6EB3"/>
    <w:rsid w:val="236E1B93"/>
    <w:rsid w:val="236E24FF"/>
    <w:rsid w:val="23700025"/>
    <w:rsid w:val="23735D67"/>
    <w:rsid w:val="23743318"/>
    <w:rsid w:val="2377323E"/>
    <w:rsid w:val="237A41C3"/>
    <w:rsid w:val="23871813"/>
    <w:rsid w:val="23922691"/>
    <w:rsid w:val="2395727B"/>
    <w:rsid w:val="239A32F4"/>
    <w:rsid w:val="239D4B92"/>
    <w:rsid w:val="23A1214F"/>
    <w:rsid w:val="23A71720"/>
    <w:rsid w:val="23AE126E"/>
    <w:rsid w:val="23B16EF5"/>
    <w:rsid w:val="23D8080A"/>
    <w:rsid w:val="23E166F4"/>
    <w:rsid w:val="23EF1892"/>
    <w:rsid w:val="23FF4CA7"/>
    <w:rsid w:val="24143624"/>
    <w:rsid w:val="24375339"/>
    <w:rsid w:val="2446522A"/>
    <w:rsid w:val="244A4D1A"/>
    <w:rsid w:val="244A74DB"/>
    <w:rsid w:val="244B0A92"/>
    <w:rsid w:val="244B412E"/>
    <w:rsid w:val="245B137F"/>
    <w:rsid w:val="245E2574"/>
    <w:rsid w:val="246451BA"/>
    <w:rsid w:val="247C4FA9"/>
    <w:rsid w:val="2485597A"/>
    <w:rsid w:val="24955B50"/>
    <w:rsid w:val="249C5B18"/>
    <w:rsid w:val="249D7540"/>
    <w:rsid w:val="24A24B56"/>
    <w:rsid w:val="24B708C2"/>
    <w:rsid w:val="24D12D46"/>
    <w:rsid w:val="24D804D4"/>
    <w:rsid w:val="24D869DB"/>
    <w:rsid w:val="24E133B0"/>
    <w:rsid w:val="24F46230"/>
    <w:rsid w:val="24F46A34"/>
    <w:rsid w:val="25056E93"/>
    <w:rsid w:val="250A6257"/>
    <w:rsid w:val="251B2213"/>
    <w:rsid w:val="251D6DF2"/>
    <w:rsid w:val="252C04AC"/>
    <w:rsid w:val="25321A4D"/>
    <w:rsid w:val="2533755C"/>
    <w:rsid w:val="2536529E"/>
    <w:rsid w:val="253B28B5"/>
    <w:rsid w:val="253D487F"/>
    <w:rsid w:val="25480F3B"/>
    <w:rsid w:val="254D4B12"/>
    <w:rsid w:val="255319AC"/>
    <w:rsid w:val="255816B9"/>
    <w:rsid w:val="256736AA"/>
    <w:rsid w:val="25697422"/>
    <w:rsid w:val="256F255E"/>
    <w:rsid w:val="25777D91"/>
    <w:rsid w:val="25A91F14"/>
    <w:rsid w:val="25B12B77"/>
    <w:rsid w:val="25B763DF"/>
    <w:rsid w:val="25EB6089"/>
    <w:rsid w:val="25F1499B"/>
    <w:rsid w:val="25FD7B6A"/>
    <w:rsid w:val="260F621B"/>
    <w:rsid w:val="261A696E"/>
    <w:rsid w:val="261F3F85"/>
    <w:rsid w:val="2629095F"/>
    <w:rsid w:val="263E318C"/>
    <w:rsid w:val="264A50AB"/>
    <w:rsid w:val="266005AC"/>
    <w:rsid w:val="267E514F"/>
    <w:rsid w:val="26812549"/>
    <w:rsid w:val="26995AE5"/>
    <w:rsid w:val="269C55D5"/>
    <w:rsid w:val="26AF6674"/>
    <w:rsid w:val="26B134AE"/>
    <w:rsid w:val="26BD5C77"/>
    <w:rsid w:val="26C03072"/>
    <w:rsid w:val="26C568DA"/>
    <w:rsid w:val="26E50D2A"/>
    <w:rsid w:val="2703209B"/>
    <w:rsid w:val="27160EE4"/>
    <w:rsid w:val="27165388"/>
    <w:rsid w:val="271C0E9A"/>
    <w:rsid w:val="272555CB"/>
    <w:rsid w:val="2729330D"/>
    <w:rsid w:val="27332718"/>
    <w:rsid w:val="276205CD"/>
    <w:rsid w:val="2767173F"/>
    <w:rsid w:val="279369D8"/>
    <w:rsid w:val="27980803"/>
    <w:rsid w:val="279D1605"/>
    <w:rsid w:val="27AE1BCB"/>
    <w:rsid w:val="27C44DE4"/>
    <w:rsid w:val="27C76682"/>
    <w:rsid w:val="27CB6172"/>
    <w:rsid w:val="27D03788"/>
    <w:rsid w:val="27D25752"/>
    <w:rsid w:val="27DA4607"/>
    <w:rsid w:val="27DF39CB"/>
    <w:rsid w:val="27EB05C2"/>
    <w:rsid w:val="27FA6A57"/>
    <w:rsid w:val="27FC27CF"/>
    <w:rsid w:val="28011B94"/>
    <w:rsid w:val="280451E0"/>
    <w:rsid w:val="28074CD0"/>
    <w:rsid w:val="280D678A"/>
    <w:rsid w:val="281264E8"/>
    <w:rsid w:val="28140011"/>
    <w:rsid w:val="281A2C55"/>
    <w:rsid w:val="28213FE4"/>
    <w:rsid w:val="28304227"/>
    <w:rsid w:val="28341D7A"/>
    <w:rsid w:val="28382AD5"/>
    <w:rsid w:val="283D3D31"/>
    <w:rsid w:val="284C4266"/>
    <w:rsid w:val="28572AB9"/>
    <w:rsid w:val="286839C1"/>
    <w:rsid w:val="28724840"/>
    <w:rsid w:val="28A644E9"/>
    <w:rsid w:val="28C231BE"/>
    <w:rsid w:val="28C64B8B"/>
    <w:rsid w:val="28CB53BE"/>
    <w:rsid w:val="28CF0D04"/>
    <w:rsid w:val="28D42E04"/>
    <w:rsid w:val="28DD7B11"/>
    <w:rsid w:val="28F33F64"/>
    <w:rsid w:val="28F60FCD"/>
    <w:rsid w:val="28F811E9"/>
    <w:rsid w:val="29020CD6"/>
    <w:rsid w:val="29057462"/>
    <w:rsid w:val="291122AA"/>
    <w:rsid w:val="2919115F"/>
    <w:rsid w:val="29192F0D"/>
    <w:rsid w:val="292F44DF"/>
    <w:rsid w:val="293E30BA"/>
    <w:rsid w:val="29477A7A"/>
    <w:rsid w:val="294D6C0E"/>
    <w:rsid w:val="294F4B81"/>
    <w:rsid w:val="294F692F"/>
    <w:rsid w:val="29641295"/>
    <w:rsid w:val="29644470"/>
    <w:rsid w:val="296D6B61"/>
    <w:rsid w:val="297C2B9E"/>
    <w:rsid w:val="29806613"/>
    <w:rsid w:val="29836353"/>
    <w:rsid w:val="29930F11"/>
    <w:rsid w:val="29AE5D4B"/>
    <w:rsid w:val="29B844D4"/>
    <w:rsid w:val="29BD1AEA"/>
    <w:rsid w:val="29CB6BA8"/>
    <w:rsid w:val="29DB4666"/>
    <w:rsid w:val="29DF5F05"/>
    <w:rsid w:val="29EA42F4"/>
    <w:rsid w:val="29F23811"/>
    <w:rsid w:val="2A005E7B"/>
    <w:rsid w:val="2A043BBD"/>
    <w:rsid w:val="2A0616E3"/>
    <w:rsid w:val="2A0D18E3"/>
    <w:rsid w:val="2A113092"/>
    <w:rsid w:val="2A181417"/>
    <w:rsid w:val="2A35362F"/>
    <w:rsid w:val="2A44220C"/>
    <w:rsid w:val="2A516E7E"/>
    <w:rsid w:val="2A541306"/>
    <w:rsid w:val="2A583579"/>
    <w:rsid w:val="2A5C57A7"/>
    <w:rsid w:val="2A703001"/>
    <w:rsid w:val="2A720B27"/>
    <w:rsid w:val="2A9127FD"/>
    <w:rsid w:val="2A994C3C"/>
    <w:rsid w:val="2A9C3DF6"/>
    <w:rsid w:val="2A9D15F2"/>
    <w:rsid w:val="2AA01DE2"/>
    <w:rsid w:val="2AAB228B"/>
    <w:rsid w:val="2AAF1545"/>
    <w:rsid w:val="2AB253C7"/>
    <w:rsid w:val="2AC9265C"/>
    <w:rsid w:val="2ADF4094"/>
    <w:rsid w:val="2AED4942"/>
    <w:rsid w:val="2AF1481A"/>
    <w:rsid w:val="2B050427"/>
    <w:rsid w:val="2B12230A"/>
    <w:rsid w:val="2B3710D5"/>
    <w:rsid w:val="2B3758CC"/>
    <w:rsid w:val="2B3C190E"/>
    <w:rsid w:val="2B435C33"/>
    <w:rsid w:val="2B481888"/>
    <w:rsid w:val="2B4F2C16"/>
    <w:rsid w:val="2B606BD1"/>
    <w:rsid w:val="2B6122FD"/>
    <w:rsid w:val="2B641D11"/>
    <w:rsid w:val="2B6C7C6C"/>
    <w:rsid w:val="2B795EE5"/>
    <w:rsid w:val="2B7C5DC4"/>
    <w:rsid w:val="2B9F0D41"/>
    <w:rsid w:val="2BA07916"/>
    <w:rsid w:val="2BC74EA2"/>
    <w:rsid w:val="2BC76C50"/>
    <w:rsid w:val="2BD1105A"/>
    <w:rsid w:val="2BD82C0B"/>
    <w:rsid w:val="2BDD0222"/>
    <w:rsid w:val="2BDF043E"/>
    <w:rsid w:val="2BEF4305"/>
    <w:rsid w:val="2C02412C"/>
    <w:rsid w:val="2C0244EC"/>
    <w:rsid w:val="2C137923"/>
    <w:rsid w:val="2C161986"/>
    <w:rsid w:val="2C1D4AC2"/>
    <w:rsid w:val="2C34520C"/>
    <w:rsid w:val="2C3D33B6"/>
    <w:rsid w:val="2C3F3486"/>
    <w:rsid w:val="2C406E36"/>
    <w:rsid w:val="2C414C55"/>
    <w:rsid w:val="2C475FE3"/>
    <w:rsid w:val="2C994A91"/>
    <w:rsid w:val="2C9C7AFA"/>
    <w:rsid w:val="2C9E20A7"/>
    <w:rsid w:val="2CA455C9"/>
    <w:rsid w:val="2CB847EB"/>
    <w:rsid w:val="2CC44727"/>
    <w:rsid w:val="2CC94C4A"/>
    <w:rsid w:val="2CDB28F0"/>
    <w:rsid w:val="2CDE674B"/>
    <w:rsid w:val="2CE55951"/>
    <w:rsid w:val="2D0B4249"/>
    <w:rsid w:val="2D0E5AA2"/>
    <w:rsid w:val="2D0F6B01"/>
    <w:rsid w:val="2D1278E5"/>
    <w:rsid w:val="2D18438D"/>
    <w:rsid w:val="2D445898"/>
    <w:rsid w:val="2D4542D1"/>
    <w:rsid w:val="2D6029A8"/>
    <w:rsid w:val="2D61616B"/>
    <w:rsid w:val="2D6C3010"/>
    <w:rsid w:val="2D740220"/>
    <w:rsid w:val="2D7D50EB"/>
    <w:rsid w:val="2D86130C"/>
    <w:rsid w:val="2DA3549B"/>
    <w:rsid w:val="2DAC4350"/>
    <w:rsid w:val="2DBD4A63"/>
    <w:rsid w:val="2DC86CB0"/>
    <w:rsid w:val="2DCE5BE0"/>
    <w:rsid w:val="2DD56F6F"/>
    <w:rsid w:val="2DE24837"/>
    <w:rsid w:val="2DE52C0A"/>
    <w:rsid w:val="2DE55AB4"/>
    <w:rsid w:val="2DEC0BF0"/>
    <w:rsid w:val="2E00644A"/>
    <w:rsid w:val="2E14484F"/>
    <w:rsid w:val="2E170B60"/>
    <w:rsid w:val="2E2471BB"/>
    <w:rsid w:val="2E2A1F0D"/>
    <w:rsid w:val="2E342663"/>
    <w:rsid w:val="2E3E44FF"/>
    <w:rsid w:val="2E580034"/>
    <w:rsid w:val="2E5A5892"/>
    <w:rsid w:val="2E652751"/>
    <w:rsid w:val="2E693FEF"/>
    <w:rsid w:val="2E6B420B"/>
    <w:rsid w:val="2E723F81"/>
    <w:rsid w:val="2E980D78"/>
    <w:rsid w:val="2EB72FAC"/>
    <w:rsid w:val="2EB8624E"/>
    <w:rsid w:val="2EBA0CEE"/>
    <w:rsid w:val="2EC660C3"/>
    <w:rsid w:val="2EC7564F"/>
    <w:rsid w:val="2ECE479A"/>
    <w:rsid w:val="2ED40002"/>
    <w:rsid w:val="2EE61AE3"/>
    <w:rsid w:val="2EF064BE"/>
    <w:rsid w:val="2EF22236"/>
    <w:rsid w:val="2EF51D26"/>
    <w:rsid w:val="2EFE507F"/>
    <w:rsid w:val="2F0B01A9"/>
    <w:rsid w:val="2F0B154A"/>
    <w:rsid w:val="2F0D7070"/>
    <w:rsid w:val="2F1C3757"/>
    <w:rsid w:val="2F1E025C"/>
    <w:rsid w:val="2F3B560E"/>
    <w:rsid w:val="2F436F36"/>
    <w:rsid w:val="2F452CAE"/>
    <w:rsid w:val="2F464330"/>
    <w:rsid w:val="2F5A23F0"/>
    <w:rsid w:val="2F7544C2"/>
    <w:rsid w:val="2F7553E7"/>
    <w:rsid w:val="2F7E2440"/>
    <w:rsid w:val="2F827A5E"/>
    <w:rsid w:val="2F8337D6"/>
    <w:rsid w:val="2F8F1030"/>
    <w:rsid w:val="2F971705"/>
    <w:rsid w:val="2FA539B8"/>
    <w:rsid w:val="2FB92D54"/>
    <w:rsid w:val="2FBA2AA4"/>
    <w:rsid w:val="2FE75B13"/>
    <w:rsid w:val="2FE801F3"/>
    <w:rsid w:val="30070DAE"/>
    <w:rsid w:val="3029612C"/>
    <w:rsid w:val="302C5C1C"/>
    <w:rsid w:val="302D67C1"/>
    <w:rsid w:val="303D5733"/>
    <w:rsid w:val="30656A38"/>
    <w:rsid w:val="30696528"/>
    <w:rsid w:val="307373A7"/>
    <w:rsid w:val="30792DC2"/>
    <w:rsid w:val="307E058F"/>
    <w:rsid w:val="309026BC"/>
    <w:rsid w:val="30A9726C"/>
    <w:rsid w:val="30B579BF"/>
    <w:rsid w:val="30C916BD"/>
    <w:rsid w:val="30D9109D"/>
    <w:rsid w:val="30EB7361"/>
    <w:rsid w:val="30EC253C"/>
    <w:rsid w:val="30EE73DE"/>
    <w:rsid w:val="31114289"/>
    <w:rsid w:val="311D0B06"/>
    <w:rsid w:val="31251A2B"/>
    <w:rsid w:val="3127258B"/>
    <w:rsid w:val="312B5ED3"/>
    <w:rsid w:val="312C253A"/>
    <w:rsid w:val="313A1C72"/>
    <w:rsid w:val="313A6116"/>
    <w:rsid w:val="313B1C94"/>
    <w:rsid w:val="313C59EB"/>
    <w:rsid w:val="315E3BB3"/>
    <w:rsid w:val="31777B23"/>
    <w:rsid w:val="318F2F57"/>
    <w:rsid w:val="31B83782"/>
    <w:rsid w:val="31BC4D7D"/>
    <w:rsid w:val="31C603C6"/>
    <w:rsid w:val="31D128C6"/>
    <w:rsid w:val="31D43E75"/>
    <w:rsid w:val="31DD626C"/>
    <w:rsid w:val="31DD71CE"/>
    <w:rsid w:val="31EB11BF"/>
    <w:rsid w:val="31F90508"/>
    <w:rsid w:val="31FB7654"/>
    <w:rsid w:val="31FD78D8"/>
    <w:rsid w:val="320050E8"/>
    <w:rsid w:val="320306A3"/>
    <w:rsid w:val="321815D1"/>
    <w:rsid w:val="32204AAC"/>
    <w:rsid w:val="323E5792"/>
    <w:rsid w:val="325F4087"/>
    <w:rsid w:val="32621481"/>
    <w:rsid w:val="326957C5"/>
    <w:rsid w:val="326C0551"/>
    <w:rsid w:val="326D6281"/>
    <w:rsid w:val="32892EB1"/>
    <w:rsid w:val="32902492"/>
    <w:rsid w:val="32963820"/>
    <w:rsid w:val="32BD3D6E"/>
    <w:rsid w:val="32BE2472"/>
    <w:rsid w:val="32BF2D77"/>
    <w:rsid w:val="32CB3495"/>
    <w:rsid w:val="32CC52A7"/>
    <w:rsid w:val="32DD7F50"/>
    <w:rsid w:val="32E41DED"/>
    <w:rsid w:val="32F015BA"/>
    <w:rsid w:val="32F83E6E"/>
    <w:rsid w:val="330D3AE3"/>
    <w:rsid w:val="33321A1F"/>
    <w:rsid w:val="333948D8"/>
    <w:rsid w:val="333A4819"/>
    <w:rsid w:val="333C6176"/>
    <w:rsid w:val="333E48FB"/>
    <w:rsid w:val="33412BCD"/>
    <w:rsid w:val="33437504"/>
    <w:rsid w:val="33557238"/>
    <w:rsid w:val="33560E8C"/>
    <w:rsid w:val="335B7C68"/>
    <w:rsid w:val="3361379C"/>
    <w:rsid w:val="33753436"/>
    <w:rsid w:val="337E6858"/>
    <w:rsid w:val="33820DD1"/>
    <w:rsid w:val="338A444D"/>
    <w:rsid w:val="338F1359"/>
    <w:rsid w:val="33923FE8"/>
    <w:rsid w:val="33AD497E"/>
    <w:rsid w:val="33B26438"/>
    <w:rsid w:val="33B6755C"/>
    <w:rsid w:val="33DA33B5"/>
    <w:rsid w:val="33E74334"/>
    <w:rsid w:val="340824FC"/>
    <w:rsid w:val="341449FD"/>
    <w:rsid w:val="341E3ACD"/>
    <w:rsid w:val="341F67AE"/>
    <w:rsid w:val="342041BE"/>
    <w:rsid w:val="34264730"/>
    <w:rsid w:val="34297B61"/>
    <w:rsid w:val="34337579"/>
    <w:rsid w:val="3444623E"/>
    <w:rsid w:val="344F3C87"/>
    <w:rsid w:val="345474EF"/>
    <w:rsid w:val="345D45F6"/>
    <w:rsid w:val="347100A1"/>
    <w:rsid w:val="34857719"/>
    <w:rsid w:val="34A43FD3"/>
    <w:rsid w:val="34B166F0"/>
    <w:rsid w:val="34B85CD0"/>
    <w:rsid w:val="34BD5094"/>
    <w:rsid w:val="34C020E6"/>
    <w:rsid w:val="34C31184"/>
    <w:rsid w:val="34C44675"/>
    <w:rsid w:val="34C77CC1"/>
    <w:rsid w:val="34D27C57"/>
    <w:rsid w:val="34D66156"/>
    <w:rsid w:val="34D67ABD"/>
    <w:rsid w:val="34DB2111"/>
    <w:rsid w:val="34DB376C"/>
    <w:rsid w:val="34DD74E5"/>
    <w:rsid w:val="34E02B31"/>
    <w:rsid w:val="34E73EBF"/>
    <w:rsid w:val="34F226A3"/>
    <w:rsid w:val="350A598E"/>
    <w:rsid w:val="350E6FCA"/>
    <w:rsid w:val="35131158"/>
    <w:rsid w:val="35213875"/>
    <w:rsid w:val="35313626"/>
    <w:rsid w:val="353752C8"/>
    <w:rsid w:val="353A4937"/>
    <w:rsid w:val="353A782C"/>
    <w:rsid w:val="353F371A"/>
    <w:rsid w:val="3561652C"/>
    <w:rsid w:val="35633E8E"/>
    <w:rsid w:val="35784CBC"/>
    <w:rsid w:val="359E6C74"/>
    <w:rsid w:val="35A07803"/>
    <w:rsid w:val="35A62714"/>
    <w:rsid w:val="35B12CA3"/>
    <w:rsid w:val="35C236B1"/>
    <w:rsid w:val="35CF507F"/>
    <w:rsid w:val="35DD4DEC"/>
    <w:rsid w:val="35DE1766"/>
    <w:rsid w:val="35E14DB3"/>
    <w:rsid w:val="35EA1EB9"/>
    <w:rsid w:val="35FC7E3E"/>
    <w:rsid w:val="35FF6626"/>
    <w:rsid w:val="36237179"/>
    <w:rsid w:val="36292EE4"/>
    <w:rsid w:val="363B2715"/>
    <w:rsid w:val="363E0457"/>
    <w:rsid w:val="364C66D0"/>
    <w:rsid w:val="36511D2C"/>
    <w:rsid w:val="365612FD"/>
    <w:rsid w:val="365732C7"/>
    <w:rsid w:val="36582952"/>
    <w:rsid w:val="365C562B"/>
    <w:rsid w:val="36674D51"/>
    <w:rsid w:val="36690C06"/>
    <w:rsid w:val="36785717"/>
    <w:rsid w:val="36917A9F"/>
    <w:rsid w:val="369D517D"/>
    <w:rsid w:val="36A93B22"/>
    <w:rsid w:val="36AA5AEC"/>
    <w:rsid w:val="36C62378"/>
    <w:rsid w:val="36C80DD6"/>
    <w:rsid w:val="36CC15BF"/>
    <w:rsid w:val="36DC334F"/>
    <w:rsid w:val="36FA576D"/>
    <w:rsid w:val="36FE0747"/>
    <w:rsid w:val="370945C1"/>
    <w:rsid w:val="370E607B"/>
    <w:rsid w:val="37113EEF"/>
    <w:rsid w:val="371D62BE"/>
    <w:rsid w:val="37296A11"/>
    <w:rsid w:val="372E2D73"/>
    <w:rsid w:val="372E6D18"/>
    <w:rsid w:val="373135E0"/>
    <w:rsid w:val="373830F8"/>
    <w:rsid w:val="374C7D3E"/>
    <w:rsid w:val="37543A0E"/>
    <w:rsid w:val="37682375"/>
    <w:rsid w:val="377A101B"/>
    <w:rsid w:val="37882B9D"/>
    <w:rsid w:val="3793032E"/>
    <w:rsid w:val="37977127"/>
    <w:rsid w:val="379A346B"/>
    <w:rsid w:val="37A97B52"/>
    <w:rsid w:val="37BD2E09"/>
    <w:rsid w:val="37BF2ED1"/>
    <w:rsid w:val="37C64260"/>
    <w:rsid w:val="37C87E10"/>
    <w:rsid w:val="37D6709E"/>
    <w:rsid w:val="37F039D3"/>
    <w:rsid w:val="37F452A5"/>
    <w:rsid w:val="37F772FC"/>
    <w:rsid w:val="37FA1725"/>
    <w:rsid w:val="38077679"/>
    <w:rsid w:val="38156132"/>
    <w:rsid w:val="38172D0E"/>
    <w:rsid w:val="381E7F36"/>
    <w:rsid w:val="382E2FA6"/>
    <w:rsid w:val="38455ACD"/>
    <w:rsid w:val="384855BD"/>
    <w:rsid w:val="385201EA"/>
    <w:rsid w:val="385555E4"/>
    <w:rsid w:val="3856677A"/>
    <w:rsid w:val="3862667F"/>
    <w:rsid w:val="386D44C0"/>
    <w:rsid w:val="387E2D8D"/>
    <w:rsid w:val="3882287D"/>
    <w:rsid w:val="38834F32"/>
    <w:rsid w:val="389262E0"/>
    <w:rsid w:val="389E342F"/>
    <w:rsid w:val="38A075FB"/>
    <w:rsid w:val="38A674B6"/>
    <w:rsid w:val="38A9615A"/>
    <w:rsid w:val="38B844F1"/>
    <w:rsid w:val="38CB67CD"/>
    <w:rsid w:val="38CE5AC2"/>
    <w:rsid w:val="38DF7E02"/>
    <w:rsid w:val="38E36026"/>
    <w:rsid w:val="38ED44C0"/>
    <w:rsid w:val="38EE7F12"/>
    <w:rsid w:val="38F60B75"/>
    <w:rsid w:val="393022D9"/>
    <w:rsid w:val="393D0552"/>
    <w:rsid w:val="396B1563"/>
    <w:rsid w:val="396F69DA"/>
    <w:rsid w:val="39705E71"/>
    <w:rsid w:val="39716334"/>
    <w:rsid w:val="3982065B"/>
    <w:rsid w:val="39936216"/>
    <w:rsid w:val="39941001"/>
    <w:rsid w:val="3995213C"/>
    <w:rsid w:val="39A54E93"/>
    <w:rsid w:val="39A84565"/>
    <w:rsid w:val="39AE31FE"/>
    <w:rsid w:val="39B03E9B"/>
    <w:rsid w:val="39B14CB1"/>
    <w:rsid w:val="39BD78E5"/>
    <w:rsid w:val="39BF18AF"/>
    <w:rsid w:val="39CE564E"/>
    <w:rsid w:val="39D25A85"/>
    <w:rsid w:val="39D64754"/>
    <w:rsid w:val="39F71049"/>
    <w:rsid w:val="3A104AA6"/>
    <w:rsid w:val="3A12378C"/>
    <w:rsid w:val="3A190FBF"/>
    <w:rsid w:val="3A2F2590"/>
    <w:rsid w:val="3A3000B7"/>
    <w:rsid w:val="3A3C4CAD"/>
    <w:rsid w:val="3A461688"/>
    <w:rsid w:val="3A4818A4"/>
    <w:rsid w:val="3A5307BE"/>
    <w:rsid w:val="3A5D2658"/>
    <w:rsid w:val="3A5F274A"/>
    <w:rsid w:val="3A692962"/>
    <w:rsid w:val="3A6D4E67"/>
    <w:rsid w:val="3A887993"/>
    <w:rsid w:val="3A8C79E3"/>
    <w:rsid w:val="3A99047D"/>
    <w:rsid w:val="3AAA1C17"/>
    <w:rsid w:val="3AB47B7B"/>
    <w:rsid w:val="3AC1443A"/>
    <w:rsid w:val="3AD06667"/>
    <w:rsid w:val="3AD55AFF"/>
    <w:rsid w:val="3ADE6405"/>
    <w:rsid w:val="3AED7D56"/>
    <w:rsid w:val="3AFB6916"/>
    <w:rsid w:val="3AFD7273"/>
    <w:rsid w:val="3B037579"/>
    <w:rsid w:val="3B1B48C3"/>
    <w:rsid w:val="3B3E74C2"/>
    <w:rsid w:val="3B5C3FE6"/>
    <w:rsid w:val="3B936B4F"/>
    <w:rsid w:val="3B9A612F"/>
    <w:rsid w:val="3B9B7493"/>
    <w:rsid w:val="3BA80D45"/>
    <w:rsid w:val="3BC6175E"/>
    <w:rsid w:val="3BD553B9"/>
    <w:rsid w:val="3BE70BD5"/>
    <w:rsid w:val="3BF12286"/>
    <w:rsid w:val="3BFF41E4"/>
    <w:rsid w:val="3C030EE8"/>
    <w:rsid w:val="3C073099"/>
    <w:rsid w:val="3C12011B"/>
    <w:rsid w:val="3C1557B6"/>
    <w:rsid w:val="3C1A0C11"/>
    <w:rsid w:val="3C252651"/>
    <w:rsid w:val="3C256328"/>
    <w:rsid w:val="3C3976F6"/>
    <w:rsid w:val="3C410359"/>
    <w:rsid w:val="3C487885"/>
    <w:rsid w:val="3C4B1A87"/>
    <w:rsid w:val="3C585C4A"/>
    <w:rsid w:val="3C5A2F7F"/>
    <w:rsid w:val="3C667DC0"/>
    <w:rsid w:val="3C7921E9"/>
    <w:rsid w:val="3C7A6A05"/>
    <w:rsid w:val="3C8666B4"/>
    <w:rsid w:val="3C8B5A78"/>
    <w:rsid w:val="3C8F5B6A"/>
    <w:rsid w:val="3C9031B9"/>
    <w:rsid w:val="3C9568F7"/>
    <w:rsid w:val="3CAD3EB8"/>
    <w:rsid w:val="3CB43221"/>
    <w:rsid w:val="3CC661F5"/>
    <w:rsid w:val="3CCE4A7B"/>
    <w:rsid w:val="3CF4361D"/>
    <w:rsid w:val="3D000214"/>
    <w:rsid w:val="3D1912D6"/>
    <w:rsid w:val="3D21313A"/>
    <w:rsid w:val="3D33006A"/>
    <w:rsid w:val="3D4C4258"/>
    <w:rsid w:val="3D4F6AA6"/>
    <w:rsid w:val="3D546DEA"/>
    <w:rsid w:val="3D5C1D68"/>
    <w:rsid w:val="3D5E74BC"/>
    <w:rsid w:val="3D687B67"/>
    <w:rsid w:val="3D6E33D0"/>
    <w:rsid w:val="3D7824A0"/>
    <w:rsid w:val="3D931088"/>
    <w:rsid w:val="3D9D7294"/>
    <w:rsid w:val="3D9F7A2D"/>
    <w:rsid w:val="3DA46DF1"/>
    <w:rsid w:val="3DBF59D9"/>
    <w:rsid w:val="3DC70D32"/>
    <w:rsid w:val="3DF468AA"/>
    <w:rsid w:val="3DFD1C7D"/>
    <w:rsid w:val="3DFD58D5"/>
    <w:rsid w:val="3E13108D"/>
    <w:rsid w:val="3E1C5380"/>
    <w:rsid w:val="3E2241BA"/>
    <w:rsid w:val="3E324663"/>
    <w:rsid w:val="3E3363C7"/>
    <w:rsid w:val="3E3A7756"/>
    <w:rsid w:val="3E3C7270"/>
    <w:rsid w:val="3E546A69"/>
    <w:rsid w:val="3E642A25"/>
    <w:rsid w:val="3E661BA9"/>
    <w:rsid w:val="3E6622F9"/>
    <w:rsid w:val="3E693B97"/>
    <w:rsid w:val="3E6A003B"/>
    <w:rsid w:val="3E7013C9"/>
    <w:rsid w:val="3E7B5785"/>
    <w:rsid w:val="3E833A1C"/>
    <w:rsid w:val="3E970704"/>
    <w:rsid w:val="3EAE5A4E"/>
    <w:rsid w:val="3EC82FC7"/>
    <w:rsid w:val="3ECA1839"/>
    <w:rsid w:val="3ECD29A6"/>
    <w:rsid w:val="3EDF266A"/>
    <w:rsid w:val="3EE5303E"/>
    <w:rsid w:val="3EFC12C5"/>
    <w:rsid w:val="3F0B1879"/>
    <w:rsid w:val="3F0B4C4E"/>
    <w:rsid w:val="3F1735F3"/>
    <w:rsid w:val="3F1C50AD"/>
    <w:rsid w:val="3F2029A0"/>
    <w:rsid w:val="3F3423F7"/>
    <w:rsid w:val="3F3B089C"/>
    <w:rsid w:val="3F485EA2"/>
    <w:rsid w:val="3F670E16"/>
    <w:rsid w:val="3F6B107E"/>
    <w:rsid w:val="3F7D3144"/>
    <w:rsid w:val="3F84237D"/>
    <w:rsid w:val="3F890995"/>
    <w:rsid w:val="3F926228"/>
    <w:rsid w:val="3F9C0604"/>
    <w:rsid w:val="3FA660FD"/>
    <w:rsid w:val="3FAC4683"/>
    <w:rsid w:val="3FAE391F"/>
    <w:rsid w:val="3FB11C9A"/>
    <w:rsid w:val="3FD414E4"/>
    <w:rsid w:val="3FE71217"/>
    <w:rsid w:val="3FEE25A6"/>
    <w:rsid w:val="4000420D"/>
    <w:rsid w:val="40311450"/>
    <w:rsid w:val="403543DF"/>
    <w:rsid w:val="40414DCB"/>
    <w:rsid w:val="404E74E8"/>
    <w:rsid w:val="40520D87"/>
    <w:rsid w:val="40534611"/>
    <w:rsid w:val="40550877"/>
    <w:rsid w:val="405D6094"/>
    <w:rsid w:val="406866F2"/>
    <w:rsid w:val="40697DEF"/>
    <w:rsid w:val="407056B1"/>
    <w:rsid w:val="408156A6"/>
    <w:rsid w:val="40D0614F"/>
    <w:rsid w:val="40D479EE"/>
    <w:rsid w:val="40D74270"/>
    <w:rsid w:val="40DC68A2"/>
    <w:rsid w:val="40E13EB9"/>
    <w:rsid w:val="40E165AE"/>
    <w:rsid w:val="40E35316"/>
    <w:rsid w:val="40EA5463"/>
    <w:rsid w:val="40F40090"/>
    <w:rsid w:val="40FB141E"/>
    <w:rsid w:val="40FD568F"/>
    <w:rsid w:val="41140DF1"/>
    <w:rsid w:val="411A73CB"/>
    <w:rsid w:val="411B6CE5"/>
    <w:rsid w:val="41281AE7"/>
    <w:rsid w:val="41326E0A"/>
    <w:rsid w:val="41420236"/>
    <w:rsid w:val="414E282B"/>
    <w:rsid w:val="415E7BFF"/>
    <w:rsid w:val="416B7C26"/>
    <w:rsid w:val="416C231C"/>
    <w:rsid w:val="417E3DFD"/>
    <w:rsid w:val="417E7959"/>
    <w:rsid w:val="4182569C"/>
    <w:rsid w:val="419D7E22"/>
    <w:rsid w:val="41A06FEC"/>
    <w:rsid w:val="41A070BB"/>
    <w:rsid w:val="41B17D2F"/>
    <w:rsid w:val="41DB4DAC"/>
    <w:rsid w:val="41F16242"/>
    <w:rsid w:val="41F27355"/>
    <w:rsid w:val="41F30347"/>
    <w:rsid w:val="41F66AB4"/>
    <w:rsid w:val="420C31B7"/>
    <w:rsid w:val="421F2EEA"/>
    <w:rsid w:val="422D4C04"/>
    <w:rsid w:val="422E39DD"/>
    <w:rsid w:val="42320077"/>
    <w:rsid w:val="42535317"/>
    <w:rsid w:val="42666D6B"/>
    <w:rsid w:val="428359FE"/>
    <w:rsid w:val="42876CE2"/>
    <w:rsid w:val="429B15D2"/>
    <w:rsid w:val="42A17DA3"/>
    <w:rsid w:val="42A47894"/>
    <w:rsid w:val="42B61283"/>
    <w:rsid w:val="42C27D1A"/>
    <w:rsid w:val="42D277D8"/>
    <w:rsid w:val="42DB6C41"/>
    <w:rsid w:val="42DB7339"/>
    <w:rsid w:val="42E3304C"/>
    <w:rsid w:val="42F500EF"/>
    <w:rsid w:val="42F8373B"/>
    <w:rsid w:val="42FB0FF8"/>
    <w:rsid w:val="42FF2D1C"/>
    <w:rsid w:val="43087F89"/>
    <w:rsid w:val="431656CB"/>
    <w:rsid w:val="431C567C"/>
    <w:rsid w:val="43295095"/>
    <w:rsid w:val="433805EC"/>
    <w:rsid w:val="433B36DA"/>
    <w:rsid w:val="4340580E"/>
    <w:rsid w:val="43482915"/>
    <w:rsid w:val="43507DFC"/>
    <w:rsid w:val="43707776"/>
    <w:rsid w:val="438A1045"/>
    <w:rsid w:val="439671DC"/>
    <w:rsid w:val="43972F54"/>
    <w:rsid w:val="43993987"/>
    <w:rsid w:val="43B30FC9"/>
    <w:rsid w:val="43B9736F"/>
    <w:rsid w:val="43DB72E5"/>
    <w:rsid w:val="442B201A"/>
    <w:rsid w:val="4447497A"/>
    <w:rsid w:val="444C23FD"/>
    <w:rsid w:val="444C3D3F"/>
    <w:rsid w:val="44531571"/>
    <w:rsid w:val="445B21D4"/>
    <w:rsid w:val="446E0159"/>
    <w:rsid w:val="4484172B"/>
    <w:rsid w:val="448434D9"/>
    <w:rsid w:val="44857D6C"/>
    <w:rsid w:val="44983767"/>
    <w:rsid w:val="449F7146"/>
    <w:rsid w:val="44D16614"/>
    <w:rsid w:val="44FD4928"/>
    <w:rsid w:val="450E5B4A"/>
    <w:rsid w:val="45132AAF"/>
    <w:rsid w:val="451505D5"/>
    <w:rsid w:val="451F76A5"/>
    <w:rsid w:val="452627E2"/>
    <w:rsid w:val="454A2974"/>
    <w:rsid w:val="455530C7"/>
    <w:rsid w:val="455E01CE"/>
    <w:rsid w:val="456A6B72"/>
    <w:rsid w:val="45717A64"/>
    <w:rsid w:val="457C2402"/>
    <w:rsid w:val="45833790"/>
    <w:rsid w:val="45867C72"/>
    <w:rsid w:val="45B1654F"/>
    <w:rsid w:val="45B778DE"/>
    <w:rsid w:val="45C86472"/>
    <w:rsid w:val="45E561F9"/>
    <w:rsid w:val="45EA3AB9"/>
    <w:rsid w:val="46032B23"/>
    <w:rsid w:val="46063CE6"/>
    <w:rsid w:val="460A3EB2"/>
    <w:rsid w:val="46164604"/>
    <w:rsid w:val="461B60BF"/>
    <w:rsid w:val="46323B86"/>
    <w:rsid w:val="46496788"/>
    <w:rsid w:val="465B38ED"/>
    <w:rsid w:val="46651743"/>
    <w:rsid w:val="467461A5"/>
    <w:rsid w:val="467A6074"/>
    <w:rsid w:val="46827EEC"/>
    <w:rsid w:val="468C558E"/>
    <w:rsid w:val="46A165C4"/>
    <w:rsid w:val="46A24405"/>
    <w:rsid w:val="46AE0CE1"/>
    <w:rsid w:val="46BC33FE"/>
    <w:rsid w:val="46C329DE"/>
    <w:rsid w:val="46C32C67"/>
    <w:rsid w:val="46C93D6D"/>
    <w:rsid w:val="46E110B6"/>
    <w:rsid w:val="46E56104"/>
    <w:rsid w:val="46E93AC7"/>
    <w:rsid w:val="46EB442E"/>
    <w:rsid w:val="46F801AE"/>
    <w:rsid w:val="46FF5662"/>
    <w:rsid w:val="47000F5D"/>
    <w:rsid w:val="470B1C8F"/>
    <w:rsid w:val="47174AD8"/>
    <w:rsid w:val="4731621B"/>
    <w:rsid w:val="47571378"/>
    <w:rsid w:val="47633879"/>
    <w:rsid w:val="47665558"/>
    <w:rsid w:val="476E50DC"/>
    <w:rsid w:val="477F442B"/>
    <w:rsid w:val="478B4B7E"/>
    <w:rsid w:val="479C25DA"/>
    <w:rsid w:val="47AA7A75"/>
    <w:rsid w:val="47AD0F98"/>
    <w:rsid w:val="47BC7464"/>
    <w:rsid w:val="47C15148"/>
    <w:rsid w:val="47D26C51"/>
    <w:rsid w:val="47EA3F9B"/>
    <w:rsid w:val="47EB0AAD"/>
    <w:rsid w:val="47FE35A2"/>
    <w:rsid w:val="47FE7A46"/>
    <w:rsid w:val="481E000A"/>
    <w:rsid w:val="482F7630"/>
    <w:rsid w:val="4840005F"/>
    <w:rsid w:val="485853A8"/>
    <w:rsid w:val="486636D8"/>
    <w:rsid w:val="486E0728"/>
    <w:rsid w:val="48967C7F"/>
    <w:rsid w:val="489932CB"/>
    <w:rsid w:val="489D2DBB"/>
    <w:rsid w:val="48A028AB"/>
    <w:rsid w:val="48A4239B"/>
    <w:rsid w:val="48AA4D31"/>
    <w:rsid w:val="48B459D5"/>
    <w:rsid w:val="48BA1BBF"/>
    <w:rsid w:val="48BC08F0"/>
    <w:rsid w:val="48C26CC5"/>
    <w:rsid w:val="48D507A7"/>
    <w:rsid w:val="48F74BC1"/>
    <w:rsid w:val="48F86243"/>
    <w:rsid w:val="48FC5761"/>
    <w:rsid w:val="48FC6BF1"/>
    <w:rsid w:val="48FF5824"/>
    <w:rsid w:val="49046A59"/>
    <w:rsid w:val="49090450"/>
    <w:rsid w:val="490B241B"/>
    <w:rsid w:val="491F1A22"/>
    <w:rsid w:val="4921013A"/>
    <w:rsid w:val="4921579A"/>
    <w:rsid w:val="49303C2F"/>
    <w:rsid w:val="493D00FA"/>
    <w:rsid w:val="49565FAF"/>
    <w:rsid w:val="496B29F1"/>
    <w:rsid w:val="49885819"/>
    <w:rsid w:val="49975A5C"/>
    <w:rsid w:val="49A14B2D"/>
    <w:rsid w:val="49A85EBB"/>
    <w:rsid w:val="49AD34D2"/>
    <w:rsid w:val="49C70A83"/>
    <w:rsid w:val="49CD147E"/>
    <w:rsid w:val="49DF3DC5"/>
    <w:rsid w:val="49E044F4"/>
    <w:rsid w:val="49EB55E7"/>
    <w:rsid w:val="49F25388"/>
    <w:rsid w:val="49F41BE5"/>
    <w:rsid w:val="49FD0A6D"/>
    <w:rsid w:val="4A015677"/>
    <w:rsid w:val="4A0330F2"/>
    <w:rsid w:val="4A0D5D1E"/>
    <w:rsid w:val="4A183041"/>
    <w:rsid w:val="4A225C6E"/>
    <w:rsid w:val="4A500B9B"/>
    <w:rsid w:val="4A570FAA"/>
    <w:rsid w:val="4A722025"/>
    <w:rsid w:val="4A7F6C12"/>
    <w:rsid w:val="4A8174B1"/>
    <w:rsid w:val="4A8658D0"/>
    <w:rsid w:val="4A873D23"/>
    <w:rsid w:val="4A892945"/>
    <w:rsid w:val="4A8E6E5F"/>
    <w:rsid w:val="4A9B234B"/>
    <w:rsid w:val="4AAF07E1"/>
    <w:rsid w:val="4ABB6FBF"/>
    <w:rsid w:val="4ABD7744"/>
    <w:rsid w:val="4ACE22D0"/>
    <w:rsid w:val="4AF07B1A"/>
    <w:rsid w:val="4AF1668D"/>
    <w:rsid w:val="4AF56EDE"/>
    <w:rsid w:val="4AFE17B3"/>
    <w:rsid w:val="4B026D6D"/>
    <w:rsid w:val="4B047121"/>
    <w:rsid w:val="4B050FD3"/>
    <w:rsid w:val="4B1A4B97"/>
    <w:rsid w:val="4B26353C"/>
    <w:rsid w:val="4B2C48CA"/>
    <w:rsid w:val="4B7342A7"/>
    <w:rsid w:val="4B7C315C"/>
    <w:rsid w:val="4B887303"/>
    <w:rsid w:val="4B93407F"/>
    <w:rsid w:val="4BA821A3"/>
    <w:rsid w:val="4BB5041C"/>
    <w:rsid w:val="4BBB33F5"/>
    <w:rsid w:val="4BBF1552"/>
    <w:rsid w:val="4BBF553E"/>
    <w:rsid w:val="4BDB3483"/>
    <w:rsid w:val="4BEB6533"/>
    <w:rsid w:val="4BF93271"/>
    <w:rsid w:val="4C033D8E"/>
    <w:rsid w:val="4C0554CB"/>
    <w:rsid w:val="4C0A4C0B"/>
    <w:rsid w:val="4C15535E"/>
    <w:rsid w:val="4C281049"/>
    <w:rsid w:val="4C3D2BD2"/>
    <w:rsid w:val="4C426A60"/>
    <w:rsid w:val="4C52210E"/>
    <w:rsid w:val="4C5916EF"/>
    <w:rsid w:val="4C683269"/>
    <w:rsid w:val="4C6A56AA"/>
    <w:rsid w:val="4C7D53DD"/>
    <w:rsid w:val="4C8F3363"/>
    <w:rsid w:val="4C92075D"/>
    <w:rsid w:val="4CA77209"/>
    <w:rsid w:val="4CBF5C1D"/>
    <w:rsid w:val="4CC30E49"/>
    <w:rsid w:val="4CCB138D"/>
    <w:rsid w:val="4CD7191D"/>
    <w:rsid w:val="4CE0002E"/>
    <w:rsid w:val="4CE92A73"/>
    <w:rsid w:val="4CEC4311"/>
    <w:rsid w:val="4CF609E7"/>
    <w:rsid w:val="4D177AD8"/>
    <w:rsid w:val="4D203FBB"/>
    <w:rsid w:val="4D482EF3"/>
    <w:rsid w:val="4D4839E1"/>
    <w:rsid w:val="4D4B0133"/>
    <w:rsid w:val="4D4B7289"/>
    <w:rsid w:val="4D5944BC"/>
    <w:rsid w:val="4D5E2AFB"/>
    <w:rsid w:val="4D6E0465"/>
    <w:rsid w:val="4D774C13"/>
    <w:rsid w:val="4DAE7B58"/>
    <w:rsid w:val="4DB12E65"/>
    <w:rsid w:val="4DC35EE0"/>
    <w:rsid w:val="4DCA28A4"/>
    <w:rsid w:val="4DCB2178"/>
    <w:rsid w:val="4DE35714"/>
    <w:rsid w:val="4DEA6AA2"/>
    <w:rsid w:val="4E0A0EF3"/>
    <w:rsid w:val="4E0F6509"/>
    <w:rsid w:val="4E1D23DC"/>
    <w:rsid w:val="4E295A47"/>
    <w:rsid w:val="4E3A0983"/>
    <w:rsid w:val="4E3F66C2"/>
    <w:rsid w:val="4E481A1B"/>
    <w:rsid w:val="4E785120"/>
    <w:rsid w:val="4E7B76FB"/>
    <w:rsid w:val="4E824D9E"/>
    <w:rsid w:val="4E8567CB"/>
    <w:rsid w:val="4E9609D8"/>
    <w:rsid w:val="4EA17C8F"/>
    <w:rsid w:val="4EB5692F"/>
    <w:rsid w:val="4ED50885"/>
    <w:rsid w:val="4ED77C94"/>
    <w:rsid w:val="4F033DD3"/>
    <w:rsid w:val="4F0C2A48"/>
    <w:rsid w:val="4F161B19"/>
    <w:rsid w:val="4F181698"/>
    <w:rsid w:val="4F2B4370"/>
    <w:rsid w:val="4F302BDB"/>
    <w:rsid w:val="4F3A5808"/>
    <w:rsid w:val="4F3D0EFE"/>
    <w:rsid w:val="4F560168"/>
    <w:rsid w:val="4F5D14F6"/>
    <w:rsid w:val="4F5D32A4"/>
    <w:rsid w:val="4F5E38C5"/>
    <w:rsid w:val="4F5F6B09"/>
    <w:rsid w:val="4F667119"/>
    <w:rsid w:val="4F675ED1"/>
    <w:rsid w:val="4F681AF1"/>
    <w:rsid w:val="4F791856"/>
    <w:rsid w:val="4F7E0955"/>
    <w:rsid w:val="4FAB2261"/>
    <w:rsid w:val="4FB235F0"/>
    <w:rsid w:val="4FB74C17"/>
    <w:rsid w:val="4FC275AB"/>
    <w:rsid w:val="4FF0236A"/>
    <w:rsid w:val="4FF5498A"/>
    <w:rsid w:val="4FF705C0"/>
    <w:rsid w:val="4FFC2C10"/>
    <w:rsid w:val="50016325"/>
    <w:rsid w:val="501D5874"/>
    <w:rsid w:val="50252CB0"/>
    <w:rsid w:val="502838B2"/>
    <w:rsid w:val="502B33A2"/>
    <w:rsid w:val="502E571C"/>
    <w:rsid w:val="50373AF5"/>
    <w:rsid w:val="503823C9"/>
    <w:rsid w:val="50446212"/>
    <w:rsid w:val="504C7CCA"/>
    <w:rsid w:val="508B3E41"/>
    <w:rsid w:val="509205B0"/>
    <w:rsid w:val="50A33078"/>
    <w:rsid w:val="50B1333A"/>
    <w:rsid w:val="50B52C6C"/>
    <w:rsid w:val="50C63A61"/>
    <w:rsid w:val="50DC454E"/>
    <w:rsid w:val="50E579F5"/>
    <w:rsid w:val="50F73284"/>
    <w:rsid w:val="5119144D"/>
    <w:rsid w:val="51226632"/>
    <w:rsid w:val="51402E7D"/>
    <w:rsid w:val="514E5A93"/>
    <w:rsid w:val="515D3A2F"/>
    <w:rsid w:val="515D61BE"/>
    <w:rsid w:val="51791EEB"/>
    <w:rsid w:val="51BA60AC"/>
    <w:rsid w:val="51CE2237"/>
    <w:rsid w:val="51DF4444"/>
    <w:rsid w:val="51E57DEC"/>
    <w:rsid w:val="51EC1975"/>
    <w:rsid w:val="51ED6B61"/>
    <w:rsid w:val="51EF4E63"/>
    <w:rsid w:val="51F83758"/>
    <w:rsid w:val="51FE0D6E"/>
    <w:rsid w:val="52067C23"/>
    <w:rsid w:val="52147D0E"/>
    <w:rsid w:val="52154215"/>
    <w:rsid w:val="521C5A48"/>
    <w:rsid w:val="522E2410"/>
    <w:rsid w:val="52344790"/>
    <w:rsid w:val="52380DE1"/>
    <w:rsid w:val="523C3645"/>
    <w:rsid w:val="523C53F3"/>
    <w:rsid w:val="52481FEA"/>
    <w:rsid w:val="524F15CA"/>
    <w:rsid w:val="52585D5A"/>
    <w:rsid w:val="526130AB"/>
    <w:rsid w:val="526368E1"/>
    <w:rsid w:val="52661111"/>
    <w:rsid w:val="526C3548"/>
    <w:rsid w:val="52754DA9"/>
    <w:rsid w:val="528D3EA0"/>
    <w:rsid w:val="52941094"/>
    <w:rsid w:val="52A64E63"/>
    <w:rsid w:val="52BA27BB"/>
    <w:rsid w:val="52D35792"/>
    <w:rsid w:val="52E53CDC"/>
    <w:rsid w:val="52EA12F3"/>
    <w:rsid w:val="52F924B9"/>
    <w:rsid w:val="530002C1"/>
    <w:rsid w:val="53034162"/>
    <w:rsid w:val="53163E96"/>
    <w:rsid w:val="53310BB8"/>
    <w:rsid w:val="53400F13"/>
    <w:rsid w:val="534479A8"/>
    <w:rsid w:val="53542C10"/>
    <w:rsid w:val="5354676C"/>
    <w:rsid w:val="535749CF"/>
    <w:rsid w:val="5374275A"/>
    <w:rsid w:val="53746370"/>
    <w:rsid w:val="537D1A12"/>
    <w:rsid w:val="53867518"/>
    <w:rsid w:val="53885B39"/>
    <w:rsid w:val="538E19D3"/>
    <w:rsid w:val="53902037"/>
    <w:rsid w:val="539A26B3"/>
    <w:rsid w:val="539D1D8E"/>
    <w:rsid w:val="53A62432"/>
    <w:rsid w:val="53A909D1"/>
    <w:rsid w:val="53B67427"/>
    <w:rsid w:val="53CE651E"/>
    <w:rsid w:val="53D12B98"/>
    <w:rsid w:val="53D578AD"/>
    <w:rsid w:val="53E21FCA"/>
    <w:rsid w:val="53E67D0C"/>
    <w:rsid w:val="540B32CF"/>
    <w:rsid w:val="540B45EB"/>
    <w:rsid w:val="541505F1"/>
    <w:rsid w:val="541A179E"/>
    <w:rsid w:val="54334407"/>
    <w:rsid w:val="5433491E"/>
    <w:rsid w:val="543A7B3B"/>
    <w:rsid w:val="543E5A82"/>
    <w:rsid w:val="54417363"/>
    <w:rsid w:val="54420CBA"/>
    <w:rsid w:val="544D38E7"/>
    <w:rsid w:val="544E5189"/>
    <w:rsid w:val="545C1D7C"/>
    <w:rsid w:val="54686973"/>
    <w:rsid w:val="546A5239"/>
    <w:rsid w:val="547F0CD4"/>
    <w:rsid w:val="547F3CBD"/>
    <w:rsid w:val="548D63DA"/>
    <w:rsid w:val="549459BA"/>
    <w:rsid w:val="54AD6A7C"/>
    <w:rsid w:val="54AE7204"/>
    <w:rsid w:val="54C47921"/>
    <w:rsid w:val="54C87412"/>
    <w:rsid w:val="54D73AF9"/>
    <w:rsid w:val="54DE1A68"/>
    <w:rsid w:val="54E00A4E"/>
    <w:rsid w:val="54ED0C26"/>
    <w:rsid w:val="54F63F7F"/>
    <w:rsid w:val="54F71AA5"/>
    <w:rsid w:val="54FB595C"/>
    <w:rsid w:val="55052414"/>
    <w:rsid w:val="55102B67"/>
    <w:rsid w:val="55161224"/>
    <w:rsid w:val="551B39E5"/>
    <w:rsid w:val="554B22FB"/>
    <w:rsid w:val="554F7B33"/>
    <w:rsid w:val="555B64D8"/>
    <w:rsid w:val="555C7B5A"/>
    <w:rsid w:val="555E1B24"/>
    <w:rsid w:val="556759BB"/>
    <w:rsid w:val="55711857"/>
    <w:rsid w:val="55717FA2"/>
    <w:rsid w:val="557D1BD1"/>
    <w:rsid w:val="557F21C6"/>
    <w:rsid w:val="55894DF3"/>
    <w:rsid w:val="559030DD"/>
    <w:rsid w:val="55986DE4"/>
    <w:rsid w:val="559A7000"/>
    <w:rsid w:val="55AD03B6"/>
    <w:rsid w:val="55D43B94"/>
    <w:rsid w:val="55DD6EED"/>
    <w:rsid w:val="55FD30EB"/>
    <w:rsid w:val="55FF6E63"/>
    <w:rsid w:val="56044479"/>
    <w:rsid w:val="56051FA0"/>
    <w:rsid w:val="561623FF"/>
    <w:rsid w:val="561A3C9D"/>
    <w:rsid w:val="5621327D"/>
    <w:rsid w:val="562148DD"/>
    <w:rsid w:val="562F4F99"/>
    <w:rsid w:val="564451BE"/>
    <w:rsid w:val="564733DB"/>
    <w:rsid w:val="56694C24"/>
    <w:rsid w:val="567C04B4"/>
    <w:rsid w:val="567D27A4"/>
    <w:rsid w:val="567D5FDA"/>
    <w:rsid w:val="568B3B27"/>
    <w:rsid w:val="56A33C92"/>
    <w:rsid w:val="56A417B8"/>
    <w:rsid w:val="56A95021"/>
    <w:rsid w:val="56C67981"/>
    <w:rsid w:val="56D4209E"/>
    <w:rsid w:val="56D67884"/>
    <w:rsid w:val="56D716B6"/>
    <w:rsid w:val="56DC53F6"/>
    <w:rsid w:val="56E655C6"/>
    <w:rsid w:val="56ED13B1"/>
    <w:rsid w:val="570B71C0"/>
    <w:rsid w:val="57182D07"/>
    <w:rsid w:val="572348F0"/>
    <w:rsid w:val="572B3C88"/>
    <w:rsid w:val="572D17AE"/>
    <w:rsid w:val="57362D58"/>
    <w:rsid w:val="57375A94"/>
    <w:rsid w:val="573A5BE4"/>
    <w:rsid w:val="574511ED"/>
    <w:rsid w:val="574D3BFE"/>
    <w:rsid w:val="575256B8"/>
    <w:rsid w:val="575312F1"/>
    <w:rsid w:val="57551929"/>
    <w:rsid w:val="577E64AD"/>
    <w:rsid w:val="5780271E"/>
    <w:rsid w:val="5789732C"/>
    <w:rsid w:val="57927B59"/>
    <w:rsid w:val="57B317F1"/>
    <w:rsid w:val="57BF2D4E"/>
    <w:rsid w:val="57EB284A"/>
    <w:rsid w:val="57F966E2"/>
    <w:rsid w:val="5812316E"/>
    <w:rsid w:val="58240E03"/>
    <w:rsid w:val="5824342A"/>
    <w:rsid w:val="58456A49"/>
    <w:rsid w:val="584B3582"/>
    <w:rsid w:val="585C536F"/>
    <w:rsid w:val="58694A68"/>
    <w:rsid w:val="58907F4D"/>
    <w:rsid w:val="589C2BEA"/>
    <w:rsid w:val="58B75CC9"/>
    <w:rsid w:val="58C7128F"/>
    <w:rsid w:val="58C93758"/>
    <w:rsid w:val="58ED5699"/>
    <w:rsid w:val="58ED6461"/>
    <w:rsid w:val="59162550"/>
    <w:rsid w:val="593257A1"/>
    <w:rsid w:val="5934151A"/>
    <w:rsid w:val="594159E5"/>
    <w:rsid w:val="59417793"/>
    <w:rsid w:val="594D3F55"/>
    <w:rsid w:val="594D4389"/>
    <w:rsid w:val="594F1EAF"/>
    <w:rsid w:val="59551C89"/>
    <w:rsid w:val="59590F80"/>
    <w:rsid w:val="595A7E22"/>
    <w:rsid w:val="596100A0"/>
    <w:rsid w:val="59831B59"/>
    <w:rsid w:val="59A26483"/>
    <w:rsid w:val="59B47F65"/>
    <w:rsid w:val="59B83EF9"/>
    <w:rsid w:val="59BE7035"/>
    <w:rsid w:val="59E21AF1"/>
    <w:rsid w:val="59E854F3"/>
    <w:rsid w:val="59F74D15"/>
    <w:rsid w:val="59F86512"/>
    <w:rsid w:val="59FB5B93"/>
    <w:rsid w:val="5A183025"/>
    <w:rsid w:val="5A184997"/>
    <w:rsid w:val="5A1D0200"/>
    <w:rsid w:val="5A235F34"/>
    <w:rsid w:val="5A2E5F69"/>
    <w:rsid w:val="5A3711D8"/>
    <w:rsid w:val="5A37717F"/>
    <w:rsid w:val="5A377A3D"/>
    <w:rsid w:val="5A3D7F5A"/>
    <w:rsid w:val="5A504131"/>
    <w:rsid w:val="5A604218"/>
    <w:rsid w:val="5A647BDD"/>
    <w:rsid w:val="5A690D4F"/>
    <w:rsid w:val="5A6A4571"/>
    <w:rsid w:val="5A7D2A4C"/>
    <w:rsid w:val="5A7D47FA"/>
    <w:rsid w:val="5A7E7BA4"/>
    <w:rsid w:val="5A843DDB"/>
    <w:rsid w:val="5A900364"/>
    <w:rsid w:val="5AA4447D"/>
    <w:rsid w:val="5AA63D51"/>
    <w:rsid w:val="5AB20948"/>
    <w:rsid w:val="5AC01561"/>
    <w:rsid w:val="5AC52078"/>
    <w:rsid w:val="5AC73CC7"/>
    <w:rsid w:val="5ACA7B36"/>
    <w:rsid w:val="5AD07020"/>
    <w:rsid w:val="5AE54598"/>
    <w:rsid w:val="5AF53A87"/>
    <w:rsid w:val="5AFF16B3"/>
    <w:rsid w:val="5B1A3CB1"/>
    <w:rsid w:val="5B2555BE"/>
    <w:rsid w:val="5B4B2B4A"/>
    <w:rsid w:val="5B4B66A7"/>
    <w:rsid w:val="5B4C1057"/>
    <w:rsid w:val="5B4D7869"/>
    <w:rsid w:val="5BA27B68"/>
    <w:rsid w:val="5BA904C1"/>
    <w:rsid w:val="5BBC1352"/>
    <w:rsid w:val="5BD14DFE"/>
    <w:rsid w:val="5BFB1170"/>
    <w:rsid w:val="5C05719D"/>
    <w:rsid w:val="5C0F1DCA"/>
    <w:rsid w:val="5C14118E"/>
    <w:rsid w:val="5C1D44E7"/>
    <w:rsid w:val="5C1E5B2C"/>
    <w:rsid w:val="5C45027D"/>
    <w:rsid w:val="5C4D41BE"/>
    <w:rsid w:val="5C627828"/>
    <w:rsid w:val="5C7B5EC6"/>
    <w:rsid w:val="5C8408F0"/>
    <w:rsid w:val="5CA644DC"/>
    <w:rsid w:val="5CB309A7"/>
    <w:rsid w:val="5CB65A9B"/>
    <w:rsid w:val="5CC372E6"/>
    <w:rsid w:val="5CCC13DE"/>
    <w:rsid w:val="5CD06C55"/>
    <w:rsid w:val="5CDA23D8"/>
    <w:rsid w:val="5CDF79EE"/>
    <w:rsid w:val="5D0B2591"/>
    <w:rsid w:val="5D0E3E30"/>
    <w:rsid w:val="5D12712D"/>
    <w:rsid w:val="5D4F6922"/>
    <w:rsid w:val="5D503B37"/>
    <w:rsid w:val="5D5757D7"/>
    <w:rsid w:val="5D845EA0"/>
    <w:rsid w:val="5D8A5BAC"/>
    <w:rsid w:val="5D8B36D2"/>
    <w:rsid w:val="5D957858"/>
    <w:rsid w:val="5DA57798"/>
    <w:rsid w:val="5DAA0B36"/>
    <w:rsid w:val="5DB24AEC"/>
    <w:rsid w:val="5DCA41FA"/>
    <w:rsid w:val="5DD46E27"/>
    <w:rsid w:val="5DDD3E9C"/>
    <w:rsid w:val="5DE00D50"/>
    <w:rsid w:val="5E0019CA"/>
    <w:rsid w:val="5E033269"/>
    <w:rsid w:val="5E0E263D"/>
    <w:rsid w:val="5E14191A"/>
    <w:rsid w:val="5E176D14"/>
    <w:rsid w:val="5E264DEC"/>
    <w:rsid w:val="5E2F7312"/>
    <w:rsid w:val="5E350C36"/>
    <w:rsid w:val="5E376492"/>
    <w:rsid w:val="5E3B6EA6"/>
    <w:rsid w:val="5E3E6996"/>
    <w:rsid w:val="5E563CE0"/>
    <w:rsid w:val="5E5C6BAC"/>
    <w:rsid w:val="5E5D0BCB"/>
    <w:rsid w:val="5E8151EA"/>
    <w:rsid w:val="5E824AD5"/>
    <w:rsid w:val="5E8611A0"/>
    <w:rsid w:val="5E884415"/>
    <w:rsid w:val="5E8A398A"/>
    <w:rsid w:val="5E8C325E"/>
    <w:rsid w:val="5EA467FA"/>
    <w:rsid w:val="5EC21376"/>
    <w:rsid w:val="5ECB022A"/>
    <w:rsid w:val="5EDB5B03"/>
    <w:rsid w:val="5EE25574"/>
    <w:rsid w:val="5EFA466C"/>
    <w:rsid w:val="5F083C3B"/>
    <w:rsid w:val="5F11646E"/>
    <w:rsid w:val="5F1E649A"/>
    <w:rsid w:val="5F2B0CC9"/>
    <w:rsid w:val="5F2E1C4C"/>
    <w:rsid w:val="5F3833E6"/>
    <w:rsid w:val="5F385DC0"/>
    <w:rsid w:val="5F3A715E"/>
    <w:rsid w:val="5F4F0E5B"/>
    <w:rsid w:val="5F531FCE"/>
    <w:rsid w:val="5F647D0E"/>
    <w:rsid w:val="5F70167D"/>
    <w:rsid w:val="5F702B80"/>
    <w:rsid w:val="5F7F7267"/>
    <w:rsid w:val="5F83307C"/>
    <w:rsid w:val="5F84420F"/>
    <w:rsid w:val="5F8E1258"/>
    <w:rsid w:val="5F9C5723"/>
    <w:rsid w:val="5FBC7B73"/>
    <w:rsid w:val="5FD749AD"/>
    <w:rsid w:val="5FEF00E4"/>
    <w:rsid w:val="5FF67D76"/>
    <w:rsid w:val="600357A2"/>
    <w:rsid w:val="6015606F"/>
    <w:rsid w:val="602776E2"/>
    <w:rsid w:val="602D281F"/>
    <w:rsid w:val="603040BD"/>
    <w:rsid w:val="6031472F"/>
    <w:rsid w:val="60343BAD"/>
    <w:rsid w:val="603718EF"/>
    <w:rsid w:val="603B5A7D"/>
    <w:rsid w:val="60502DDD"/>
    <w:rsid w:val="60567FC7"/>
    <w:rsid w:val="60634492"/>
    <w:rsid w:val="606721D5"/>
    <w:rsid w:val="606A5821"/>
    <w:rsid w:val="60793CB6"/>
    <w:rsid w:val="60813C60"/>
    <w:rsid w:val="60824919"/>
    <w:rsid w:val="60854409"/>
    <w:rsid w:val="60885CA7"/>
    <w:rsid w:val="609B1E7E"/>
    <w:rsid w:val="60AF11AF"/>
    <w:rsid w:val="60D40EEC"/>
    <w:rsid w:val="60DD4245"/>
    <w:rsid w:val="60F01878"/>
    <w:rsid w:val="611D6D37"/>
    <w:rsid w:val="6122434D"/>
    <w:rsid w:val="61330309"/>
    <w:rsid w:val="61377E0E"/>
    <w:rsid w:val="613F0A5C"/>
    <w:rsid w:val="6152499D"/>
    <w:rsid w:val="615A7954"/>
    <w:rsid w:val="615D111D"/>
    <w:rsid w:val="61665E0A"/>
    <w:rsid w:val="616D02E8"/>
    <w:rsid w:val="61720E31"/>
    <w:rsid w:val="61804484"/>
    <w:rsid w:val="618E553F"/>
    <w:rsid w:val="61952D71"/>
    <w:rsid w:val="61972AF5"/>
    <w:rsid w:val="619D39D4"/>
    <w:rsid w:val="61B2747F"/>
    <w:rsid w:val="61BA4B64"/>
    <w:rsid w:val="61C471B3"/>
    <w:rsid w:val="61CF0031"/>
    <w:rsid w:val="61D82A32"/>
    <w:rsid w:val="61DA7617"/>
    <w:rsid w:val="61E12825"/>
    <w:rsid w:val="61EE5FDE"/>
    <w:rsid w:val="61F401C1"/>
    <w:rsid w:val="61F53810"/>
    <w:rsid w:val="620B4DE2"/>
    <w:rsid w:val="622B0FE0"/>
    <w:rsid w:val="622C1E2E"/>
    <w:rsid w:val="623065F6"/>
    <w:rsid w:val="6255451F"/>
    <w:rsid w:val="62685D90"/>
    <w:rsid w:val="626C7049"/>
    <w:rsid w:val="627209BD"/>
    <w:rsid w:val="62732F9A"/>
    <w:rsid w:val="627666FF"/>
    <w:rsid w:val="62785F2D"/>
    <w:rsid w:val="6299063F"/>
    <w:rsid w:val="62A01AD4"/>
    <w:rsid w:val="62A2285E"/>
    <w:rsid w:val="62AA45FB"/>
    <w:rsid w:val="62BB6808"/>
    <w:rsid w:val="62C751AC"/>
    <w:rsid w:val="62EF0845"/>
    <w:rsid w:val="62F43112"/>
    <w:rsid w:val="62F53AC8"/>
    <w:rsid w:val="62FD472A"/>
    <w:rsid w:val="63041F5D"/>
    <w:rsid w:val="631F430E"/>
    <w:rsid w:val="63343EC4"/>
    <w:rsid w:val="635051A2"/>
    <w:rsid w:val="63521406"/>
    <w:rsid w:val="63690012"/>
    <w:rsid w:val="63710856"/>
    <w:rsid w:val="637473B8"/>
    <w:rsid w:val="637569B7"/>
    <w:rsid w:val="637A12C2"/>
    <w:rsid w:val="637F3CAB"/>
    <w:rsid w:val="63846BFA"/>
    <w:rsid w:val="638F59E4"/>
    <w:rsid w:val="63CC0145"/>
    <w:rsid w:val="63CC4F40"/>
    <w:rsid w:val="63CD111D"/>
    <w:rsid w:val="63D25BB7"/>
    <w:rsid w:val="63D34D92"/>
    <w:rsid w:val="63DA4A6C"/>
    <w:rsid w:val="63DF78FE"/>
    <w:rsid w:val="63E638BD"/>
    <w:rsid w:val="64335D0E"/>
    <w:rsid w:val="64416899"/>
    <w:rsid w:val="64471332"/>
    <w:rsid w:val="644F13EC"/>
    <w:rsid w:val="64833355"/>
    <w:rsid w:val="648869AC"/>
    <w:rsid w:val="64963088"/>
    <w:rsid w:val="64A84855"/>
    <w:rsid w:val="64B27796"/>
    <w:rsid w:val="64B90B25"/>
    <w:rsid w:val="64C25C2B"/>
    <w:rsid w:val="64D272F5"/>
    <w:rsid w:val="64D842EB"/>
    <w:rsid w:val="64EA5D49"/>
    <w:rsid w:val="64EC2CA8"/>
    <w:rsid w:val="64F34037"/>
    <w:rsid w:val="650A5824"/>
    <w:rsid w:val="650B034C"/>
    <w:rsid w:val="65242442"/>
    <w:rsid w:val="652516A6"/>
    <w:rsid w:val="652C579B"/>
    <w:rsid w:val="65312228"/>
    <w:rsid w:val="65362175"/>
    <w:rsid w:val="65501489"/>
    <w:rsid w:val="656C203B"/>
    <w:rsid w:val="65735506"/>
    <w:rsid w:val="6582360D"/>
    <w:rsid w:val="65875B1F"/>
    <w:rsid w:val="65905D2A"/>
    <w:rsid w:val="65B834E8"/>
    <w:rsid w:val="65BA2DA7"/>
    <w:rsid w:val="65D33265"/>
    <w:rsid w:val="65D5481D"/>
    <w:rsid w:val="65E24A27"/>
    <w:rsid w:val="65EE18C6"/>
    <w:rsid w:val="65F91B21"/>
    <w:rsid w:val="65FE7137"/>
    <w:rsid w:val="660C6084"/>
    <w:rsid w:val="663C4348"/>
    <w:rsid w:val="664A412A"/>
    <w:rsid w:val="664D3C1B"/>
    <w:rsid w:val="66507267"/>
    <w:rsid w:val="665925BF"/>
    <w:rsid w:val="66602D54"/>
    <w:rsid w:val="6663343E"/>
    <w:rsid w:val="6679056C"/>
    <w:rsid w:val="66845C57"/>
    <w:rsid w:val="66884C53"/>
    <w:rsid w:val="66A32DF3"/>
    <w:rsid w:val="66B5531C"/>
    <w:rsid w:val="66C0737C"/>
    <w:rsid w:val="66C17E25"/>
    <w:rsid w:val="66C8504F"/>
    <w:rsid w:val="66CA77F2"/>
    <w:rsid w:val="66CE16B9"/>
    <w:rsid w:val="66D47E98"/>
    <w:rsid w:val="66DB4D83"/>
    <w:rsid w:val="66F301BC"/>
    <w:rsid w:val="66F95B50"/>
    <w:rsid w:val="671169F6"/>
    <w:rsid w:val="6712276E"/>
    <w:rsid w:val="6723497B"/>
    <w:rsid w:val="674D51E2"/>
    <w:rsid w:val="676670BE"/>
    <w:rsid w:val="67693568"/>
    <w:rsid w:val="676E79D1"/>
    <w:rsid w:val="676F196F"/>
    <w:rsid w:val="67706AF4"/>
    <w:rsid w:val="677879E5"/>
    <w:rsid w:val="67851192"/>
    <w:rsid w:val="67857320"/>
    <w:rsid w:val="67890C82"/>
    <w:rsid w:val="678E4E6A"/>
    <w:rsid w:val="67A40418"/>
    <w:rsid w:val="67C41CBB"/>
    <w:rsid w:val="67CE4ADF"/>
    <w:rsid w:val="67D57A24"/>
    <w:rsid w:val="67DD7FBB"/>
    <w:rsid w:val="67E97973"/>
    <w:rsid w:val="67EB5499"/>
    <w:rsid w:val="67F105D6"/>
    <w:rsid w:val="67F551E4"/>
    <w:rsid w:val="68171DB6"/>
    <w:rsid w:val="681C38A5"/>
    <w:rsid w:val="68264723"/>
    <w:rsid w:val="68441D23"/>
    <w:rsid w:val="68447580"/>
    <w:rsid w:val="6845219F"/>
    <w:rsid w:val="68530388"/>
    <w:rsid w:val="6853303E"/>
    <w:rsid w:val="68550A7C"/>
    <w:rsid w:val="685A3F49"/>
    <w:rsid w:val="685C0145"/>
    <w:rsid w:val="68637551"/>
    <w:rsid w:val="686D5EAE"/>
    <w:rsid w:val="68790CF7"/>
    <w:rsid w:val="68907DEF"/>
    <w:rsid w:val="6894168D"/>
    <w:rsid w:val="689C543D"/>
    <w:rsid w:val="68AD274F"/>
    <w:rsid w:val="68B95597"/>
    <w:rsid w:val="68C61A62"/>
    <w:rsid w:val="68F30B57"/>
    <w:rsid w:val="69046375"/>
    <w:rsid w:val="69164798"/>
    <w:rsid w:val="69253B7F"/>
    <w:rsid w:val="693C1432"/>
    <w:rsid w:val="694E0E9C"/>
    <w:rsid w:val="695B21AB"/>
    <w:rsid w:val="6961756C"/>
    <w:rsid w:val="697A2F79"/>
    <w:rsid w:val="69825989"/>
    <w:rsid w:val="698F5D22"/>
    <w:rsid w:val="69935DE8"/>
    <w:rsid w:val="69961435"/>
    <w:rsid w:val="699658D9"/>
    <w:rsid w:val="69967687"/>
    <w:rsid w:val="699F478D"/>
    <w:rsid w:val="69A7605A"/>
    <w:rsid w:val="69B47B0D"/>
    <w:rsid w:val="69B67D29"/>
    <w:rsid w:val="69C935B8"/>
    <w:rsid w:val="69DD7064"/>
    <w:rsid w:val="69E06B54"/>
    <w:rsid w:val="69F73BD6"/>
    <w:rsid w:val="6A06480C"/>
    <w:rsid w:val="6A0E1913"/>
    <w:rsid w:val="6A106897"/>
    <w:rsid w:val="6A2B2113"/>
    <w:rsid w:val="6A311E96"/>
    <w:rsid w:val="6A3D5D54"/>
    <w:rsid w:val="6A3F25DC"/>
    <w:rsid w:val="6A4918D6"/>
    <w:rsid w:val="6A4B4337"/>
    <w:rsid w:val="6A576E16"/>
    <w:rsid w:val="6A695499"/>
    <w:rsid w:val="6A6B28C1"/>
    <w:rsid w:val="6A8954A7"/>
    <w:rsid w:val="6AB029CA"/>
    <w:rsid w:val="6AB30270"/>
    <w:rsid w:val="6AB87893"/>
    <w:rsid w:val="6AC344AB"/>
    <w:rsid w:val="6AC41FD2"/>
    <w:rsid w:val="6AC86D5F"/>
    <w:rsid w:val="6ADF0BB9"/>
    <w:rsid w:val="6B023E82"/>
    <w:rsid w:val="6B0A032C"/>
    <w:rsid w:val="6B144D07"/>
    <w:rsid w:val="6B3D425E"/>
    <w:rsid w:val="6B6242CB"/>
    <w:rsid w:val="6B6A1A47"/>
    <w:rsid w:val="6B6A2B79"/>
    <w:rsid w:val="6B6A4927"/>
    <w:rsid w:val="6B6C5B5D"/>
    <w:rsid w:val="6B882FFF"/>
    <w:rsid w:val="6B8D0D5A"/>
    <w:rsid w:val="6B9C3E71"/>
    <w:rsid w:val="6BAE0CB8"/>
    <w:rsid w:val="6BBB6967"/>
    <w:rsid w:val="6BBE389B"/>
    <w:rsid w:val="6BC333DB"/>
    <w:rsid w:val="6BCB2DFA"/>
    <w:rsid w:val="6BE4292B"/>
    <w:rsid w:val="6BEC358E"/>
    <w:rsid w:val="6BFB5EC7"/>
    <w:rsid w:val="6C0E5BFA"/>
    <w:rsid w:val="6C0E769F"/>
    <w:rsid w:val="6C1A00FB"/>
    <w:rsid w:val="6C30791F"/>
    <w:rsid w:val="6C327292"/>
    <w:rsid w:val="6C3A079D"/>
    <w:rsid w:val="6C3A69EF"/>
    <w:rsid w:val="6C4A6097"/>
    <w:rsid w:val="6C517895"/>
    <w:rsid w:val="6C6441F6"/>
    <w:rsid w:val="6C6B7647"/>
    <w:rsid w:val="6C7A6DEC"/>
    <w:rsid w:val="6C890F9B"/>
    <w:rsid w:val="6C8944FD"/>
    <w:rsid w:val="6C9E4D69"/>
    <w:rsid w:val="6CBC7404"/>
    <w:rsid w:val="6CD209D6"/>
    <w:rsid w:val="6CD504C6"/>
    <w:rsid w:val="6CDC5652"/>
    <w:rsid w:val="6CF24C8F"/>
    <w:rsid w:val="6D083A72"/>
    <w:rsid w:val="6D1725BF"/>
    <w:rsid w:val="6D20018F"/>
    <w:rsid w:val="6D365DA8"/>
    <w:rsid w:val="6D3B5236"/>
    <w:rsid w:val="6D91263F"/>
    <w:rsid w:val="6D934609"/>
    <w:rsid w:val="6DAA54AF"/>
    <w:rsid w:val="6DAC7479"/>
    <w:rsid w:val="6DAF6F69"/>
    <w:rsid w:val="6DBE71AC"/>
    <w:rsid w:val="6DC30E4C"/>
    <w:rsid w:val="6DDB7D5E"/>
    <w:rsid w:val="6DE56617"/>
    <w:rsid w:val="6DF1359C"/>
    <w:rsid w:val="6E0077C5"/>
    <w:rsid w:val="6E230912"/>
    <w:rsid w:val="6E2E60E0"/>
    <w:rsid w:val="6E46167B"/>
    <w:rsid w:val="6E505F87"/>
    <w:rsid w:val="6E552BF0"/>
    <w:rsid w:val="6E6A3208"/>
    <w:rsid w:val="6E6C6C08"/>
    <w:rsid w:val="6E781AB9"/>
    <w:rsid w:val="6E7C625A"/>
    <w:rsid w:val="6E7D2BC3"/>
    <w:rsid w:val="6E9C573F"/>
    <w:rsid w:val="6EA36ACE"/>
    <w:rsid w:val="6EAE1D16"/>
    <w:rsid w:val="6EAF37ED"/>
    <w:rsid w:val="6EB03BA2"/>
    <w:rsid w:val="6EB81E4D"/>
    <w:rsid w:val="6EBB1D37"/>
    <w:rsid w:val="6EBE022D"/>
    <w:rsid w:val="6EC02A64"/>
    <w:rsid w:val="6EC72090"/>
    <w:rsid w:val="6ECF4ECB"/>
    <w:rsid w:val="6EEA28A8"/>
    <w:rsid w:val="6EFA2466"/>
    <w:rsid w:val="6F060E0B"/>
    <w:rsid w:val="6F062BB9"/>
    <w:rsid w:val="6F0F2B42"/>
    <w:rsid w:val="6F116A10"/>
    <w:rsid w:val="6F176B74"/>
    <w:rsid w:val="6F1F1ECC"/>
    <w:rsid w:val="6F2177A4"/>
    <w:rsid w:val="6F287EC6"/>
    <w:rsid w:val="6F3040D9"/>
    <w:rsid w:val="6F4656AB"/>
    <w:rsid w:val="6F631DB9"/>
    <w:rsid w:val="6F660C96"/>
    <w:rsid w:val="6F743FC6"/>
    <w:rsid w:val="6F7C10CD"/>
    <w:rsid w:val="6F8A37EA"/>
    <w:rsid w:val="6F9B77A5"/>
    <w:rsid w:val="6F9F2147"/>
    <w:rsid w:val="6FA24C9A"/>
    <w:rsid w:val="6FA66539"/>
    <w:rsid w:val="6FAC7C04"/>
    <w:rsid w:val="6FB22D40"/>
    <w:rsid w:val="6FB24AEE"/>
    <w:rsid w:val="6FB645DF"/>
    <w:rsid w:val="6FCC5BB0"/>
    <w:rsid w:val="6FDB5DF3"/>
    <w:rsid w:val="6FE949B4"/>
    <w:rsid w:val="7013090D"/>
    <w:rsid w:val="701D640C"/>
    <w:rsid w:val="70455963"/>
    <w:rsid w:val="704C4F43"/>
    <w:rsid w:val="70585696"/>
    <w:rsid w:val="70597661"/>
    <w:rsid w:val="705F1FA8"/>
    <w:rsid w:val="7065213B"/>
    <w:rsid w:val="70784BAF"/>
    <w:rsid w:val="70822713"/>
    <w:rsid w:val="709B5583"/>
    <w:rsid w:val="70B76860"/>
    <w:rsid w:val="70E00B75"/>
    <w:rsid w:val="70F71654"/>
    <w:rsid w:val="70FA04FB"/>
    <w:rsid w:val="710B7D78"/>
    <w:rsid w:val="711C4915"/>
    <w:rsid w:val="711F7F62"/>
    <w:rsid w:val="713952F0"/>
    <w:rsid w:val="713F0604"/>
    <w:rsid w:val="71431E82"/>
    <w:rsid w:val="71744751"/>
    <w:rsid w:val="717958C4"/>
    <w:rsid w:val="719B1CDE"/>
    <w:rsid w:val="71A37250"/>
    <w:rsid w:val="71AC3EEB"/>
    <w:rsid w:val="71B15694"/>
    <w:rsid w:val="71CD20B4"/>
    <w:rsid w:val="71D21478"/>
    <w:rsid w:val="71D86FB8"/>
    <w:rsid w:val="71EA4A14"/>
    <w:rsid w:val="71FB5778"/>
    <w:rsid w:val="71FD4EBA"/>
    <w:rsid w:val="72005FE5"/>
    <w:rsid w:val="724A45D8"/>
    <w:rsid w:val="725561A2"/>
    <w:rsid w:val="72606A84"/>
    <w:rsid w:val="726531D2"/>
    <w:rsid w:val="72676064"/>
    <w:rsid w:val="7281233B"/>
    <w:rsid w:val="728A44BC"/>
    <w:rsid w:val="728E35F1"/>
    <w:rsid w:val="729055BB"/>
    <w:rsid w:val="72A5093A"/>
    <w:rsid w:val="72A66B8C"/>
    <w:rsid w:val="72A93F87"/>
    <w:rsid w:val="72C26316"/>
    <w:rsid w:val="72CB1E47"/>
    <w:rsid w:val="72CE60E3"/>
    <w:rsid w:val="72D07765"/>
    <w:rsid w:val="72E256EB"/>
    <w:rsid w:val="72F53670"/>
    <w:rsid w:val="733221CE"/>
    <w:rsid w:val="7338355D"/>
    <w:rsid w:val="734939BC"/>
    <w:rsid w:val="735760D9"/>
    <w:rsid w:val="736425A4"/>
    <w:rsid w:val="736507F6"/>
    <w:rsid w:val="739608A2"/>
    <w:rsid w:val="73AE6DDB"/>
    <w:rsid w:val="73AF1A71"/>
    <w:rsid w:val="73B771BF"/>
    <w:rsid w:val="73BB56D8"/>
    <w:rsid w:val="73C66DBA"/>
    <w:rsid w:val="73CA68AB"/>
    <w:rsid w:val="73CC54A1"/>
    <w:rsid w:val="73CD0149"/>
    <w:rsid w:val="73D47354"/>
    <w:rsid w:val="73DB3A20"/>
    <w:rsid w:val="73E4432F"/>
    <w:rsid w:val="7408739F"/>
    <w:rsid w:val="74181148"/>
    <w:rsid w:val="74371BBB"/>
    <w:rsid w:val="744213B0"/>
    <w:rsid w:val="74424693"/>
    <w:rsid w:val="744D4DE6"/>
    <w:rsid w:val="744F58C8"/>
    <w:rsid w:val="7452064E"/>
    <w:rsid w:val="74566390"/>
    <w:rsid w:val="74592522"/>
    <w:rsid w:val="745C1EFA"/>
    <w:rsid w:val="7463285B"/>
    <w:rsid w:val="74683033"/>
    <w:rsid w:val="74742412"/>
    <w:rsid w:val="749649DF"/>
    <w:rsid w:val="74A013B9"/>
    <w:rsid w:val="74D3353D"/>
    <w:rsid w:val="74EA0887"/>
    <w:rsid w:val="75023E22"/>
    <w:rsid w:val="75137DDD"/>
    <w:rsid w:val="751B43BB"/>
    <w:rsid w:val="751B4DE5"/>
    <w:rsid w:val="751C1388"/>
    <w:rsid w:val="75202E13"/>
    <w:rsid w:val="752601BF"/>
    <w:rsid w:val="75337D3B"/>
    <w:rsid w:val="75371D1E"/>
    <w:rsid w:val="7544268D"/>
    <w:rsid w:val="754937FF"/>
    <w:rsid w:val="754E16A6"/>
    <w:rsid w:val="755234B5"/>
    <w:rsid w:val="755A1EB0"/>
    <w:rsid w:val="75703482"/>
    <w:rsid w:val="75853A5B"/>
    <w:rsid w:val="758A3766"/>
    <w:rsid w:val="758E56B6"/>
    <w:rsid w:val="75B43D73"/>
    <w:rsid w:val="75B95618"/>
    <w:rsid w:val="75BE243F"/>
    <w:rsid w:val="75BF1D13"/>
    <w:rsid w:val="75D10261"/>
    <w:rsid w:val="75E47073"/>
    <w:rsid w:val="75EE6984"/>
    <w:rsid w:val="75FA0295"/>
    <w:rsid w:val="760B4F58"/>
    <w:rsid w:val="76163CBB"/>
    <w:rsid w:val="762A1882"/>
    <w:rsid w:val="763D1574"/>
    <w:rsid w:val="76402E54"/>
    <w:rsid w:val="76432944"/>
    <w:rsid w:val="765C023B"/>
    <w:rsid w:val="766F1A66"/>
    <w:rsid w:val="7680770F"/>
    <w:rsid w:val="76856AB9"/>
    <w:rsid w:val="76960CC6"/>
    <w:rsid w:val="76962A74"/>
    <w:rsid w:val="769F401E"/>
    <w:rsid w:val="76A95A97"/>
    <w:rsid w:val="76AF3B36"/>
    <w:rsid w:val="76B64EC4"/>
    <w:rsid w:val="76CD45B5"/>
    <w:rsid w:val="76D0242A"/>
    <w:rsid w:val="76D57C0C"/>
    <w:rsid w:val="76D87530"/>
    <w:rsid w:val="76D95E5B"/>
    <w:rsid w:val="76F81981"/>
    <w:rsid w:val="77100FB2"/>
    <w:rsid w:val="77107706"/>
    <w:rsid w:val="77126348"/>
    <w:rsid w:val="7715608F"/>
    <w:rsid w:val="77203FC0"/>
    <w:rsid w:val="77291B3A"/>
    <w:rsid w:val="772E53A2"/>
    <w:rsid w:val="773D7394"/>
    <w:rsid w:val="774262AE"/>
    <w:rsid w:val="77505319"/>
    <w:rsid w:val="775748F9"/>
    <w:rsid w:val="775D45CC"/>
    <w:rsid w:val="77642B72"/>
    <w:rsid w:val="777C7EBC"/>
    <w:rsid w:val="77951E3D"/>
    <w:rsid w:val="77B84C6C"/>
    <w:rsid w:val="77D6608E"/>
    <w:rsid w:val="77D74034"/>
    <w:rsid w:val="77D9530E"/>
    <w:rsid w:val="77E31566"/>
    <w:rsid w:val="77E617D9"/>
    <w:rsid w:val="780138F5"/>
    <w:rsid w:val="780305DD"/>
    <w:rsid w:val="78094110"/>
    <w:rsid w:val="780C1594"/>
    <w:rsid w:val="780C79C8"/>
    <w:rsid w:val="78174088"/>
    <w:rsid w:val="782C44A0"/>
    <w:rsid w:val="783E4015"/>
    <w:rsid w:val="785E00D6"/>
    <w:rsid w:val="786077DD"/>
    <w:rsid w:val="78686692"/>
    <w:rsid w:val="786F242F"/>
    <w:rsid w:val="787D41E2"/>
    <w:rsid w:val="787E69C5"/>
    <w:rsid w:val="788077B1"/>
    <w:rsid w:val="7882092D"/>
    <w:rsid w:val="78896770"/>
    <w:rsid w:val="789E20B4"/>
    <w:rsid w:val="78A91184"/>
    <w:rsid w:val="78A96B1D"/>
    <w:rsid w:val="78AD5FC2"/>
    <w:rsid w:val="78C94EF5"/>
    <w:rsid w:val="78CC3EAC"/>
    <w:rsid w:val="78D67AA0"/>
    <w:rsid w:val="78D930EC"/>
    <w:rsid w:val="78E026CC"/>
    <w:rsid w:val="78E81250"/>
    <w:rsid w:val="78EE0E61"/>
    <w:rsid w:val="78EF290F"/>
    <w:rsid w:val="78F3642B"/>
    <w:rsid w:val="78F46178"/>
    <w:rsid w:val="791529B3"/>
    <w:rsid w:val="79166B2C"/>
    <w:rsid w:val="791C2EDB"/>
    <w:rsid w:val="791F31F5"/>
    <w:rsid w:val="79295E21"/>
    <w:rsid w:val="79350CE9"/>
    <w:rsid w:val="79366790"/>
    <w:rsid w:val="793F3856"/>
    <w:rsid w:val="79464C25"/>
    <w:rsid w:val="794B3FEA"/>
    <w:rsid w:val="79554E68"/>
    <w:rsid w:val="79570BE0"/>
    <w:rsid w:val="79773031"/>
    <w:rsid w:val="79853FD7"/>
    <w:rsid w:val="7991596C"/>
    <w:rsid w:val="799D47A3"/>
    <w:rsid w:val="799F4335"/>
    <w:rsid w:val="79AD6A52"/>
    <w:rsid w:val="79B0209F"/>
    <w:rsid w:val="79C1605A"/>
    <w:rsid w:val="79C6605A"/>
    <w:rsid w:val="79DF2984"/>
    <w:rsid w:val="79ED42B3"/>
    <w:rsid w:val="7A01243A"/>
    <w:rsid w:val="7A2B12FD"/>
    <w:rsid w:val="7A2D1FFE"/>
    <w:rsid w:val="7A3251AA"/>
    <w:rsid w:val="7A543372"/>
    <w:rsid w:val="7A5944E4"/>
    <w:rsid w:val="7A85177D"/>
    <w:rsid w:val="7A8A33F2"/>
    <w:rsid w:val="7A923E9A"/>
    <w:rsid w:val="7A9419C0"/>
    <w:rsid w:val="7A9C0875"/>
    <w:rsid w:val="7AAF2754"/>
    <w:rsid w:val="7AB756AF"/>
    <w:rsid w:val="7ACC3AB5"/>
    <w:rsid w:val="7AD51A4C"/>
    <w:rsid w:val="7AE446F6"/>
    <w:rsid w:val="7AE5221C"/>
    <w:rsid w:val="7AE57589"/>
    <w:rsid w:val="7AE87C4C"/>
    <w:rsid w:val="7B0326A2"/>
    <w:rsid w:val="7B354F51"/>
    <w:rsid w:val="7B3D5BB4"/>
    <w:rsid w:val="7B407452"/>
    <w:rsid w:val="7B462A30"/>
    <w:rsid w:val="7B4C4049"/>
    <w:rsid w:val="7B677736"/>
    <w:rsid w:val="7B690757"/>
    <w:rsid w:val="7B6C6499"/>
    <w:rsid w:val="7B724037"/>
    <w:rsid w:val="7B8330AA"/>
    <w:rsid w:val="7B8A11F3"/>
    <w:rsid w:val="7BA23C69"/>
    <w:rsid w:val="7BA45C33"/>
    <w:rsid w:val="7BA628FF"/>
    <w:rsid w:val="7BC25940"/>
    <w:rsid w:val="7BD2334F"/>
    <w:rsid w:val="7BD61B65"/>
    <w:rsid w:val="7BDD2EF3"/>
    <w:rsid w:val="7BE05E74"/>
    <w:rsid w:val="7C0D7104"/>
    <w:rsid w:val="7C1769C9"/>
    <w:rsid w:val="7C181D89"/>
    <w:rsid w:val="7C236B67"/>
    <w:rsid w:val="7C3767B5"/>
    <w:rsid w:val="7C417926"/>
    <w:rsid w:val="7C5331B5"/>
    <w:rsid w:val="7C945CA8"/>
    <w:rsid w:val="7C961A20"/>
    <w:rsid w:val="7CAE5B78"/>
    <w:rsid w:val="7CB023B6"/>
    <w:rsid w:val="7CB65C1E"/>
    <w:rsid w:val="7CBB5D8F"/>
    <w:rsid w:val="7CC7041E"/>
    <w:rsid w:val="7CC75021"/>
    <w:rsid w:val="7CCF542A"/>
    <w:rsid w:val="7CD442F6"/>
    <w:rsid w:val="7CE3278B"/>
    <w:rsid w:val="7CED360A"/>
    <w:rsid w:val="7CEF1130"/>
    <w:rsid w:val="7CF44998"/>
    <w:rsid w:val="7CFA4317"/>
    <w:rsid w:val="7D011DF0"/>
    <w:rsid w:val="7D130042"/>
    <w:rsid w:val="7D221505"/>
    <w:rsid w:val="7D272678"/>
    <w:rsid w:val="7D284642"/>
    <w:rsid w:val="7D3A787F"/>
    <w:rsid w:val="7D3B1482"/>
    <w:rsid w:val="7D3C5A67"/>
    <w:rsid w:val="7D553689"/>
    <w:rsid w:val="7D584F27"/>
    <w:rsid w:val="7D5A660C"/>
    <w:rsid w:val="7D6531A0"/>
    <w:rsid w:val="7D750C73"/>
    <w:rsid w:val="7D80447E"/>
    <w:rsid w:val="7D815226"/>
    <w:rsid w:val="7D8201F6"/>
    <w:rsid w:val="7D8E26F7"/>
    <w:rsid w:val="7D9046C1"/>
    <w:rsid w:val="7D931EB5"/>
    <w:rsid w:val="7DBE4F88"/>
    <w:rsid w:val="7DCB394B"/>
    <w:rsid w:val="7DDD71DA"/>
    <w:rsid w:val="7DE87F8A"/>
    <w:rsid w:val="7DF507F3"/>
    <w:rsid w:val="7E002EC9"/>
    <w:rsid w:val="7E01736D"/>
    <w:rsid w:val="7E1A7720"/>
    <w:rsid w:val="7E277888"/>
    <w:rsid w:val="7E3D11FA"/>
    <w:rsid w:val="7E3E411D"/>
    <w:rsid w:val="7E68119A"/>
    <w:rsid w:val="7E74391E"/>
    <w:rsid w:val="7E7C6F92"/>
    <w:rsid w:val="7E7E749C"/>
    <w:rsid w:val="7E843AFA"/>
    <w:rsid w:val="7E9A4950"/>
    <w:rsid w:val="7EA36676"/>
    <w:rsid w:val="7EAB72D9"/>
    <w:rsid w:val="7EBE003A"/>
    <w:rsid w:val="7EC34622"/>
    <w:rsid w:val="7EC56AE5"/>
    <w:rsid w:val="7ED14F91"/>
    <w:rsid w:val="7ED700CE"/>
    <w:rsid w:val="7EF42A2E"/>
    <w:rsid w:val="7F032C71"/>
    <w:rsid w:val="7F086B76"/>
    <w:rsid w:val="7F1B445E"/>
    <w:rsid w:val="7F1E2996"/>
    <w:rsid w:val="7F211349"/>
    <w:rsid w:val="7F2D1F8D"/>
    <w:rsid w:val="7F313C82"/>
    <w:rsid w:val="7F39127B"/>
    <w:rsid w:val="7F3B065C"/>
    <w:rsid w:val="7F3E1EFB"/>
    <w:rsid w:val="7F4C091A"/>
    <w:rsid w:val="7F4E570E"/>
    <w:rsid w:val="7F606315"/>
    <w:rsid w:val="7F792E5F"/>
    <w:rsid w:val="7F7F5AC1"/>
    <w:rsid w:val="7F853FCE"/>
    <w:rsid w:val="7F8801B9"/>
    <w:rsid w:val="7FA01EC7"/>
    <w:rsid w:val="7FA26D74"/>
    <w:rsid w:val="7FAE52D2"/>
    <w:rsid w:val="7FB3085A"/>
    <w:rsid w:val="7FC22B2C"/>
    <w:rsid w:val="7FC5214D"/>
    <w:rsid w:val="7FDD5BB8"/>
    <w:rsid w:val="7FE64A6C"/>
    <w:rsid w:val="7FE72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1"/>
    <w:qFormat/>
    <w:uiPriority w:val="0"/>
    <w:pPr>
      <w:keepNext/>
      <w:jc w:val="center"/>
      <w:outlineLvl w:val="3"/>
    </w:pPr>
    <w:rPr>
      <w:rFonts w:eastAsia="新宋体"/>
      <w:kern w:val="0"/>
      <w:sz w:val="30"/>
      <w:szCs w:val="21"/>
    </w:rPr>
  </w:style>
  <w:style w:type="paragraph" w:styleId="6">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3"/>
    <w:qFormat/>
    <w:uiPriority w:val="0"/>
    <w:pPr>
      <w:keepNext/>
      <w:jc w:val="center"/>
      <w:outlineLvl w:val="5"/>
    </w:pPr>
    <w:rPr>
      <w:b/>
      <w:kern w:val="0"/>
      <w:sz w:val="44"/>
      <w:szCs w:val="20"/>
    </w:rPr>
  </w:style>
  <w:style w:type="paragraph" w:styleId="9">
    <w:name w:val="heading 7"/>
    <w:basedOn w:val="1"/>
    <w:next w:val="1"/>
    <w:link w:val="56"/>
    <w:qFormat/>
    <w:uiPriority w:val="0"/>
    <w:pPr>
      <w:keepNext/>
      <w:keepLines/>
      <w:spacing w:before="240" w:after="64" w:line="320" w:lineRule="auto"/>
      <w:outlineLvl w:val="6"/>
    </w:pPr>
    <w:rPr>
      <w:b/>
      <w:bCs/>
      <w:kern w:val="0"/>
      <w:sz w:val="24"/>
    </w:rPr>
  </w:style>
  <w:style w:type="paragraph" w:styleId="10">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4"/>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59"/>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0"/>
    <w:qFormat/>
    <w:uiPriority w:val="99"/>
    <w:pPr>
      <w:jc w:val="left"/>
    </w:pPr>
  </w:style>
  <w:style w:type="paragraph" w:styleId="16">
    <w:name w:val="Body Text 3"/>
    <w:basedOn w:val="1"/>
    <w:link w:val="60"/>
    <w:qFormat/>
    <w:uiPriority w:val="0"/>
    <w:pPr>
      <w:spacing w:after="120"/>
    </w:pPr>
    <w:rPr>
      <w:kern w:val="0"/>
      <w:sz w:val="16"/>
      <w:szCs w:val="16"/>
    </w:rPr>
  </w:style>
  <w:style w:type="paragraph" w:styleId="17">
    <w:name w:val="Body Text"/>
    <w:basedOn w:val="1"/>
    <w:next w:val="18"/>
    <w:link w:val="61"/>
    <w:qFormat/>
    <w:uiPriority w:val="0"/>
    <w:pPr>
      <w:spacing w:line="360" w:lineRule="auto"/>
      <w:ind w:firstLine="960" w:firstLineChars="200"/>
    </w:pPr>
    <w:rPr>
      <w:rFonts w:ascii="仿宋_GB2312" w:hAnsi="仿宋_GB2312"/>
      <w:kern w:val="0"/>
      <w:sz w:val="24"/>
      <w:szCs w:val="20"/>
    </w:rPr>
  </w:style>
  <w:style w:type="paragraph" w:customStyle="1" w:styleId="18">
    <w:name w:val="style4"/>
    <w:basedOn w:val="1"/>
    <w:next w:val="19"/>
    <w:qFormat/>
    <w:uiPriority w:val="0"/>
    <w:pPr>
      <w:widowControl/>
      <w:spacing w:before="280" w:after="280"/>
    </w:pPr>
    <w:rPr>
      <w:rFonts w:ascii="宋体"/>
      <w:sz w:val="18"/>
    </w:rPr>
  </w:style>
  <w:style w:type="paragraph" w:customStyle="1" w:styleId="19">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0">
    <w:name w:val="Body Text Indent"/>
    <w:basedOn w:val="1"/>
    <w:next w:val="21"/>
    <w:link w:val="62"/>
    <w:qFormat/>
    <w:uiPriority w:val="0"/>
    <w:pPr>
      <w:ind w:left="765"/>
    </w:pPr>
    <w:rPr>
      <w:rFonts w:ascii="仿宋_GB2312" w:eastAsia="仿宋_GB2312"/>
      <w:kern w:val="0"/>
      <w:sz w:val="28"/>
      <w:szCs w:val="20"/>
    </w:rPr>
  </w:style>
  <w:style w:type="paragraph" w:styleId="21">
    <w:name w:val="envelope return"/>
    <w:basedOn w:val="1"/>
    <w:qFormat/>
    <w:uiPriority w:val="99"/>
    <w:pPr>
      <w:snapToGrid w:val="0"/>
    </w:pPr>
    <w:rPr>
      <w:rFonts w:ascii="Arial" w:hAnsi="Arial"/>
    </w:rPr>
  </w:style>
  <w:style w:type="paragraph" w:styleId="22">
    <w:name w:val="Block Text"/>
    <w:basedOn w:val="1"/>
    <w:qFormat/>
    <w:uiPriority w:val="99"/>
  </w:style>
  <w:style w:type="paragraph" w:styleId="23">
    <w:name w:val="Plain Text"/>
    <w:basedOn w:val="1"/>
    <w:link w:val="55"/>
    <w:qFormat/>
    <w:uiPriority w:val="0"/>
    <w:rPr>
      <w:rFonts w:ascii="宋体" w:hAnsi="Courier New"/>
      <w:kern w:val="0"/>
      <w:sz w:val="20"/>
      <w:szCs w:val="21"/>
    </w:rPr>
  </w:style>
  <w:style w:type="paragraph" w:styleId="24">
    <w:name w:val="Date"/>
    <w:basedOn w:val="1"/>
    <w:next w:val="1"/>
    <w:link w:val="63"/>
    <w:qFormat/>
    <w:uiPriority w:val="0"/>
    <w:rPr>
      <w:kern w:val="0"/>
      <w:sz w:val="24"/>
      <w:szCs w:val="20"/>
    </w:rPr>
  </w:style>
  <w:style w:type="paragraph" w:styleId="25">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6">
    <w:name w:val="Balloon Text"/>
    <w:basedOn w:val="1"/>
    <w:link w:val="65"/>
    <w:qFormat/>
    <w:uiPriority w:val="0"/>
    <w:rPr>
      <w:kern w:val="0"/>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20"/>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4"/>
    <w:link w:val="68"/>
    <w:qFormat/>
    <w:uiPriority w:val="0"/>
    <w:pPr>
      <w:spacing w:after="120"/>
      <w:ind w:left="420" w:leftChars="200"/>
    </w:pPr>
    <w:rPr>
      <w:kern w:val="0"/>
      <w:sz w:val="16"/>
      <w:szCs w:val="16"/>
    </w:rPr>
  </w:style>
  <w:style w:type="paragraph" w:styleId="32">
    <w:name w:val="Body Text 2"/>
    <w:basedOn w:val="1"/>
    <w:next w:val="17"/>
    <w:link w:val="69"/>
    <w:qFormat/>
    <w:uiPriority w:val="0"/>
    <w:pPr>
      <w:snapToGrid w:val="0"/>
    </w:pPr>
    <w:rPr>
      <w:b/>
      <w:bCs/>
      <w:kern w:val="0"/>
      <w:sz w:val="18"/>
    </w:rPr>
  </w:style>
  <w:style w:type="paragraph" w:styleId="3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5"/>
    <w:next w:val="15"/>
    <w:link w:val="131"/>
    <w:qFormat/>
    <w:uiPriority w:val="99"/>
    <w:rPr>
      <w:b/>
      <w:bCs/>
    </w:rPr>
  </w:style>
  <w:style w:type="paragraph" w:styleId="36">
    <w:name w:val="Body Text First Indent"/>
    <w:basedOn w:val="17"/>
    <w:next w:val="1"/>
    <w:link w:val="70"/>
    <w:qFormat/>
    <w:uiPriority w:val="0"/>
    <w:pPr>
      <w:spacing w:after="120"/>
      <w:ind w:firstLine="420" w:firstLineChars="100"/>
    </w:pPr>
    <w:rPr>
      <w:rFonts w:ascii="Times New Roman"/>
      <w:szCs w:val="24"/>
    </w:rPr>
  </w:style>
  <w:style w:type="paragraph" w:styleId="37">
    <w:name w:val="Body Text First Indent 2"/>
    <w:basedOn w:val="20"/>
    <w:qFormat/>
    <w:uiPriority w:val="99"/>
    <w:pPr>
      <w:ind w:firstLine="480" w:firstLineChars="200"/>
    </w:pPr>
    <w:rPr>
      <w:rFonts w:ascii="宋体" w:hAnsi="宋体" w:cs="宋体"/>
      <w:sz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666666"/>
      <w:u w:val="none"/>
    </w:rPr>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qFormat/>
    <w:uiPriority w:val="99"/>
    <w:rPr>
      <w:sz w:val="21"/>
      <w:szCs w:val="21"/>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Char"/>
    <w:link w:val="2"/>
    <w:qFormat/>
    <w:uiPriority w:val="0"/>
    <w:rPr>
      <w:rFonts w:ascii="宋体" w:hAnsi="宋体" w:cs="宋体"/>
      <w:b/>
      <w:kern w:val="44"/>
      <w:sz w:val="24"/>
      <w:szCs w:val="24"/>
    </w:rPr>
  </w:style>
  <w:style w:type="character" w:customStyle="1" w:styleId="49">
    <w:name w:val="标题 2 Char"/>
    <w:link w:val="3"/>
    <w:qFormat/>
    <w:uiPriority w:val="0"/>
    <w:rPr>
      <w:rFonts w:ascii="Arial" w:hAnsi="Arial" w:eastAsia="黑体" w:cs="Times New Roman"/>
      <w:b/>
      <w:bCs/>
      <w:sz w:val="32"/>
      <w:szCs w:val="32"/>
    </w:rPr>
  </w:style>
  <w:style w:type="character" w:customStyle="1" w:styleId="50">
    <w:name w:val="标题 3 Char"/>
    <w:link w:val="4"/>
    <w:qFormat/>
    <w:uiPriority w:val="0"/>
    <w:rPr>
      <w:rFonts w:ascii="Times New Roman" w:hAnsi="Times New Roman" w:eastAsia="宋体" w:cs="Times New Roman"/>
      <w:b/>
      <w:bCs/>
      <w:sz w:val="32"/>
      <w:szCs w:val="32"/>
    </w:rPr>
  </w:style>
  <w:style w:type="character" w:customStyle="1" w:styleId="51">
    <w:name w:val="标题 4 Char"/>
    <w:link w:val="5"/>
    <w:qFormat/>
    <w:uiPriority w:val="0"/>
    <w:rPr>
      <w:rFonts w:ascii="Times New Roman" w:hAnsi="Times New Roman" w:eastAsia="新宋体" w:cs="Times New Roman"/>
      <w:sz w:val="30"/>
      <w:szCs w:val="21"/>
    </w:rPr>
  </w:style>
  <w:style w:type="character" w:customStyle="1" w:styleId="52">
    <w:name w:val="标题 5 Char"/>
    <w:link w:val="6"/>
    <w:qFormat/>
    <w:uiPriority w:val="0"/>
    <w:rPr>
      <w:rFonts w:ascii="Times New Roman" w:hAnsi="Times New Roman" w:eastAsia="宋体" w:cs="Times New Roman"/>
      <w:b/>
      <w:bCs/>
      <w:sz w:val="28"/>
      <w:szCs w:val="28"/>
    </w:rPr>
  </w:style>
  <w:style w:type="character" w:customStyle="1" w:styleId="53">
    <w:name w:val="标题 6 Char"/>
    <w:link w:val="7"/>
    <w:qFormat/>
    <w:uiPriority w:val="0"/>
    <w:rPr>
      <w:rFonts w:ascii="Times New Roman" w:hAnsi="Times New Roman" w:eastAsia="宋体" w:cs="Times New Roman"/>
      <w:b/>
      <w:sz w:val="44"/>
      <w:szCs w:val="20"/>
    </w:rPr>
  </w:style>
  <w:style w:type="character" w:customStyle="1" w:styleId="54">
    <w:name w:val="正文缩进 Char"/>
    <w:link w:val="8"/>
    <w:qFormat/>
    <w:uiPriority w:val="0"/>
    <w:rPr>
      <w:rFonts w:ascii="Times New Roman" w:hAnsi="Times New Roman" w:eastAsia="宋体" w:cs="Times New Roman"/>
      <w:kern w:val="0"/>
      <w:sz w:val="20"/>
      <w:szCs w:val="20"/>
    </w:rPr>
  </w:style>
  <w:style w:type="character" w:customStyle="1" w:styleId="55">
    <w:name w:val="纯文本 Char"/>
    <w:link w:val="23"/>
    <w:qFormat/>
    <w:uiPriority w:val="0"/>
    <w:rPr>
      <w:rFonts w:ascii="宋体" w:hAnsi="Courier New" w:eastAsia="宋体" w:cs="Courier New"/>
      <w:szCs w:val="21"/>
    </w:rPr>
  </w:style>
  <w:style w:type="character" w:customStyle="1" w:styleId="56">
    <w:name w:val="标题 7 Char"/>
    <w:link w:val="9"/>
    <w:qFormat/>
    <w:uiPriority w:val="0"/>
    <w:rPr>
      <w:rFonts w:ascii="Times New Roman" w:hAnsi="Times New Roman" w:eastAsia="宋体" w:cs="Times New Roman"/>
      <w:b/>
      <w:bCs/>
      <w:sz w:val="24"/>
      <w:szCs w:val="24"/>
    </w:rPr>
  </w:style>
  <w:style w:type="character" w:customStyle="1" w:styleId="57">
    <w:name w:val="标题 8 Char"/>
    <w:link w:val="10"/>
    <w:qFormat/>
    <w:uiPriority w:val="0"/>
    <w:rPr>
      <w:rFonts w:ascii="Arial" w:hAnsi="Arial" w:eastAsia="黑体" w:cs="Times New Roman"/>
      <w:sz w:val="24"/>
      <w:szCs w:val="24"/>
    </w:rPr>
  </w:style>
  <w:style w:type="character" w:customStyle="1" w:styleId="58">
    <w:name w:val="标题 9 Char"/>
    <w:link w:val="11"/>
    <w:qFormat/>
    <w:uiPriority w:val="0"/>
    <w:rPr>
      <w:rFonts w:ascii="Arial" w:hAnsi="Arial" w:eastAsia="黑体" w:cs="Times New Roman"/>
      <w:sz w:val="24"/>
      <w:szCs w:val="21"/>
    </w:rPr>
  </w:style>
  <w:style w:type="character" w:customStyle="1" w:styleId="59">
    <w:name w:val="文档结构图 Char"/>
    <w:link w:val="13"/>
    <w:qFormat/>
    <w:uiPriority w:val="0"/>
    <w:rPr>
      <w:szCs w:val="24"/>
      <w:shd w:val="clear" w:color="auto" w:fill="000080"/>
    </w:rPr>
  </w:style>
  <w:style w:type="character" w:customStyle="1" w:styleId="60">
    <w:name w:val="正文文本 3 Char"/>
    <w:link w:val="16"/>
    <w:qFormat/>
    <w:uiPriority w:val="0"/>
    <w:rPr>
      <w:rFonts w:ascii="Times New Roman" w:hAnsi="Times New Roman" w:eastAsia="宋体" w:cs="Times New Roman"/>
      <w:sz w:val="16"/>
      <w:szCs w:val="16"/>
    </w:rPr>
  </w:style>
  <w:style w:type="character" w:customStyle="1" w:styleId="61">
    <w:name w:val="正文文本 Char"/>
    <w:link w:val="17"/>
    <w:qFormat/>
    <w:uiPriority w:val="0"/>
    <w:rPr>
      <w:rFonts w:ascii="仿宋_GB2312" w:hAnsi="仿宋_GB2312" w:eastAsia="宋体" w:cs="Times New Roman"/>
      <w:sz w:val="24"/>
      <w:szCs w:val="20"/>
    </w:rPr>
  </w:style>
  <w:style w:type="character" w:customStyle="1" w:styleId="62">
    <w:name w:val="正文文本缩进 Char"/>
    <w:link w:val="20"/>
    <w:qFormat/>
    <w:uiPriority w:val="0"/>
    <w:rPr>
      <w:rFonts w:ascii="仿宋_GB2312" w:hAnsi="Times New Roman" w:eastAsia="仿宋_GB2312" w:cs="Times New Roman"/>
      <w:sz w:val="28"/>
      <w:szCs w:val="20"/>
    </w:rPr>
  </w:style>
  <w:style w:type="character" w:customStyle="1" w:styleId="63">
    <w:name w:val="日期 Char"/>
    <w:link w:val="24"/>
    <w:qFormat/>
    <w:uiPriority w:val="0"/>
    <w:rPr>
      <w:rFonts w:ascii="Times New Roman" w:hAnsi="Times New Roman" w:eastAsia="宋体" w:cs="Times New Roman"/>
      <w:sz w:val="24"/>
      <w:szCs w:val="20"/>
    </w:rPr>
  </w:style>
  <w:style w:type="character" w:customStyle="1" w:styleId="64">
    <w:name w:val="正文文本缩进 2 Char"/>
    <w:link w:val="25"/>
    <w:qFormat/>
    <w:uiPriority w:val="0"/>
    <w:rPr>
      <w:rFonts w:ascii="Times New Roman" w:hAnsi="Times New Roman" w:eastAsia="仿宋_GB2312" w:cs="Times New Roman"/>
      <w:sz w:val="28"/>
      <w:szCs w:val="20"/>
    </w:rPr>
  </w:style>
  <w:style w:type="character" w:customStyle="1" w:styleId="65">
    <w:name w:val="批注框文本 Char"/>
    <w:link w:val="26"/>
    <w:qFormat/>
    <w:uiPriority w:val="0"/>
    <w:rPr>
      <w:sz w:val="18"/>
      <w:szCs w:val="18"/>
    </w:rPr>
  </w:style>
  <w:style w:type="character" w:customStyle="1" w:styleId="66">
    <w:name w:val="页脚 Char1"/>
    <w:link w:val="27"/>
    <w:qFormat/>
    <w:uiPriority w:val="99"/>
    <w:rPr>
      <w:rFonts w:ascii="Times New Roman" w:hAnsi="Times New Roman" w:eastAsia="宋体" w:cs="Times New Roman"/>
      <w:sz w:val="18"/>
      <w:szCs w:val="20"/>
    </w:rPr>
  </w:style>
  <w:style w:type="character" w:customStyle="1" w:styleId="67">
    <w:name w:val="页眉 Char"/>
    <w:link w:val="28"/>
    <w:qFormat/>
    <w:uiPriority w:val="0"/>
    <w:rPr>
      <w:rFonts w:ascii="Times New Roman" w:hAnsi="Times New Roman" w:eastAsia="宋体" w:cs="Times New Roman"/>
      <w:sz w:val="18"/>
      <w:szCs w:val="18"/>
    </w:rPr>
  </w:style>
  <w:style w:type="character" w:customStyle="1" w:styleId="68">
    <w:name w:val="正文文本缩进 3 Char"/>
    <w:link w:val="31"/>
    <w:qFormat/>
    <w:uiPriority w:val="0"/>
    <w:rPr>
      <w:rFonts w:ascii="Times New Roman" w:hAnsi="Times New Roman" w:eastAsia="宋体" w:cs="Times New Roman"/>
      <w:sz w:val="16"/>
      <w:szCs w:val="16"/>
    </w:rPr>
  </w:style>
  <w:style w:type="character" w:customStyle="1" w:styleId="69">
    <w:name w:val="正文文本 2 Char"/>
    <w:link w:val="32"/>
    <w:qFormat/>
    <w:uiPriority w:val="0"/>
    <w:rPr>
      <w:rFonts w:ascii="Times New Roman" w:hAnsi="Times New Roman" w:eastAsia="宋体" w:cs="Times New Roman"/>
      <w:b/>
      <w:bCs/>
      <w:sz w:val="18"/>
      <w:szCs w:val="24"/>
    </w:rPr>
  </w:style>
  <w:style w:type="character" w:customStyle="1" w:styleId="70">
    <w:name w:val="正文首行缩进 Char"/>
    <w:link w:val="36"/>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Char"/>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1"/>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4"/>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2"/>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Char"/>
    <w:basedOn w:val="40"/>
    <w:link w:val="15"/>
    <w:qFormat/>
    <w:uiPriority w:val="99"/>
    <w:rPr>
      <w:kern w:val="2"/>
      <w:sz w:val="21"/>
      <w:szCs w:val="24"/>
    </w:rPr>
  </w:style>
  <w:style w:type="character" w:customStyle="1" w:styleId="131">
    <w:name w:val="批注主题 Char"/>
    <w:basedOn w:val="130"/>
    <w:link w:val="35"/>
    <w:qFormat/>
    <w:uiPriority w:val="99"/>
    <w:rPr>
      <w:b/>
      <w:bCs/>
      <w:kern w:val="2"/>
      <w:sz w:val="21"/>
      <w:szCs w:val="24"/>
    </w:rPr>
  </w:style>
  <w:style w:type="character" w:customStyle="1" w:styleId="132">
    <w:name w:val="未处理的提及1"/>
    <w:basedOn w:val="40"/>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 w:type="paragraph" w:customStyle="1" w:styleId="139">
    <w:name w:val="*正文"/>
    <w:basedOn w:val="1"/>
    <w:qFormat/>
    <w:uiPriority w:val="99"/>
    <w:pPr>
      <w:spacing w:line="360" w:lineRule="auto"/>
      <w:ind w:firstLine="482"/>
    </w:pPr>
    <w:rPr>
      <w:rFonts w:eastAsia="仿宋_GB2312"/>
      <w:kern w:val="0"/>
      <w:sz w:val="28"/>
    </w:rPr>
  </w:style>
  <w:style w:type="paragraph" w:customStyle="1" w:styleId="140">
    <w:name w:val="正文文本缩进1"/>
    <w:basedOn w:val="1"/>
    <w:qFormat/>
    <w:uiPriority w:val="0"/>
    <w:pPr>
      <w:ind w:left="765"/>
    </w:pPr>
    <w:rPr>
      <w:rFonts w:ascii="仿宋_GB2312" w:eastAsia="仿宋_GB2312"/>
      <w:sz w:val="28"/>
      <w:szCs w:val="20"/>
    </w:rPr>
  </w:style>
  <w:style w:type="paragraph" w:customStyle="1" w:styleId="141">
    <w:name w:val="null3"/>
    <w:hidden/>
    <w:qFormat/>
    <w:uiPriority w:val="0"/>
    <w:rPr>
      <w:rFonts w:hint="eastAsia" w:asciiTheme="minorHAnsi" w:hAnsiTheme="minorHAnsi" w:eastAsiaTheme="minorEastAsia" w:cstheme="minorBidi"/>
      <w:lang w:val="en-US" w:eastAsia="zh-CN" w:bidi="ar-SA"/>
    </w:rPr>
  </w:style>
  <w:style w:type="paragraph" w:customStyle="1" w:styleId="142">
    <w:name w:val="纯文本2"/>
    <w:basedOn w:val="1"/>
    <w:qFormat/>
    <w:uiPriority w:val="0"/>
    <w:rPr>
      <w:rFonts w:ascii="宋体" w:hAnsi="Courier New"/>
      <w:sz w:val="28"/>
    </w:rPr>
  </w:style>
  <w:style w:type="paragraph" w:customStyle="1" w:styleId="143">
    <w:name w:val="Normal_0"/>
    <w:qFormat/>
    <w:uiPriority w:val="0"/>
    <w:rPr>
      <w:rFonts w:ascii="Times New Roman" w:hAnsi="Times New Roman" w:eastAsia="Times New Roman" w:cs="Times New Roman"/>
      <w:sz w:val="24"/>
      <w:szCs w:val="24"/>
      <w:lang w:val="en-US" w:eastAsia="zh-CN" w:bidi="ar-SA"/>
    </w:rPr>
  </w:style>
  <w:style w:type="paragraph" w:customStyle="1" w:styleId="14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bdfcf2c8-532f-4c17-87b9-cd2c680f6755</errorID>
      <errorWord>(</errorWord>
      <group>L1_Format</group>
      <groupName>格式问题</groupName>
      <ability>L2_HalfPunc</ability>
      <abilityName>全半角检查</abilityName>
      <candidateList>
        <item>（</item>
      </candidateList>
      <explain>文本全半角错误。</explain>
      <paraID>4A8A00D3</paraID>
      <start>71</start>
      <end>72</end>
      <status>unmodified</status>
      <modifiedWord/>
      <trackRevisions>false</trackRevisions>
    </reviewItem>
    <reviewItem>
      <errorID>e678ee19-2c84-4151-b415-b6613c7da768</errorID>
      <errorWord>:</errorWord>
      <group>L1_Format</group>
      <groupName>格式问题</groupName>
      <ability>L2_HalfPunc</ability>
      <abilityName>全半角检查</abilityName>
      <candidateList>
        <item>：</item>
      </candidateList>
      <explain>文本全半角错误。</explain>
      <paraID>4A8A00D3</paraID>
      <start>76</start>
      <end>77</end>
      <status>unmodified</status>
      <modifiedWord/>
      <trackRevisions>false</trackRevisions>
    </reviewItem>
    <reviewItem>
      <errorID>0b63f5c3-4f73-45e5-b989-542e46e4ca76</errorID>
      <errorWord>)</errorWord>
      <group>L1_Format</group>
      <groupName>格式问题</groupName>
      <ability>L2_HalfPunc</ability>
      <abilityName>全半角检查</abilityName>
      <candidateList>
        <item>）</item>
      </candidateList>
      <explain>文本全半角错误。</explain>
      <paraID>4A8A00D3</paraID>
      <start>95</start>
      <end>96</end>
      <status>unmodified</status>
      <modifiedWord/>
      <trackRevisions>false</trackRevisions>
    </reviewItem>
    <reviewItem>
      <errorID>62f0a20b-5083-4820-9103-5fd45854d6e2</errorID>
      <errorWord>；</errorWord>
      <group>L1_Word</group>
      <groupName>字词问题</groupName>
      <ability>L2_Typo</ability>
      <abilityName>字词错误</abilityName>
      <candidateList>
        <item>；具</item>
      </candidateList>
      <explain/>
      <paraID>638EC050</paraID>
      <start>55</start>
      <end>56</end>
      <status>ignored</status>
      <modifiedWord/>
      <trackRevisions>false</trackRevisions>
    </reviewItem>
    <reviewItem>
      <errorID>e86b0453-b4a0-41e2-92be-469cf77163da</errorID>
      <errorWord>，</errorWord>
      <group>L1_Word</group>
      <groupName>字词问题</groupName>
      <ability>L2_Typo</ability>
      <abilityName>字词错误</abilityName>
      <candidateList>
        <item>，并</item>
      </candidateList>
      <explain/>
      <paraID>1DD69AD7</paraID>
      <start>40</start>
      <end>41</end>
      <status>unmodified</status>
      <modifiedWord/>
      <trackRevisions>false</trackRevisions>
    </reviewItem>
    <reviewItem>
      <errorID>7f2e4f10-2a05-4fc5-89af-bbf859085dc2</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331AC8BE</paraID>
      <start>62</start>
      <end>66</end>
      <status>unmodified</status>
      <modifiedWord/>
      <trackRevisions>false</trackRevisions>
    </reviewItem>
    <reviewItem>
      <errorID>c46f8464-a45e-4fc3-ae50-f1a0386b7130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5EEF7973</paraID>
      <start>49</start>
      <end>51</end>
      <status>unmodified</status>
      <modifiedWord/>
      <trackRevisions>false</trackRevisions>
    </reviewItem>
    <reviewItem>
      <errorID>a4692b57-8759-42ce-9b55-0f0ea4a9f698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43962541</paraID>
      <start>41</start>
      <end>45</end>
      <status>unmodified</status>
      <modifiedWord/>
      <trackRevisions>false</trackRevisions>
    </reviewItem>
    <reviewItem>
      <errorID>694de526-e2be-4ed3-9dad-af9ae06cc345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16</start>
      <end>19</end>
      <status>unmodified</status>
      <modifiedWord/>
      <trackRevisions>false</trackRevisions>
    </reviewItem>
    <reviewItem>
      <errorID>2706729e-b8d6-40a9-9f17-3b19d5825c61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24</start>
      <end>27</end>
      <status>unmodified</status>
      <modifiedWord/>
      <trackRevisions>false</trackRevisions>
    </reviewItem>
    <reviewItem>
      <errorID>6a18b081-462c-487c-abe3-6ae5c411ca1a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46</start>
      <end>49</end>
      <status>unmodified</status>
      <modifiedWord/>
      <trackRevisions>false</trackRevisions>
    </reviewItem>
    <reviewItem>
      <errorID>550ea915-5f5d-46db-b73d-c30bc9e845cc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57</start>
      <end>60</end>
      <status>unmodified</status>
      <modifiedWord/>
      <trackRevisions>false</trackRevisions>
    </reviewItem>
    <reviewItem>
      <errorID>2719a834-31cb-4f80-9cc9-e7e2aeca9a18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65</start>
      <end>68</end>
      <status>unmodified</status>
      <modifiedWord/>
      <trackRevisions>false</trackRevisions>
    </reviewItem>
    <reviewItem>
      <errorID>85abd405-8713-4ab7-89fe-8c65e396927b</errorID>
      <errorWord>，</errorWord>
      <group>L1_Word</group>
      <groupName>字词问题</groupName>
      <ability>L2_Typo</ability>
      <abilityName>字词错误</abilityName>
      <candidateList>
        <item>，在</item>
      </candidateList>
      <explain/>
      <paraID>5B93813A</paraID>
      <start>74</start>
      <end>75</end>
      <status>unmodified</status>
      <modifiedWord/>
      <trackRevisions>false</trackRevisions>
    </reviewItem>
    <reviewItem>
      <errorID>5833e0bd-6187-468b-a7e0-6778d8d8372a</errorID>
      <errorWord>，和</errorWord>
      <group>L1_Word</group>
      <groupName>字词问题</groupName>
      <ability>L2_Typo</ability>
      <abilityName>字词错误</abilityName>
      <candidateList>
        <item>，</item>
      </candidateList>
      <explain/>
      <paraID>37AB1AE6</paraID>
      <start>32</start>
      <end>34</end>
      <status>unmodified</status>
      <modifiedWord/>
      <trackRevisions>false</trackRevisions>
    </reviewItem>
    <reviewItem>
      <errorID>eea1ec10-50ba-47e7-87c0-d479ed371f45</errorID>
      <errorWord>充分考虑到</errorWord>
      <group>L1_Word</group>
      <groupName>字词问题</groupName>
      <ability>L2_Typo</ability>
      <abilityName>字词错误</abilityName>
      <candidateList>
        <item>充分考虑</item>
      </candidateList>
      <explain/>
      <paraID>3460F988</paraID>
      <start>4</start>
      <end>9</end>
      <status>unmodified</status>
      <modifiedWord/>
      <trackRevisions>false</trackRevisions>
    </reviewItem>
    <reviewItem>
      <errorID>8d64f112-ee59-4406-b553-f463afc33839</errorID>
      <errorWord>授标</errorWord>
      <group>L1_Word</group>
      <groupName>字词问题</groupName>
      <ability>L2_Typo</ability>
      <abilityName>字词错误</abilityName>
      <candidateList>
        <item>投标</item>
      </candidateList>
      <explain/>
      <paraID>3A5C1612</paraID>
      <start>48</start>
      <end>50</end>
      <status>unmodified</status>
      <modifiedWord/>
      <trackRevisions>false</trackRevisions>
    </reviewItem>
    <reviewItem>
      <errorID>f08dcf40-002f-45da-b325-a3cbeacde06b</errorID>
      <errorWord>有助于对</errorWord>
      <group>L1_Word</group>
      <groupName>字词问题</groupName>
      <ability>L2_Typo</ability>
      <abilityName>字词错误</abilityName>
      <candidateList>
        <item>有助于</item>
      </candidateList>
      <explain/>
      <paraID>4092C68F</paraID>
      <start>9</start>
      <end>13</end>
      <status>unmodified</status>
      <modifiedWord/>
      <trackRevisions>false</trackRevisions>
    </reviewItem>
    <reviewItem>
      <errorID>59139d69-bba4-4291-b321-6fa4f4270d85</errorID>
      <errorWord>做出</errorWord>
      <group>L1_Word</group>
      <groupName>字词问题</groupName>
      <ability>L2_Typo</ability>
      <abilityName>字词错误</abilityName>
      <candidateList>
        <item>作出</item>
      </candidateList>
      <explain/>
      <paraID>639F6D83</paraID>
      <start>22</start>
      <end>24</end>
      <status>unmodified</status>
      <modifiedWord/>
      <trackRevisions>false</trackRevisions>
    </reviewItem>
    <reviewItem>
      <errorID>9b6a94f5-c423-487f-b2e0-1062c2905ea1</errorID>
      <errorWord>不</errorWord>
      <group>L1_Word</group>
      <groupName>字词问题</groupName>
      <ability>L2_Typo</ability>
      <abilityName>字词错误</abilityName>
      <candidateList>
        <item>不符</item>
      </candidateList>
      <explain/>
      <paraID>77B02A85</paraID>
      <start>45</start>
      <end>46</end>
      <status>unmodified</status>
      <modifiedWord/>
      <trackRevisions>false</trackRevisions>
    </reviewItem>
    <reviewItem>
      <errorID>7804dd2d-c668-45d7-a1a1-f06870cbc10f</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27594368</paraID>
      <start>43</start>
      <end>45</end>
      <status>unmodified</status>
      <modifiedWord/>
      <trackRevisions>false</trackRevisions>
    </reviewItem>
    <reviewItem>
      <errorID>0a682789-f3b0-4aed-bf4a-e88bb2c21b9e</errorID>
      <errorWord>保持通讯畅通</errorWord>
      <group>L1_Word</group>
      <groupName>字词问题</groupName>
      <ability>L2_Typo</ability>
      <abilityName>字词错误</abilityName>
      <candidateList>
        <item>保持通信畅通</item>
      </candidateList>
      <explain/>
      <paraID> F2679C6</paraID>
      <start>16</start>
      <end>22</end>
      <status>unmodified</status>
      <modifiedWord/>
      <trackRevisions>false</trackRevisions>
    </reviewItem>
    <reviewItem>
      <errorID>eac5f30e-21ec-435d-a22e-be7a075810a0</errorID>
      <errorWord>法律、法规</errorWord>
      <group>L1_Word</group>
      <groupName>字词问题</groupName>
      <ability>L2_Typo</ability>
      <abilityName>字词错误</abilityName>
      <candidateList>
        <item>法律法规</item>
      </candidateList>
      <explain/>
      <paraID>100DF63B</paraID>
      <start>8</start>
      <end>13</end>
      <status>unmodified</status>
      <modifiedWord/>
      <trackRevisions>false</trackRevisions>
    </reviewItem>
    <reviewItem>
      <errorID>9fd0973b-5d2a-4491-81b1-7e42f0f144fa</errorID>
      <errorWord>属</errorWord>
      <group>L1_Word</group>
      <groupName>字词问题</groupName>
      <ability>L2_Typo</ability>
      <abilityName>字词错误</abilityName>
      <candidateList>
        <item>属于</item>
      </candidateList>
      <explain/>
      <paraID>100DF63B</paraID>
      <start>22</start>
      <end>23</end>
      <status>unmodified</status>
      <modifiedWord/>
      <trackRevisions>false</trackRevisions>
    </reviewItem>
    <reviewItem>
      <errorID>41e86378-c043-41a7-b4e5-9398a30c5655</errorID>
      <errorWord>涉及到</errorWord>
      <group>L1_Word</group>
      <groupName>字词问题</groupName>
      <ability>L2_Typo</ability>
      <abilityName>字词错误</abilityName>
      <candidateList>
        <item>涉及</item>
      </candidateList>
      <explain>〈动〉牵涉到；关联到：案子～好几个人｜这个问题～面很广。</explain>
      <paraID>4605916E</paraID>
      <start>9</start>
      <end>12</end>
      <status>unmodified</status>
      <modifiedWord/>
      <trackRevisions>false</trackRevisions>
    </reviewItem>
    <reviewItem>
      <errorID>5e2dff10-2a37-4eb5-a60f-3934bb3e7908</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4605916E</paraID>
      <start>25</start>
      <end>27</end>
      <status>unmodified</status>
      <modifiedWord/>
      <trackRevisions>false</trackRevisions>
    </reviewItem>
    <reviewItem>
      <errorID>6636590c-ad36-43df-8758-1f0d4b227b9f</errorID>
      <errorWord>则</errorWord>
      <group>L1_Word</group>
      <groupName>字词问题</groupName>
      <ability>L2_Typo</ability>
      <abilityName>字词错误</abilityName>
      <candidateList>
        <item>则在</item>
      </candidateList>
      <explain/>
      <paraID>4611384B</paraID>
      <start>50</start>
      <end>51</end>
      <status>unmodified</status>
      <modifiedWord/>
      <trackRevisions>false</trackRevisions>
    </reviewItem>
    <reviewItem>
      <errorID>01111fb4-4188-4bf8-a9b7-a2cc4de7b3c1</errorID>
      <errorWord>投标投标</errorWord>
      <group>L1_Word</group>
      <groupName>字词问题</groupName>
      <ability>L2_Typo</ability>
      <abilityName>字词错误</abilityName>
      <candidateList>
        <item>投标</item>
      </candidateList>
      <explain/>
      <paraID>4E3B21AC</paraID>
      <start>133</start>
      <end>137</end>
      <status>unmodified</status>
      <modifiedWord/>
      <trackRevisions>false</trackRevisions>
    </reviewItem>
    <reviewItem>
      <errorID>48b3f659-1330-4958-a326-9f4991c96ee8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4E3B21AC</paraID>
      <start>186</start>
      <end>189</end>
      <status>unmodified</status>
      <modifiedWord/>
      <trackRevisions>false</trackRevisions>
    </reviewItem>
    <reviewItem>
      <errorID>2d24a706-6a18-4823-bfc2-b1db3822fbef</errorID>
      <errorWord>，</errorWord>
      <group>L1_Word</group>
      <groupName>字词问题</groupName>
      <ability>L2_Typo</ability>
      <abilityName>字词错误</abilityName>
      <candidateList>
        <item>，由</item>
      </candidateList>
      <explain/>
      <paraID> 305BDCE</paraID>
      <start>161</start>
      <end>162</end>
      <status>unmodified</status>
      <modifiedWord/>
      <trackRevisions>false</trackRevisions>
    </reviewItem>
    <reviewItem>
      <errorID>a77348da-3e48-47c3-94f1-fedebc4d13b8</errorID>
      <errorWord>判</errorWord>
      <group>L1_Word</group>
      <groupName>字词问题</groupName>
      <ability>L2_Typo</ability>
      <abilityName>字词错误</abilityName>
      <candidateList>
        <item>判定</item>
      </candidateList>
      <explain/>
      <paraID>5D1B1662</paraID>
      <start>16</start>
      <end>17</end>
      <status>unmodified</status>
      <modifiedWord/>
      <trackRevisions>false</trackRevisions>
    </reviewItem>
    <reviewItem>
      <errorID>2531d381-48b7-473c-ab65-9d8ac86255ad</errorID>
      <errorWord>况</errorWord>
      <group>L1_Word</group>
      <groupName>字词问题</groupName>
      <ability>L2_Typo</ability>
      <abilityName>字词错误</abilityName>
      <candidateList>
        <item>况和</item>
      </candidateList>
      <explain/>
      <paraID>4EB3B840</paraID>
      <start>92</start>
      <end>93</end>
      <status>unmodified</status>
      <modifiedWord/>
      <trackRevisions>false</trackRevisions>
    </reviewItem>
    <reviewItem>
      <errorID>e88e128d-4d65-4b5a-97d5-e0d22f1bb615</errorID>
      <errorWord>价格分</errorWord>
      <group>L1_Word</group>
      <groupName>字词问题</groupName>
      <ability>L2_Typo</ability>
      <abilityName>字词错误</abilityName>
      <candidateList>
        <item>价格</item>
      </candidateList>
      <explain/>
      <paraID>772C08B1</paraID>
      <start>72</start>
      <end>75</end>
      <status>unmodified</status>
      <modifiedWord/>
      <trackRevisions>false</trackRevisions>
    </reviewItem>
    <reviewItem>
      <errorID>c64efcaa-e00e-440f-a9e5-00680836468e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74CB155</paraID>
      <start>15</start>
      <end>18</end>
      <status>unmodified</status>
      <modifiedWord/>
      <trackRevisions>false</trackRevisions>
    </reviewItem>
    <reviewItem>
      <errorID>9f8ee408-4e97-47e6-bea1-929cc78f13b2</errorID>
      <errorWord>(</errorWord>
      <group>L1_Format</group>
      <groupName>格式问题</groupName>
      <ability>L2_HalfPunc</ability>
      <abilityName>全半角检查</abilityName>
      <candidateList>
        <item>（</item>
      </candidateList>
      <explain>文本全半角错误。</explain>
      <paraID>6A1718D4</paraID>
      <start>95</start>
      <end>96</end>
      <status>unmodified</status>
      <modifiedWord/>
      <trackRevisions>false</trackRevisions>
    </reviewItem>
    <reviewItem>
      <errorID>39ffa9a3-38bc-4788-a6ff-b03f92e4e4ce</errorID>
      <errorWord>[2018]</errorWord>
      <group>L1_Punc</group>
      <groupName>标点问题</groupName>
      <ability>L2_Punc</ability>
      <abilityName>标点符号检查</abilityName>
      <candidateList>
        <item>〔2018〕</item>
      </candidateList>
      <explain/>
      <paraID>6A1718D4</paraID>
      <start>100</start>
      <end>106</end>
      <status>unmodified</status>
      <modifiedWord/>
      <trackRevisions>false</trackRevisions>
    </reviewItem>
    <reviewItem>
      <errorID>ba689fb4-0ad9-4e91-bc05-c66c688b3a8b</errorID>
      <errorWord>)</errorWord>
      <group>L1_Format</group>
      <groupName>格式问题</groupName>
      <ability>L2_HalfPunc</ability>
      <abilityName>全半角检查</abilityName>
      <candidateList>
        <item>）</item>
      </candidateList>
      <explain>文本全半角错误。</explain>
      <paraID>6A1718D4</paraID>
      <start>110</start>
      <end>111</end>
      <status>unmodified</status>
      <modifiedWord/>
      <trackRevisions>false</trackRevisions>
    </reviewItem>
    <reviewItem>
      <errorID>44c18e6c-17f0-4a91-a705-4071452479ce</errorID>
      <errorWord>生活必须品</errorWord>
      <group>L1_Word</group>
      <groupName>字词问题</groupName>
      <ability>L2_Typo</ability>
      <abilityName>字词错误</abilityName>
      <candidateList>
        <item>生活必需品</item>
      </candidateList>
      <explain/>
      <paraID>6A1718D4</paraID>
      <start>181</start>
      <end>186</end>
      <status>unmodified</status>
      <modifiedWord/>
      <trackRevisions>false</trackRevisions>
    </reviewItem>
    <reviewItem>
      <errorID>4895e9a7-5db3-44ba-8400-5eb026cacc5b</errorID>
      <errorWord>约为</errorWord>
      <group>L1_Word</group>
      <groupName>字词问题</groupName>
      <ability>L2_Typo</ability>
      <abilityName>字词错误</abilityName>
      <candidateList>
        <item>约</item>
      </candidateList>
      <explain/>
      <paraID>44296633</paraID>
      <start>7</start>
      <end>9</end>
      <status>unmodified</status>
      <modifiedWord/>
      <trackRevisions>false</trackRevisions>
    </reviewItem>
    <reviewItem>
      <errorID>4b457c35-3259-4ba0-b549-5c1f7346482b</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7F67E0CB</paraID>
      <start>3</start>
      <end>7</end>
      <status>unmodified</status>
      <modifiedWord/>
      <trackRevisions>false</trackRevisions>
    </reviewItem>
    <reviewItem>
      <errorID>26fe2632-4cbd-4748-b885-c61b61d49bd4</errorID>
      <errorWord>提出质疑</errorWord>
      <group>L1_Word</group>
      <groupName>字词问题</groupName>
      <ability>L2_Typo</ability>
      <abilityName>字词错误</abilityName>
      <candidateList>
        <item>质疑</item>
      </candidateList>
      <explain>〈动〉提出疑问：～问难。</explain>
      <paraID>71E8F9C5</paraID>
      <start>83</start>
      <end>87</end>
      <status>unmodified</status>
      <modifiedWord/>
      <trackRevisions>false</trackRevisions>
    </reviewItem>
    <reviewItem>
      <errorID>a7196b5a-112a-4006-b0b0-4a509a37abb2</errorID>
      <errorWord>提出质疑</errorWord>
      <group>L1_Word</group>
      <groupName>字词问题</groupName>
      <ability>L2_Typo</ability>
      <abilityName>字词错误</abilityName>
      <candidateList>
        <item>质疑</item>
      </candidateList>
      <explain>〈动〉提出疑问：～问难。</explain>
      <paraID>71E8F9C5</paraID>
      <start>133</start>
      <end>137</end>
      <status>unmodified</status>
      <modifiedWord/>
      <trackRevisions>false</trackRevisions>
    </reviewItem>
    <reviewItem>
      <errorID>10e8ad43-7fb9-45c9-a8f8-1509b7905cb1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42408D40</paraID>
      <start>20</start>
      <end>23</end>
      <status>unmodified</status>
      <modifiedWord/>
      <trackRevisions>false</trackRevisions>
    </reviewItem>
    <reviewItem>
      <errorID>96c538ae-b088-43b3-9cb5-fffc17e4dc3b</errorID>
      <errorWord>适应</errorWord>
      <group>L1_Word</group>
      <groupName>字词问题</groupName>
      <ability>L2_Typo</ability>
      <abilityName>字词错误</abilityName>
      <candidateList>
        <item>适用</item>
      </candidateList>
      <explain>〈形〉适合使用：这套耕作方法，在我们这个地区也完全～。</explain>
      <paraID>267DED71</paraID>
      <start>86</start>
      <end>88</end>
      <status>unmodified</status>
      <modifiedWord/>
      <trackRevisions>false</trackRevisions>
    </reviewItem>
    <reviewItem>
      <errorID>0126c7a9-5b2a-48a1-8fbf-9cf9272ffbd7</errorID>
      <errorWord>提出质疑</errorWord>
      <group>L1_Word</group>
      <groupName>字词问题</groupName>
      <ability>L2_Typo</ability>
      <abilityName>字词错误</abilityName>
      <candidateList>
        <item>质疑</item>
      </candidateList>
      <explain>〈动〉提出疑问：～问难。</explain>
      <paraID>28E64F71</paraID>
      <start>5</start>
      <end>9</end>
      <status>unmodified</status>
      <modifiedWord/>
      <trackRevisions>false</trackRevisions>
    </reviewItem>
    <reviewItem>
      <errorID>798c4abd-7403-4f87-982c-469841efdc49</errorID>
      <errorWord>提出质疑</errorWord>
      <group>L1_Word</group>
      <groupName>字词问题</groupName>
      <ability>L2_Typo</ability>
      <abilityName>字词错误</abilityName>
      <candidateList>
        <item>质疑</item>
      </candidateList>
      <explain>〈动〉提出疑问：～问难。</explain>
      <paraID>4E33D3BF</paraID>
      <start>6</start>
      <end>10</end>
      <status>unmodified</status>
      <modifiedWord/>
      <trackRevisions>false</trackRevisions>
    </reviewItem>
    <reviewItem>
      <errorID>92e71f30-e8f2-431b-89f6-a91ac5c51036</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95D2ED4</paraID>
      <start>35</start>
      <end>38</end>
      <status>unmodified</status>
      <modifiedWord/>
      <trackRevisions>false</trackRevisions>
    </reviewItem>
    <reviewItem>
      <errorID>47dd346a-5bba-42a0-bdf6-820a7b3c530a</errorID>
      <errorWord>格式就</errorWord>
      <group>L1_Word</group>
      <groupName>字词问题</groupName>
      <ability>L2_Typo</ability>
      <abilityName>字词错误</abilityName>
      <candidateList>
        <item>格式</item>
      </candidateList>
      <explain/>
      <paraID>1FD2F58C</paraID>
      <start>12</start>
      <end>15</end>
      <status>unmodified</status>
      <modifiedWord/>
      <trackRevisions>false</trackRevisions>
    </reviewItem>
    <reviewItem>
      <errorID>6f824407-934f-47dd-a740-878d5189ba04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6EE2999E</paraID>
      <start>6</start>
      <end>9</end>
      <status>unmodified</status>
      <modifiedWord/>
      <trackRevisions>false</trackRevisions>
    </reviewItem>
    <reviewItem>
      <errorID>be47add9-21c1-4d44-b1c6-95d2f4a579db</errorID>
      <errorWord>的等相关</errorWord>
      <group>L1_Word</group>
      <groupName>字词问题</groupName>
      <ability>L2_Typo</ability>
      <abilityName>字词错误</abilityName>
      <candidateList>
        <item>等相关</item>
      </candidateList>
      <explain/>
      <paraID>6EE2999E</paraID>
      <start>27</start>
      <end>31</end>
      <status>unmodified</status>
      <modifiedWord/>
      <trackRevisions>false</trackRevisions>
    </reviewItem>
    <reviewItem>
      <errorID>3b84c97e-c65d-4019-9738-841365fc6e9c</errorID>
      <errorWord>价格标</errorWord>
      <group>L1_Word</group>
      <groupName>字词问题</groupName>
      <ability>L2_Typo</ability>
      <abilityName>字词错误</abilityName>
      <candidateList>
        <item>价格表</item>
      </candidateList>
      <explain/>
      <paraID>3C4B413D</paraID>
      <start>18</start>
      <end>21</end>
      <status>unmodified</status>
      <modifiedWord/>
      <trackRevisions>false</trackRevisions>
    </reviewItem>
    <reviewItem>
      <errorID>08298e5e-cb22-4193-ae29-ba2264acae34</errorID>
      <errorWord>，</errorWord>
      <group>L1_Word</group>
      <groupName>字词问题</groupName>
      <ability>L2_Typo</ability>
      <abilityName>字词错误</abilityName>
      <candidateList>
        <item>，并</item>
      </candidateList>
      <explain/>
      <paraID>4580A08A</paraID>
      <start>29</start>
      <end>30</end>
      <status>unmodified</status>
      <modifiedWord/>
      <trackRevisions>false</trackRevisions>
    </reviewItem>
    <reviewItem>
      <errorID>e994c2cb-d8b0-411f-b7a5-5ab4b47f0eee</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57B01B34</paraID>
      <start>4</start>
      <end>5</end>
      <status>unmodified</status>
      <modifiedWord/>
      <trackRevisions>false</trackRevisions>
    </reviewItem>
    <reviewItem>
      <errorID>40461a1e-7253-4260-8d07-1c0e0323f9b0</errorID>
      <errorWord>)</errorWord>
      <group>L1_Format</group>
      <groupName>格式问题</groupName>
      <ability>L2_HalfPunc</ability>
      <abilityName>全半角检查</abilityName>
      <candidateList>
        <item>）</item>
      </candidateList>
      <explain>文本全半角错误。</explain>
      <paraID>37E18464</paraID>
      <start>44</start>
      <end>45</end>
      <status>unmodified</status>
      <modifiedWord/>
      <trackRevisions>false</trackRevisions>
    </reviewItem>
    <reviewItem>
      <errorID>122cadea-34ac-490e-8f0c-0d3a4bf0a97f</errorID>
      <errorWord>)</errorWord>
      <group>L1_Format</group>
      <groupName>格式问题</groupName>
      <ability>L2_HalfPunc</ability>
      <abilityName>全半角检查</abilityName>
      <candidateList>
        <item>）</item>
      </candidateList>
      <explain>文本全半角错误。</explain>
      <paraID>346EAB70</paraID>
      <start>50</start>
      <end>51</end>
      <status>unmodified</status>
      <modifiedWord/>
      <trackRevisions>false</trackRevisions>
    </reviewItem>
    <reviewItem>
      <errorID>f30d09ef-dc91-4dd7-9a1d-5aa39cb0efb3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42D640A9</paraID>
      <start>0</start>
      <end>2</end>
      <status>unmodified</status>
      <modifiedWord/>
      <trackRevisions>false</trackRevisions>
    </reviewItem>
    <reviewItem>
      <errorID>3059cbae-7e6f-4e49-8a2b-f8796cfbde73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55B5401E</paraID>
      <start>0</start>
      <end>2</end>
      <status>unmodified</status>
      <modifiedWord/>
      <trackRevisions>false</trackRevisions>
    </reviewItem>
    <reviewItem>
      <errorID>3aa01977-83ce-4561-933c-bfe07d48cd01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798E896A</paraID>
      <start>0</start>
      <end>2</end>
      <status>unmodified</status>
      <modifiedWord/>
      <trackRevisions>false</trackRevisions>
    </reviewItem>
    <reviewItem>
      <errorID>c39b580f-4a0a-486b-b6b0-f358ef0763be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134DF15D</paraID>
      <start>0</start>
      <end>2</end>
      <status>unmodified</status>
      <modifiedWord/>
      <trackRevisions>false</trackRevisions>
    </reviewItem>
    <reviewItem>
      <errorID>c72a55cf-9354-41e2-aa7a-e1f51b07f8fc</errorID>
      <errorWord>的成份</errorWord>
      <group>L1_Word</group>
      <groupName>字词问题</groupName>
      <ability>L2_Variant</ability>
      <abilityName>异形词</abilityName>
      <candidateList>
        <item>的成分</item>
      </candidateList>
      <explain>词汇[的成份]的规范词形写作[的成分]。</explain>
      <paraID>134DF15D</paraID>
      <start>51</start>
      <end>54</end>
      <status>unmodified</status>
      <modifiedWord/>
      <trackRevisions>false</trackRevisions>
    </reviewItem>
    <reviewItem>
      <errorID>eb34d014-89c4-4b83-b747-1eef738eae0b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16693A05</paraID>
      <start>0</start>
      <end>2</end>
      <status>unmodified</status>
      <modifiedWord/>
      <trackRevisions>false</trackRevisions>
    </reviewItem>
    <reviewItem>
      <errorID>d3273917-3194-43c7-8235-f91e83f2805f</errorID>
      <errorWord>楚</errorWord>
      <group>L1_Word</group>
      <groupName>字词问题</groupName>
      <ability>L2_Typo</ability>
      <abilityName>字词错误</abilityName>
      <candidateList>
        <item>楚地</item>
      </candidateList>
      <explain/>
      <paraID>16693A05</paraID>
      <start>22</start>
      <end>23</end>
      <status>unmodified</status>
      <modifiedWord/>
      <trackRevisions>false</trackRevisions>
    </reviewItem>
    <reviewItem>
      <errorID>a6df5128-2afc-42ab-bbb1-08942ca2cfba</errorID>
      <errorWord>理解到</errorWord>
      <group>L1_Word</group>
      <groupName>字词问题</groupName>
      <ability>L2_Typo</ability>
      <abilityName>字词错误</abilityName>
      <candidateList>
        <item>理解</item>
      </candidateList>
      <explain/>
      <paraID>16693A05</paraID>
      <start>23</start>
      <end>26</end>
      <status>unmodified</status>
      <modifiedWord/>
      <trackRevisions>false</trackRevisions>
    </reviewItem>
    <reviewItem>
      <errorID>b78ea3eb-faa1-4dbd-a256-fd0cb65d47ff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766A79A5</paraID>
      <start>0</start>
      <end>2</end>
      <status>unmodified</status>
      <modifiedWord/>
      <trackRevisions>false</trackRevisions>
    </reviewItem>
    <reviewItem>
      <errorID>920bc8c5-7ceb-4d1f-8c01-91499b98e02b</errorID>
      <errorWord>,</errorWord>
      <group>L1_Format</group>
      <groupName>格式问题</groupName>
      <ability>L2_HalfPunc</ability>
      <abilityName>全半角检查</abilityName>
      <candidateList>
        <item>，</item>
      </candidateList>
      <explain>文本全半角错误。</explain>
      <paraID>766A79A5</paraID>
      <start>8</start>
      <end>9</end>
      <status>unmodified</status>
      <modifiedWord/>
      <trackRevisions>false</trackRevisions>
    </reviewItem>
    <reviewItem>
      <errorID>51435a07-a210-4ceb-bfc2-59f1d60350df</errorID>
      <errorWord>,</errorWord>
      <group>L1_Format</group>
      <groupName>格式问题</groupName>
      <ability>L2_HalfPunc</ability>
      <abilityName>全半角检查</abilityName>
      <candidateList>
        <item>，</item>
      </candidateList>
      <explain>文本全半角错误。</explain>
      <paraID>766A79A5</paraID>
      <start>34</start>
      <end>35</end>
      <status>unmodified</status>
      <modifiedWord/>
      <trackRevisions>false</trackRevisions>
    </reviewItem>
    <reviewItem>
      <errorID>463767d2-fb62-46dd-8747-6d5a686f8525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F1E27DB</paraID>
      <start>16</start>
      <end>19</end>
      <status>unmodified</status>
      <modifiedWord/>
      <trackRevisions>false</trackRevisions>
    </reviewItem>
    <reviewItem>
      <errorID>14cf6d47-c4d8-4c48-b3c9-51db8be7cf34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F1E27DB</paraID>
      <start>22</start>
      <end>25</end>
      <status>unmodified</status>
      <modifiedWord/>
      <trackRevisions>false</trackRevisions>
    </reviewItem>
    <reviewItem>
      <errorID>d9a48bc9-5bf4-4f67-bd38-eb1cbeb35144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17BDEE95</paraID>
      <start>22</start>
      <end>23</end>
      <status>unmodified</status>
      <modifiedWord/>
      <trackRevisions>false</trackRevisions>
    </reviewItem>
    <reviewItem>
      <errorID>8dc23290-faa2-4491-be25-1b4b8a2873f9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2857F0E4</paraID>
      <start>16</start>
      <end>19</end>
      <status>unmodified</status>
      <modifiedWord/>
      <trackRevisions>false</trackRevisions>
    </reviewItem>
    <reviewItem>
      <errorID>5d9ac59a-985f-4886-859b-a193631895a2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2857F0E4</paraID>
      <start>22</start>
      <end>25</end>
      <status>unmodified</status>
      <modifiedWord/>
      <trackRevisions>false</trackRevisions>
    </reviewItem>
    <reviewItem>
      <errorID>6dec9cd0-19af-4633-b597-798e01b6b2a4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30686741</paraID>
      <start>22</start>
      <end>23</end>
      <status>unmodified</status>
      <modifiedWord/>
      <trackRevisions>false</trackRevisions>
    </reviewItem>
    <reviewItem>
      <errorID>e18eee35-c71b-4684-84c5-319dbabc08f7</errorID>
      <errorWord>…………</errorWord>
      <group>L1_Punc</group>
      <groupName>标点问题</groupName>
      <ability>L2_Punc</ability>
      <abilityName>标点符号检查</abilityName>
      <candidateList>
        <item>…</item>
      </candidateList>
      <explain/>
      <paraID>4C2D80F6</paraID>
      <start>0</start>
      <end>4</end>
      <status>unmodified</status>
      <modifiedWord/>
      <trackRevisions>false</trackRevisions>
    </reviewItem>
    <reviewItem>
      <errorID>54a6308f-af04-42f8-ae29-1b102b5215aa</errorID>
      <errorWord>…………</errorWord>
      <group>L1_Punc</group>
      <groupName>标点问题</groupName>
      <ability>L2_Punc</ability>
      <abilityName>标点符号检查</abilityName>
      <candidateList>
        <item>…</item>
      </candidateList>
      <explain/>
      <paraID>659C529A</paraID>
      <start>0</start>
      <end>4</end>
      <status>unmodified</status>
      <modifiedWord/>
      <trackRevisions>false</trackRevisions>
    </reviewItem>
    <reviewItem>
      <errorID>a0ce2bd6-5e35-489a-93cd-d0b239992406</errorID>
      <errorWord>…………</errorWord>
      <group>L1_Punc</group>
      <groupName>标点问题</groupName>
      <ability>L2_Punc</ability>
      <abilityName>标点符号检查</abilityName>
      <candidateList>
        <item>…</item>
      </candidateList>
      <explain/>
      <paraID> 9A99BAB</paraID>
      <start>0</start>
      <end>4</end>
      <status>unmodified</status>
      <modifiedWord/>
      <trackRevisions>false</trackRevisions>
    </reviewItem>
    <reviewItem>
      <errorID>52db9ab0-e505-4869-9b02-b6f2954c3249</errorID>
      <errorWord>…………</errorWord>
      <group>L1_Punc</group>
      <groupName>标点问题</groupName>
      <ability>L2_Punc</ability>
      <abilityName>标点符号检查</abilityName>
      <candidateList>
        <item>…</item>
      </candidateList>
      <explain/>
      <paraID>20C90265</paraID>
      <start>0</start>
      <end>4</end>
      <status>unmodified</status>
      <modifiedWord/>
      <trackRevisions>false</trackRevisions>
    </reviewItem>
    <reviewItem>
      <errorID>81024f84-6522-43dd-85f8-3cf3ffe23360</errorID>
      <errorWord>(</errorWord>
      <group>L1_Format</group>
      <groupName>格式问题</groupName>
      <ability>L2_HalfPunc</ability>
      <abilityName>全半角检查</abilityName>
      <candidateList>
        <item>（</item>
      </candidateList>
      <explain>文本全半角错误。</explain>
      <paraID>657346CD</paraID>
      <start>23</start>
      <end>24</end>
      <status>unmodified</status>
      <modifiedWord/>
      <trackRevisions>false</trackRevisions>
    </reviewItem>
    <reviewItem>
      <errorID>589e24ff-52f9-4828-95aa-9dcceecf3cc1</errorID>
      <errorWord>,</errorWord>
      <group>L1_Format</group>
      <groupName>格式问题</groupName>
      <ability>L2_HalfPunc</ability>
      <abilityName>全半角检查</abilityName>
      <candidateList>
        <item>，</item>
      </candidateList>
      <explain>文本全半角错误。</explain>
      <paraID>657346CD</paraID>
      <start>26</start>
      <end>27</end>
      <status>unmodified</status>
      <modifiedWord/>
      <trackRevisions>false</trackRevisions>
    </reviewItem>
    <reviewItem>
      <errorID>b16bb4de-158b-4b28-b291-f66648ff201f</errorID>
      <errorWord>(</errorWord>
      <group>L1_Format</group>
      <groupName>格式问题</groupName>
      <ability>L2_HalfPunc</ability>
      <abilityName>全半角检查</abilityName>
      <candidateList>
        <item>（</item>
      </candidateList>
      <explain>文本全半角错误。</explain>
      <paraID>524AAA60</paraID>
      <start>2</start>
      <end>3</end>
      <status>unmodified</status>
      <modifiedWord/>
      <trackRevisions>false</trackRevisions>
    </reviewItem>
    <reviewItem>
      <errorID>fbc7b780-3792-4da0-9666-d02fd7ca2fc7</errorID>
      <errorWord>)</errorWord>
      <group>L1_Format</group>
      <groupName>格式问题</groupName>
      <ability>L2_HalfPunc</ability>
      <abilityName>全半角检查</abilityName>
      <candidateList>
        <item>）</item>
      </candidateList>
      <explain>文本全半角错误。</explain>
      <paraID>524AAA60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A4A82-3583-49C8-A4E2-9594160902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16062</Words>
  <Characters>17960</Characters>
  <Lines>217</Lines>
  <Paragraphs>61</Paragraphs>
  <TotalTime>8</TotalTime>
  <ScaleCrop>false</ScaleCrop>
  <LinksUpToDate>false</LinksUpToDate>
  <CharactersWithSpaces>18115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2026-03-27T00:19:00Z</dcterms:created>
  <dc:creator>User</dc:creator>
  <cp:lastModifiedBy>jessie</cp:lastModifiedBy>
  <cp:lastPrinted>2025-12-16T05:31:00Z</cp:lastPrinted>
  <dcterms:modified xsi:type="dcterms:W3CDTF">2026-04-01T00:54:56Z</dcterms:modified>
  <dc:title>南通市Ⅹ项目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16B75183358D4006850B511E3A463EFB_13</vt:lpwstr>
  </property>
  <property fmtid="{D5CDD505-2E9C-101B-9397-08002B2CF9AE}" pid="4" name="KSOTemplateDocerSaveRecord">
    <vt:lpwstr>eyJoZGlkIjoiMTY2YTExYjU4MWEzY2MzM2I4OTY2NWYxMWY5ZTNlMmIiLCJ1c2VySWQiOiI2Mzc4MTQzODgifQ==</vt:lpwstr>
  </property>
</Properties>
</file>