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A4015">
      <w:pPr>
        <w:jc w:val="center"/>
        <w:rPr>
          <w:rFonts w:hint="eastAsia" w:ascii="宋体" w:hAnsi="宋体" w:cs="宋体"/>
          <w:bCs/>
          <w:color w:val="auto"/>
          <w:spacing w:val="20"/>
          <w:sz w:val="44"/>
          <w:highlight w:val="none"/>
        </w:rPr>
      </w:pPr>
    </w:p>
    <w:p w14:paraId="0E5AC508">
      <w:pPr>
        <w:jc w:val="center"/>
        <w:rPr>
          <w:rFonts w:hint="eastAsia" w:ascii="宋体" w:hAnsi="宋体" w:eastAsia="宋体" w:cs="宋体"/>
          <w:bCs/>
          <w:color w:val="auto"/>
          <w:sz w:val="72"/>
          <w:szCs w:val="72"/>
          <w:highlight w:val="none"/>
          <w:lang w:eastAsia="zh-CN"/>
        </w:rPr>
      </w:pPr>
      <w:bookmarkStart w:id="106" w:name="_GoBack"/>
      <w:r>
        <w:rPr>
          <w:rFonts w:hint="eastAsia" w:ascii="宋体" w:hAnsi="宋体" w:cs="宋体"/>
          <w:bCs/>
          <w:color w:val="auto"/>
          <w:spacing w:val="20"/>
          <w:sz w:val="44"/>
          <w:highlight w:val="none"/>
          <w:lang w:eastAsia="zh-CN"/>
        </w:rPr>
        <w:t>江苏商贸职业学院财务机器人应用与开发实践教学平台采购项目</w:t>
      </w:r>
    </w:p>
    <w:bookmarkEnd w:id="106"/>
    <w:p w14:paraId="2884969B">
      <w:pPr>
        <w:jc w:val="center"/>
        <w:rPr>
          <w:rFonts w:ascii="宋体" w:hAnsi="宋体" w:cs="宋体"/>
          <w:bCs/>
          <w:color w:val="auto"/>
          <w:sz w:val="72"/>
          <w:szCs w:val="72"/>
          <w:highlight w:val="none"/>
        </w:rPr>
      </w:pPr>
    </w:p>
    <w:p w14:paraId="1020A06E">
      <w:pPr>
        <w:jc w:val="center"/>
        <w:rPr>
          <w:rFonts w:ascii="宋体" w:hAnsi="宋体" w:cs="宋体"/>
          <w:bCs/>
          <w:color w:val="auto"/>
          <w:sz w:val="72"/>
          <w:szCs w:val="72"/>
          <w:highlight w:val="none"/>
        </w:rPr>
      </w:pPr>
    </w:p>
    <w:p w14:paraId="67D21913">
      <w:pPr>
        <w:jc w:val="center"/>
        <w:rPr>
          <w:rFonts w:ascii="宋体" w:hAnsi="宋体" w:cs="宋体"/>
          <w:bCs/>
          <w:color w:val="auto"/>
          <w:sz w:val="100"/>
          <w:szCs w:val="100"/>
          <w:highlight w:val="none"/>
        </w:rPr>
      </w:pPr>
      <w:r>
        <w:rPr>
          <w:rFonts w:hint="eastAsia" w:ascii="宋体" w:hAnsi="宋体" w:cs="宋体"/>
          <w:bCs/>
          <w:color w:val="auto"/>
          <w:sz w:val="72"/>
          <w:szCs w:val="72"/>
          <w:highlight w:val="none"/>
        </w:rPr>
        <w:t>公开招标文件</w:t>
      </w:r>
    </w:p>
    <w:p w14:paraId="5A7377EC">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采购文件编号：JSSYCG20250804046</w:t>
      </w:r>
    </w:p>
    <w:p w14:paraId="06970070">
      <w:pPr>
        <w:spacing w:line="500" w:lineRule="exact"/>
        <w:jc w:val="center"/>
        <w:rPr>
          <w:rFonts w:ascii="宋体" w:hAnsi="宋体" w:cs="宋体"/>
          <w:b/>
          <w:color w:val="auto"/>
          <w:sz w:val="36"/>
          <w:highlight w:val="none"/>
        </w:rPr>
      </w:pPr>
    </w:p>
    <w:p w14:paraId="13A27B99">
      <w:pPr>
        <w:spacing w:line="500" w:lineRule="exact"/>
        <w:jc w:val="center"/>
        <w:rPr>
          <w:rFonts w:ascii="宋体" w:hAnsi="宋体" w:cs="宋体"/>
          <w:b/>
          <w:color w:val="auto"/>
          <w:sz w:val="36"/>
          <w:highlight w:val="none"/>
        </w:rPr>
      </w:pPr>
    </w:p>
    <w:p w14:paraId="4990FCB0">
      <w:pPr>
        <w:spacing w:line="500" w:lineRule="exact"/>
        <w:jc w:val="center"/>
        <w:rPr>
          <w:rFonts w:ascii="宋体" w:hAnsi="宋体" w:cs="宋体"/>
          <w:b/>
          <w:color w:val="auto"/>
          <w:sz w:val="36"/>
          <w:highlight w:val="none"/>
        </w:rPr>
      </w:pPr>
    </w:p>
    <w:p w14:paraId="5BAC0729">
      <w:pPr>
        <w:spacing w:line="500" w:lineRule="exact"/>
        <w:rPr>
          <w:rFonts w:ascii="宋体" w:hAnsi="宋体" w:cs="宋体"/>
          <w:color w:val="auto"/>
          <w:highlight w:val="none"/>
        </w:rPr>
      </w:pPr>
    </w:p>
    <w:p w14:paraId="590CAB7D">
      <w:pPr>
        <w:spacing w:line="500" w:lineRule="exact"/>
        <w:jc w:val="center"/>
        <w:rPr>
          <w:rFonts w:ascii="宋体" w:hAnsi="宋体" w:cs="宋体"/>
          <w:color w:val="auto"/>
          <w:sz w:val="32"/>
          <w:highlight w:val="none"/>
        </w:rPr>
      </w:pPr>
    </w:p>
    <w:p w14:paraId="50BE50E3">
      <w:pPr>
        <w:spacing w:line="500" w:lineRule="exact"/>
        <w:jc w:val="center"/>
        <w:rPr>
          <w:rFonts w:ascii="宋体" w:hAnsi="宋体" w:cs="宋体"/>
          <w:color w:val="auto"/>
          <w:sz w:val="32"/>
          <w:highlight w:val="none"/>
        </w:rPr>
      </w:pPr>
    </w:p>
    <w:p w14:paraId="25D30C1E">
      <w:pPr>
        <w:spacing w:line="500" w:lineRule="exact"/>
        <w:jc w:val="center"/>
        <w:rPr>
          <w:rFonts w:ascii="宋体" w:hAnsi="宋体" w:cs="宋体"/>
          <w:color w:val="auto"/>
          <w:sz w:val="32"/>
          <w:highlight w:val="none"/>
        </w:rPr>
      </w:pPr>
    </w:p>
    <w:p w14:paraId="49B6C67F">
      <w:pPr>
        <w:pStyle w:val="12"/>
        <w:rPr>
          <w:rFonts w:ascii="宋体" w:hAnsi="宋体" w:cs="宋体"/>
          <w:color w:val="auto"/>
          <w:sz w:val="32"/>
          <w:highlight w:val="none"/>
        </w:rPr>
      </w:pPr>
    </w:p>
    <w:p w14:paraId="1323B543">
      <w:pPr>
        <w:pStyle w:val="34"/>
        <w:ind w:firstLine="320"/>
        <w:rPr>
          <w:rFonts w:ascii="宋体" w:hAnsi="宋体" w:cs="宋体"/>
          <w:color w:val="auto"/>
          <w:sz w:val="32"/>
          <w:highlight w:val="none"/>
        </w:rPr>
      </w:pPr>
    </w:p>
    <w:p w14:paraId="701803EB">
      <w:pPr>
        <w:pStyle w:val="34"/>
        <w:ind w:firstLine="0" w:firstLineChars="0"/>
        <w:rPr>
          <w:rFonts w:ascii="宋体" w:hAnsi="宋体" w:cs="宋体"/>
          <w:color w:val="auto"/>
          <w:sz w:val="32"/>
          <w:highlight w:val="none"/>
        </w:rPr>
      </w:pPr>
    </w:p>
    <w:p w14:paraId="03045F42">
      <w:pPr>
        <w:rPr>
          <w:rFonts w:ascii="宋体" w:hAnsi="宋体" w:cs="宋体"/>
          <w:color w:val="auto"/>
          <w:highlight w:val="none"/>
        </w:rPr>
      </w:pPr>
    </w:p>
    <w:p w14:paraId="358F1E52">
      <w:pPr>
        <w:pStyle w:val="78"/>
        <w:ind w:firstLine="0"/>
        <w:rPr>
          <w:rFonts w:ascii="宋体" w:hAnsi="宋体" w:cs="宋体"/>
          <w:b/>
          <w:color w:val="auto"/>
          <w:spacing w:val="20"/>
          <w:sz w:val="44"/>
          <w:highlight w:val="none"/>
        </w:rPr>
      </w:pPr>
      <w:r>
        <w:rPr>
          <w:rFonts w:hint="eastAsia" w:ascii="宋体" w:hAnsi="宋体" w:cs="宋体"/>
          <w:b/>
          <w:color w:val="auto"/>
          <w:spacing w:val="20"/>
          <w:sz w:val="44"/>
          <w:highlight w:val="none"/>
        </w:rPr>
        <w:t>江苏商贸职业学院</w:t>
      </w:r>
    </w:p>
    <w:p w14:paraId="0B95DE2A">
      <w:pPr>
        <w:adjustRightInd w:val="0"/>
        <w:spacing w:before="120" w:after="120" w:line="500" w:lineRule="exact"/>
        <w:ind w:left="-2" w:right="120"/>
        <w:jc w:val="center"/>
        <w:textAlignment w:val="baseline"/>
        <w:rPr>
          <w:rFonts w:ascii="宋体" w:hAnsi="宋体" w:cs="宋体"/>
          <w:b/>
          <w:snapToGrid w:val="0"/>
          <w:color w:val="auto"/>
          <w:sz w:val="26"/>
          <w:szCs w:val="28"/>
          <w:highlight w:val="none"/>
          <w:u w:val="single"/>
        </w:rPr>
      </w:pPr>
      <w:r>
        <w:rPr>
          <w:rFonts w:hint="eastAsia" w:ascii="宋体" w:hAnsi="宋体" w:cs="宋体"/>
          <w:b/>
          <w:bCs/>
          <w:color w:val="auto"/>
          <w:spacing w:val="20"/>
          <w:sz w:val="32"/>
          <w:szCs w:val="32"/>
          <w:highlight w:val="none"/>
        </w:rPr>
        <w:t>二○二五年</w:t>
      </w:r>
      <w:r>
        <w:rPr>
          <w:rFonts w:hint="eastAsia" w:ascii="宋体" w:hAnsi="宋体" w:cs="宋体"/>
          <w:b/>
          <w:bCs/>
          <w:color w:val="auto"/>
          <w:spacing w:val="20"/>
          <w:sz w:val="32"/>
          <w:szCs w:val="32"/>
          <w:highlight w:val="none"/>
          <w:lang w:val="en-US" w:eastAsia="zh-CN"/>
        </w:rPr>
        <w:t>八</w:t>
      </w:r>
      <w:r>
        <w:rPr>
          <w:rFonts w:hint="eastAsia" w:ascii="宋体" w:hAnsi="宋体" w:cs="宋体"/>
          <w:b/>
          <w:bCs/>
          <w:color w:val="auto"/>
          <w:spacing w:val="20"/>
          <w:sz w:val="32"/>
          <w:szCs w:val="32"/>
          <w:highlight w:val="none"/>
        </w:rPr>
        <w:t>月</w:t>
      </w:r>
      <w:r>
        <w:rPr>
          <w:rFonts w:hint="eastAsia" w:ascii="宋体" w:hAnsi="宋体" w:cs="宋体"/>
          <w:b/>
          <w:snapToGrid w:val="0"/>
          <w:color w:val="auto"/>
          <w:sz w:val="26"/>
          <w:szCs w:val="28"/>
          <w:highlight w:val="none"/>
          <w:u w:val="single"/>
        </w:rPr>
        <w:t xml:space="preserve">                                                  </w:t>
      </w:r>
    </w:p>
    <w:p w14:paraId="1031B0BC">
      <w:pPr>
        <w:adjustRightInd w:val="0"/>
        <w:snapToGrid w:val="0"/>
        <w:ind w:left="-180" w:leftChars="-75"/>
        <w:rPr>
          <w:rFonts w:ascii="宋体" w:hAnsi="宋体" w:cs="宋体"/>
          <w:snapToGrid w:val="0"/>
          <w:color w:val="auto"/>
          <w:sz w:val="30"/>
          <w:szCs w:val="30"/>
          <w:highlight w:val="none"/>
        </w:rPr>
      </w:pPr>
      <w:r>
        <w:rPr>
          <w:rFonts w:hint="eastAsia" w:ascii="宋体" w:hAnsi="宋体" w:cs="宋体"/>
          <w:snapToGrid w:val="0"/>
          <w:color w:val="auto"/>
          <w:sz w:val="30"/>
          <w:szCs w:val="30"/>
          <w:highlight w:val="none"/>
        </w:rPr>
        <w:t xml:space="preserve">                     </w:t>
      </w:r>
    </w:p>
    <w:p w14:paraId="4A5071A5">
      <w:pPr>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1D67A984">
      <w:pPr>
        <w:adjustRightInd w:val="0"/>
        <w:snapToGrid w:val="0"/>
        <w:spacing w:line="500" w:lineRule="exact"/>
        <w:ind w:left="-180" w:leftChars="-75" w:right="-686" w:rightChars="-286"/>
        <w:jc w:val="center"/>
        <w:rPr>
          <w:rFonts w:ascii="宋体" w:hAnsi="宋体" w:cs="宋体"/>
          <w:color w:val="auto"/>
          <w:sz w:val="32"/>
          <w:szCs w:val="32"/>
          <w:highlight w:val="none"/>
        </w:rPr>
      </w:pPr>
      <w:r>
        <w:rPr>
          <w:rFonts w:hint="eastAsia" w:ascii="宋体" w:hAnsi="宋体" w:cs="宋体"/>
          <w:color w:val="auto"/>
          <w:sz w:val="44"/>
          <w:szCs w:val="44"/>
          <w:highlight w:val="none"/>
        </w:rPr>
        <w:t>目 录</w:t>
      </w:r>
    </w:p>
    <w:p w14:paraId="3AF84910">
      <w:pPr>
        <w:tabs>
          <w:tab w:val="left" w:pos="7740"/>
        </w:tabs>
        <w:adjustRightInd w:val="0"/>
        <w:snapToGrid w:val="0"/>
        <w:spacing w:line="360" w:lineRule="auto"/>
        <w:ind w:firstLine="640" w:firstLineChars="200"/>
        <w:rPr>
          <w:rFonts w:ascii="宋体" w:hAnsi="宋体" w:cs="宋体"/>
          <w:bCs/>
          <w:color w:val="auto"/>
          <w:sz w:val="32"/>
          <w:szCs w:val="32"/>
          <w:highlight w:val="none"/>
        </w:rPr>
      </w:pPr>
    </w:p>
    <w:p w14:paraId="44A2F6E6">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第一部分  投标邀请</w:t>
      </w:r>
    </w:p>
    <w:p w14:paraId="1D283DF3">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706F2E32">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w:t>
      </w:r>
    </w:p>
    <w:p w14:paraId="5F633909">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26322DE5">
      <w:pPr>
        <w:tabs>
          <w:tab w:val="left" w:pos="7740"/>
        </w:tabs>
        <w:adjustRightInd w:val="0"/>
        <w:snapToGrid w:val="0"/>
        <w:spacing w:line="36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第五部分  合同主要条款</w:t>
      </w:r>
    </w:p>
    <w:p w14:paraId="77366E19">
      <w:pPr>
        <w:tabs>
          <w:tab w:val="left" w:pos="7740"/>
        </w:tabs>
        <w:adjustRightInd w:val="0"/>
        <w:snapToGrid w:val="0"/>
        <w:spacing w:line="360" w:lineRule="auto"/>
        <w:ind w:firstLine="640" w:firstLineChars="200"/>
        <w:rPr>
          <w:rFonts w:ascii="宋体" w:hAnsi="宋体" w:cs="宋体"/>
          <w:color w:val="auto"/>
          <w:spacing w:val="2"/>
          <w:sz w:val="32"/>
          <w:szCs w:val="32"/>
          <w:highlight w:val="none"/>
        </w:rPr>
      </w:pPr>
      <w:r>
        <w:rPr>
          <w:rFonts w:hint="eastAsia" w:ascii="宋体" w:hAnsi="宋体" w:cs="宋体"/>
          <w:bCs/>
          <w:color w:val="auto"/>
          <w:sz w:val="32"/>
          <w:szCs w:val="32"/>
          <w:highlight w:val="none"/>
        </w:rPr>
        <w:t>第</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部分  投标文件组成</w:t>
      </w:r>
    </w:p>
    <w:p w14:paraId="27BCF89B">
      <w:pPr>
        <w:spacing w:line="500" w:lineRule="exact"/>
        <w:rPr>
          <w:rFonts w:ascii="宋体" w:hAnsi="宋体" w:cs="宋体"/>
          <w:b/>
          <w:color w:val="auto"/>
          <w:sz w:val="32"/>
          <w:szCs w:val="32"/>
          <w:highlight w:val="none"/>
        </w:rPr>
      </w:pPr>
    </w:p>
    <w:p w14:paraId="577F38D4">
      <w:pPr>
        <w:tabs>
          <w:tab w:val="left" w:pos="7740"/>
        </w:tabs>
        <w:spacing w:line="500" w:lineRule="exact"/>
        <w:rPr>
          <w:rFonts w:ascii="宋体" w:hAnsi="宋体" w:cs="宋体"/>
          <w:b/>
          <w:color w:val="auto"/>
          <w:spacing w:val="2"/>
          <w:sz w:val="32"/>
          <w:szCs w:val="32"/>
          <w:highlight w:val="none"/>
        </w:rPr>
      </w:pPr>
    </w:p>
    <w:p w14:paraId="706CB4B7">
      <w:pPr>
        <w:tabs>
          <w:tab w:val="left" w:pos="7740"/>
        </w:tabs>
        <w:spacing w:line="500" w:lineRule="exact"/>
        <w:rPr>
          <w:rFonts w:ascii="宋体" w:hAnsi="宋体" w:cs="宋体"/>
          <w:b/>
          <w:color w:val="auto"/>
          <w:spacing w:val="2"/>
          <w:sz w:val="32"/>
          <w:szCs w:val="32"/>
          <w:highlight w:val="none"/>
        </w:rPr>
      </w:pPr>
    </w:p>
    <w:p w14:paraId="30C361D1">
      <w:pPr>
        <w:tabs>
          <w:tab w:val="left" w:pos="7740"/>
        </w:tabs>
        <w:spacing w:line="500" w:lineRule="exact"/>
        <w:rPr>
          <w:rFonts w:ascii="宋体" w:hAnsi="宋体" w:cs="宋体"/>
          <w:b/>
          <w:bCs/>
          <w:color w:val="auto"/>
          <w:sz w:val="32"/>
          <w:szCs w:val="32"/>
          <w:highlight w:val="none"/>
        </w:rPr>
      </w:pPr>
    </w:p>
    <w:p w14:paraId="341FB6A6">
      <w:pPr>
        <w:pStyle w:val="12"/>
        <w:rPr>
          <w:rFonts w:ascii="宋体" w:hAnsi="宋体" w:cs="宋体"/>
          <w:bCs/>
          <w:color w:val="auto"/>
          <w:sz w:val="36"/>
          <w:szCs w:val="36"/>
          <w:highlight w:val="none"/>
        </w:rPr>
      </w:pPr>
    </w:p>
    <w:p w14:paraId="335FCCB0">
      <w:pPr>
        <w:rPr>
          <w:rFonts w:ascii="宋体" w:hAnsi="宋体" w:cs="宋体"/>
          <w:color w:val="auto"/>
          <w:highlight w:val="none"/>
        </w:rPr>
      </w:pPr>
    </w:p>
    <w:p w14:paraId="5F63BFA2">
      <w:pPr>
        <w:adjustRightInd w:val="0"/>
        <w:snapToGrid w:val="0"/>
        <w:spacing w:line="500" w:lineRule="exact"/>
        <w:jc w:val="center"/>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br w:type="page"/>
      </w:r>
      <w:r>
        <w:rPr>
          <w:rFonts w:hint="eastAsia" w:ascii="宋体" w:hAnsi="宋体" w:cs="宋体"/>
          <w:bCs/>
          <w:color w:val="auto"/>
          <w:sz w:val="32"/>
          <w:szCs w:val="32"/>
          <w:highlight w:val="none"/>
        </w:rPr>
        <w:t xml:space="preserve">第一部分  </w:t>
      </w:r>
      <w:bookmarkStart w:id="0" w:name="OLE_LINK5"/>
      <w:bookmarkStart w:id="1" w:name="OLE_LINK7"/>
      <w:r>
        <w:rPr>
          <w:rFonts w:hint="eastAsia" w:ascii="宋体" w:hAnsi="宋体" w:cs="宋体"/>
          <w:bCs/>
          <w:color w:val="auto"/>
          <w:sz w:val="32"/>
          <w:szCs w:val="32"/>
          <w:highlight w:val="none"/>
        </w:rPr>
        <w:t>投标邀请</w:t>
      </w:r>
    </w:p>
    <w:p w14:paraId="4ED89729">
      <w:pPr>
        <w:spacing w:line="460" w:lineRule="exact"/>
        <w:ind w:firstLine="480" w:firstLineChars="200"/>
        <w:rPr>
          <w:rFonts w:ascii="宋体" w:hAnsi="宋体" w:cs="宋体"/>
          <w:color w:val="auto"/>
          <w:kern w:val="0"/>
          <w:sz w:val="24"/>
          <w:highlight w:val="none"/>
        </w:rPr>
      </w:pPr>
      <w:bookmarkStart w:id="2" w:name="OLE_LINK6"/>
      <w:r>
        <w:rPr>
          <w:rFonts w:hint="eastAsia" w:ascii="宋体" w:hAnsi="宋体" w:cs="宋体"/>
          <w:color w:val="auto"/>
          <w:sz w:val="24"/>
          <w:highlight w:val="none"/>
        </w:rPr>
        <w:t>受</w:t>
      </w:r>
      <w:r>
        <w:rPr>
          <w:rFonts w:hint="eastAsia" w:ascii="宋体" w:hAnsi="宋体" w:cs="宋体"/>
          <w:color w:val="auto"/>
          <w:sz w:val="24"/>
          <w:highlight w:val="none"/>
          <w:u w:val="single"/>
        </w:rPr>
        <w:t>江苏商贸职业学院</w:t>
      </w:r>
      <w:r>
        <w:rPr>
          <w:rFonts w:hint="eastAsia" w:ascii="宋体" w:hAnsi="宋体" w:cs="宋体"/>
          <w:color w:val="auto"/>
          <w:sz w:val="24"/>
          <w:highlight w:val="none"/>
        </w:rPr>
        <w:t>的委托</w:t>
      </w:r>
      <w:r>
        <w:rPr>
          <w:rFonts w:hint="eastAsia" w:ascii="宋体" w:hAnsi="宋体" w:cs="宋体"/>
          <w:color w:val="auto"/>
          <w:sz w:val="24"/>
          <w:highlight w:val="none"/>
          <w:u w:val="single"/>
        </w:rPr>
        <w:t>，江苏中润工程建设咨询有限公司</w:t>
      </w:r>
      <w:r>
        <w:rPr>
          <w:rFonts w:hint="eastAsia" w:ascii="宋体" w:hAnsi="宋体" w:cs="宋体"/>
          <w:color w:val="auto"/>
          <w:sz w:val="24"/>
          <w:highlight w:val="none"/>
        </w:rPr>
        <w:t>就</w:t>
      </w:r>
      <w:r>
        <w:rPr>
          <w:rFonts w:hint="eastAsia" w:ascii="宋体" w:hAnsi="宋体" w:cs="宋体"/>
          <w:color w:val="auto"/>
          <w:sz w:val="24"/>
          <w:highlight w:val="none"/>
          <w:u w:val="single"/>
          <w:lang w:eastAsia="zh-CN"/>
        </w:rPr>
        <w:t>江苏商贸职业学院财务机器人应用与开发实践教学平台采购项目</w:t>
      </w:r>
      <w:r>
        <w:rPr>
          <w:rFonts w:hint="eastAsia" w:ascii="宋体" w:hAnsi="宋体" w:cs="宋体"/>
          <w:color w:val="auto"/>
          <w:sz w:val="24"/>
          <w:highlight w:val="none"/>
          <w:u w:val="single"/>
        </w:rPr>
        <w:t>(项目编号: JSSYCG20250804046</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进行公开招标采购，欢迎符合条件的供应商投标。</w:t>
      </w:r>
    </w:p>
    <w:p w14:paraId="4C84A7FB">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项目概况</w:t>
      </w:r>
    </w:p>
    <w:p w14:paraId="32EE40C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江苏商贸职业学院财务机器人应用与开发实践教学平台采购项目</w:t>
      </w:r>
      <w:r>
        <w:rPr>
          <w:rFonts w:hint="eastAsia" w:ascii="宋体" w:hAnsi="宋体" w:cs="宋体"/>
          <w:color w:val="auto"/>
          <w:sz w:val="24"/>
          <w:highlight w:val="none"/>
        </w:rPr>
        <w:t>的潜在投标人应在江苏商贸职业</w:t>
      </w:r>
      <w:r>
        <w:rPr>
          <w:rFonts w:hint="eastAsia" w:ascii="宋体" w:hAnsi="宋体" w:cs="宋体"/>
          <w:color w:val="auto"/>
          <w:sz w:val="24"/>
          <w:highlight w:val="none"/>
          <w:lang w:eastAsia="zh-CN"/>
        </w:rPr>
        <w:t>学院网（</w:t>
      </w:r>
      <w:r>
        <w:rPr>
          <w:rFonts w:hint="eastAsia" w:ascii="宋体" w:hAnsi="宋体" w:cs="宋体"/>
          <w:color w:val="auto"/>
          <w:sz w:val="24"/>
          <w:highlight w:val="none"/>
          <w:lang w:eastAsia="zh-CN"/>
        </w:rPr>
        <w:fldChar w:fldCharType="begin"/>
      </w:r>
      <w:r>
        <w:rPr>
          <w:rFonts w:hint="eastAsia" w:ascii="宋体" w:hAnsi="宋体" w:cs="宋体"/>
          <w:color w:val="auto"/>
          <w:sz w:val="24"/>
          <w:highlight w:val="none"/>
          <w:lang w:eastAsia="zh-CN"/>
        </w:rPr>
        <w:instrText xml:space="preserve"> HYPERLINK "http://www.jsbc.edu.cn/）获取招标文件，并于2024年%2005月" </w:instrText>
      </w:r>
      <w:r>
        <w:rPr>
          <w:rFonts w:hint="eastAsia" w:ascii="宋体" w:hAnsi="宋体" w:cs="宋体"/>
          <w:color w:val="auto"/>
          <w:sz w:val="24"/>
          <w:highlight w:val="none"/>
          <w:lang w:eastAsia="zh-CN"/>
        </w:rPr>
        <w:fldChar w:fldCharType="separate"/>
      </w:r>
      <w:r>
        <w:rPr>
          <w:rFonts w:hint="eastAsia" w:ascii="宋体" w:hAnsi="宋体" w:cs="宋体"/>
          <w:color w:val="auto"/>
          <w:sz w:val="24"/>
          <w:highlight w:val="none"/>
          <w:lang w:eastAsia="zh-CN"/>
        </w:rPr>
        <w:t>http://www.jsbc.edu.cn/）获取招标文件，并于202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月</w:t>
      </w:r>
      <w:r>
        <w:rPr>
          <w:rFonts w:hint="eastAsia" w:ascii="宋体" w:hAnsi="宋体" w:cs="宋体"/>
          <w:color w:val="auto"/>
          <w:sz w:val="24"/>
          <w:highlight w:val="none"/>
          <w:lang w:eastAsia="zh-CN"/>
        </w:rPr>
        <w:fldChar w:fldCharType="end"/>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日09时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分（北京时间）前递交投标文件。</w:t>
      </w:r>
    </w:p>
    <w:p w14:paraId="3586FA75">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63BB681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项目编号：JSSYCG20250804046</w:t>
      </w:r>
    </w:p>
    <w:p w14:paraId="4EC6AD8E">
      <w:pPr>
        <w:tabs>
          <w:tab w:val="left" w:pos="360"/>
        </w:tabs>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江苏商贸职业学院财务机器人应用与开发实践教学平台采购项目</w:t>
      </w:r>
    </w:p>
    <w:p w14:paraId="4A56FFFC">
      <w:pPr>
        <w:tabs>
          <w:tab w:val="left" w:pos="360"/>
        </w:tabs>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项目类型：</w:t>
      </w:r>
      <w:r>
        <w:rPr>
          <w:rFonts w:hint="eastAsia" w:ascii="宋体" w:hAnsi="宋体" w:cs="宋体"/>
          <w:color w:val="auto"/>
          <w:sz w:val="24"/>
          <w:highlight w:val="none"/>
          <w:lang w:val="en-US" w:eastAsia="zh-CN"/>
        </w:rPr>
        <w:t>货物</w:t>
      </w:r>
    </w:p>
    <w:p w14:paraId="7744808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所属行业：软件和信息技术服务业</w:t>
      </w:r>
    </w:p>
    <w:p w14:paraId="556A85C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万元</w:t>
      </w:r>
    </w:p>
    <w:p w14:paraId="42662D2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万元，投标报价高于最高限价的作无效报价处理。</w:t>
      </w:r>
    </w:p>
    <w:p w14:paraId="28F6324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采购需求：详见采购文件，请仔细研究。</w:t>
      </w:r>
    </w:p>
    <w:p w14:paraId="079608C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sz w:val="24"/>
          <w:szCs w:val="20"/>
        </w:rPr>
        <w:t>合同签订之日起</w:t>
      </w:r>
      <w:r>
        <w:rPr>
          <w:rFonts w:hint="eastAsia" w:ascii="宋体" w:hAnsi="宋体" w:cs="宋体"/>
          <w:sz w:val="24"/>
          <w:szCs w:val="20"/>
          <w:lang w:val="en-US" w:eastAsia="zh-CN"/>
        </w:rPr>
        <w:t>30</w:t>
      </w:r>
      <w:r>
        <w:rPr>
          <w:rFonts w:hint="eastAsia" w:ascii="宋体" w:hAnsi="宋体" w:cs="宋体"/>
          <w:sz w:val="24"/>
          <w:szCs w:val="20"/>
        </w:rPr>
        <w:t>个工作日内完成交付</w:t>
      </w:r>
      <w:r>
        <w:rPr>
          <w:rFonts w:hint="eastAsia" w:ascii="宋体" w:hAnsi="宋体" w:cs="宋体"/>
          <w:color w:val="auto"/>
          <w:sz w:val="24"/>
          <w:highlight w:val="none"/>
        </w:rPr>
        <w:t>。</w:t>
      </w:r>
    </w:p>
    <w:p w14:paraId="3B21ADF4">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二、申请人的资格要求：</w:t>
      </w:r>
    </w:p>
    <w:p w14:paraId="4B5B71B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35D28D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提供法定代表人身份证明及法定代表人本人身份证复印件(须加盖单位公章);非法定代表人参加投标的，还必须提供法定代表人签字或印章的授权委托书及被授权人本人身份证复印件(须加盖单位公章)（格式参见附件）；</w:t>
      </w:r>
    </w:p>
    <w:p w14:paraId="67A2C10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3.提供营业执照副本复印件并加盖投标单位公章；</w:t>
      </w:r>
    </w:p>
    <w:p w14:paraId="12B809D4">
      <w:pPr>
        <w:tabs>
          <w:tab w:val="left" w:pos="360"/>
        </w:tabs>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4.落实政府采购政策需满足的资格要求：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u w:val="single"/>
        </w:rPr>
        <w:t xml:space="preserve"> </w:t>
      </w:r>
    </w:p>
    <w:p w14:paraId="61891BA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5.单位负责人为同一人或者存在直接控股、管理关系的不同供应商，不得参加同一合同项下的采购活动。</w:t>
      </w:r>
    </w:p>
    <w:p w14:paraId="18CF545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6.未被“信用中国”网站列入失信被执行人、重大税收违法案件当事人名单、采购不良行为记录名单；</w:t>
      </w:r>
    </w:p>
    <w:p w14:paraId="1C21985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7.本项目不接受联合体投标。</w:t>
      </w:r>
    </w:p>
    <w:p w14:paraId="31287E0D">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579809B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时间：2025年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25 </w:t>
      </w:r>
      <w:r>
        <w:rPr>
          <w:rFonts w:hint="eastAsia" w:ascii="宋体" w:hAnsi="宋体" w:cs="宋体"/>
          <w:color w:val="auto"/>
          <w:sz w:val="24"/>
          <w:highlight w:val="none"/>
        </w:rPr>
        <w:t>日</w:t>
      </w:r>
    </w:p>
    <w:p w14:paraId="10CC1BE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地点：江苏商贸职业学院网（http://www.jsbc.edu.cn/）</w:t>
      </w:r>
    </w:p>
    <w:p w14:paraId="5B12361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方式：网站附件自行下载</w:t>
      </w:r>
    </w:p>
    <w:p w14:paraId="1A5BCE2C">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BE8983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截止时间：2025年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日09时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分（北京时间）。逾时，招标人将拒绝接受投标响应文件。</w:t>
      </w:r>
    </w:p>
    <w:p w14:paraId="4CDC9A4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开标地点：江苏省南通市江通路48号，江苏商贸职业学院资产管理处（西大门南侧）办公室，如有变动另行通知。</w:t>
      </w:r>
    </w:p>
    <w:p w14:paraId="044C2AE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评审地点：江苏商贸职业学院基建会议室，如有变动另行通知。</w:t>
      </w:r>
    </w:p>
    <w:p w14:paraId="0BF70F1B">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五、公告期限</w:t>
      </w:r>
    </w:p>
    <w:p w14:paraId="260D4F4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6AE15CDC">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2CF7D93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1.投标保证金：免收。</w:t>
      </w:r>
    </w:p>
    <w:p w14:paraId="1F165FA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2.项目开标活动模式：见面开标模式，投标供应商在江苏省南通市江通路48号，江苏商贸职业学院资产管理处（西大门南侧）办公室参加开标会。</w:t>
      </w:r>
    </w:p>
    <w:p w14:paraId="44E6E1D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3.项目演示：</w:t>
      </w:r>
      <w:r>
        <w:rPr>
          <w:rFonts w:hint="eastAsia" w:ascii="宋体" w:hAnsi="宋体" w:cs="宋体"/>
          <w:color w:val="auto"/>
          <w:sz w:val="24"/>
          <w:highlight w:val="none"/>
          <w:lang w:val="en-US" w:eastAsia="zh-CN"/>
        </w:rPr>
        <w:t>详见采购文件</w:t>
      </w:r>
      <w:r>
        <w:rPr>
          <w:rFonts w:hint="eastAsia" w:ascii="宋体" w:hAnsi="宋体" w:cs="宋体"/>
          <w:color w:val="auto"/>
          <w:sz w:val="24"/>
          <w:highlight w:val="none"/>
        </w:rPr>
        <w:t>。</w:t>
      </w:r>
    </w:p>
    <w:p w14:paraId="623CC95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4.对项目需求部分（供应商资格要求、项目需求、商务技术评分标准）的询问、质疑请向招标人提出，由招标人负责答复；对项目招标文件其它部分的询问请向代理机构经办人提出。</w:t>
      </w:r>
    </w:p>
    <w:p w14:paraId="548723F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3CE092E7">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07D120E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1.招标单位：江苏商贸职业学院</w:t>
      </w:r>
    </w:p>
    <w:p w14:paraId="2EB093E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招标单位联系人：</w:t>
      </w:r>
    </w:p>
    <w:p w14:paraId="65E320E2">
      <w:pPr>
        <w:tabs>
          <w:tab w:val="left" w:pos="360"/>
        </w:tabs>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李老师（数智财金学院）</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val="en-US" w:eastAsia="zh-CN"/>
        </w:rPr>
        <w:t>15996551066</w:t>
      </w:r>
    </w:p>
    <w:p w14:paraId="7FB5B437">
      <w:pPr>
        <w:snapToGrid w:val="0"/>
        <w:spacing w:line="480" w:lineRule="exact"/>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杨老师 （资产管理处）             联系电话：0513-85679264</w:t>
      </w:r>
    </w:p>
    <w:p w14:paraId="355EA51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联系邮箱：jssyzcglc@jsbc.edu.cn</w:t>
      </w:r>
    </w:p>
    <w:p w14:paraId="539FDD8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2.监督、投诉联系方式</w:t>
      </w:r>
    </w:p>
    <w:p w14:paraId="27262EE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电话：0513-85679216，联系邮箱：jssyjjjc@163.com</w:t>
      </w:r>
    </w:p>
    <w:p w14:paraId="41380AA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3.招标代理机构信息</w:t>
      </w:r>
    </w:p>
    <w:p w14:paraId="35A4DA1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名称：江苏中润工程建设咨询有限公司</w:t>
      </w:r>
    </w:p>
    <w:p w14:paraId="66F37ED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地址：南通市崇川路58号南通产业技术研究院9号楼1004室</w:t>
      </w:r>
    </w:p>
    <w:p w14:paraId="6FE24B9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经办人联系方式：王先生 13906272111</w:t>
      </w:r>
    </w:p>
    <w:p w14:paraId="1F95900E">
      <w:pPr>
        <w:pStyle w:val="17"/>
        <w:rPr>
          <w:rFonts w:ascii="宋体" w:hAnsi="宋体" w:eastAsia="宋体" w:cs="宋体"/>
          <w:color w:val="auto"/>
          <w:highlight w:val="none"/>
        </w:rPr>
      </w:pPr>
    </w:p>
    <w:p w14:paraId="14ADFA63">
      <w:pPr>
        <w:adjustRightInd w:val="0"/>
        <w:snapToGrid w:val="0"/>
        <w:spacing w:line="500" w:lineRule="exact"/>
        <w:jc w:val="center"/>
        <w:outlineLvl w:val="0"/>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第二部分  投标须知</w:t>
      </w:r>
    </w:p>
    <w:p w14:paraId="3D31B24F">
      <w:pPr>
        <w:tabs>
          <w:tab w:val="left" w:pos="360"/>
        </w:tabs>
        <w:spacing w:line="460" w:lineRule="exact"/>
        <w:ind w:firstLine="482" w:firstLineChars="200"/>
        <w:rPr>
          <w:rFonts w:ascii="宋体" w:hAnsi="宋体" w:cs="宋体"/>
          <w:b/>
          <w:bCs/>
          <w:color w:val="auto"/>
          <w:sz w:val="24"/>
          <w:highlight w:val="none"/>
        </w:rPr>
      </w:pPr>
      <w:bookmarkStart w:id="3" w:name="_Toc120614214"/>
      <w:bookmarkStart w:id="4" w:name="_Toc513029203"/>
      <w:bookmarkStart w:id="5" w:name="_Toc20823275"/>
      <w:bookmarkStart w:id="6" w:name="_Toc16938519"/>
      <w:r>
        <w:rPr>
          <w:rFonts w:hint="eastAsia" w:ascii="宋体" w:hAnsi="宋体" w:cs="宋体"/>
          <w:b/>
          <w:bCs/>
          <w:color w:val="auto"/>
          <w:sz w:val="24"/>
          <w:highlight w:val="none"/>
        </w:rPr>
        <w:t>一、总则</w:t>
      </w:r>
      <w:bookmarkEnd w:id="3"/>
      <w:bookmarkEnd w:id="4"/>
      <w:bookmarkEnd w:id="5"/>
      <w:bookmarkEnd w:id="6"/>
    </w:p>
    <w:p w14:paraId="44C305E1">
      <w:pPr>
        <w:tabs>
          <w:tab w:val="left" w:pos="360"/>
        </w:tabs>
        <w:spacing w:line="460" w:lineRule="exact"/>
        <w:ind w:firstLine="480" w:firstLineChars="200"/>
        <w:rPr>
          <w:rFonts w:ascii="宋体" w:hAnsi="宋体" w:cs="宋体"/>
          <w:color w:val="auto"/>
          <w:sz w:val="24"/>
          <w:highlight w:val="none"/>
        </w:rPr>
      </w:pPr>
      <w:bookmarkStart w:id="7" w:name="_Hlt16619475"/>
      <w:bookmarkEnd w:id="7"/>
      <w:bookmarkStart w:id="8" w:name="_Toc458694821"/>
      <w:bookmarkStart w:id="9" w:name="_Toc16938520"/>
      <w:bookmarkStart w:id="10" w:name="_Toc20823276"/>
      <w:bookmarkStart w:id="11" w:name="_Toc513029204"/>
      <w:r>
        <w:rPr>
          <w:rFonts w:hint="eastAsia" w:ascii="宋体" w:hAnsi="宋体" w:cs="宋体"/>
          <w:color w:val="auto"/>
          <w:sz w:val="24"/>
          <w:highlight w:val="none"/>
        </w:rPr>
        <w:t>1</w:t>
      </w:r>
      <w:bookmarkEnd w:id="8"/>
      <w:r>
        <w:rPr>
          <w:rFonts w:hint="eastAsia" w:ascii="宋体" w:hAnsi="宋体" w:cs="宋体"/>
          <w:color w:val="auto"/>
          <w:sz w:val="24"/>
          <w:highlight w:val="none"/>
        </w:rPr>
        <w:t>.招标方式</w:t>
      </w:r>
      <w:bookmarkEnd w:id="9"/>
      <w:bookmarkEnd w:id="10"/>
      <w:bookmarkEnd w:id="11"/>
    </w:p>
    <w:p w14:paraId="7D5905F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本次招标采取公开招标方式，本招标文件仅适用于招标公告中所述项目。</w:t>
      </w:r>
    </w:p>
    <w:p w14:paraId="1FF353E8">
      <w:pPr>
        <w:tabs>
          <w:tab w:val="left" w:pos="360"/>
        </w:tabs>
        <w:spacing w:line="460" w:lineRule="exact"/>
        <w:ind w:firstLine="480" w:firstLineChars="200"/>
        <w:rPr>
          <w:rFonts w:ascii="宋体" w:hAnsi="宋体" w:cs="宋体"/>
          <w:color w:val="auto"/>
          <w:sz w:val="24"/>
          <w:highlight w:val="none"/>
        </w:rPr>
      </w:pPr>
      <w:bookmarkStart w:id="12" w:name="_Toc16938521"/>
      <w:bookmarkStart w:id="13" w:name="_Toc20823277"/>
      <w:bookmarkStart w:id="14" w:name="_Toc513029205"/>
      <w:r>
        <w:rPr>
          <w:rFonts w:hint="eastAsia" w:ascii="宋体" w:hAnsi="宋体" w:cs="宋体"/>
          <w:color w:val="auto"/>
          <w:sz w:val="24"/>
          <w:highlight w:val="none"/>
        </w:rPr>
        <w:t>2.合格的投标人</w:t>
      </w:r>
      <w:bookmarkEnd w:id="12"/>
      <w:bookmarkEnd w:id="13"/>
      <w:bookmarkEnd w:id="14"/>
    </w:p>
    <w:p w14:paraId="1178445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2.1满足招标公告中供应商的资格要求的规定。</w:t>
      </w:r>
    </w:p>
    <w:p w14:paraId="4F874B5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满足本文件实质性条款的规定。</w:t>
      </w:r>
    </w:p>
    <w:p w14:paraId="57F6D4F3">
      <w:pPr>
        <w:tabs>
          <w:tab w:val="left" w:pos="360"/>
        </w:tabs>
        <w:spacing w:line="460" w:lineRule="exact"/>
        <w:ind w:firstLine="480" w:firstLineChars="200"/>
        <w:rPr>
          <w:rFonts w:ascii="宋体" w:hAnsi="宋体" w:cs="宋体"/>
          <w:color w:val="auto"/>
          <w:sz w:val="24"/>
          <w:highlight w:val="none"/>
        </w:rPr>
      </w:pPr>
      <w:bookmarkStart w:id="15" w:name="_Toc16938522"/>
      <w:bookmarkStart w:id="16" w:name="_Toc20823278"/>
      <w:bookmarkStart w:id="17" w:name="_Toc513029206"/>
      <w:r>
        <w:rPr>
          <w:rFonts w:hint="eastAsia" w:ascii="宋体" w:hAnsi="宋体" w:cs="宋体"/>
          <w:color w:val="auto"/>
          <w:sz w:val="24"/>
          <w:highlight w:val="none"/>
        </w:rPr>
        <w:t>3.适用法律</w:t>
      </w:r>
      <w:bookmarkEnd w:id="15"/>
      <w:bookmarkEnd w:id="16"/>
      <w:bookmarkEnd w:id="17"/>
    </w:p>
    <w:p w14:paraId="433B1F9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3.1本次招标及由此产生的合同受中华人民共和国有关的法律法规制约和保护。</w:t>
      </w:r>
    </w:p>
    <w:p w14:paraId="1FF39083">
      <w:pPr>
        <w:tabs>
          <w:tab w:val="left" w:pos="360"/>
        </w:tabs>
        <w:spacing w:line="460" w:lineRule="exact"/>
        <w:ind w:firstLine="480" w:firstLineChars="200"/>
        <w:rPr>
          <w:rFonts w:ascii="宋体" w:hAnsi="宋体" w:cs="宋体"/>
          <w:color w:val="auto"/>
          <w:sz w:val="24"/>
          <w:highlight w:val="none"/>
        </w:rPr>
      </w:pPr>
      <w:bookmarkStart w:id="18" w:name="_Toc16938523"/>
      <w:bookmarkStart w:id="19" w:name="_Toc462564067"/>
      <w:bookmarkStart w:id="20" w:name="_Toc20823279"/>
      <w:bookmarkStart w:id="21" w:name="_Toc513029207"/>
      <w:r>
        <w:rPr>
          <w:rFonts w:hint="eastAsia" w:ascii="宋体" w:hAnsi="宋体" w:cs="宋体"/>
          <w:color w:val="auto"/>
          <w:sz w:val="24"/>
          <w:highlight w:val="none"/>
        </w:rPr>
        <w:t>4.投标费用</w:t>
      </w:r>
      <w:bookmarkEnd w:id="18"/>
      <w:bookmarkEnd w:id="19"/>
      <w:bookmarkEnd w:id="20"/>
      <w:bookmarkEnd w:id="21"/>
    </w:p>
    <w:p w14:paraId="21329694">
      <w:pPr>
        <w:tabs>
          <w:tab w:val="left" w:pos="360"/>
        </w:tabs>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4.1投标人应自行承担所有与参加投标有关的费用，无论投标过程中的做法</w:t>
      </w:r>
      <w:r>
        <w:rPr>
          <w:rFonts w:hint="eastAsia" w:ascii="宋体" w:hAnsi="宋体" w:eastAsia="宋体" w:cs="宋体"/>
          <w:color w:val="auto"/>
          <w:sz w:val="24"/>
          <w:highlight w:val="none"/>
        </w:rPr>
        <w:t>和结果如何，江苏中润工程建设咨询有限公司（以下简称招标代理机构）在任何情况下均无义务和责任承担这些费用。</w:t>
      </w:r>
    </w:p>
    <w:p w14:paraId="751F6A2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4.2</w:t>
      </w:r>
      <w:r>
        <w:rPr>
          <w:rFonts w:hint="eastAsia" w:ascii="宋体" w:hAnsi="宋体" w:cs="宋体"/>
          <w:color w:val="auto"/>
          <w:sz w:val="24"/>
          <w:highlight w:val="none"/>
        </w:rPr>
        <w:t>本项目招标代理费收取标准以中标价为基准，乘以招标代理收费费率，由成交供应商支付，投标供应商综合考虑在报价内（不单列）。</w:t>
      </w:r>
    </w:p>
    <w:p w14:paraId="11FD843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本项目招标代理收费费率标准：</w:t>
      </w:r>
    </w:p>
    <w:tbl>
      <w:tblPr>
        <w:tblStyle w:val="3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4988"/>
        <w:gridCol w:w="3504"/>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b/>
                <w:bCs/>
                <w:color w:val="auto"/>
                <w:sz w:val="24"/>
                <w:highlight w:val="none"/>
              </w:rPr>
            </w:pPr>
            <w:r>
              <w:rPr>
                <w:rFonts w:hint="eastAsia" w:ascii="宋体" w:hAnsi="宋体" w:cs="宋体"/>
                <w:b/>
                <w:bCs/>
                <w:color w:val="auto"/>
                <w:sz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widowControl/>
              <w:suppressLineNumbers w:val="0"/>
              <w:adjustRightInd w:val="0"/>
              <w:snapToGrid w:val="0"/>
              <w:spacing w:before="0" w:beforeAutospacing="0" w:after="0" w:afterAutospacing="0" w:line="4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2000.00元</w:t>
            </w:r>
          </w:p>
        </w:tc>
      </w:tr>
    </w:tbl>
    <w:p w14:paraId="1ABBD36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代理费由成交供应商在开标现场定标后支付给代理机构，如因成交供应商原因导致本项目流标或改变中标结果或其被取消中标资格的，代理费不予退还</w:t>
      </w:r>
      <w:r>
        <w:rPr>
          <w:rFonts w:hint="eastAsia" w:ascii="宋体" w:hAnsi="宋体" w:cs="宋体"/>
          <w:color w:val="auto"/>
          <w:sz w:val="24"/>
          <w:highlight w:val="none"/>
        </w:rPr>
        <w:t>。</w:t>
      </w:r>
    </w:p>
    <w:p w14:paraId="5E0F55C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本项目报总价，报价包含完成本项目服务期间所产生的一切费用（含验收费用），校方后期不再另行追加费用。</w:t>
      </w:r>
    </w:p>
    <w:p w14:paraId="39A2FA0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5.招标文件的约束力</w:t>
      </w:r>
    </w:p>
    <w:p w14:paraId="1CF9904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投标人一旦参加本项目采购活动，即被认为接受了本招标文件的规定和约束。</w:t>
      </w:r>
    </w:p>
    <w:p w14:paraId="122CBAB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6.招标文件的解释</w:t>
      </w:r>
    </w:p>
    <w:p w14:paraId="4D2EAF4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6.1招标文件需求部分（供应商资格要求、项目需求、商务技术评分标准）由招标人解释，其它部分由代理机构解释。</w:t>
      </w:r>
    </w:p>
    <w:p w14:paraId="4AB74045">
      <w:pPr>
        <w:tabs>
          <w:tab w:val="left" w:pos="360"/>
        </w:tabs>
        <w:spacing w:line="460" w:lineRule="exact"/>
        <w:ind w:firstLine="482" w:firstLineChars="200"/>
        <w:rPr>
          <w:rFonts w:ascii="宋体" w:hAnsi="宋体" w:cs="宋体"/>
          <w:b/>
          <w:bCs/>
          <w:color w:val="auto"/>
          <w:sz w:val="24"/>
          <w:highlight w:val="none"/>
        </w:rPr>
      </w:pPr>
      <w:bookmarkStart w:id="22" w:name="_Toc20823281"/>
      <w:bookmarkStart w:id="23" w:name="_Toc120614215"/>
      <w:bookmarkStart w:id="24" w:name="_Toc16938525"/>
      <w:bookmarkStart w:id="25" w:name="_Toc513029209"/>
      <w:r>
        <w:rPr>
          <w:rFonts w:hint="eastAsia" w:ascii="宋体" w:hAnsi="宋体" w:cs="宋体"/>
          <w:b/>
          <w:bCs/>
          <w:color w:val="auto"/>
          <w:sz w:val="24"/>
          <w:highlight w:val="none"/>
        </w:rPr>
        <w:t>二、招标文件</w:t>
      </w:r>
      <w:bookmarkEnd w:id="22"/>
      <w:bookmarkEnd w:id="23"/>
      <w:bookmarkEnd w:id="24"/>
      <w:bookmarkEnd w:id="25"/>
    </w:p>
    <w:p w14:paraId="105972C2">
      <w:pPr>
        <w:tabs>
          <w:tab w:val="left" w:pos="360"/>
        </w:tabs>
        <w:spacing w:line="460" w:lineRule="exact"/>
        <w:ind w:firstLine="480" w:firstLineChars="200"/>
        <w:rPr>
          <w:rFonts w:ascii="宋体" w:hAnsi="宋体" w:cs="宋体"/>
          <w:color w:val="auto"/>
          <w:sz w:val="24"/>
          <w:highlight w:val="none"/>
        </w:rPr>
      </w:pPr>
      <w:bookmarkStart w:id="26" w:name="_Toc16938526"/>
      <w:bookmarkStart w:id="27" w:name="_Toc20823282"/>
      <w:bookmarkStart w:id="28" w:name="_Toc513029210"/>
      <w:r>
        <w:rPr>
          <w:rFonts w:hint="eastAsia" w:ascii="宋体" w:hAnsi="宋体" w:cs="宋体"/>
          <w:color w:val="auto"/>
          <w:sz w:val="24"/>
          <w:highlight w:val="none"/>
        </w:rPr>
        <w:t>1.招标文件构成</w:t>
      </w:r>
      <w:bookmarkEnd w:id="26"/>
      <w:bookmarkEnd w:id="27"/>
      <w:bookmarkEnd w:id="28"/>
    </w:p>
    <w:p w14:paraId="5782F0A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招标文件由以下部分组成：</w:t>
      </w:r>
    </w:p>
    <w:p w14:paraId="42DE8B4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（1）招标公告</w:t>
      </w:r>
    </w:p>
    <w:p w14:paraId="32E6A78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（2）投标须知</w:t>
      </w:r>
    </w:p>
    <w:p w14:paraId="61B8B1A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（3）项目需求</w:t>
      </w:r>
    </w:p>
    <w:p w14:paraId="13D04F6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（4）开标和评标</w:t>
      </w:r>
    </w:p>
    <w:p w14:paraId="23F377C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（5）投标文件组成</w:t>
      </w:r>
    </w:p>
    <w:p w14:paraId="5C33CA6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（6）附件（如有）</w:t>
      </w:r>
    </w:p>
    <w:p w14:paraId="5138C59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请仔细检查招标文件是否齐全，如有缺漏请立即与代理机构联系解决。</w:t>
      </w:r>
    </w:p>
    <w:p w14:paraId="0BCC877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BA9AB94">
      <w:pPr>
        <w:tabs>
          <w:tab w:val="left" w:pos="360"/>
        </w:tabs>
        <w:spacing w:line="460" w:lineRule="exact"/>
        <w:ind w:firstLine="480" w:firstLineChars="200"/>
        <w:rPr>
          <w:rFonts w:ascii="宋体" w:hAnsi="宋体" w:cs="宋体"/>
          <w:color w:val="auto"/>
          <w:sz w:val="24"/>
          <w:highlight w:val="none"/>
        </w:rPr>
      </w:pPr>
      <w:bookmarkStart w:id="29" w:name="_Toc513029211"/>
      <w:bookmarkStart w:id="30" w:name="_Toc462564070"/>
      <w:bookmarkStart w:id="31" w:name="_Toc16938527"/>
      <w:bookmarkStart w:id="32" w:name="_Toc20823283"/>
      <w:r>
        <w:rPr>
          <w:rFonts w:hint="eastAsia" w:ascii="宋体" w:hAnsi="宋体" w:cs="宋体"/>
          <w:color w:val="auto"/>
          <w:sz w:val="24"/>
          <w:highlight w:val="none"/>
        </w:rPr>
        <w:t>2.招标文件的澄清</w:t>
      </w:r>
      <w:bookmarkEnd w:id="29"/>
      <w:bookmarkEnd w:id="30"/>
      <w:bookmarkEnd w:id="31"/>
      <w:bookmarkEnd w:id="32"/>
    </w:p>
    <w:p w14:paraId="1B635C8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任何要求对招标文件进行澄清的投标人，应在投标截止期十日前按招标公告中的通讯地址，以书面形式通知招标人。招标人有权对发出的招标文件进行必要的澄清或修改。</w:t>
      </w:r>
    </w:p>
    <w:p w14:paraId="77A056D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2.2招标人视情组织答疑会</w:t>
      </w:r>
    </w:p>
    <w:p w14:paraId="217EC04E">
      <w:pPr>
        <w:tabs>
          <w:tab w:val="left" w:pos="360"/>
        </w:tabs>
        <w:spacing w:line="460" w:lineRule="exact"/>
        <w:ind w:firstLine="480" w:firstLineChars="200"/>
        <w:rPr>
          <w:rFonts w:ascii="宋体" w:hAnsi="宋体" w:cs="宋体"/>
          <w:color w:val="auto"/>
          <w:sz w:val="24"/>
          <w:highlight w:val="none"/>
        </w:rPr>
      </w:pPr>
      <w:bookmarkStart w:id="33" w:name="_Toc20823284"/>
      <w:bookmarkStart w:id="34" w:name="_Toc462564071"/>
      <w:bookmarkStart w:id="35" w:name="_Toc16938528"/>
      <w:bookmarkStart w:id="36" w:name="_Toc513029212"/>
      <w:r>
        <w:rPr>
          <w:rFonts w:hint="eastAsia" w:ascii="宋体" w:hAnsi="宋体" w:cs="宋体"/>
          <w:color w:val="auto"/>
          <w:sz w:val="24"/>
          <w:highlight w:val="none"/>
        </w:rPr>
        <w:t>3.招标文件的修改</w:t>
      </w:r>
      <w:bookmarkEnd w:id="33"/>
      <w:bookmarkEnd w:id="34"/>
      <w:bookmarkEnd w:id="35"/>
      <w:bookmarkEnd w:id="36"/>
    </w:p>
    <w:p w14:paraId="6B9037B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在投标截止时间前，代理机构可以对招标文件进行修改。</w:t>
      </w:r>
    </w:p>
    <w:p w14:paraId="4BD1B64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代理机构有权按照法定的要求推迟投标截止日期和开标日期。</w:t>
      </w:r>
    </w:p>
    <w:p w14:paraId="57914C8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 招标文件的修改将在江苏商贸职业学院网（http://www.jsbc.edu.cn/）公布，补充文件将作为招标文件的组成部分，并对投标人具有约束力。</w:t>
      </w:r>
    </w:p>
    <w:p w14:paraId="71FC3A39">
      <w:pPr>
        <w:tabs>
          <w:tab w:val="left" w:pos="360"/>
        </w:tabs>
        <w:spacing w:line="460" w:lineRule="exact"/>
        <w:ind w:firstLine="482" w:firstLineChars="200"/>
        <w:rPr>
          <w:rFonts w:ascii="宋体" w:hAnsi="宋体" w:cs="宋体"/>
          <w:b/>
          <w:bCs/>
          <w:color w:val="auto"/>
          <w:sz w:val="24"/>
          <w:highlight w:val="none"/>
        </w:rPr>
      </w:pPr>
      <w:bookmarkStart w:id="37" w:name="_Toc120614216"/>
      <w:bookmarkStart w:id="38" w:name="_Toc20823285"/>
      <w:bookmarkStart w:id="39" w:name="_Toc513029213"/>
      <w:bookmarkStart w:id="40" w:name="_Toc16938529"/>
      <w:bookmarkStart w:id="41" w:name="_Toc462564072"/>
      <w:r>
        <w:rPr>
          <w:rFonts w:hint="eastAsia" w:ascii="宋体" w:hAnsi="宋体" w:cs="宋体"/>
          <w:b/>
          <w:bCs/>
          <w:color w:val="auto"/>
          <w:sz w:val="24"/>
          <w:highlight w:val="none"/>
        </w:rPr>
        <w:t>三、投标文件的编制</w:t>
      </w:r>
      <w:bookmarkEnd w:id="37"/>
      <w:bookmarkEnd w:id="38"/>
      <w:bookmarkEnd w:id="39"/>
      <w:bookmarkEnd w:id="40"/>
      <w:bookmarkEnd w:id="41"/>
    </w:p>
    <w:p w14:paraId="04AB3F0B">
      <w:pPr>
        <w:tabs>
          <w:tab w:val="left" w:pos="360"/>
        </w:tabs>
        <w:spacing w:line="460" w:lineRule="exact"/>
        <w:ind w:firstLine="480" w:firstLineChars="200"/>
        <w:rPr>
          <w:rFonts w:ascii="宋体" w:hAnsi="宋体" w:cs="宋体"/>
          <w:color w:val="auto"/>
          <w:sz w:val="24"/>
          <w:highlight w:val="none"/>
        </w:rPr>
      </w:pPr>
      <w:bookmarkStart w:id="42" w:name="_Toc16938530"/>
      <w:bookmarkStart w:id="43" w:name="_Toc513029214"/>
      <w:bookmarkStart w:id="44" w:name="_Toc20823286"/>
      <w:bookmarkStart w:id="45" w:name="_Toc462564073"/>
      <w:r>
        <w:rPr>
          <w:rFonts w:hint="eastAsia" w:ascii="宋体" w:hAnsi="宋体" w:cs="宋体"/>
          <w:color w:val="auto"/>
          <w:sz w:val="24"/>
          <w:highlight w:val="none"/>
        </w:rPr>
        <w:t>1.投标文件的语言及度量衡单位</w:t>
      </w:r>
      <w:bookmarkEnd w:id="42"/>
      <w:bookmarkEnd w:id="43"/>
      <w:bookmarkEnd w:id="44"/>
      <w:bookmarkEnd w:id="45"/>
    </w:p>
    <w:p w14:paraId="4935182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投标人提交的投标文件以及投标人与代理机构就有关投标的所有来往通知、函件和文件均应使用简体中文。</w:t>
      </w:r>
    </w:p>
    <w:p w14:paraId="1AE761A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除技术性能另有规定外，投标文件所使用的度量衡单位，均须采用国家法定计量单位。</w:t>
      </w:r>
    </w:p>
    <w:p w14:paraId="213FB52E">
      <w:pPr>
        <w:tabs>
          <w:tab w:val="left" w:pos="360"/>
        </w:tabs>
        <w:spacing w:line="460" w:lineRule="exact"/>
        <w:ind w:firstLine="480" w:firstLineChars="200"/>
        <w:rPr>
          <w:rFonts w:ascii="宋体" w:hAnsi="宋体" w:cs="宋体"/>
          <w:color w:val="auto"/>
          <w:sz w:val="24"/>
          <w:highlight w:val="none"/>
        </w:rPr>
      </w:pPr>
      <w:bookmarkStart w:id="46" w:name="_Toc16938531"/>
      <w:bookmarkStart w:id="47" w:name="_Toc513029215"/>
      <w:bookmarkStart w:id="48" w:name="_Toc20823287"/>
      <w:bookmarkStart w:id="49" w:name="_Toc462564074"/>
      <w:r>
        <w:rPr>
          <w:rFonts w:hint="eastAsia" w:ascii="宋体" w:hAnsi="宋体" w:cs="宋体"/>
          <w:color w:val="auto"/>
          <w:sz w:val="24"/>
          <w:highlight w:val="none"/>
        </w:rPr>
        <w:t>2.投标文件构成</w:t>
      </w:r>
      <w:bookmarkEnd w:id="46"/>
      <w:bookmarkEnd w:id="47"/>
      <w:bookmarkEnd w:id="48"/>
      <w:bookmarkEnd w:id="49"/>
    </w:p>
    <w:p w14:paraId="2F98E7C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投标人编写的投标文件应包括资格审查文件、商务技术标、价格标。供应商按“第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部分 投标文件组成”要求编写投标文件。</w:t>
      </w:r>
    </w:p>
    <w:p w14:paraId="3B43D6FC">
      <w:pPr>
        <w:tabs>
          <w:tab w:val="left" w:pos="360"/>
        </w:tabs>
        <w:spacing w:line="460" w:lineRule="exact"/>
        <w:ind w:firstLine="480" w:firstLineChars="200"/>
        <w:rPr>
          <w:rFonts w:ascii="宋体" w:hAnsi="宋体" w:cs="宋体"/>
          <w:color w:val="auto"/>
          <w:sz w:val="24"/>
          <w:highlight w:val="none"/>
        </w:rPr>
      </w:pPr>
      <w:bookmarkStart w:id="50" w:name="_Hlt26668975"/>
      <w:bookmarkEnd w:id="50"/>
      <w:bookmarkStart w:id="51" w:name="_Hlt26670360"/>
      <w:bookmarkEnd w:id="51"/>
      <w:bookmarkStart w:id="52" w:name="_Hlt26954838"/>
      <w:bookmarkEnd w:id="52"/>
      <w:bookmarkStart w:id="53" w:name="_Toc49090511"/>
      <w:bookmarkStart w:id="54" w:name="_Toc14577360"/>
      <w:r>
        <w:rPr>
          <w:rFonts w:hint="eastAsia" w:ascii="宋体" w:hAnsi="宋体" w:cs="宋体"/>
          <w:color w:val="auto"/>
          <w:sz w:val="24"/>
          <w:highlight w:val="none"/>
        </w:rPr>
        <w:t>3.投标有效期</w:t>
      </w:r>
      <w:bookmarkEnd w:id="53"/>
      <w:bookmarkEnd w:id="54"/>
    </w:p>
    <w:p w14:paraId="4A7C51D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3.1投标有效期为代理机构规定的开标之日后六十（60）天。投标有效期比规定短的将被视为非响应性投标而予以拒绝。</w:t>
      </w:r>
    </w:p>
    <w:p w14:paraId="4DD9C36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4.投标有效期的延长</w:t>
      </w:r>
    </w:p>
    <w:p w14:paraId="5B79EED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292AC7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5.投标人资格要求</w:t>
      </w:r>
    </w:p>
    <w:p w14:paraId="6478AAA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5.1投标人应具备承担本项目的资格要求。</w:t>
      </w:r>
    </w:p>
    <w:p w14:paraId="22F144A6">
      <w:pPr>
        <w:tabs>
          <w:tab w:val="left" w:pos="360"/>
        </w:tabs>
        <w:spacing w:line="460" w:lineRule="exact"/>
        <w:ind w:firstLine="482" w:firstLineChars="200"/>
        <w:rPr>
          <w:rFonts w:ascii="宋体" w:hAnsi="宋体" w:cs="宋体"/>
          <w:b/>
          <w:bCs/>
          <w:color w:val="auto"/>
          <w:sz w:val="24"/>
          <w:highlight w:val="none"/>
        </w:rPr>
      </w:pPr>
      <w:bookmarkStart w:id="55" w:name="_Hlt26954852"/>
      <w:bookmarkEnd w:id="55"/>
      <w:bookmarkStart w:id="56" w:name="_Hlt26954739"/>
      <w:bookmarkEnd w:id="56"/>
      <w:bookmarkStart w:id="57" w:name="_Toc120614217"/>
      <w:bookmarkStart w:id="58" w:name="_Toc16938540"/>
      <w:bookmarkStart w:id="59" w:name="_Toc513029224"/>
      <w:bookmarkStart w:id="60" w:name="_Toc20823296"/>
      <w:r>
        <w:rPr>
          <w:rFonts w:hint="eastAsia" w:ascii="宋体" w:hAnsi="宋体" w:cs="宋体"/>
          <w:b/>
          <w:bCs/>
          <w:color w:val="auto"/>
          <w:sz w:val="24"/>
          <w:highlight w:val="none"/>
        </w:rPr>
        <w:t>四、投标文件的递交</w:t>
      </w:r>
      <w:bookmarkEnd w:id="57"/>
      <w:bookmarkEnd w:id="58"/>
      <w:bookmarkEnd w:id="59"/>
      <w:bookmarkEnd w:id="60"/>
    </w:p>
    <w:p w14:paraId="62475813">
      <w:pPr>
        <w:tabs>
          <w:tab w:val="left" w:pos="360"/>
        </w:tabs>
        <w:spacing w:line="460" w:lineRule="exact"/>
        <w:ind w:firstLine="480" w:firstLineChars="200"/>
        <w:rPr>
          <w:rFonts w:ascii="宋体" w:hAnsi="宋体" w:cs="宋体"/>
          <w:color w:val="auto"/>
          <w:sz w:val="24"/>
          <w:highlight w:val="none"/>
        </w:rPr>
      </w:pPr>
      <w:bookmarkStart w:id="61" w:name="_Toc513029226"/>
      <w:bookmarkStart w:id="62" w:name="_Toc16938542"/>
      <w:bookmarkStart w:id="63" w:name="_Toc20823298"/>
      <w:r>
        <w:rPr>
          <w:rFonts w:hint="eastAsia" w:ascii="宋体" w:hAnsi="宋体" w:cs="宋体"/>
          <w:color w:val="auto"/>
          <w:sz w:val="24"/>
          <w:highlight w:val="none"/>
        </w:rPr>
        <w:t>1.投标文件的组成</w:t>
      </w:r>
    </w:p>
    <w:p w14:paraId="3AD77D4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纸质投标文件分资格审查文件、商务技术标、价格标三部分内容。每一部分内容均须提供“壹份正本、贰份副本”纸质响应文件，须分别单独牢固装订，不得相互混淆，文件自编目录并连续标注页码，不得将内容拆开。价格标不得出现于资格审查文件和商务技术标响应投标文件中。</w:t>
      </w:r>
    </w:p>
    <w:p w14:paraId="557CD45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1.2纸质响应文件分三个密封袋（箱）提交。其中：</w:t>
      </w:r>
    </w:p>
    <w:p w14:paraId="37B383F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资格审查文件的正、副本纸质响应文件密封在一个单独的密封袋内；</w:t>
      </w:r>
    </w:p>
    <w:p w14:paraId="1524474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商务技术标的正、副本纸质响应文件及图纸类（如需提供图纸等其它资料的话）等密封在一个单独的密封袋或密封箱内（如有A3大小的图纸类，可单独密封）；</w:t>
      </w:r>
    </w:p>
    <w:p w14:paraId="4C7BCF8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价格标的正、副本纸质响应文件密封在一个单独的密封袋内。</w:t>
      </w:r>
    </w:p>
    <w:p w14:paraId="035788C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1.3纸质投标文件须采用A4纸（图纸等除外），正、副本须打印并由法定代表人或授权人签字并加盖单位印章。文件内容中不得行间插字、涂改、增删，如修补错漏处，须由投标文件签署人签字并加盖公章。</w:t>
      </w:r>
    </w:p>
    <w:p w14:paraId="6F068809">
      <w:pPr>
        <w:tabs>
          <w:tab w:val="left" w:pos="360"/>
        </w:tabs>
        <w:spacing w:line="4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3448F61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1.4.电子投标文件（一份，单独密封提交）</w:t>
      </w:r>
    </w:p>
    <w:p w14:paraId="652FD21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要求提供电子响应文件一份，电子响应文件的内容为资格审查文件、商务技术标、价格标文件打印盖章（或电子签章）后的响应文件的扫描件（资格审查文件、商务技术标、价格标需分别逐页连续扫描为三个独立的PDF文件），可以采取U盘、电子光盘两种方式中任意一种方式提交，需单独密封提交。</w:t>
      </w:r>
    </w:p>
    <w:p w14:paraId="1F7988E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电子响应文件内容应与提交的纸质响应文件内容一致。否则，由此产生的后果投标人自负。</w:t>
      </w:r>
    </w:p>
    <w:p w14:paraId="32B5001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1.5响应文件密封后应标明响应文件项目名称、项目编号、边缝处加盖单位骑缝章或骑缝签字等关键信息，密封完好以不泄露投标文件内容为主要判断依据。</w:t>
      </w:r>
    </w:p>
    <w:p w14:paraId="20276CC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1.6递交时间：供应商须在规定的响应文件接收截止时间前送达指定地点。供应商提交投标文件，即视为已响应参加招标活动。</w:t>
      </w:r>
    </w:p>
    <w:p w14:paraId="44BADDF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友情提醒：代理机构将拒绝接收未按照招标文件要求密封的响应文件，拒绝接收在响应文件接收截止时间后递交的响应文件。</w:t>
      </w:r>
    </w:p>
    <w:p w14:paraId="2577A0A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2.投标截止日期</w:t>
      </w:r>
      <w:bookmarkEnd w:id="61"/>
      <w:bookmarkEnd w:id="62"/>
      <w:bookmarkEnd w:id="63"/>
    </w:p>
    <w:p w14:paraId="7FE74A7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供应商提交响应文件的时间不得迟于招标公告中规定的响应文件提交截止时间。</w:t>
      </w:r>
    </w:p>
    <w:p w14:paraId="30DA69E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供应商应充分考虑到交通路况、停车等风险因素，如因供应商自身原因造成的投标响应文件提交不成功由供应商自行承担全部责任。</w:t>
      </w:r>
    </w:p>
    <w:p w14:paraId="44531D9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代理机构可以按照规定，通过修改招标文件酌情延长投标截止日期，在此情况下，投标人的所有权利和义务以及投标人受制的截止日期均应以延长后新的截止日期为准。</w:t>
      </w:r>
    </w:p>
    <w:p w14:paraId="670C360B">
      <w:pPr>
        <w:tabs>
          <w:tab w:val="left" w:pos="360"/>
        </w:tabs>
        <w:spacing w:line="460" w:lineRule="exact"/>
        <w:ind w:firstLine="480" w:firstLineChars="200"/>
        <w:rPr>
          <w:rFonts w:ascii="宋体" w:hAnsi="宋体" w:cs="宋体"/>
          <w:color w:val="auto"/>
          <w:sz w:val="24"/>
          <w:highlight w:val="none"/>
        </w:rPr>
      </w:pPr>
      <w:bookmarkStart w:id="64" w:name="_Toc513029227"/>
      <w:bookmarkStart w:id="65" w:name="_Toc16938543"/>
      <w:bookmarkStart w:id="66" w:name="_Toc20823299"/>
      <w:r>
        <w:rPr>
          <w:rFonts w:hint="eastAsia" w:ascii="宋体" w:hAnsi="宋体" w:cs="宋体"/>
          <w:color w:val="auto"/>
          <w:sz w:val="24"/>
          <w:highlight w:val="none"/>
        </w:rPr>
        <w:t>3.投标文件</w:t>
      </w:r>
      <w:bookmarkEnd w:id="64"/>
      <w:bookmarkEnd w:id="65"/>
      <w:bookmarkEnd w:id="66"/>
      <w:r>
        <w:rPr>
          <w:rFonts w:hint="eastAsia" w:ascii="宋体" w:hAnsi="宋体" w:cs="宋体"/>
          <w:color w:val="auto"/>
          <w:sz w:val="24"/>
          <w:highlight w:val="none"/>
        </w:rPr>
        <w:t>的拒收</w:t>
      </w:r>
    </w:p>
    <w:p w14:paraId="5BCEAD4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代理机构拒绝接收在其规定的投标截止时间后提交的任何投标文件。</w:t>
      </w:r>
    </w:p>
    <w:p w14:paraId="49E518CA">
      <w:pPr>
        <w:tabs>
          <w:tab w:val="left" w:pos="360"/>
        </w:tabs>
        <w:spacing w:line="460" w:lineRule="exact"/>
        <w:ind w:firstLine="480" w:firstLineChars="200"/>
        <w:rPr>
          <w:rFonts w:ascii="宋体" w:hAnsi="宋体" w:cs="宋体"/>
          <w:color w:val="auto"/>
          <w:sz w:val="24"/>
          <w:highlight w:val="none"/>
        </w:rPr>
      </w:pPr>
      <w:bookmarkStart w:id="67" w:name="_Toc513029228"/>
      <w:bookmarkStart w:id="68" w:name="_Toc20823300"/>
      <w:bookmarkStart w:id="69" w:name="_Toc16938544"/>
      <w:r>
        <w:rPr>
          <w:rFonts w:hint="eastAsia" w:ascii="宋体" w:hAnsi="宋体" w:cs="宋体"/>
          <w:color w:val="auto"/>
          <w:sz w:val="24"/>
          <w:highlight w:val="none"/>
        </w:rPr>
        <w:t>4.投标文件的撤回和修改</w:t>
      </w:r>
      <w:bookmarkEnd w:id="67"/>
      <w:bookmarkEnd w:id="68"/>
      <w:bookmarkEnd w:id="69"/>
    </w:p>
    <w:p w14:paraId="05FD2FD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响应文件的撤回</w:t>
      </w:r>
    </w:p>
    <w:p w14:paraId="382E336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4.1.1供应商可在响应文件提交截止时间前，书面撤回其投标响应文件。</w:t>
      </w:r>
    </w:p>
    <w:p w14:paraId="296D6A0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投标人撤回投标文件，则认为其不再参与本项目投标活动。</w:t>
      </w:r>
    </w:p>
    <w:p w14:paraId="20AEA69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投标文件的修改</w:t>
      </w:r>
    </w:p>
    <w:p w14:paraId="761C3158">
      <w:pPr>
        <w:tabs>
          <w:tab w:val="left" w:pos="360"/>
        </w:tabs>
        <w:spacing w:line="460" w:lineRule="exact"/>
        <w:ind w:firstLine="480" w:firstLineChars="200"/>
        <w:rPr>
          <w:rFonts w:ascii="宋体" w:hAnsi="宋体" w:cs="宋体"/>
          <w:color w:val="auto"/>
          <w:sz w:val="24"/>
          <w:highlight w:val="none"/>
        </w:rPr>
      </w:pPr>
      <w:bookmarkStart w:id="70" w:name="_Toc20823301"/>
      <w:bookmarkStart w:id="71" w:name="_Toc120614218"/>
      <w:bookmarkStart w:id="72" w:name="_Toc16938545"/>
      <w:bookmarkStart w:id="73" w:name="_Toc513029229"/>
      <w:r>
        <w:rPr>
          <w:rFonts w:hint="eastAsia" w:ascii="宋体" w:hAnsi="宋体" w:cs="宋体"/>
          <w:color w:val="auto"/>
          <w:sz w:val="24"/>
          <w:highlight w:val="none"/>
        </w:rPr>
        <w:t>在响应文件提交截止时间之后，供应商不得再对其提交的响应文件进行修改。</w:t>
      </w:r>
    </w:p>
    <w:p w14:paraId="5E6E31C5">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五、开标与评标</w:t>
      </w:r>
      <w:bookmarkEnd w:id="70"/>
      <w:bookmarkEnd w:id="71"/>
      <w:bookmarkEnd w:id="72"/>
      <w:bookmarkEnd w:id="73"/>
    </w:p>
    <w:p w14:paraId="7DC88822">
      <w:pPr>
        <w:tabs>
          <w:tab w:val="left" w:pos="360"/>
        </w:tabs>
        <w:spacing w:line="460" w:lineRule="exact"/>
        <w:ind w:firstLine="480" w:firstLineChars="200"/>
        <w:rPr>
          <w:rFonts w:ascii="宋体" w:hAnsi="宋体" w:cs="宋体"/>
          <w:color w:val="auto"/>
          <w:sz w:val="24"/>
          <w:highlight w:val="none"/>
        </w:rPr>
      </w:pPr>
      <w:bookmarkStart w:id="74" w:name="_Toc513029230"/>
      <w:bookmarkStart w:id="75" w:name="_Toc16938546"/>
      <w:bookmarkStart w:id="76" w:name="_Toc20823302"/>
      <w:r>
        <w:rPr>
          <w:rFonts w:hint="eastAsia" w:ascii="宋体" w:hAnsi="宋体" w:cs="宋体"/>
          <w:color w:val="auto"/>
          <w:sz w:val="24"/>
          <w:highlight w:val="none"/>
        </w:rPr>
        <w:t>1开标</w:t>
      </w:r>
      <w:bookmarkEnd w:id="74"/>
      <w:bookmarkEnd w:id="75"/>
      <w:bookmarkEnd w:id="76"/>
    </w:p>
    <w:p w14:paraId="0CEBB4A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代理机构将在招标公告中规定的时间和地点组织公开开标。投标人应当按时在指定地点参加开标活动。</w:t>
      </w:r>
    </w:p>
    <w:p w14:paraId="615F97D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1.2开标仪式由代理机构组织。</w:t>
      </w:r>
    </w:p>
    <w:p w14:paraId="2E1AE0EA">
      <w:pPr>
        <w:tabs>
          <w:tab w:val="left" w:pos="360"/>
        </w:tabs>
        <w:spacing w:line="460" w:lineRule="exact"/>
        <w:ind w:firstLine="480" w:firstLineChars="200"/>
        <w:rPr>
          <w:rFonts w:ascii="宋体" w:hAnsi="宋体" w:cs="宋体"/>
          <w:color w:val="auto"/>
          <w:sz w:val="24"/>
          <w:highlight w:val="none"/>
        </w:rPr>
      </w:pPr>
      <w:bookmarkStart w:id="77" w:name="_Toc513029231"/>
      <w:bookmarkStart w:id="78" w:name="_Toc16938547"/>
      <w:bookmarkStart w:id="79" w:name="_Toc20823303"/>
      <w:r>
        <w:rPr>
          <w:rFonts w:hint="eastAsia" w:ascii="宋体" w:hAnsi="宋体" w:cs="宋体"/>
          <w:color w:val="auto"/>
          <w:sz w:val="24"/>
          <w:highlight w:val="none"/>
        </w:rPr>
        <w:t>2评标委员会</w:t>
      </w:r>
    </w:p>
    <w:p w14:paraId="55D9C0B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开标后，代理机构将立即组织评标委员会（以下简称评委会）进行评标。</w:t>
      </w:r>
    </w:p>
    <w:p w14:paraId="47E86EB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 评委会由招标人代表和有关技术、经济等方面的专家组成，且人员构成符合采购有关规定。</w:t>
      </w:r>
    </w:p>
    <w:p w14:paraId="56385C8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2.3评委会独立工作，负责评审所有投标文件并确定中标侯选人。</w:t>
      </w:r>
    </w:p>
    <w:p w14:paraId="0199F6D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3.评标过程的保密与公正</w:t>
      </w:r>
    </w:p>
    <w:bookmarkEnd w:id="77"/>
    <w:bookmarkEnd w:id="78"/>
    <w:bookmarkEnd w:id="79"/>
    <w:p w14:paraId="59A31CC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3.1公开开标后，直至向中标的投标人授予合同时止，凡是与审查、澄清、评价和比较投标的有关资料以及授标建议等，招标人、评委、代理机构均不得向投标人或与评标无关的其他人员透露。</w:t>
      </w:r>
    </w:p>
    <w:p w14:paraId="6276BAC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3.2在评标过程中，投标人不得以任何行为影响评标过程，否则其投标文件将被作为无效投标文件。</w:t>
      </w:r>
    </w:p>
    <w:p w14:paraId="4B739E8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3.3在评标期间，代理机构将设专门人员与投标人联系。</w:t>
      </w:r>
    </w:p>
    <w:p w14:paraId="5418492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 代理机构和评标委员会不向未中标的投标人解释未中标原因，也不公布评标过程中的相关细节。</w:t>
      </w:r>
    </w:p>
    <w:p w14:paraId="6E0F80CE">
      <w:pPr>
        <w:tabs>
          <w:tab w:val="left" w:pos="360"/>
        </w:tabs>
        <w:spacing w:line="460" w:lineRule="exact"/>
        <w:ind w:firstLine="480" w:firstLineChars="200"/>
        <w:rPr>
          <w:rFonts w:ascii="宋体" w:hAnsi="宋体" w:cs="宋体"/>
          <w:color w:val="auto"/>
          <w:sz w:val="24"/>
          <w:highlight w:val="none"/>
        </w:rPr>
      </w:pPr>
      <w:bookmarkStart w:id="80" w:name="_Toc513029232"/>
      <w:bookmarkStart w:id="81" w:name="_Toc20823304"/>
      <w:bookmarkStart w:id="82" w:name="_Toc16938548"/>
      <w:r>
        <w:rPr>
          <w:rFonts w:hint="eastAsia" w:ascii="宋体" w:hAnsi="宋体" w:cs="宋体"/>
          <w:color w:val="auto"/>
          <w:sz w:val="24"/>
          <w:highlight w:val="none"/>
        </w:rPr>
        <w:t>4.投标的澄清</w:t>
      </w:r>
      <w:bookmarkEnd w:id="80"/>
      <w:bookmarkEnd w:id="81"/>
      <w:bookmarkEnd w:id="82"/>
    </w:p>
    <w:p w14:paraId="369709A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4.1评标期间，为有助于对投标文件的审查、评价和比较，评委会有权要求投标人对其投标文件进行澄清，但并非对每个投标人都作澄清要求。</w:t>
      </w:r>
    </w:p>
    <w:p w14:paraId="1A7AECA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4.2接到评委会澄清要求的投标人应按评委会规定的时间和格式做出澄清，澄清的内容作为投标文件的补充部分，但投标的价格和实质性的内容不得做任何更改。</w:t>
      </w:r>
    </w:p>
    <w:p w14:paraId="1B67604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 接到评委会澄清要求的投标人如未按规定做出澄清，其风险由投标人自行承担。</w:t>
      </w:r>
    </w:p>
    <w:p w14:paraId="2E7C6AE6">
      <w:pPr>
        <w:tabs>
          <w:tab w:val="left" w:pos="360"/>
        </w:tabs>
        <w:spacing w:line="460" w:lineRule="exact"/>
        <w:ind w:firstLine="480" w:firstLineChars="200"/>
        <w:rPr>
          <w:rFonts w:ascii="宋体" w:hAnsi="宋体" w:cs="宋体"/>
          <w:color w:val="auto"/>
          <w:sz w:val="24"/>
          <w:highlight w:val="none"/>
        </w:rPr>
      </w:pPr>
      <w:bookmarkStart w:id="83" w:name="_Toc16938549"/>
      <w:bookmarkStart w:id="84" w:name="_Toc513029233"/>
      <w:bookmarkStart w:id="85" w:name="_Toc20823305"/>
      <w:r>
        <w:rPr>
          <w:rFonts w:hint="eastAsia" w:ascii="宋体" w:hAnsi="宋体" w:cs="宋体"/>
          <w:color w:val="auto"/>
          <w:sz w:val="24"/>
          <w:highlight w:val="none"/>
        </w:rPr>
        <w:t>5对投标文件的初审</w:t>
      </w:r>
      <w:bookmarkEnd w:id="83"/>
      <w:bookmarkEnd w:id="84"/>
      <w:bookmarkEnd w:id="85"/>
    </w:p>
    <w:p w14:paraId="596C863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5.1投标文件初审分为资格审查和符合性审查。</w:t>
      </w:r>
    </w:p>
    <w:p w14:paraId="4CE8DA8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资格审查：依据法律法规和招标文件的规定，由评委会对投标文件中的资格证明文件进行审查。</w:t>
      </w:r>
    </w:p>
    <w:p w14:paraId="016F528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符合性审查：依据招标文件的规定，由评委会从投标文件的有效性、完整性和对招标文件的响应程度进行审查，以确定是否对招标文件的实质性要求作出响应。</w:t>
      </w:r>
    </w:p>
    <w:p w14:paraId="541E3F3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 未通过资格审查或符合性审查的投标人，代理机构将告知未通过资格审查或符合性审查的原因。</w:t>
      </w:r>
    </w:p>
    <w:p w14:paraId="2E057B3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FB6BE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7D01AA5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5.3如果投标文件实质上没有响应招标文件的要求，评委会将予以拒绝，投标人不得通过修改或撤销不合要求的偏离或保留而使其投标成为实质性响应的投标。</w:t>
      </w:r>
    </w:p>
    <w:p w14:paraId="24AE1FB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5.4评委会将对确定为实质性响应的投标进行进一步审核，看其是否有计算上或累加上的算术错误，修正错误的原则如下：</w:t>
      </w:r>
    </w:p>
    <w:p w14:paraId="5DA1C57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（1）投标文件中开标一览表内容与投标文件中相应内容不一致的，以开标一览表为准。</w:t>
      </w:r>
    </w:p>
    <w:p w14:paraId="6675B7F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6FFCC54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（3）单价金额小数点或者百分比有明显错位的，以开标一览表的总价为准，并修改单价。</w:t>
      </w:r>
    </w:p>
    <w:p w14:paraId="57B0257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3981D7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同时出现两种以上错误的，按照前款规定的顺序修正。</w:t>
      </w:r>
    </w:p>
    <w:p w14:paraId="0C2F43A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5.5评委会将按上述修正错误的方法调整投标文件中的投标报价，并告知投标人，调整后的价格应对投标人具有约束力。如果投标人不接受修正后的价格，则其投标将被拒绝。</w:t>
      </w:r>
    </w:p>
    <w:p w14:paraId="1107990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5.6评委会将允许修正投标文件中不构成重大偏离的、微小的、非正规的、不一致的或不规则的地方，但这些修改不能影响任何投标人相应的名次排列。</w:t>
      </w:r>
    </w:p>
    <w:p w14:paraId="73B12A19">
      <w:pPr>
        <w:tabs>
          <w:tab w:val="left" w:pos="360"/>
        </w:tabs>
        <w:spacing w:line="460" w:lineRule="exact"/>
        <w:ind w:firstLine="480" w:firstLineChars="200"/>
        <w:rPr>
          <w:rFonts w:ascii="宋体" w:hAnsi="宋体" w:cs="宋体"/>
          <w:color w:val="auto"/>
          <w:sz w:val="24"/>
          <w:highlight w:val="none"/>
        </w:rPr>
      </w:pPr>
      <w:bookmarkStart w:id="86" w:name="_Toc513029234"/>
      <w:bookmarkStart w:id="87" w:name="_Toc16938550"/>
      <w:bookmarkStart w:id="88" w:name="_Toc20823306"/>
      <w:r>
        <w:rPr>
          <w:rFonts w:hint="eastAsia" w:ascii="宋体" w:hAnsi="宋体" w:cs="宋体"/>
          <w:color w:val="auto"/>
          <w:sz w:val="24"/>
          <w:highlight w:val="none"/>
        </w:rPr>
        <w:t>5.7投标人在开、评标全过程中应保持通讯畅通，并安排专人与代理机构及评标委员会联系。</w:t>
      </w:r>
    </w:p>
    <w:bookmarkEnd w:id="86"/>
    <w:bookmarkEnd w:id="87"/>
    <w:bookmarkEnd w:id="88"/>
    <w:p w14:paraId="730BDBCD">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5.8</w:t>
      </w:r>
      <w:r>
        <w:rPr>
          <w:rFonts w:hint="eastAsia" w:ascii="宋体" w:hAnsi="宋体" w:cs="宋体"/>
          <w:color w:val="auto"/>
          <w:sz w:val="24"/>
          <w:highlight w:val="none"/>
        </w:rPr>
        <w:t>.异常低价审查</w:t>
      </w:r>
    </w:p>
    <w:p w14:paraId="4A96AFB5">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5.8.1</w:t>
      </w:r>
      <w:r>
        <w:rPr>
          <w:rFonts w:hint="eastAsia" w:ascii="宋体" w:hAnsi="宋体" w:cs="宋体"/>
          <w:color w:val="auto"/>
          <w:sz w:val="24"/>
          <w:highlight w:val="none"/>
        </w:rPr>
        <w:t>根据省财政厅《关于推动解决政府采购异常低价问题相关工作的通知》（苏财购〔2025〕62号）要求，评审过程中出现下列情形之一的，评审委员会应当启动异常低价投标（响应）审查程序：</w:t>
      </w:r>
    </w:p>
    <w:p w14:paraId="011C9FCB">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（1）投标(响应)报价低于采购项目预算50%的，即投标(响应)报价&lt;采购项目预算×50%;</w:t>
      </w:r>
    </w:p>
    <w:p w14:paraId="47C6B5D0">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（2）投标(响应)报价低于采购项目最高限价45%的，即投标(响应)报价&lt;采购项目最高限价×45%;</w:t>
      </w:r>
    </w:p>
    <w:p w14:paraId="577E96B9">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（3）评审委员会认定的供应商报价过低、有可能影响产品质量或者不能诚信履约的其他情形。</w:t>
      </w:r>
    </w:p>
    <w:p w14:paraId="5183FE39">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5.8.2</w:t>
      </w:r>
      <w:r>
        <w:rPr>
          <w:rFonts w:hint="eastAsia" w:ascii="宋体" w:hAnsi="宋体" w:cs="宋体"/>
          <w:color w:val="auto"/>
          <w:sz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C94E13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6.无效投标条款和废标条款</w:t>
      </w:r>
    </w:p>
    <w:p w14:paraId="4AD8433A">
      <w:pPr>
        <w:tabs>
          <w:tab w:val="left" w:pos="360"/>
        </w:tabs>
        <w:spacing w:line="460" w:lineRule="exact"/>
        <w:ind w:firstLine="480" w:firstLineChars="200"/>
        <w:rPr>
          <w:rFonts w:ascii="宋体" w:hAnsi="宋体" w:cs="宋体"/>
          <w:color w:val="auto"/>
          <w:sz w:val="24"/>
          <w:highlight w:val="none"/>
        </w:rPr>
      </w:pPr>
      <w:bookmarkStart w:id="89" w:name="_Toc16938551"/>
      <w:bookmarkStart w:id="90" w:name="_Toc513029235"/>
      <w:bookmarkStart w:id="91" w:name="_Toc20823307"/>
      <w:r>
        <w:rPr>
          <w:rFonts w:hint="eastAsia" w:ascii="宋体" w:hAnsi="宋体" w:cs="宋体"/>
          <w:color w:val="auto"/>
          <w:sz w:val="24"/>
          <w:highlight w:val="none"/>
        </w:rPr>
        <w:t>6.1无效投标条款</w:t>
      </w:r>
    </w:p>
    <w:p w14:paraId="437E3E9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同一投标人提交两个（含两个）以上不同的投标报价的。</w:t>
      </w:r>
    </w:p>
    <w:p w14:paraId="2CD3AB0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6.1.2投标人不具备招标文件中规定资格要求的。</w:t>
      </w:r>
    </w:p>
    <w:p w14:paraId="494A837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6.1.3投标人的报价超过了采购预算或最高限价的。</w:t>
      </w:r>
    </w:p>
    <w:p w14:paraId="77F99C5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6.1.4未通过符合性检查的。</w:t>
      </w:r>
    </w:p>
    <w:p w14:paraId="0D2F121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6.1.5不符合招标文件中规定的其他实质性要求和条件的。</w:t>
      </w:r>
    </w:p>
    <w:p w14:paraId="6BEEC4B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BE0850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6.1.7本项目投标人之间被通过“天眼查或企查查”查询确认有关联性的。</w:t>
      </w:r>
    </w:p>
    <w:p w14:paraId="11CA9C19">
      <w:pPr>
        <w:tabs>
          <w:tab w:val="left" w:pos="360"/>
        </w:tabs>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6.1.8投标文件含有招标人不能接受的附加条件的</w:t>
      </w:r>
      <w:r>
        <w:rPr>
          <w:rFonts w:hint="eastAsia" w:ascii="宋体" w:hAnsi="宋体" w:cs="宋体"/>
          <w:color w:val="auto"/>
          <w:sz w:val="24"/>
          <w:highlight w:val="none"/>
          <w:lang w:eastAsia="zh-CN"/>
        </w:rPr>
        <w:t>。</w:t>
      </w:r>
    </w:p>
    <w:p w14:paraId="7D8AD49E">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2093F3AA">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投标文件未按照招标文件要求签字或盖章的。</w:t>
      </w:r>
    </w:p>
    <w:p w14:paraId="76AA61AA">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6.1.11</w:t>
      </w:r>
      <w:r>
        <w:rPr>
          <w:rFonts w:hint="eastAsia" w:ascii="宋体" w:hAnsi="宋体" w:cs="宋体"/>
          <w:color w:val="auto"/>
          <w:sz w:val="24"/>
          <w:highlight w:val="none"/>
        </w:rPr>
        <w:t>投标人技术标得分低于招标文件技术总分的50%</w:t>
      </w:r>
      <w:r>
        <w:rPr>
          <w:rFonts w:hint="eastAsia" w:ascii="宋体" w:hAnsi="宋体" w:cs="宋体"/>
          <w:color w:val="auto"/>
          <w:sz w:val="24"/>
          <w:highlight w:val="none"/>
          <w:lang w:eastAsia="zh-CN"/>
        </w:rPr>
        <w:t>的</w:t>
      </w:r>
      <w:r>
        <w:rPr>
          <w:rFonts w:hint="eastAsia" w:ascii="宋体" w:hAnsi="宋体" w:cs="宋体"/>
          <w:color w:val="auto"/>
          <w:sz w:val="24"/>
          <w:highlight w:val="none"/>
        </w:rPr>
        <w:t>。</w:t>
      </w:r>
    </w:p>
    <w:p w14:paraId="74160663">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投标人的商务技术部分得分相差悬殊，评标委员会认为得分畸低者没有实质性响应的。</w:t>
      </w:r>
    </w:p>
    <w:p w14:paraId="17742E57">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启动异常低价响应审查后，供应商不提供书面说明、证明材料，或者提供的书面说明、证明材料不能证明其报价合理性的。</w:t>
      </w:r>
    </w:p>
    <w:p w14:paraId="472072C9">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6.1.14</w:t>
      </w:r>
      <w:r>
        <w:rPr>
          <w:rFonts w:hint="eastAsia" w:ascii="宋体" w:hAnsi="宋体" w:cs="宋体"/>
          <w:color w:val="auto"/>
          <w:sz w:val="24"/>
          <w:highlight w:val="none"/>
        </w:rPr>
        <w:t>其他法律、法规及本招标文件规定的属无效投标的情形。</w:t>
      </w:r>
    </w:p>
    <w:p w14:paraId="5F124EC1">
      <w:pPr>
        <w:tabs>
          <w:tab w:val="left" w:pos="360"/>
        </w:tabs>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6.2废标条款：</w:t>
      </w:r>
    </w:p>
    <w:p w14:paraId="2F6D6BC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6.2.1符合专业条件的供应商或者对招标文件作实质响应的供应商不足三家的。</w:t>
      </w:r>
    </w:p>
    <w:p w14:paraId="3194AAF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6.2.2出现影响采购公正的违法、违规行为的。</w:t>
      </w:r>
    </w:p>
    <w:p w14:paraId="1B3B5C9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6.2.3因重大变故，采购任务取消的。</w:t>
      </w:r>
    </w:p>
    <w:p w14:paraId="241B931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6.2.4评标委员会认定招标文件存在歧义、重大缺陷导致评审工作无法进行。</w:t>
      </w:r>
    </w:p>
    <w:p w14:paraId="43545A3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 投标截止时间结束后参加投标的供应商不足三家的处理：</w:t>
      </w:r>
    </w:p>
    <w:p w14:paraId="0BF9A13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6.3.1如出现投标截止时间结束后参加投标的供应商或者在评标期间对招标文件做出实质响应的供应商不足三家情况，</w:t>
      </w:r>
      <w:r>
        <w:rPr>
          <w:rFonts w:hint="eastAsia" w:ascii="宋体" w:hAnsi="宋体" w:cs="宋体"/>
          <w:color w:val="auto"/>
          <w:sz w:val="24"/>
          <w:highlight w:val="none"/>
          <w:lang w:val="en-US" w:eastAsia="zh-CN"/>
        </w:rPr>
        <w:t>参照</w:t>
      </w:r>
      <w:r>
        <w:rPr>
          <w:rFonts w:hint="eastAsia" w:ascii="宋体" w:hAnsi="宋体" w:cs="宋体"/>
          <w:color w:val="auto"/>
          <w:sz w:val="24"/>
          <w:highlight w:val="none"/>
        </w:rPr>
        <w:t>政府采购相关规定执行。</w:t>
      </w:r>
    </w:p>
    <w:bookmarkEnd w:id="89"/>
    <w:bookmarkEnd w:id="90"/>
    <w:bookmarkEnd w:id="91"/>
    <w:p w14:paraId="1212EAC2">
      <w:pPr>
        <w:tabs>
          <w:tab w:val="left" w:pos="360"/>
        </w:tabs>
        <w:spacing w:line="460" w:lineRule="exact"/>
        <w:ind w:firstLine="482" w:firstLineChars="200"/>
        <w:rPr>
          <w:rFonts w:ascii="宋体" w:hAnsi="宋体" w:cs="宋体"/>
          <w:b/>
          <w:bCs/>
          <w:color w:val="auto"/>
          <w:sz w:val="24"/>
          <w:highlight w:val="none"/>
        </w:rPr>
      </w:pPr>
      <w:bookmarkStart w:id="92" w:name="_Toc120614219"/>
      <w:r>
        <w:rPr>
          <w:rFonts w:hint="eastAsia" w:ascii="宋体" w:hAnsi="宋体" w:cs="宋体"/>
          <w:b/>
          <w:bCs/>
          <w:color w:val="auto"/>
          <w:sz w:val="24"/>
          <w:highlight w:val="none"/>
        </w:rPr>
        <w:t>六、定标</w:t>
      </w:r>
      <w:bookmarkEnd w:id="92"/>
    </w:p>
    <w:p w14:paraId="1E439738">
      <w:pPr>
        <w:tabs>
          <w:tab w:val="left" w:pos="360"/>
        </w:tabs>
        <w:spacing w:line="460" w:lineRule="exact"/>
        <w:ind w:firstLine="480" w:firstLineChars="200"/>
        <w:rPr>
          <w:rFonts w:ascii="宋体" w:hAnsi="宋体" w:cs="宋体"/>
          <w:color w:val="auto"/>
          <w:sz w:val="24"/>
          <w:highlight w:val="none"/>
        </w:rPr>
      </w:pPr>
      <w:bookmarkStart w:id="93" w:name="_Toc20823310"/>
      <w:bookmarkStart w:id="94" w:name="_Toc16938554"/>
      <w:r>
        <w:rPr>
          <w:rFonts w:hint="eastAsia" w:ascii="宋体" w:hAnsi="宋体" w:cs="宋体"/>
          <w:color w:val="auto"/>
          <w:sz w:val="24"/>
          <w:highlight w:val="none"/>
        </w:rPr>
        <w:t>1.确定</w:t>
      </w:r>
      <w:bookmarkEnd w:id="93"/>
      <w:bookmarkEnd w:id="94"/>
      <w:r>
        <w:rPr>
          <w:rFonts w:hint="eastAsia" w:ascii="宋体" w:hAnsi="宋体" w:cs="宋体"/>
          <w:color w:val="auto"/>
          <w:sz w:val="24"/>
          <w:highlight w:val="none"/>
        </w:rPr>
        <w:t>中标单位</w:t>
      </w:r>
    </w:p>
    <w:p w14:paraId="0815BD4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1.1中标候选人的选取原则和数量见招标文件第四部分规定。 </w:t>
      </w:r>
    </w:p>
    <w:p w14:paraId="26E5037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1.2招标人授权评委会在中标候选人中直接确定中标人。</w:t>
      </w:r>
    </w:p>
    <w:p w14:paraId="1AFE1DD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1.3代理机构将在“江苏商贸职业学院网（http://www.jsbc.edu.cn/）”发布中标公告，公告期限为1个工作日。</w:t>
      </w:r>
    </w:p>
    <w:p w14:paraId="66D8049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25A1A33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1.4.1提供虚假材料谋取中标的。</w:t>
      </w:r>
    </w:p>
    <w:p w14:paraId="4F8C3CE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1.4.2向招标人、代理机构行贿或者提供其他不正当利益的。</w:t>
      </w:r>
    </w:p>
    <w:p w14:paraId="3E7FCCD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484A64AA">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14C885E4">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1.4.5与招标人或者其他供应商恶意串通的。</w:t>
      </w:r>
    </w:p>
    <w:p w14:paraId="15D5F5F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1.4.6采取不正当手段诋毁、排挤其他供应商的。</w:t>
      </w:r>
    </w:p>
    <w:p w14:paraId="4231ECCE">
      <w:pPr>
        <w:tabs>
          <w:tab w:val="left" w:pos="360"/>
        </w:tabs>
        <w:spacing w:line="460" w:lineRule="exact"/>
        <w:ind w:firstLine="480" w:firstLineChars="200"/>
        <w:rPr>
          <w:rFonts w:ascii="宋体" w:hAnsi="宋体" w:cs="宋体"/>
          <w:color w:val="auto"/>
          <w:sz w:val="24"/>
          <w:highlight w:val="none"/>
        </w:rPr>
      </w:pPr>
      <w:bookmarkStart w:id="95" w:name="_Toc200451960"/>
      <w:r>
        <w:rPr>
          <w:rFonts w:hint="eastAsia" w:ascii="宋体" w:hAnsi="宋体" w:cs="宋体"/>
          <w:color w:val="auto"/>
          <w:sz w:val="24"/>
          <w:highlight w:val="none"/>
        </w:rPr>
        <w:t>1.5.有下列情形之一的，视为投标人串通投标，投标无效：</w:t>
      </w:r>
    </w:p>
    <w:p w14:paraId="6454D84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182C239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4ACEB68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70A6CE7D">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4B40154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7CBEA6E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2.质疑处理</w:t>
      </w:r>
      <w:bookmarkEnd w:id="95"/>
    </w:p>
    <w:p w14:paraId="0F2F662B">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 提出质疑的供应商应当是参与所质疑项目采购活动的供应商。潜在供应商依法获取其可质疑的采购文件的，可以对采购文件提出质疑。</w:t>
      </w:r>
    </w:p>
    <w:p w14:paraId="7BEDB55E">
      <w:pPr>
        <w:tabs>
          <w:tab w:val="left" w:pos="360"/>
        </w:tabs>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ABD42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3DF30AB1">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2.2.1对可以质疑的采购文件提出质疑的，为收到采购文件之日或者采购文件公告期限届满之日；</w:t>
      </w:r>
    </w:p>
    <w:p w14:paraId="534A01A8">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2.2.2对采购过程提出质疑的，为各采购程序环节结束之日；</w:t>
      </w:r>
    </w:p>
    <w:p w14:paraId="679E926F">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2.2.3对中标或者成交结果提出质疑的，为中标或者成交结果公告期限届满之日。</w:t>
      </w:r>
    </w:p>
    <w:p w14:paraId="07ACCCC0">
      <w:pPr>
        <w:tabs>
          <w:tab w:val="left" w:pos="360"/>
        </w:tabs>
        <w:spacing w:line="4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供应商应当在法定质疑期内一次性提出针对同一采购程序环节的质疑</w:t>
      </w:r>
      <w:r>
        <w:rPr>
          <w:rFonts w:hint="eastAsia" w:ascii="宋体" w:hAnsi="宋体" w:cs="宋体"/>
          <w:color w:val="auto"/>
          <w:sz w:val="24"/>
          <w:highlight w:val="none"/>
        </w:rPr>
        <w:t>。</w:t>
      </w:r>
    </w:p>
    <w:p w14:paraId="134E9EA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2.3质疑函必须按照本招标文件中《质疑函范本》要求的格式和内容进行填写。供应商如组成联合体参加投标，则《质疑函范本》中要求签字、盖章、加盖公章之处，联合体各方均须按要求签字、盖章、加盖公章。</w:t>
      </w:r>
    </w:p>
    <w:p w14:paraId="664A832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2.4供应商提起质疑采取书面形式，可以现场送达，也可以邮寄。</w:t>
      </w:r>
    </w:p>
    <w:p w14:paraId="6C517A0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招标人质疑接收人及联系方式，见招标文件第一章。</w:t>
      </w:r>
    </w:p>
    <w:p w14:paraId="1CD3E30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 以下情形的质疑不予受理</w:t>
      </w:r>
    </w:p>
    <w:p w14:paraId="0E2E1339">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内容不符合《政府采购质疑和投诉办法》第十二条规定的质疑。</w:t>
      </w:r>
    </w:p>
    <w:p w14:paraId="08EF24D3">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超出政府采购法定期限的质疑。</w:t>
      </w:r>
    </w:p>
    <w:p w14:paraId="52F90D55">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未参加投标活动的供应商或在投标活动中自身权益未受到损害的供应商所提出的质疑。</w:t>
      </w:r>
    </w:p>
    <w:p w14:paraId="15C856A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2.5.4供应商组成联合体参加投标，联合体中任何一方或多方未按要求签字、盖章、加盖公章的质疑。</w:t>
      </w:r>
    </w:p>
    <w:p w14:paraId="6C9D890E">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FE3278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3.中标通知书</w:t>
      </w:r>
    </w:p>
    <w:p w14:paraId="2A8900B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3.l 中标结果确定后，招标人将向中标供应商发出中标通知书。成交供应商应在成交结果公告期满后5个工作日内到采购代理机构办理领取成交通知书手续，否则，由此产生的后果供应商自负。</w:t>
      </w:r>
    </w:p>
    <w:p w14:paraId="64B5F01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3.2中标通知书将是合同的一个组成部分。对招标人和中标供应商均具有法律效力。中标通知书发出后，招标人改变中标结果的，或者中标供应商放弃中标项目的，应当依法承担法律责任。</w:t>
      </w:r>
    </w:p>
    <w:p w14:paraId="2CEF633D">
      <w:pPr>
        <w:tabs>
          <w:tab w:val="left" w:pos="360"/>
        </w:tabs>
        <w:spacing w:line="460" w:lineRule="exact"/>
        <w:ind w:firstLine="482" w:firstLineChars="200"/>
        <w:rPr>
          <w:rFonts w:ascii="宋体" w:hAnsi="宋体" w:cs="宋体"/>
          <w:b/>
          <w:bCs/>
          <w:color w:val="auto"/>
          <w:sz w:val="24"/>
          <w:highlight w:val="none"/>
        </w:rPr>
      </w:pPr>
      <w:bookmarkStart w:id="96" w:name="_Toc120614220"/>
      <w:bookmarkStart w:id="97" w:name="_Toc20823308"/>
      <w:bookmarkStart w:id="98" w:name="_Toc16938552"/>
      <w:bookmarkStart w:id="99" w:name="_Toc513029236"/>
      <w:r>
        <w:rPr>
          <w:rFonts w:hint="eastAsia" w:ascii="宋体" w:hAnsi="宋体" w:cs="宋体"/>
          <w:b/>
          <w:bCs/>
          <w:color w:val="auto"/>
          <w:sz w:val="24"/>
          <w:highlight w:val="none"/>
        </w:rPr>
        <w:t>七、授予合同</w:t>
      </w:r>
      <w:bookmarkEnd w:id="96"/>
    </w:p>
    <w:bookmarkEnd w:id="97"/>
    <w:bookmarkEnd w:id="98"/>
    <w:bookmarkEnd w:id="99"/>
    <w:p w14:paraId="7C7D38A9">
      <w:pPr>
        <w:tabs>
          <w:tab w:val="left" w:pos="360"/>
        </w:tabs>
        <w:spacing w:line="460" w:lineRule="exact"/>
        <w:ind w:firstLine="480" w:firstLineChars="200"/>
        <w:rPr>
          <w:rFonts w:ascii="宋体" w:hAnsi="宋体" w:cs="宋体"/>
          <w:color w:val="auto"/>
          <w:sz w:val="24"/>
          <w:highlight w:val="none"/>
        </w:rPr>
      </w:pPr>
      <w:bookmarkStart w:id="100" w:name="_Toc20823309"/>
      <w:bookmarkStart w:id="101" w:name="_Toc513029237"/>
      <w:bookmarkStart w:id="102" w:name="_Toc16938553"/>
      <w:r>
        <w:rPr>
          <w:rFonts w:hint="eastAsia" w:ascii="宋体" w:hAnsi="宋体" w:cs="宋体"/>
          <w:color w:val="auto"/>
          <w:sz w:val="24"/>
          <w:highlight w:val="none"/>
        </w:rPr>
        <w:t>1.签订合同</w:t>
      </w:r>
    </w:p>
    <w:p w14:paraId="7520EFCC">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1.l</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中标</w:t>
      </w:r>
      <w:r>
        <w:rPr>
          <w:rFonts w:hint="eastAsia" w:ascii="宋体" w:hAnsi="宋体" w:cs="宋体"/>
          <w:color w:val="auto"/>
          <w:sz w:val="24"/>
          <w:highlight w:val="none"/>
        </w:rPr>
        <w:t>通知书》发出30日内必须按照</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文件确定的事项签订采购合同。合同一式陆份，</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伍份、服务商壹份。所签合同不得对</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文件作实质性修改。</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不得向成交供应商提出不合理的要求作为签订合同的条件，不得与</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 xml:space="preserve">私下订立背离采购文件实质性内容的协议。  </w:t>
      </w:r>
    </w:p>
    <w:p w14:paraId="6165E572">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人按合同约定积极配合</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履约，</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履约到位后，请以书面形式向</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人提出验收申请，</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人接到申请后原则上在5个工作日内及时组织相关专业技术人员，必要时邀请质检等部门共同参与验收，并出具验收报告，验收合格的原则上7个工作日内支付相应款项。</w:t>
      </w:r>
    </w:p>
    <w:p w14:paraId="7BDD2486">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人故意推迟项目验收时间的，与</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串通或要求</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降低服务标准的，在履行合同中采取更改条款、弄虚作假等手段的，要求</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出具虚假发票或任意更改销售发票的，谋取不正当利益的，承担相应的法律责任。</w:t>
      </w:r>
    </w:p>
    <w:p w14:paraId="704EAAE7">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中标单位</w:t>
      </w:r>
      <w:r>
        <w:rPr>
          <w:rFonts w:hint="eastAsia" w:ascii="宋体" w:hAnsi="宋体" w:cs="宋体"/>
          <w:color w:val="auto"/>
          <w:sz w:val="24"/>
          <w:highlight w:val="none"/>
        </w:rPr>
        <w:t>出现违约情形，应当及时纠正或补偿；造成损失的，按合同约定追究违约责任；发现有假冒、伪劣、走私产品、商业贿赂等违法情形的，应由</w:t>
      </w:r>
      <w:r>
        <w:rPr>
          <w:rFonts w:hint="eastAsia" w:ascii="宋体" w:hAnsi="宋体" w:cs="宋体"/>
          <w:color w:val="auto"/>
          <w:sz w:val="24"/>
          <w:highlight w:val="none"/>
          <w:lang w:val="en-US" w:eastAsia="zh-CN"/>
        </w:rPr>
        <w:t>招标人</w:t>
      </w:r>
      <w:r>
        <w:rPr>
          <w:rFonts w:hint="eastAsia" w:ascii="宋体" w:hAnsi="宋体" w:cs="宋体"/>
          <w:color w:val="auto"/>
          <w:sz w:val="24"/>
          <w:highlight w:val="none"/>
        </w:rPr>
        <w:t>移交工商、质监、公安等行政执法部门依法查处。</w:t>
      </w:r>
    </w:p>
    <w:p w14:paraId="2683655A">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1.5按采购合同约定支付的货款进行支付。</w:t>
      </w:r>
    </w:p>
    <w:p w14:paraId="1CC51628">
      <w:pPr>
        <w:tabs>
          <w:tab w:val="left" w:pos="360"/>
        </w:tabs>
        <w:spacing w:line="460" w:lineRule="exact"/>
        <w:rPr>
          <w:rFonts w:ascii="宋体" w:hAnsi="宋体" w:cs="宋体"/>
          <w:b/>
          <w:bCs/>
          <w:color w:val="auto"/>
          <w:sz w:val="24"/>
          <w:highlight w:val="none"/>
        </w:rPr>
      </w:pPr>
      <w:r>
        <w:rPr>
          <w:rFonts w:hint="eastAsia" w:ascii="宋体" w:hAnsi="宋体" w:cs="宋体"/>
          <w:b/>
          <w:bCs/>
          <w:color w:val="auto"/>
          <w:sz w:val="24"/>
          <w:highlight w:val="none"/>
        </w:rPr>
        <w:t>八、未尽事宜</w:t>
      </w:r>
    </w:p>
    <w:p w14:paraId="67E32BF0">
      <w:pPr>
        <w:tabs>
          <w:tab w:val="left" w:pos="360"/>
        </w:tabs>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参照《中华人民共和国采购法》及其他有关的法律法规的规定及按江苏商贸职业学院采购管理规定执行。</w:t>
      </w:r>
    </w:p>
    <w:bookmarkEnd w:id="100"/>
    <w:bookmarkEnd w:id="101"/>
    <w:bookmarkEnd w:id="102"/>
    <w:p w14:paraId="58CD0E4A">
      <w:pPr>
        <w:rPr>
          <w:rFonts w:ascii="宋体" w:hAnsi="宋体" w:cs="宋体"/>
          <w:bCs/>
          <w:color w:val="auto"/>
          <w:sz w:val="32"/>
          <w:szCs w:val="32"/>
          <w:highlight w:val="none"/>
        </w:rPr>
      </w:pPr>
    </w:p>
    <w:p w14:paraId="0DA62716">
      <w:pP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p>
    <w:p w14:paraId="5F31071B">
      <w:pPr>
        <w:tabs>
          <w:tab w:val="left" w:pos="2630"/>
          <w:tab w:val="center" w:pos="4213"/>
        </w:tabs>
        <w:jc w:val="left"/>
        <w:rPr>
          <w:rFonts w:ascii="宋体" w:hAnsi="宋体" w:cs="宋体"/>
          <w:bCs/>
          <w:color w:val="auto"/>
          <w:sz w:val="32"/>
          <w:szCs w:val="32"/>
          <w:highlight w:val="none"/>
        </w:rPr>
      </w:pPr>
      <w:r>
        <w:rPr>
          <w:rFonts w:hint="eastAsia" w:ascii="宋体" w:hAnsi="宋体" w:cs="宋体"/>
          <w:bCs/>
          <w:color w:val="auto"/>
          <w:sz w:val="32"/>
          <w:szCs w:val="32"/>
          <w:highlight w:val="none"/>
          <w:lang w:eastAsia="zh-CN"/>
        </w:rPr>
        <w:tab/>
      </w:r>
      <w:r>
        <w:rPr>
          <w:rFonts w:hint="eastAsia" w:ascii="宋体" w:hAnsi="宋体" w:cs="宋体"/>
          <w:bCs/>
          <w:color w:val="auto"/>
          <w:sz w:val="32"/>
          <w:szCs w:val="32"/>
          <w:highlight w:val="none"/>
          <w:lang w:eastAsia="zh-CN"/>
        </w:rPr>
        <w:tab/>
      </w:r>
      <w:r>
        <w:rPr>
          <w:rFonts w:hint="eastAsia" w:ascii="宋体" w:hAnsi="宋体" w:cs="宋体"/>
          <w:bCs/>
          <w:color w:val="auto"/>
          <w:sz w:val="32"/>
          <w:szCs w:val="32"/>
          <w:highlight w:val="none"/>
        </w:rPr>
        <w:t>第三部分  项目需求</w:t>
      </w:r>
    </w:p>
    <w:bookmarkEnd w:id="0"/>
    <w:bookmarkEnd w:id="1"/>
    <w:bookmarkEnd w:id="2"/>
    <w:p w14:paraId="2171F7BC">
      <w:pPr>
        <w:snapToGrid w:val="0"/>
        <w:spacing w:line="460" w:lineRule="exact"/>
        <w:ind w:firstLine="480" w:firstLineChars="200"/>
        <w:rPr>
          <w:rFonts w:ascii="宋体" w:hAnsi="宋体" w:cs="宋体"/>
          <w:color w:val="auto"/>
          <w:sz w:val="24"/>
          <w:highlight w:val="none"/>
        </w:rPr>
      </w:pPr>
      <w:bookmarkStart w:id="103" w:name="_Toc182848971"/>
      <w:r>
        <w:rPr>
          <w:rFonts w:hint="eastAsia" w:ascii="宋体" w:hAnsi="宋体" w:cs="宋体"/>
          <w:color w:val="auto"/>
          <w:sz w:val="24"/>
          <w:highlight w:val="none"/>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auto"/>
          <w:sz w:val="24"/>
          <w:highlight w:val="none"/>
        </w:rPr>
        <w:t>示，如不明示的视同完全响应</w:t>
      </w:r>
      <w:r>
        <w:rPr>
          <w:rFonts w:hint="eastAsia" w:ascii="宋体" w:hAnsi="宋体" w:cs="宋体"/>
          <w:color w:val="auto"/>
          <w:sz w:val="24"/>
          <w:highlight w:val="none"/>
          <w:lang w:val="zh-CN"/>
        </w:rPr>
        <w:t>。</w:t>
      </w:r>
      <w:bookmarkEnd w:id="103"/>
    </w:p>
    <w:p w14:paraId="21BF1F36">
      <w:pPr>
        <w:numPr>
          <w:ilvl w:val="0"/>
          <w:numId w:val="0"/>
        </w:numPr>
        <w:tabs>
          <w:tab w:val="left" w:pos="360"/>
        </w:tabs>
        <w:spacing w:after="60" w:line="460" w:lineRule="exact"/>
        <w:ind w:firstLine="482" w:firstLineChars="200"/>
        <w:rPr>
          <w:rFonts w:hint="eastAsia" w:ascii="宋体" w:hAnsi="宋体"/>
          <w:b/>
          <w:bCs/>
          <w:sz w:val="24"/>
          <w:szCs w:val="20"/>
        </w:rPr>
      </w:pPr>
      <w:r>
        <w:rPr>
          <w:rFonts w:hint="eastAsia" w:ascii="宋体" w:hAnsi="宋体" w:eastAsia="宋体" w:cs="Times New Roman"/>
          <w:b/>
          <w:bCs/>
          <w:kern w:val="2"/>
          <w:sz w:val="24"/>
          <w:szCs w:val="20"/>
          <w:lang w:val="en-US" w:eastAsia="zh-CN" w:bidi="ar-SA"/>
        </w:rPr>
        <w:t>一、</w:t>
      </w:r>
      <w:r>
        <w:rPr>
          <w:rFonts w:hint="eastAsia" w:ascii="宋体" w:hAnsi="宋体"/>
          <w:b/>
          <w:bCs/>
          <w:sz w:val="24"/>
          <w:szCs w:val="20"/>
        </w:rPr>
        <w:t>项目需求</w:t>
      </w:r>
    </w:p>
    <w:tbl>
      <w:tblPr>
        <w:tblStyle w:val="3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16"/>
        <w:gridCol w:w="9276"/>
      </w:tblGrid>
      <w:tr w14:paraId="33ED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tcPr>
          <w:p w14:paraId="602ECD1F">
            <w:pPr>
              <w:keepNext w:val="0"/>
              <w:keepLines w:val="0"/>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b/>
                <w:bCs/>
                <w:kern w:val="0"/>
                <w:sz w:val="24"/>
              </w:rPr>
              <w:t>项目</w:t>
            </w:r>
          </w:p>
        </w:tc>
        <w:tc>
          <w:tcPr>
            <w:tcW w:w="382" w:type="pct"/>
          </w:tcPr>
          <w:p w14:paraId="129E8C1B">
            <w:pPr>
              <w:keepNext w:val="0"/>
              <w:keepLines w:val="0"/>
              <w:suppressLineNumbers w:val="0"/>
              <w:spacing w:before="0" w:beforeAutospacing="0" w:after="0" w:afterAutospacing="0"/>
              <w:ind w:left="0" w:right="0"/>
              <w:jc w:val="center"/>
              <w:rPr>
                <w:rFonts w:hint="default" w:ascii="宋体" w:hAnsi="宋体" w:eastAsia="宋体" w:cs="宋体"/>
                <w:kern w:val="0"/>
                <w:sz w:val="24"/>
                <w:lang w:val="en-US" w:eastAsia="zh-CN"/>
              </w:rPr>
            </w:pPr>
            <w:r>
              <w:rPr>
                <w:rFonts w:hint="eastAsia" w:ascii="宋体" w:hAnsi="宋体" w:cs="宋体"/>
                <w:b/>
                <w:bCs/>
                <w:kern w:val="0"/>
                <w:sz w:val="24"/>
                <w:lang w:val="en-US" w:eastAsia="zh-CN"/>
              </w:rPr>
              <w:t>功能模块</w:t>
            </w:r>
          </w:p>
        </w:tc>
        <w:tc>
          <w:tcPr>
            <w:tcW w:w="4341" w:type="pct"/>
            <w:vAlign w:val="center"/>
          </w:tcPr>
          <w:p w14:paraId="557D6F66">
            <w:pPr>
              <w:keepNext w:val="0"/>
              <w:keepLines w:val="0"/>
              <w:suppressLineNumbers w:val="0"/>
              <w:spacing w:before="0" w:beforeAutospacing="0" w:after="0" w:afterAutospacing="0"/>
              <w:ind w:left="0" w:right="0"/>
              <w:jc w:val="center"/>
              <w:rPr>
                <w:rFonts w:hint="eastAsia" w:ascii="宋体" w:hAnsi="宋体" w:cs="宋体"/>
                <w:b/>
                <w:bCs/>
                <w:kern w:val="0"/>
                <w:sz w:val="24"/>
              </w:rPr>
            </w:pPr>
            <w:r>
              <w:rPr>
                <w:rFonts w:hint="eastAsia" w:ascii="宋体" w:hAnsi="宋体" w:cs="宋体"/>
                <w:b/>
                <w:bCs/>
                <w:kern w:val="0"/>
                <w:sz w:val="24"/>
              </w:rPr>
              <w:t>技术参数</w:t>
            </w:r>
          </w:p>
        </w:tc>
      </w:tr>
      <w:tr w14:paraId="4DF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5D2B7569">
            <w:pPr>
              <w:keepNext w:val="0"/>
              <w:keepLines w:val="0"/>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财务机器人应用与开发</w:t>
            </w:r>
          </w:p>
        </w:tc>
        <w:tc>
          <w:tcPr>
            <w:tcW w:w="382" w:type="pct"/>
            <w:vAlign w:val="center"/>
          </w:tcPr>
          <w:p w14:paraId="69EA7236">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一、院校管理功能</w:t>
            </w:r>
          </w:p>
          <w:p w14:paraId="67CE06F4">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p>
        </w:tc>
        <w:tc>
          <w:tcPr>
            <w:tcW w:w="4341" w:type="pct"/>
          </w:tcPr>
          <w:p w14:paraId="4DBEF1D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一、院校管理功能</w:t>
            </w:r>
          </w:p>
          <w:p w14:paraId="1277140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1.基本信息：学校可自主维护学校信息，如：院校简介、院校logo等基本信息进行维护。</w:t>
            </w:r>
          </w:p>
          <w:p w14:paraId="010EE17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2.公告管理：发布学校公告，并支持随时新建发布、编辑、删除等操作。</w:t>
            </w:r>
          </w:p>
          <w:p w14:paraId="1CC683D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3.新闻管理：需支持学校发布校内新闻，并随时对新闻进行上架、下架、预览、删除等操作，未发布、已下架状态可随时编辑。</w:t>
            </w:r>
          </w:p>
          <w:p w14:paraId="7052E14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4.组织架构管理：需支持建设院校下的学院、专业、班级；支持自定义名称；支持通过导入成员的方式自动生成学校的组织架构；支持组织结构的增加、修改；支持专业或班级调整所属学院\专业。</w:t>
            </w:r>
          </w:p>
          <w:p w14:paraId="7C6DBA85">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5.教师信息管理：需支持新增\批量导入教师，并进行基本信息维护（姓名、性别、学院、专业、教工号、手机、邮箱等）；支持批量修改用户登录密码；支持批量删除教师。</w:t>
            </w:r>
          </w:p>
          <w:p w14:paraId="39ED2F5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6.学生信息管理：新增\批量导入学生名单，并进行基本信息维护（姓名、性别、学院、专业、班级、学号、邮箱、手机等）。支持批量修改用户登录密码；支持设置学生毕业；支持批量删除学生。</w:t>
            </w:r>
          </w:p>
          <w:p w14:paraId="6A76C5C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7.角色管理：需支持院校设置新角色，设置该角色下可用功能授权及授权用户。新增角色可进行编辑删除操作。</w:t>
            </w:r>
          </w:p>
          <w:p w14:paraId="5860701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8.毕业学生：显示已毕业学生信息和毕业时间，支持按照学生姓名搜索。</w:t>
            </w:r>
          </w:p>
          <w:p w14:paraId="7E4BA50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9.课程管理：支持给校内教师授予课程权限，授权后教师可以进行开课授课。支持对课程设置共享，共享后校内全部教师均有权限使用该课程进行教学。</w:t>
            </w:r>
          </w:p>
          <w:p w14:paraId="1CCBB2F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10.实验项目管理：展示学校已购买产品下的全部项目，可以查看项目名称、项目类型、项目领域、课时等信息；支持按照项目领域、项目类型筛选项目；支持按照项目名称搜索项目。</w:t>
            </w:r>
          </w:p>
          <w:p w14:paraId="588574B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11.课程方案管理：查看学校已购买的课程方案，并支持使用院校已有项目创建课程方案，选择已有项目，进行组合、排序，快速创建出符合院校要求的课程方案；支持将课程方案授权给校内教师；支持对课程方案设置共享，共享后校内全部教师均有权限使用该课程方案进行教学。</w:t>
            </w:r>
          </w:p>
          <w:p w14:paraId="6257FD3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12.试卷管理-题库管理：需支持添加试题分类，可自定义分类名称；支持在分类下添加或批量导入试题；支持单选、多选、判断题型；支持设置题面、难度、答案、分数等信息；试题添加后支持随时编辑、删除；支持筛选和搜索。</w:t>
            </w:r>
          </w:p>
          <w:p w14:paraId="31FC63F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13.试卷管理-策略管理：需支持编辑考试科目，设置考试科目名称，在科目下设置考试策略；支持选择科目、选择题库、设置答题时间限制、及格标准；未发布的考试策略可随时编辑，考试策略发布后，可被全校教师引用。</w:t>
            </w:r>
          </w:p>
          <w:p w14:paraId="0AC1E02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14.系统管理：需支持分别设置教师、学生的欢迎词；支持对欢迎词进行开启、不开启操作；支持对欢迎词进行编辑、删除。</w:t>
            </w:r>
          </w:p>
          <w:p w14:paraId="3998773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15.校园大数据统计分析：</w:t>
            </w:r>
          </w:p>
          <w:p w14:paraId="649063E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(1)需支持管理员对平台运营的学生数据、教师数据、课程数据、教学班数据进行多维度分析。</w:t>
            </w:r>
          </w:p>
          <w:p w14:paraId="053FD20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(2)平台整体分析：展示平台学生总数、教师总数、课程数、教学班数、教学资源数。</w:t>
            </w:r>
          </w:p>
          <w:p w14:paraId="0FDB28A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(3)学生分析：需能从年级、学院、专业等维度分析学生分布情况。</w:t>
            </w:r>
          </w:p>
          <w:p w14:paraId="12E79956">
            <w:pPr>
              <w:keepNext w:val="0"/>
              <w:keepLines w:val="0"/>
              <w:suppressLineNumbers w:val="0"/>
              <w:spacing w:before="0" w:beforeAutospacing="0" w:after="0" w:afterAutospacing="0"/>
              <w:ind w:left="0" w:right="0"/>
              <w:rPr>
                <w:rFonts w:hint="eastAsia" w:ascii="宋体" w:hAnsi="宋体" w:eastAsia="宋体" w:cs="宋体"/>
                <w:sz w:val="24"/>
                <w:lang w:eastAsia="zh-CN"/>
              </w:rPr>
            </w:pPr>
            <w:r>
              <w:rPr>
                <w:rFonts w:hint="eastAsia" w:ascii="宋体" w:hAnsi="宋体" w:cs="宋体"/>
                <w:sz w:val="24"/>
              </w:rPr>
              <w:t>(4)老师分析：需能从学院、专业、学历、职称等维度分析教师分布情况</w:t>
            </w:r>
            <w:r>
              <w:rPr>
                <w:rFonts w:hint="eastAsia" w:ascii="宋体" w:hAnsi="宋体" w:cs="宋体"/>
                <w:sz w:val="24"/>
                <w:lang w:eastAsia="zh-CN"/>
              </w:rPr>
              <w:t>。</w:t>
            </w:r>
          </w:p>
          <w:p w14:paraId="1814CE0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(5)课程分析：按照时间维度展示新增课程数、新增资源数。按照学院、专业、教师、课程类型分析学校自建课程和授课课程排行。</w:t>
            </w:r>
          </w:p>
          <w:p w14:paraId="2CCF320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(6)教学班分析：以学院、专业等维度分析教学班数量；按课程教学班数量、老师创建教学班等维度进行排名。</w:t>
            </w:r>
          </w:p>
          <w:p w14:paraId="7B85CDE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16.头像下拉菜单</w:t>
            </w:r>
          </w:p>
          <w:p w14:paraId="1AB905A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(1)我的课堂：用户需能通过此菜单快捷返回院校后台，切换和查看其它功能。</w:t>
            </w:r>
          </w:p>
          <w:p w14:paraId="181CA66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(2)切换学校：当管理员同时拥有教师身份时，需能通过此菜单进行切换。</w:t>
            </w:r>
          </w:p>
          <w:p w14:paraId="7BB2CBE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(3)账户设置：需能支持用户修改姓名、性别、头像、签名、密码等信息。</w:t>
            </w:r>
          </w:p>
          <w:p w14:paraId="245EB4BB">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(4)退出登录：支持用户退出登录。</w:t>
            </w:r>
          </w:p>
        </w:tc>
      </w:tr>
      <w:tr w14:paraId="092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0AEBF64E">
            <w:pPr>
              <w:keepNext w:val="0"/>
              <w:keepLines w:val="0"/>
              <w:suppressLineNumbers w:val="0"/>
              <w:spacing w:before="0" w:beforeAutospacing="0" w:after="0" w:afterAutospacing="0"/>
              <w:ind w:left="0" w:right="0"/>
              <w:jc w:val="center"/>
              <w:rPr>
                <w:rFonts w:hint="eastAsia" w:ascii="宋体" w:hAnsi="宋体" w:cs="宋体"/>
                <w:kern w:val="0"/>
                <w:sz w:val="24"/>
              </w:rPr>
            </w:pPr>
          </w:p>
        </w:tc>
        <w:tc>
          <w:tcPr>
            <w:tcW w:w="382" w:type="pct"/>
            <w:vAlign w:val="center"/>
          </w:tcPr>
          <w:p w14:paraId="1A9EBAB5">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二、教师平台功能</w:t>
            </w:r>
          </w:p>
          <w:p w14:paraId="6A13FD56">
            <w:pPr>
              <w:keepNext w:val="0"/>
              <w:keepLines w:val="0"/>
              <w:suppressLineNumbers w:val="0"/>
              <w:spacing w:before="0" w:beforeAutospacing="0" w:after="0" w:afterAutospacing="0"/>
              <w:ind w:left="0" w:right="0"/>
              <w:jc w:val="center"/>
              <w:rPr>
                <w:rFonts w:hint="eastAsia" w:ascii="宋体" w:hAnsi="宋体" w:cs="宋体"/>
                <w:sz w:val="24"/>
              </w:rPr>
            </w:pPr>
          </w:p>
        </w:tc>
        <w:tc>
          <w:tcPr>
            <w:tcW w:w="4341" w:type="pct"/>
          </w:tcPr>
          <w:p w14:paraId="79290A8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1.课程管理：需支持教师查看管理员授权使用的课程方案及基本信息。</w:t>
            </w:r>
          </w:p>
          <w:p w14:paraId="6988FE2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2.管理并发：在授权课程和课程方案列表上，管理其使用的并发。在线人数不为0时，可对使用课程和课程方案正在开设的教学班中的在线学员进行并发下线处理。</w:t>
            </w:r>
          </w:p>
          <w:p w14:paraId="105997D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3.课程方案预览：在我管理的课程方案中，支持预览、查看课程的基本信息、课程内容。</w:t>
            </w:r>
          </w:p>
          <w:p w14:paraId="2E4D600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4.创建教学班</w:t>
            </w:r>
          </w:p>
          <w:p w14:paraId="235F604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(1)需支持选择课程方案、自定义课程方案、云课程、自定义微课程来创建教学班。同时支持跳过，直接在教学班内添加项目。</w:t>
            </w:r>
          </w:p>
          <w:p w14:paraId="1C3C067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(2)需支持选择教师已有授权的课程\课程方案。</w:t>
            </w:r>
          </w:p>
          <w:p w14:paraId="5B74887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(3)基本信息：需支持设置教学班名称、开始时间、结束时间和教学班简介。</w:t>
            </w:r>
          </w:p>
          <w:p w14:paraId="0C0A1C5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授权学生：需支持直接授权，选择班级加入学生；支持邀请码授权，将生成邀请码、邀请链接，学生可在登录平台后，输入邀请码或直接在浏览器中粘贴邀请链接加入班级；邀请码模式支持审批后加入或不审批直接加入。</w:t>
            </w:r>
          </w:p>
          <w:p w14:paraId="04665F3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5.教学班列表</w:t>
            </w:r>
          </w:p>
          <w:p w14:paraId="11CB687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(1)需支持对教学班进行创建、编辑、发布、删除、关闭和复制。</w:t>
            </w:r>
          </w:p>
          <w:p w14:paraId="32E91C7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(2)需支持通过课程方案、自定义课程方案等方式创建的进行中和已结束的教学班进行复制，能够复制出已有教学班的教学大纲、考核方案等信息，复制的教学班为未发布状态，支持编辑教学班。</w:t>
            </w:r>
          </w:p>
          <w:p w14:paraId="6A43B0B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(3)需支持按照全部、未发布、未开始、进行中、已结束、已关闭的状态进行筛选查看教学班列表。</w:t>
            </w:r>
          </w:p>
          <w:p w14:paraId="5A88439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(4)展示教学班封面、名称、开课时间、课程授权方式（直接授权、邀请码授权）。如采用邀请码授权方式，显示邀请码和邀请链接，可复制邀请链接。</w:t>
            </w:r>
          </w:p>
          <w:p w14:paraId="212D220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6.教学班管理</w:t>
            </w:r>
          </w:p>
          <w:p w14:paraId="1970CAA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(1)教学大纲：需支持教师批量推送教学组件；已推送的组件，可以收回，收回的内容学生端不可见，收回不影响已产生的学习数据，教师可将已收回的内容再次推送。</w:t>
            </w:r>
          </w:p>
          <w:p w14:paraId="49A99BD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(2)答案开放管理：需支持教师设置作业、团队成果、随堂测验、任务等组件的答案是否开放；支持全部/单个组件开放答案；支持随时收回答案；开放答案的组件，学生可以在做题后自主查看答案。</w:t>
            </w:r>
          </w:p>
          <w:p w14:paraId="30B2AFA9">
            <w:pPr>
              <w:keepNext w:val="0"/>
              <w:keepLines w:val="0"/>
              <w:suppressLineNumbers w:val="0"/>
              <w:spacing w:before="0" w:beforeAutospacing="0" w:after="0" w:afterAutospacing="0"/>
              <w:ind w:left="0" w:right="0"/>
              <w:rPr>
                <w:rFonts w:hint="eastAsia" w:ascii="宋体" w:hAnsi="宋体" w:eastAsia="宋体" w:cs="宋体"/>
                <w:sz w:val="24"/>
                <w:lang w:val="en-US" w:eastAsia="zh-CN"/>
              </w:rPr>
            </w:pPr>
            <w:r>
              <w:rPr>
                <w:rFonts w:hint="eastAsia" w:ascii="宋体" w:hAnsi="宋体" w:cs="宋体"/>
                <w:sz w:val="24"/>
              </w:rPr>
              <w:t>▲(3)支持教师个性化教学。可在教学班内编辑课程，包含但不限于编辑课程基本信息（如编辑课程名称、课程标签、课程概述等）、编辑项目信息（项目简介、项目任务添加删除与修改、项目顺序调整等）、添加删除项目（理论项目、实战项目等）等，其中，可添加或修改的项目任务不少于6类不同类型的任务。支持</w:t>
            </w:r>
            <w:r>
              <w:rPr>
                <w:rFonts w:hint="eastAsia" w:ascii="宋体" w:hAnsi="宋体" w:cs="宋体"/>
                <w:sz w:val="24"/>
                <w:lang w:val="en-US" w:eastAsia="zh-CN"/>
              </w:rPr>
              <w:t>多种</w:t>
            </w:r>
            <w:r>
              <w:rPr>
                <w:rFonts w:hint="eastAsia" w:ascii="宋体" w:hAnsi="宋体" w:cs="宋体"/>
                <w:sz w:val="24"/>
              </w:rPr>
              <w:t>教学模式。支持推送任务后收回推送；提升教学效果</w:t>
            </w:r>
            <w:r>
              <w:rPr>
                <w:rFonts w:hint="eastAsia" w:ascii="宋体" w:hAnsi="宋体" w:cs="宋体"/>
                <w:sz w:val="24"/>
                <w:lang w:eastAsia="zh-CN"/>
              </w:rPr>
              <w:t>。</w:t>
            </w:r>
          </w:p>
          <w:p w14:paraId="6686364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(4)微课（视频）内置知识点测验题目，</w:t>
            </w:r>
            <w:r>
              <w:rPr>
                <w:rFonts w:hint="eastAsia" w:ascii="宋体" w:hAnsi="宋体" w:cs="宋体"/>
                <w:sz w:val="24"/>
              </w:rPr>
              <w:t>教师可在视频中分批次添加多道测验题， 便于教师检验学生学习认真和掌握程度。</w:t>
            </w:r>
          </w:p>
          <w:p w14:paraId="69B8D52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7.教学资源</w:t>
            </w:r>
          </w:p>
          <w:p w14:paraId="11DB535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(1)教学资料：需支持教师按项目查看系统默认的教学辅助资料，资料可支持预览或下载，支持按照项目展开、收起。</w:t>
            </w:r>
          </w:p>
          <w:p w14:paraId="4303F9DB">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(2)学生资源：展示系统提供的项目下可供学生下载的资源，教师可点击进行下载，支持按照项目展开、收起。</w:t>
            </w:r>
          </w:p>
          <w:p w14:paraId="2642BEE0">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(3)拓展资源：选择“课程方案”模式创建的教学班，展示拓展资源。支持按照资源类型、文件格式、允许下载和关键字搜索；支持按照人气的正序、倒序查看。支持在线预览文档、视频。其中系统设置允许下载的可以下载到本地。</w:t>
            </w:r>
          </w:p>
          <w:p w14:paraId="6D4ECF9A">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(4)平台中提供的课件不少于</w:t>
            </w:r>
            <w:r>
              <w:rPr>
                <w:rFonts w:hint="eastAsia" w:ascii="宋体" w:hAnsi="宋体" w:cs="宋体"/>
                <w:sz w:val="24"/>
              </w:rPr>
              <w:t>5</w:t>
            </w:r>
            <w:r>
              <w:rPr>
                <w:rFonts w:hint="eastAsia" w:ascii="宋体" w:hAnsi="宋体" w:cs="宋体"/>
                <w:sz w:val="24"/>
                <w:lang w:val="en-US" w:eastAsia="zh-CN"/>
              </w:rPr>
              <w:t>0</w:t>
            </w:r>
            <w:r>
              <w:rPr>
                <w:rFonts w:hint="eastAsia" w:ascii="宋体" w:hAnsi="宋体" w:cs="宋体"/>
                <w:sz w:val="24"/>
              </w:rPr>
              <w:t>个，测验题</w:t>
            </w:r>
            <w:r>
              <w:rPr>
                <w:rFonts w:hint="eastAsia" w:ascii="宋体" w:hAnsi="宋体" w:cs="宋体"/>
                <w:sz w:val="24"/>
                <w:lang w:val="en-US" w:eastAsia="zh-CN"/>
              </w:rPr>
              <w:t>不少于70</w:t>
            </w:r>
            <w:r>
              <w:rPr>
                <w:rFonts w:hint="eastAsia" w:ascii="宋体" w:hAnsi="宋体" w:cs="宋体"/>
                <w:sz w:val="24"/>
              </w:rPr>
              <w:t>道，视频</w:t>
            </w:r>
            <w:r>
              <w:rPr>
                <w:rFonts w:hint="eastAsia" w:ascii="宋体" w:hAnsi="宋体" w:cs="宋体"/>
                <w:sz w:val="24"/>
                <w:lang w:val="en-US" w:eastAsia="zh-CN"/>
              </w:rPr>
              <w:t>不少于</w:t>
            </w:r>
            <w:r>
              <w:rPr>
                <w:rFonts w:hint="eastAsia" w:ascii="宋体" w:hAnsi="宋体" w:cs="宋体"/>
                <w:sz w:val="24"/>
              </w:rPr>
              <w:t>4</w:t>
            </w:r>
            <w:r>
              <w:rPr>
                <w:rFonts w:hint="eastAsia" w:ascii="宋体" w:hAnsi="宋体" w:cs="宋体"/>
                <w:sz w:val="24"/>
                <w:lang w:val="en-US" w:eastAsia="zh-CN"/>
              </w:rPr>
              <w:t>0</w:t>
            </w:r>
            <w:r>
              <w:rPr>
                <w:rFonts w:hint="eastAsia" w:ascii="宋体" w:hAnsi="宋体" w:cs="宋体"/>
                <w:sz w:val="24"/>
              </w:rPr>
              <w:t>个，实训任务</w:t>
            </w:r>
            <w:r>
              <w:rPr>
                <w:rFonts w:hint="eastAsia" w:ascii="宋体" w:hAnsi="宋体" w:cs="宋体"/>
                <w:sz w:val="24"/>
                <w:lang w:val="en-US" w:eastAsia="zh-CN"/>
              </w:rPr>
              <w:t>不少于60</w:t>
            </w:r>
            <w:r>
              <w:rPr>
                <w:rFonts w:hint="eastAsia" w:ascii="宋体" w:hAnsi="宋体" w:cs="宋体"/>
                <w:sz w:val="24"/>
              </w:rPr>
              <w:t>个，操作资料</w:t>
            </w:r>
            <w:r>
              <w:rPr>
                <w:rFonts w:hint="eastAsia" w:ascii="宋体" w:hAnsi="宋体" w:cs="宋体"/>
                <w:sz w:val="24"/>
                <w:lang w:val="en-US" w:eastAsia="zh-CN"/>
              </w:rPr>
              <w:t>不少于40</w:t>
            </w:r>
            <w:r>
              <w:rPr>
                <w:rFonts w:hint="eastAsia" w:ascii="宋体" w:hAnsi="宋体" w:cs="宋体"/>
                <w:sz w:val="24"/>
              </w:rPr>
              <w:t>个，</w:t>
            </w:r>
            <w:r>
              <w:rPr>
                <w:rFonts w:hint="eastAsia" w:ascii="宋体" w:hAnsi="宋体" w:cs="宋体"/>
                <w:sz w:val="24"/>
                <w:lang w:val="en-US" w:eastAsia="zh-CN"/>
              </w:rPr>
              <w:t>期末测验试卷至少</w:t>
            </w:r>
            <w:r>
              <w:rPr>
                <w:rFonts w:hint="eastAsia" w:ascii="宋体" w:hAnsi="宋体" w:cs="宋体"/>
                <w:sz w:val="24"/>
              </w:rPr>
              <w:t>1套，作业任务</w:t>
            </w:r>
            <w:r>
              <w:rPr>
                <w:rFonts w:hint="eastAsia" w:ascii="宋体" w:hAnsi="宋体" w:cs="宋体"/>
                <w:sz w:val="24"/>
                <w:lang w:val="en-US" w:eastAsia="zh-CN"/>
              </w:rPr>
              <w:t>不少于</w:t>
            </w:r>
            <w:r>
              <w:rPr>
                <w:rFonts w:hint="eastAsia" w:ascii="宋体" w:hAnsi="宋体" w:cs="宋体"/>
                <w:sz w:val="24"/>
              </w:rPr>
              <w:t>3</w:t>
            </w:r>
            <w:r>
              <w:rPr>
                <w:rFonts w:hint="eastAsia" w:ascii="宋体" w:hAnsi="宋体" w:cs="宋体"/>
                <w:sz w:val="24"/>
                <w:lang w:val="en-US" w:eastAsia="zh-CN"/>
              </w:rPr>
              <w:t>0</w:t>
            </w:r>
            <w:r>
              <w:rPr>
                <w:rFonts w:hint="eastAsia" w:ascii="宋体" w:hAnsi="宋体" w:cs="宋体"/>
                <w:sz w:val="24"/>
              </w:rPr>
              <w:t>个，RPA脚本</w:t>
            </w:r>
            <w:r>
              <w:rPr>
                <w:rFonts w:hint="eastAsia" w:ascii="宋体" w:hAnsi="宋体" w:cs="宋体"/>
                <w:sz w:val="24"/>
                <w:lang w:val="en-US" w:eastAsia="zh-CN"/>
              </w:rPr>
              <w:t>不少于</w:t>
            </w: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个</w:t>
            </w:r>
            <w:r>
              <w:rPr>
                <w:rFonts w:hint="eastAsia" w:ascii="宋体" w:hAnsi="宋体" w:cs="宋体"/>
                <w:sz w:val="24"/>
                <w:lang w:eastAsia="zh-CN"/>
              </w:rPr>
              <w:t>。</w:t>
            </w:r>
          </w:p>
          <w:p w14:paraId="461708C0">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8.教学管理</w:t>
            </w:r>
          </w:p>
          <w:p w14:paraId="6A5D67D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考勤：需支持在课堂上随时发起签到，支持设置开始签到时间，学生可输入老师发布的签到口令进行签到；支持教师根据实际情况，调整班级内学生的签到结果；支持老师通过班级和学生两个维度查看班级考勤详情；支持教师查看班级平均签到率及统计签到次数。</w:t>
            </w:r>
          </w:p>
          <w:p w14:paraId="57D2A63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(2)进度：需支持教师按照学生和教学大纲两种维度查看进度；可查看学生完成教学组件的情况，统计各组件学习次数、学习时长等数据；支持学习记录导出。</w:t>
            </w:r>
          </w:p>
          <w:p w14:paraId="78010F0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(3)作业：可按全部、待评分、已完成筛选查看学生提交的作业；可查看每个作业的提交情况、下载作业、对作业进行评分；可批量下载学生提交的作业。</w:t>
            </w:r>
          </w:p>
          <w:p w14:paraId="6264B815">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(4)测验：教师可查看学生随堂测验和视频测验的详情（测验名称、题数、完成人数、平均分数、学生的答题情况等）。</w:t>
            </w:r>
          </w:p>
          <w:p w14:paraId="169E690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团队成果：可查看课程大纲中包含的团队成果，能够直接推送、开启互评、结束互评；支持教师查看小组提交情况、小组评分情况、小组排名等信息；可通过组内评分、组间互评、教师评分等方式进行成果评分；支持设置是否允许学生下载其他小组的团队成果；支持教师在开启互评后退回已提交的团队成果，学生可重新提交。</w:t>
            </w:r>
          </w:p>
          <w:p w14:paraId="0BCF53C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(6)总结：需支持教师对学生总结进行查看和打分；支持个人总结和团队总结；支持查看未提交人数或未提交团队数；支持批量导出学生文档；支持教师退回已提交的总结，学生可重新提交。</w:t>
            </w:r>
          </w:p>
          <w:p w14:paraId="081DF1F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(7)班级公告：需支持发布班级公告，展示公告名称、发布时间、发布人；支持随时编辑和删除公告。</w:t>
            </w:r>
          </w:p>
          <w:p w14:paraId="5E84BDF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9.学生管理</w:t>
            </w:r>
          </w:p>
          <w:p w14:paraId="04598D8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加入管理：需支持教师查看已加入当前班级的学生列表；当教学班设置为需要审核才能加入时，老师可审批通过邀请码方式加入的学生；支持教师将学生移除教学班、批量重置学生密码；支持通过模板批量导入学生。</w:t>
            </w:r>
          </w:p>
          <w:p w14:paraId="5022685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团队分组：支持教师发起团队分组，设置组数和每组人数。设置分组后可以设置教学班内团队的组长，为小组添加\删除小组成员。教师可查看班级中未进入团队的学生。有上岗任务的教学班支持查看学生上岗记录。</w:t>
            </w:r>
          </w:p>
          <w:p w14:paraId="61AD5E7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000000"/>
                <w:kern w:val="0"/>
                <w:sz w:val="24"/>
                <w:highlight w:val="none"/>
                <w:lang w:val="zh-CN"/>
              </w:rPr>
              <w:t>★</w:t>
            </w:r>
            <w:r>
              <w:rPr>
                <w:rFonts w:hint="eastAsia" w:ascii="宋体" w:hAnsi="宋体" w:cs="宋体"/>
                <w:sz w:val="24"/>
                <w:highlight w:val="none"/>
              </w:rPr>
              <w:t>10.</w:t>
            </w:r>
            <w:r>
              <w:rPr>
                <w:rFonts w:hint="eastAsia" w:ascii="宋体" w:hAnsi="宋体" w:cs="宋体"/>
                <w:sz w:val="24"/>
              </w:rPr>
              <w:t>成绩管理</w:t>
            </w:r>
          </w:p>
          <w:p w14:paraId="4659BC0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考核方案：管理教学班的考核方案，可以根据授课情况，自定义教学班考核方案的考核项占比，包括平时成绩、考试成绩、教师主观评分、实践成绩等。支持单独设置随堂测验、视频测验、团队成果、实训总结等考核项明细权重。支持添加考试成绩、实践成绩、教师主观评分下的二级自定义评分项。支持修改考核方案并保存。</w:t>
            </w:r>
          </w:p>
          <w:p w14:paraId="6A35169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(2)教师评分：教师可针对学生进行主观评分，支持批量评分。</w:t>
            </w:r>
          </w:p>
          <w:p w14:paraId="204B8F9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考评成绩：教师可查看本班考评成绩，可根据更新后的考核方案重新计算分数，查看教学班内的学生的实时考评成绩。教师可以设置是否公开成绩。针对教师自主添加的自定义考核项可进行第三方成绩的批量导入，导入的成绩作为总成绩的一部分，按分值占比算分。学生总成绩可</w:t>
            </w:r>
            <w:r>
              <w:rPr>
                <w:rFonts w:hint="eastAsia" w:ascii="宋体" w:hAnsi="宋体" w:cs="宋体"/>
                <w:sz w:val="24"/>
                <w:lang w:val="en-US" w:eastAsia="zh-CN"/>
              </w:rPr>
              <w:t>按照教学班</w:t>
            </w:r>
            <w:r>
              <w:rPr>
                <w:rFonts w:hint="eastAsia" w:ascii="宋体" w:hAnsi="宋体" w:cs="宋体"/>
                <w:sz w:val="24"/>
              </w:rPr>
              <w:t>进行批量导出。支持查看教学班内每个学生的成绩详情。</w:t>
            </w:r>
          </w:p>
          <w:p w14:paraId="03C7482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(4)学情分析：教师可以查看本教学班的学情分析。</w:t>
            </w:r>
          </w:p>
          <w:p w14:paraId="3FC24BF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11.工作应用：展示教学班中所需产业平台、仿真系统等快捷入口。</w:t>
            </w:r>
          </w:p>
          <w:p w14:paraId="2AC773A5">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12.支持进行课程智能图谱教学。支持多种图谱框架类型：至少包含智能图谱、能力图谱等2种图谱；支持课程智能图谱全局展示：图谱中支持知识点、能力项、项目等不少于3种节点类型，支持课程智能图谱画布自定义展示：支持调节画布缩放百分比，拖动画布显示区域，节点的定位放大等， 便于用户查看图谱。支持课程智能图谱导航：支持通过导航查看所在课程智能图谱结构，支持通过导航 访问图谱节点。</w:t>
            </w:r>
          </w:p>
          <w:p w14:paraId="051DA96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13.支持查看课程能力图谱：支持切换到课程能力图谱，支持通过旭日图展示能力一级分类、二级分类以及能力项；支持单个能力项详情展示：选中一项能力时，支持放大并定位到所选能力项，支持查看能力项名称、概述、标记等不少于3种基本信息；支持列表展示与本能力项相关的知识点；支持展示该能力项关联的资源、实践以及测验；支持切换节点详情：支持在详情页面通过单击可视化节点 切换节点详情，支持通过“上一个”、“下一个”按钮按照顺序关系 切换节点详情。</w:t>
            </w:r>
          </w:p>
          <w:p w14:paraId="0D4460D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▲14.</w:t>
            </w:r>
            <w:r>
              <w:rPr>
                <w:rFonts w:hint="eastAsia" w:ascii="宋体" w:hAnsi="宋体" w:cs="宋体"/>
                <w:color w:val="auto"/>
                <w:sz w:val="24"/>
                <w:highlight w:val="none"/>
                <w:lang w:eastAsia="zh-CN"/>
              </w:rPr>
              <w:t>支持通过可视化的方式查看班级课程学习分析。支持教学班综合情况分析：包含但不限于学习概况、教学成果、学生掌握度进度分布、学习时长和学习进度排行等。其中掌握度进度分布需使用散点图表示，方便教师查看分布高频区域。</w:t>
            </w:r>
            <w:r>
              <w:rPr>
                <w:rFonts w:hint="eastAsia" w:ascii="宋体" w:hAnsi="宋体" w:cs="宋体"/>
                <w:sz w:val="24"/>
              </w:rPr>
              <w:t>支持班级图谱平均掌握度详情查看：支持单独查看课程某个章节下所包含的知识点、能力项以及每一项的全班的平均掌握情况。</w:t>
            </w:r>
          </w:p>
          <w:p w14:paraId="64F1E16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▲15.教学互动</w:t>
            </w:r>
          </w:p>
          <w:p w14:paraId="1575AB34">
            <w:pPr>
              <w:keepNext w:val="0"/>
              <w:keepLines w:val="0"/>
              <w:suppressLineNumbers w:val="0"/>
              <w:spacing w:before="0" w:beforeAutospacing="0" w:after="0" w:afterAutospacing="0"/>
              <w:ind w:left="0" w:right="0"/>
              <w:rPr>
                <w:rFonts w:hint="eastAsia" w:ascii="宋体" w:hAnsi="宋体" w:cs="宋体"/>
                <w:color w:val="auto"/>
                <w:sz w:val="24"/>
                <w:highlight w:val="none"/>
                <w:lang w:eastAsia="zh-CN"/>
              </w:rPr>
            </w:pPr>
            <w:r>
              <w:rPr>
                <w:rFonts w:hint="eastAsia" w:ascii="宋体" w:hAnsi="宋体" w:cs="宋体"/>
                <w:sz w:val="24"/>
              </w:rPr>
              <w:t>支持</w:t>
            </w:r>
            <w:r>
              <w:rPr>
                <w:rFonts w:hint="eastAsia" w:ascii="宋体" w:hAnsi="宋体" w:cs="宋体"/>
                <w:sz w:val="24"/>
                <w:lang w:val="en-US" w:eastAsia="zh-CN"/>
              </w:rPr>
              <w:t>教师通过各种方式与学生进行课上的互动，可以</w:t>
            </w:r>
            <w:r>
              <w:rPr>
                <w:rFonts w:hint="eastAsia" w:ascii="宋体" w:hAnsi="宋体" w:cs="宋体"/>
                <w:sz w:val="24"/>
              </w:rPr>
              <w:t>随时</w:t>
            </w:r>
            <w:r>
              <w:rPr>
                <w:rFonts w:hint="eastAsia" w:ascii="宋体" w:hAnsi="宋体" w:cs="宋体"/>
                <w:sz w:val="24"/>
                <w:lang w:val="en-US" w:eastAsia="zh-CN"/>
              </w:rPr>
              <w:t>看到学生的学习进度。</w:t>
            </w:r>
            <w:r>
              <w:rPr>
                <w:rFonts w:hint="eastAsia" w:ascii="宋体" w:hAnsi="宋体" w:cs="宋体"/>
                <w:color w:val="auto"/>
                <w:sz w:val="24"/>
                <w:highlight w:val="none"/>
                <w:lang w:eastAsia="zh-CN"/>
              </w:rPr>
              <w:t>支持通过可视化的方式查看学生的课程学习情况。</w:t>
            </w:r>
          </w:p>
          <w:p w14:paraId="0B8E74D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16.学情统计</w:t>
            </w:r>
          </w:p>
          <w:p w14:paraId="6924782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(1)学习态度：支持教师查看自己教学班的学生考勤、作业、学习偏好、完成进度等。</w:t>
            </w:r>
          </w:p>
          <w:p w14:paraId="344966E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(2)难点疑点：支持教师查看自己教学班的学生疑点难点，可查看随堂测验、视频测验的正确率、正确答案，查看任务的完成比例。</w:t>
            </w:r>
          </w:p>
          <w:p w14:paraId="0F258C1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(3)团队表现：对教学班中设置了学生团队和团队成果组件的数据进行分析，分析团队排名、担任组长分析、团队得分分析、学生排名。</w:t>
            </w:r>
          </w:p>
          <w:p w14:paraId="3C09BE2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(4)能力成长：展示教学班内相关的岗位工作职责图谱、能力图谱、班级学生的职业能力成长分析和班级学生能力排行。</w:t>
            </w:r>
          </w:p>
          <w:p w14:paraId="089852D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17.考试管理</w:t>
            </w:r>
          </w:p>
          <w:p w14:paraId="2BCD388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(1)新建考试：支持教师使用学校已发布试卷策略建立考试，设置考试类型、选择考卷策略、考试有效期、允许考试次数，可通过行政班或教学班直接授权学生加入考试。</w:t>
            </w:r>
          </w:p>
          <w:p w14:paraId="4A0D587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(2)考试列表：展示考试列表，可查看考试详情，支持停用考试。</w:t>
            </w:r>
          </w:p>
          <w:p w14:paraId="1A561EB0">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(3)考试详情：查看考试的及格率、最高分、最低分、平均分、总题目数、参加人数、参考率、平均答题时间，考试得分分布。可查看每位学生的考试情况，并导出学生考试成绩。</w:t>
            </w:r>
          </w:p>
        </w:tc>
      </w:tr>
      <w:tr w14:paraId="0C0F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6F95B51">
            <w:pPr>
              <w:keepNext w:val="0"/>
              <w:keepLines w:val="0"/>
              <w:suppressLineNumbers w:val="0"/>
              <w:spacing w:before="0" w:beforeAutospacing="0" w:after="0" w:afterAutospacing="0"/>
              <w:ind w:left="0" w:right="0"/>
              <w:rPr>
                <w:rFonts w:hint="eastAsia" w:ascii="宋体" w:hAnsi="宋体" w:cs="宋体"/>
                <w:kern w:val="0"/>
                <w:sz w:val="24"/>
              </w:rPr>
            </w:pPr>
          </w:p>
        </w:tc>
        <w:tc>
          <w:tcPr>
            <w:tcW w:w="382" w:type="pct"/>
          </w:tcPr>
          <w:p w14:paraId="6B10C181">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三、学生平台功能</w:t>
            </w:r>
          </w:p>
          <w:p w14:paraId="03FC6F67">
            <w:pPr>
              <w:keepNext w:val="0"/>
              <w:keepLines w:val="0"/>
              <w:suppressLineNumbers w:val="0"/>
              <w:spacing w:before="0" w:beforeAutospacing="0" w:after="0" w:afterAutospacing="0"/>
              <w:ind w:left="0" w:right="0"/>
              <w:rPr>
                <w:rFonts w:hint="eastAsia" w:ascii="宋体" w:hAnsi="宋体" w:cs="宋体"/>
                <w:sz w:val="24"/>
              </w:rPr>
            </w:pPr>
          </w:p>
        </w:tc>
        <w:tc>
          <w:tcPr>
            <w:tcW w:w="4341" w:type="pct"/>
          </w:tcPr>
          <w:p w14:paraId="716D920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1.我的课程：展示学生课程列表和课程基本信息，可通过课程状态筛选课程，可通过课程邀请码、课程链接加入课程，需审核课程在加入前可查看课程基本信息和邀请码。</w:t>
            </w:r>
          </w:p>
          <w:p w14:paraId="2767CF4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2.班级公告：可查看教师发布的班级公告列表，查看公告详情。</w:t>
            </w:r>
          </w:p>
          <w:p w14:paraId="13A959D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3.新手引导：学生首次进入课程，提供新手引导，并支持重复查看新手引导。</w:t>
            </w:r>
          </w:p>
          <w:p w14:paraId="12A67C1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团队中心：教师进行分组并设置组长后，组长可针对团队成员进行添加、删除、保存等操作，组长可设置团队名称、团队口号并上传团队封面。团队所有成员可查看团队信息、团队成员、团队成员的上岗记录。团队内成员可共用一个团队空间，支持成员上传、下载团队文件，上传者可删除文件。</w:t>
            </w:r>
          </w:p>
          <w:p w14:paraId="22CBCE85">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5.RPA初识：支持学生通过RPA初识模块，支持查看文档、视频等多媒体文件。</w:t>
            </w:r>
          </w:p>
          <w:p w14:paraId="238238F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6.理论学习：支持学生通过理论学习模块，自主学习与当前课程相关的理论知识。</w:t>
            </w:r>
          </w:p>
          <w:p w14:paraId="4A5AFE8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7.项目实战：支持学生自主完成项目实战类项目的训练与学习。支持查看项目列表、项目详情、子项目，以项目为单位完成某个专项任务的训练。</w:t>
            </w:r>
          </w:p>
          <w:p w14:paraId="401F77A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8.平台应用：支持学生针对当前课程所涉及的产业平台、仿真系统等平台或页面进行操作和使用，支持查看操作指南、视频。</w:t>
            </w:r>
          </w:p>
          <w:p w14:paraId="2D96468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9.训练计划：支持学生依照教师所设置的项目顺序进行相应内容的学习与训练。</w:t>
            </w:r>
          </w:p>
          <w:p w14:paraId="1B1FF92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(1)训练计划总览：支持学生查看当前班级的全部项目数量、已推送项目数量、当前学生正在学习的项目，支持学生查看上次学到的内容，并快捷进入。</w:t>
            </w:r>
          </w:p>
          <w:p w14:paraId="64433B2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(2)全部训练：支持学生查看教师推送的的全部训练内容，包括项目、项目描述等内容，并可点击直接进入训练页。</w:t>
            </w:r>
          </w:p>
          <w:p w14:paraId="0A7B324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(3)知识学习：支持学生进行文档、视频、网页链接等内容的学习，并支持记录学习进度。</w:t>
            </w:r>
          </w:p>
          <w:p w14:paraId="76871B8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(4)成果检验：支持学生提交训练成果，包含作业、团队成果、随堂测验等。</w:t>
            </w:r>
          </w:p>
          <w:p w14:paraId="249FD42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(5)作业：根据老师要求和附件上传个人作业。教师如开放答案，学生可查看参考答案。已提交作业可由教师进行回退重新提交，支持查看作业完成情况。</w:t>
            </w:r>
          </w:p>
          <w:p w14:paraId="314E396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团队成果：支持组长以小组的名义上传团队成果并按照系统设置的“教师评分、组间互评”评分方式进行成果互评。教师开放答案，学生可查看参考答案。已提交成果在开启互评前组长可随时重新上传，开启互评后支持教师回退成果后重新上传。支持查看成果得分详情。</w:t>
            </w:r>
          </w:p>
          <w:p w14:paraId="765ECDE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(7)随堂测验：学生根据要求完成测验，系统自动甄别，并获取成绩。教师开放答案，学生可查看参考答案，完成测验后可查看测验完成情况。</w:t>
            </w:r>
          </w:p>
          <w:p w14:paraId="77FCD30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(8)工作应用：支持学生按项目进入所需产业平台、仿真系统等。工作应用依据项目进行展示。</w:t>
            </w:r>
          </w:p>
          <w:p w14:paraId="5115466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10.教学应用：提供教学班内互动或其他教学辅助应用。</w:t>
            </w:r>
          </w:p>
          <w:p w14:paraId="743F565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(1)签到：支持教学班内签到，学生输入签到口令，响应教师发起的签到进行考勤。</w:t>
            </w:r>
          </w:p>
          <w:p w14:paraId="0EAF5765">
            <w:pPr>
              <w:keepNext w:val="0"/>
              <w:keepLines w:val="0"/>
              <w:suppressLineNumbers w:val="0"/>
              <w:spacing w:before="0" w:beforeAutospacing="0" w:after="0" w:afterAutospacing="0"/>
              <w:ind w:left="0" w:right="0"/>
              <w:rPr>
                <w:rFonts w:hint="default"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互动：通过教师发起的各种方式完成和教师的互动。</w:t>
            </w:r>
          </w:p>
          <w:p w14:paraId="37E2E09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)总结：支持学生上传和提交个人总结，依据教师要求，组长还可上传和提交团队总结，提交后支持查看教师评分情况。</w:t>
            </w:r>
          </w:p>
          <w:p w14:paraId="5053228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)资源下载：支持学生下载课程中提供的允许下载的资料。</w:t>
            </w:r>
          </w:p>
          <w:p w14:paraId="5A6B686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11.拓展资源：提供学生拓展资源，支持学生对资源进行关键字的检索，可以点击资源进行预览，支持对资源人气的升序降序进行排序，支持对资源类型、文件格式是否允许下载进行筛选。</w:t>
            </w:r>
          </w:p>
          <w:p w14:paraId="04C267C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12.评价中心：提供学生学习成绩与能力评价数据。</w:t>
            </w:r>
          </w:p>
          <w:p w14:paraId="058C328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(1)评价总览：针对学生个人的总体评价，包含总成绩、成长值、学习时长、完成项目数等。</w:t>
            </w:r>
          </w:p>
          <w:p w14:paraId="6F78257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(2)成绩报告：依据教师设置的考核方案，开放成绩查看后，学生可分别查看一级二级考核项的指标权重和最终得分。并可以查看成绩明细可视化图表，包含考勤、随堂测验、作业、团队总结、完成度情况等详情。</w:t>
            </w:r>
          </w:p>
          <w:p w14:paraId="5FB41F0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(3)能力报告：依据完成项目记录，展示学生个人的能力成长、能力排行情况。包括：在当前教学班中，学生个人的能力成长值，学生不同的工作职责下的职业能力成长情况，不同项目下的工作胜任力完成情况，工作胜任力得分情况，以及工作胜任力掌握情况（热度）；支持下载能力报告。</w:t>
            </w:r>
          </w:p>
          <w:p w14:paraId="7496445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13.我的考试：支持查看授权给本人的所有考试，支持按考试有效状态筛选查看考试，支持查看考试科目、名称、次数及有效时间。支持学生参加考试，查看准考证。如果教师开放答案和解析，则学生可查看答案和解析。</w:t>
            </w:r>
          </w:p>
          <w:p w14:paraId="2C86D82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14.数据统计：学生可查看本人的学情统计和个人报告。</w:t>
            </w:r>
          </w:p>
          <w:p w14:paraId="3F8D8B9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学情统计：可切换教学班分别查看自己所在教学班的学情数据，包括老师人数、学生人数、班级进度、考勤率、习题正确率、教师评分、成绩。可查看学习行为相关数据，包括考勤记录、作业记录、互动记录、学习时间分布和学习次数记录；可查看知识难点数据，包括习题数据和仿真实操任务数据；可查看团队分析，包括领导力分析、组内领导力分析、团队排名、团队成员得分排名等；可查看能力成长数据。</w:t>
            </w:r>
          </w:p>
          <w:p w14:paraId="7FD7906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个人报告：在学生完成至少一个项目的学习后，可查看个人报告，可查看个人学习的技术领域数量、涉及的职业/岗位数量、完成项目数量、成长值、成长等级；可分岗位/职业查看职业能力总览；可查看工作胜任力雷达；并可查看班级/全校能力排行；可查看学习路径及能力成长路径。</w:t>
            </w:r>
          </w:p>
          <w:p w14:paraId="7854834F">
            <w:pPr>
              <w:keepNext w:val="0"/>
              <w:keepLines w:val="0"/>
              <w:suppressLineNumbers w:val="0"/>
              <w:spacing w:before="0" w:beforeAutospacing="0" w:after="0" w:afterAutospacing="0"/>
              <w:ind w:left="0" w:right="0"/>
              <w:rPr>
                <w:rFonts w:hint="eastAsia" w:ascii="宋体" w:hAnsi="宋体" w:cs="宋体"/>
                <w:sz w:val="24"/>
              </w:rPr>
            </w:pPr>
          </w:p>
        </w:tc>
      </w:tr>
      <w:tr w14:paraId="079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1A474468">
            <w:pPr>
              <w:keepNext w:val="0"/>
              <w:keepLines w:val="0"/>
              <w:suppressLineNumbers w:val="0"/>
              <w:spacing w:before="0" w:beforeAutospacing="0" w:after="0" w:afterAutospacing="0"/>
              <w:ind w:left="0" w:right="0"/>
              <w:rPr>
                <w:rFonts w:hint="eastAsia" w:ascii="宋体" w:hAnsi="宋体" w:cs="宋体"/>
                <w:kern w:val="0"/>
                <w:sz w:val="24"/>
              </w:rPr>
            </w:pPr>
          </w:p>
        </w:tc>
        <w:tc>
          <w:tcPr>
            <w:tcW w:w="382" w:type="pct"/>
          </w:tcPr>
          <w:p w14:paraId="54D8962E">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四、课程平台功能</w:t>
            </w:r>
          </w:p>
          <w:p w14:paraId="5D8B820A">
            <w:pPr>
              <w:keepNext w:val="0"/>
              <w:keepLines w:val="0"/>
              <w:suppressLineNumbers w:val="0"/>
              <w:spacing w:before="0" w:beforeAutospacing="0" w:after="0" w:afterAutospacing="0"/>
              <w:ind w:left="0" w:right="0"/>
              <w:rPr>
                <w:rFonts w:hint="eastAsia" w:ascii="宋体" w:hAnsi="宋体" w:cs="宋体"/>
                <w:sz w:val="24"/>
              </w:rPr>
            </w:pPr>
          </w:p>
        </w:tc>
        <w:tc>
          <w:tcPr>
            <w:tcW w:w="4341" w:type="pct"/>
          </w:tcPr>
          <w:p w14:paraId="6BFA6F3E">
            <w:pPr>
              <w:keepNext w:val="0"/>
              <w:keepLines w:val="0"/>
              <w:suppressLineNumbers w:val="0"/>
              <w:spacing w:before="0" w:beforeAutospacing="0" w:after="0" w:afterAutospacing="0"/>
              <w:ind w:left="0" w:right="0"/>
              <w:rPr>
                <w:rFonts w:hint="eastAsia" w:ascii="宋体" w:hAnsi="宋体" w:cs="宋体"/>
                <w:color w:val="auto"/>
                <w:sz w:val="24"/>
                <w:highlight w:val="none"/>
                <w:lang w:eastAsia="zh-CN"/>
              </w:rPr>
            </w:pPr>
            <w:r>
              <w:rPr>
                <w:rFonts w:hint="eastAsia" w:ascii="宋体" w:hAnsi="宋体" w:cs="宋体"/>
                <w:color w:val="000000"/>
                <w:kern w:val="0"/>
                <w:sz w:val="24"/>
                <w:highlight w:val="none"/>
                <w:lang w:val="zh-CN"/>
              </w:rPr>
              <w:t>★</w:t>
            </w:r>
            <w:r>
              <w:rPr>
                <w:rFonts w:hint="eastAsia" w:ascii="宋体" w:hAnsi="宋体" w:cs="宋体"/>
                <w:color w:val="auto"/>
                <w:sz w:val="24"/>
                <w:highlight w:val="none"/>
              </w:rPr>
              <w:t>1.平台无缝集成：通过教学管理平台中的教学任务可直接跳转到</w:t>
            </w:r>
            <w:r>
              <w:rPr>
                <w:rFonts w:hint="eastAsia" w:ascii="宋体" w:hAnsi="宋体" w:cs="宋体"/>
                <w:color w:val="auto"/>
                <w:sz w:val="24"/>
                <w:highlight w:val="none"/>
                <w:lang w:val="en-US" w:eastAsia="zh-CN"/>
              </w:rPr>
              <w:t>各</w:t>
            </w:r>
            <w:r>
              <w:rPr>
                <w:rFonts w:hint="eastAsia" w:ascii="宋体" w:hAnsi="宋体" w:cs="宋体"/>
                <w:color w:val="auto"/>
                <w:sz w:val="24"/>
                <w:highlight w:val="none"/>
              </w:rPr>
              <w:t>仿真系统页面及ERP系统界面</w:t>
            </w:r>
            <w:r>
              <w:rPr>
                <w:rFonts w:hint="eastAsia" w:ascii="宋体" w:hAnsi="宋体" w:cs="宋体"/>
                <w:color w:val="auto"/>
                <w:sz w:val="24"/>
                <w:highlight w:val="none"/>
                <w:lang w:eastAsia="zh-CN"/>
              </w:rPr>
              <w:t>。</w:t>
            </w:r>
          </w:p>
          <w:p w14:paraId="2056D5A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2</w:t>
            </w:r>
            <w:r>
              <w:rPr>
                <w:rFonts w:hint="eastAsia" w:ascii="宋体" w:hAnsi="宋体" w:cs="宋体"/>
                <w:sz w:val="24"/>
              </w:rPr>
              <w:t>.丰富的RPA业务场景，支持6个以上的RPA机器人。按照业务类型包括基础财务业务机器人、税务业务机器人、资金业务机器人、销售业务循环机器人、费用业务循环机器人、采购业务循环机器人等。</w:t>
            </w:r>
          </w:p>
          <w:p w14:paraId="70DC763C">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3</w:t>
            </w:r>
            <w:r>
              <w:rPr>
                <w:rFonts w:hint="eastAsia" w:ascii="宋体" w:hAnsi="宋体" w:cs="宋体"/>
                <w:sz w:val="24"/>
              </w:rPr>
              <w:t>.可与RPA基础课程结合，帮助同学在掌握RPA基础理论的同时，还能进行RPA机器人的配置、运行与开发。</w:t>
            </w:r>
          </w:p>
          <w:p w14:paraId="763BC65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4</w:t>
            </w:r>
            <w:r>
              <w:rPr>
                <w:rFonts w:hint="eastAsia" w:ascii="宋体" w:hAnsi="宋体" w:cs="宋体"/>
                <w:sz w:val="24"/>
              </w:rPr>
              <w:t>.团队和个人任务：包含团队任务和个人任务，团队任务能够分岗位进行上岗模拟实训，以帮助学生理解不同岗位流程流转的全过程，个人任务侧重于完成每一个机器人的开发或应用。</w:t>
            </w:r>
          </w:p>
          <w:p w14:paraId="504C9F1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5</w:t>
            </w:r>
            <w:r>
              <w:rPr>
                <w:rFonts w:hint="eastAsia" w:ascii="宋体" w:hAnsi="宋体" w:cs="宋体"/>
                <w:sz w:val="24"/>
              </w:rPr>
              <w:t>.业务流程优化：对原有财务业务流程依据流程再造理论进行审视和判断，定位问题，并考虑应用RPA解决问题。</w:t>
            </w:r>
          </w:p>
          <w:p w14:paraId="5E29F38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6</w:t>
            </w:r>
            <w:r>
              <w:rPr>
                <w:rFonts w:hint="eastAsia" w:ascii="宋体" w:hAnsi="宋体" w:cs="宋体"/>
                <w:sz w:val="24"/>
              </w:rPr>
              <w:t>.按业务循环进行综合实训：至少包含费用业务循环、采购业务循环、销售业务循环等不同业务，在业务循环中判断哪些环节适合应用RPA解决问题，影响不同交易类型有不同的财务核算规则和经营管理规则，让学生学习根据交易规则确定核算规则以及经营管理规则。</w:t>
            </w:r>
          </w:p>
          <w:p w14:paraId="28B9A9C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7</w:t>
            </w:r>
            <w:r>
              <w:rPr>
                <w:rFonts w:hint="eastAsia" w:ascii="宋体" w:hAnsi="宋体" w:cs="宋体"/>
                <w:sz w:val="24"/>
              </w:rPr>
              <w:t>.新准则应用：销售业务循环中依据新收入准则对企业收入业务重新评估和判断，确定收入确认标准。</w:t>
            </w:r>
          </w:p>
          <w:p w14:paraId="247745D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8</w:t>
            </w:r>
            <w:r>
              <w:rPr>
                <w:rFonts w:hint="eastAsia" w:ascii="宋体" w:hAnsi="宋体" w:cs="宋体"/>
                <w:sz w:val="24"/>
              </w:rPr>
              <w:t>.按班级数据隔离：可按教学班进行实训任务数据的隔离，应用RPA在ERP系统中生成的数据按照班级进行数据隔离，并可查询各班级对应的数据源信息。</w:t>
            </w:r>
          </w:p>
          <w:p w14:paraId="36D2CF6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lang w:val="en-US" w:eastAsia="zh-CN"/>
              </w:rPr>
              <w:t>9</w:t>
            </w:r>
            <w:r>
              <w:rPr>
                <w:rFonts w:hint="eastAsia" w:ascii="宋体" w:hAnsi="宋体" w:cs="宋体"/>
                <w:sz w:val="24"/>
              </w:rPr>
              <w:t>.按团队数据隔离：同一个班级中，不同组进行分岗协同流程体验时，可按照团队（小组）进行数据隔离，以保证小组间数据不会互相影响。</w:t>
            </w:r>
          </w:p>
          <w:p w14:paraId="52AF221A">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.机器人应用场景中依赖的ERP环境，已提供独立的数据源信息，以满足RPA教学应用需要。</w:t>
            </w:r>
          </w:p>
          <w:p w14:paraId="71D304D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000000"/>
                <w:kern w:val="0"/>
                <w:sz w:val="24"/>
                <w:highlight w:val="none"/>
                <w:lang w:val="zh-CN"/>
              </w:rPr>
              <w:t>★</w:t>
            </w: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提供ERP相应模块的功能应用场景，以满足企业财务RPA应用的教学场景需要，ERP模块中至少包含以下内容：动态建模配置、财务基础档案及规则设置、总账、应收管理、应付管理、费用管理、存货核算、现金管理、供应链基础档案设置、采购管理、库存管理及销售管理等。</w:t>
            </w:r>
          </w:p>
          <w:p w14:paraId="142FE927">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.提供教学应用中对应RPA脚本和答案，以供教学应用或教师授课参考。</w:t>
            </w:r>
          </w:p>
          <w:p w14:paraId="12FC7DBF">
            <w:pPr>
              <w:keepNext w:val="0"/>
              <w:keepLines w:val="0"/>
              <w:numPr>
                <w:ilvl w:val="0"/>
                <w:numId w:val="0"/>
              </w:numPr>
              <w:suppressLineNumbers w:val="0"/>
              <w:spacing w:before="0" w:beforeAutospacing="0" w:after="0" w:afterAutospacing="0"/>
              <w:ind w:left="0" w:right="0"/>
              <w:rPr>
                <w:rFonts w:hint="default" w:eastAsia="新宋体"/>
                <w:lang w:val="en-US" w:eastAsia="zh-CN"/>
              </w:rPr>
            </w:pPr>
            <w:r>
              <w:rPr>
                <w:rFonts w:hint="eastAsia" w:ascii="宋体" w:hAnsi="宋体" w:cs="宋体"/>
                <w:color w:val="000000"/>
                <w:kern w:val="0"/>
                <w:sz w:val="24"/>
                <w:highlight w:val="none"/>
                <w:lang w:val="zh-CN"/>
              </w:rPr>
              <w:t>★</w:t>
            </w:r>
            <w:r>
              <w:rPr>
                <w:rFonts w:hint="eastAsia" w:ascii="宋体" w:hAnsi="宋体" w:cs="宋体"/>
                <w:sz w:val="24"/>
                <w:lang w:val="en-US" w:eastAsia="zh-CN"/>
              </w:rPr>
              <w:t>14.需要满足至少200名学生同时在线进行平台操作。</w:t>
            </w:r>
          </w:p>
          <w:p w14:paraId="46084B9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15.仿真网银银行功能指标。仿真中国工商银行网上银行支持转账业务和查询业务，可用于与银行业务相关的RPA开发应用。转账业务：支持输入付款公司信息、收款公司信息和转账信息，完成转账业务。查询业务：支持查询指定时间段的交易记录，并支持交易记录下载。</w:t>
            </w:r>
          </w:p>
          <w:p w14:paraId="408F6AB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16.仿真国家税务总局全国增值税发票查验平台。支持依据发票查验清单进行增值税专用发票和普通电子发票的查验工作。发票查验机器人读取发票查验清单中的数据，然后依次录入发票代码、发票号码、开票日期、开票金额和验证码，查询发票信息。提供</w:t>
            </w:r>
            <w:r>
              <w:rPr>
                <w:rFonts w:hint="eastAsia" w:ascii="宋体" w:hAnsi="宋体" w:cs="宋体"/>
                <w:sz w:val="24"/>
                <w:lang w:val="en-US" w:eastAsia="zh-CN"/>
              </w:rPr>
              <w:t>多</w:t>
            </w:r>
            <w:r>
              <w:rPr>
                <w:rFonts w:hint="eastAsia" w:ascii="宋体" w:hAnsi="宋体" w:cs="宋体"/>
                <w:sz w:val="24"/>
              </w:rPr>
              <w:t>个省市自治区的税务局查验端口，方便进行实践教学。</w:t>
            </w:r>
          </w:p>
          <w:p w14:paraId="581E449D">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17.仿真税务云平台。</w:t>
            </w:r>
          </w:p>
          <w:p w14:paraId="0E61CC6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auto"/>
                <w:sz w:val="24"/>
                <w:highlight w:val="none"/>
              </w:rPr>
              <w:t>▲</w:t>
            </w:r>
            <w:r>
              <w:rPr>
                <w:rFonts w:hint="eastAsia" w:ascii="宋体" w:hAnsi="宋体" w:cs="宋体"/>
                <w:sz w:val="24"/>
              </w:rPr>
              <w:t>(1)支持仿真税务云服务，可以虚拟仿真增值税专用发票、普通发票和电子普通发票的</w:t>
            </w:r>
            <w:r>
              <w:rPr>
                <w:rFonts w:hint="eastAsia" w:ascii="宋体" w:hAnsi="宋体" w:cs="宋体"/>
                <w:color w:val="000000" w:themeColor="text1"/>
                <w:lang w:val="zh-CN"/>
                <w14:textFill>
                  <w14:solidFill>
                    <w14:schemeClr w14:val="tx1"/>
                  </w14:solidFill>
                </w14:textFill>
              </w:rPr>
              <w:t>开票、受票、</w:t>
            </w:r>
            <w:r>
              <w:rPr>
                <w:rFonts w:hint="eastAsia" w:ascii="宋体" w:hAnsi="宋体" w:cs="宋体"/>
                <w:color w:val="000000" w:themeColor="text1"/>
                <w:lang w:val="en-US" w:eastAsia="zh-CN"/>
                <w14:textFill>
                  <w14:solidFill>
                    <w14:schemeClr w14:val="tx1"/>
                  </w14:solidFill>
                </w14:textFill>
              </w:rPr>
              <w:t>验真，</w:t>
            </w:r>
            <w:r>
              <w:rPr>
                <w:rFonts w:hint="eastAsia" w:ascii="宋体" w:hAnsi="宋体" w:cs="宋体"/>
                <w:sz w:val="24"/>
              </w:rPr>
              <w:t>进行增值税</w:t>
            </w:r>
            <w:r>
              <w:rPr>
                <w:rFonts w:hint="eastAsia" w:ascii="宋体" w:hAnsi="宋体" w:cs="宋体"/>
                <w:sz w:val="24"/>
                <w:lang w:eastAsia="zh-CN"/>
              </w:rPr>
              <w:t>、</w:t>
            </w:r>
            <w:r>
              <w:rPr>
                <w:rFonts w:hint="eastAsia" w:ascii="宋体" w:hAnsi="宋体" w:cs="宋体"/>
                <w:sz w:val="24"/>
              </w:rPr>
              <w:t>附加税费</w:t>
            </w:r>
            <w:r>
              <w:rPr>
                <w:rFonts w:hint="eastAsia" w:ascii="宋体" w:hAnsi="宋体" w:cs="宋体"/>
                <w:sz w:val="24"/>
                <w:lang w:eastAsia="zh-CN"/>
              </w:rPr>
              <w:t>、</w:t>
            </w:r>
            <w:r>
              <w:rPr>
                <w:rFonts w:hint="eastAsia" w:ascii="宋体" w:hAnsi="宋体" w:cs="宋体"/>
                <w:sz w:val="24"/>
                <w:lang w:val="en-US" w:eastAsia="zh-CN"/>
              </w:rPr>
              <w:t>所得税</w:t>
            </w:r>
            <w:r>
              <w:rPr>
                <w:rFonts w:hint="eastAsia" w:ascii="宋体" w:hAnsi="宋体" w:cs="宋体"/>
                <w:sz w:val="24"/>
              </w:rPr>
              <w:t>的纳税申报。支持对已保存的增值税申报表、附加税费申报表进行申报，完成一键报税。</w:t>
            </w:r>
          </w:p>
          <w:p w14:paraId="065947D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(2)提供应用设置服务，支持设置开票所需的客户档案和商品档案。</w:t>
            </w:r>
          </w:p>
          <w:p w14:paraId="0C0A796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提供企业开票服务，包括开具增值税电子普通发票、增值税普通发票和增值税专用发票。当录入部分发票信息时，可以保存该发票信息，后续修改确认发票信息后，再进行开票，开票成功后显示“开票成功”字样。</w:t>
            </w:r>
          </w:p>
          <w:p w14:paraId="455E480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在“已开票”列表界面显示发票类型、开票组织、发票代码、发票号码、购买方名称、开票日期、金额、税额、价税合计、开票状态及操作等字段信息。支持选择某一条发票列表信息，展开查询发票的详细信息并能进行发票的下载操作。也支持对已开的发票进行作废操作。通过开票状态，快速识别“已开票”和“已作废”的发票信息。</w:t>
            </w:r>
          </w:p>
          <w:p w14:paraId="2EBEEE13">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在“未开票”列表中柯根据组织名称和购买方名称快速查询发票信息。在“未开票”列表界面显示发票类型、开票组织、购买方名称、制单日期、金额、税额、价税合计和操作等字段信息。在“未开票”列表中可查询已经保存但还没有进行开具发票操作的发票信息，在选择具体的待开发票，进行查询、开票和删除操作。</w:t>
            </w:r>
          </w:p>
          <w:p w14:paraId="7D9EFD2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提供企业受票服务，包括下载采购台账模板、上传采购台账和导出查询结果等操作。在采购台账界面，显示发票种类、受票组织、发票代码、发票号码、开票日期、销售方名称、金额、税额、价税合计、认证状态、是否比例转出和操作等字段信息。除采购台账还有报销台账和发票查验等功能。</w:t>
            </w:r>
          </w:p>
          <w:p w14:paraId="02CCBE7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(7)提供增值税管理服务。包括销项发票统计、进项发票统计、进项认证统计、进项转出管理和视同销售管理等功能。</w:t>
            </w:r>
          </w:p>
          <w:p w14:paraId="291E452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(8)在销项发票统计中支持查询销售发票汇总表、销项发票明细表和销售统计表。查询销售发票汇总表时，可按照纳税人名称、税号、月份和发票种类四个维度进行查询，在查询结果中显示正数发票份数、负数发票份数、正数废票份数、负数废票份数、实际销售金额和实际销项税额等信息。可按照纳税人名称、税号、月份、发票种类和发票类型查询销项发票明细，在查询结果中显示发票种类、纳税人名称、发票代码、发票号码、开票日期、购买方名称、金额、税额、价税合计和操作（查询）等字段信息，支持查询结果导出。可按照纳税人名称、税号和月份查询销售统计表，在查询结果中显示发票数、总金额、总税额和价税合计，显示明细数据信息，每条信息包括购买方名称、购买方税号、项目名称、规格型号、发票数、总金额、总税额和价税合计等字段。</w:t>
            </w:r>
          </w:p>
          <w:p w14:paraId="3D350E4E">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(9)在进项发票统计中支持查询采购统计表和报销统计表。</w:t>
            </w:r>
          </w:p>
          <w:p w14:paraId="190C1336">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000000"/>
                <w:kern w:val="0"/>
                <w:sz w:val="24"/>
                <w:highlight w:val="none"/>
                <w:lang w:val="zh-CN"/>
              </w:rPr>
              <w:t>★</w:t>
            </w:r>
            <w:r>
              <w:rPr>
                <w:rFonts w:hint="eastAsia" w:ascii="宋体" w:hAnsi="宋体" w:cs="宋体"/>
                <w:sz w:val="24"/>
              </w:rPr>
              <w:t>(10)在进项认证管理中，支持发票勾选和抵扣统计表查询。支持按照开票日期、发票代码、发票号码、受票组织、勾选状态（未勾选、已勾选未确认、已勾选已确认）、销方名称等维度查询出未勾选的发票信息，查询结果显示发票代码、发票号码、开票日期、销售方名称、金额、税额和勾选状态等字段信息。选择未勾选的发票明细数据，进行勾选保存、确认勾选操作，完成发票的勾选认证。在抵扣勾选统计界面查询并导出相应的信息。</w:t>
            </w:r>
          </w:p>
          <w:p w14:paraId="05096060">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(11)在抵扣统计表中查询报表信息，支持一键明细穿透查询和导出查询结果。</w:t>
            </w:r>
          </w:p>
          <w:p w14:paraId="46FDB02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(12)返回采购台账中，可查询到发票状态为已认证。</w:t>
            </w:r>
          </w:p>
          <w:p w14:paraId="6CEB1426">
            <w:pPr>
              <w:keepNext w:val="0"/>
              <w:keepLines w:val="0"/>
              <w:suppressLineNumbers w:val="0"/>
              <w:spacing w:before="0" w:beforeAutospacing="0" w:after="0" w:afterAutospacing="0"/>
              <w:ind w:left="0" w:right="0"/>
              <w:rPr>
                <w:rFonts w:hint="default" w:ascii="宋体" w:hAnsi="宋体" w:eastAsia="宋体" w:cs="宋体"/>
                <w:sz w:val="24"/>
                <w:lang w:val="en-US" w:eastAsia="zh-CN"/>
              </w:rPr>
            </w:pPr>
            <w:r>
              <w:rPr>
                <w:rFonts w:hint="eastAsia" w:ascii="宋体" w:hAnsi="宋体" w:cs="宋体"/>
                <w:sz w:val="24"/>
              </w:rPr>
              <w:t>(13)提供纳税申报服务。提供所得税申报、增值税申报、印花税申报、附加税申报和附加税费申报。</w:t>
            </w:r>
          </w:p>
          <w:p w14:paraId="2AE2BB6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18.仿真自然人税收管理系统扣缴客户端。支持为每名同学生成独立的账号和密码用于登录系统，支持在个人信息采集申报界面导入人员信息并报送信息，支持在综合所得申报界面进行收入及减除填写、税款计算、附表填写和申报表报送操作。</w:t>
            </w:r>
          </w:p>
          <w:p w14:paraId="56A5BD8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19.仿真企业商旅平台应用，支持对机票、火车票、酒店等业务数据的查询与核对，还原企业费控业务的内外部系统连接与业务处理。</w:t>
            </w:r>
          </w:p>
          <w:p w14:paraId="5E89D6A5">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color w:val="000000"/>
                <w:kern w:val="0"/>
                <w:sz w:val="24"/>
                <w:lang w:val="zh-CN"/>
              </w:rPr>
              <w:t>★</w:t>
            </w:r>
            <w:r>
              <w:rPr>
                <w:rFonts w:hint="eastAsia" w:ascii="宋体" w:hAnsi="宋体" w:cs="宋体"/>
                <w:sz w:val="24"/>
              </w:rPr>
              <w:t>20.仿真电子商务平台相关业务处理，包括通过不同查询条件，可筛选出不同的业务数据结果，支持下载电子商务交易订单数据和商品数据。</w:t>
            </w:r>
          </w:p>
          <w:p w14:paraId="2EA2E01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▲21.仿真支付结算平台。仿真电子商务外部结算平台数据与仿真电子商务平台中的订单数据</w:t>
            </w:r>
            <w:r>
              <w:rPr>
                <w:rFonts w:hint="eastAsia" w:ascii="宋体" w:hAnsi="宋体" w:cs="宋体"/>
                <w:sz w:val="24"/>
                <w:lang w:val="en-US" w:eastAsia="zh-CN"/>
              </w:rPr>
              <w:t>相</w:t>
            </w:r>
            <w:r>
              <w:rPr>
                <w:rFonts w:hint="eastAsia" w:ascii="宋体" w:hAnsi="宋体" w:cs="宋体"/>
                <w:sz w:val="24"/>
              </w:rPr>
              <w:t>匹配，可通过不同查询条件筛选出不同的结果数据，支持订单结算数据查询与下载；仿真企业ERP银企直连，进行网银转账结算操作。</w:t>
            </w:r>
          </w:p>
          <w:p w14:paraId="6150A453">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▲22.仿真仓储管理系统。仿真企业独立部署仓储管理系统，能够在系统中新增、修改、导出入库单、库存需求平衡表等数据。</w:t>
            </w:r>
          </w:p>
          <w:p w14:paraId="3EEC9EC1">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23.仿真企业邮箱。支持接收仿真外部邮件，并可进行对邮件进行回复、转发、删除操作，支持学生收到本教学班其他学生发来的邮件。</w:t>
            </w:r>
          </w:p>
          <w:p w14:paraId="5F25FA78">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24.仿真国家税务总局电子税务局。支持增值税、企业所得税、附加税费等多税种的纳税申报和缴款。支持增值税、企业所得税、附加税费等多税种的纳税申报。支持通过三方协议缴款功能进行税款缴纳。</w:t>
            </w:r>
          </w:p>
          <w:p w14:paraId="3662498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25.企业真实ERP平台。平台内置真实ERP平台,支持根据企业实际业务场景搭建基于基础建模平台、财务会计、供应链、自动化机器人等一体化的数字化系统。支持老师和学生自定义业务场景、自定义业务模型建立、自定义流程设置等。支持老师和学生在ERP平台中进行RPA场景练习。支持动态建模配置、财务基础档案及规则设置、总账、应收管理、应付管理、费用管理、存货核算、现金管理、供应链基础档案设置、采购管理、库存管理及销售管理等。</w:t>
            </w:r>
          </w:p>
          <w:p w14:paraId="035543C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26.RPA平台</w:t>
            </w:r>
          </w:p>
          <w:p w14:paraId="06A5D454">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(1)信创、企业级RPA：</w:t>
            </w:r>
            <w:r>
              <w:rPr>
                <w:rFonts w:hint="eastAsia" w:ascii="宋体" w:hAnsi="宋体" w:cs="宋体"/>
                <w:sz w:val="24"/>
                <w:lang w:val="en-US" w:eastAsia="zh-CN"/>
              </w:rPr>
              <w:t>优先选择</w:t>
            </w:r>
            <w:r>
              <w:rPr>
                <w:rFonts w:hint="eastAsia" w:ascii="宋体" w:hAnsi="宋体" w:cs="宋体"/>
                <w:sz w:val="24"/>
              </w:rPr>
              <w:t>国内自主研发的RPA开发软件，具有独立的软件著作权，符合信创国产化趋势；支持免繁琐的安装环节，能够满足院校教学需求；支持命令、插件的自定义扩展与传播；支持与第三方系统结合的自动化操作，包括但不仅限于微信、钉钉等；支持跨系统的流程自动化；支持机器人接口级的管控；支持做到安全审计，分级管控，规范授权，集中治理。</w:t>
            </w:r>
          </w:p>
          <w:p w14:paraId="02F19D3D">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highlight w:val="none"/>
              </w:rPr>
              <w:t>▲</w:t>
            </w:r>
            <w:r>
              <w:rPr>
                <w:rFonts w:hint="eastAsia" w:ascii="宋体" w:hAnsi="宋体" w:cs="宋体"/>
                <w:sz w:val="24"/>
              </w:rPr>
              <w:t>(2)</w:t>
            </w:r>
            <w:r>
              <w:rPr>
                <w:rFonts w:hint="eastAsia" w:ascii="宋体" w:hAnsi="宋体" w:cs="宋体"/>
                <w:color w:val="000000" w:themeColor="text1"/>
                <w:lang w:val="en-US" w:eastAsia="zh-CN"/>
                <w14:textFill>
                  <w14:solidFill>
                    <w14:schemeClr w14:val="tx1"/>
                  </w14:solidFill>
                </w14:textFill>
              </w:rPr>
              <w:t>可</w:t>
            </w:r>
            <w:r>
              <w:rPr>
                <w:rFonts w:hint="eastAsia" w:ascii="宋体" w:hAnsi="宋体" w:cs="宋体"/>
                <w:color w:val="000000" w:themeColor="text1"/>
                <w:lang w:val="zh-CN"/>
                <w14:textFill>
                  <w14:solidFill>
                    <w14:schemeClr w14:val="tx1"/>
                  </w14:solidFill>
                </w14:textFill>
              </w:rPr>
              <w:t>通过RPA开发能实现对各种应用的自动化，可以在无需改造原有系统的基础上，依据设定的程序完成特定的工作任务，替代繁琐和重复的事务性工作。RPA设计器内置</w:t>
            </w:r>
            <w:r>
              <w:rPr>
                <w:rFonts w:hint="eastAsia" w:ascii="宋体" w:hAnsi="宋体" w:cs="宋体"/>
                <w:color w:val="000000" w:themeColor="text1"/>
                <w:lang w:val="en-US" w:eastAsia="zh-CN"/>
                <w14:textFill>
                  <w14:solidFill>
                    <w14:schemeClr w14:val="tx1"/>
                  </w14:solidFill>
                </w14:textFill>
              </w:rPr>
              <w:t>多种</w:t>
            </w:r>
            <w:r>
              <w:rPr>
                <w:rFonts w:hint="eastAsia" w:ascii="宋体" w:hAnsi="宋体" w:cs="宋体"/>
                <w:color w:val="000000" w:themeColor="text1"/>
                <w:lang w:val="zh-CN"/>
                <w14:textFill>
                  <w14:solidFill>
                    <w14:schemeClr w14:val="tx1"/>
                  </w14:solidFill>
                </w14:textFill>
              </w:rPr>
              <w:t>插件，300个以上命令，拥有流程设计、数据操作、图像识别、用户交互、文件操作、Office读写、网络服务、浏览器操作、</w:t>
            </w:r>
            <w:r>
              <w:rPr>
                <w:rFonts w:hint="eastAsia" w:ascii="宋体" w:hAnsi="宋体" w:cs="宋体"/>
                <w:color w:val="000000" w:themeColor="text1"/>
                <w:lang w:val="en-US" w:eastAsia="zh-CN"/>
                <w14:textFill>
                  <w14:solidFill>
                    <w14:schemeClr w14:val="tx1"/>
                  </w14:solidFill>
                </w14:textFill>
              </w:rPr>
              <w:t>财务核算平台</w:t>
            </w:r>
            <w:r>
              <w:rPr>
                <w:rFonts w:hint="eastAsia" w:ascii="宋体" w:hAnsi="宋体" w:cs="宋体"/>
                <w:color w:val="000000" w:themeColor="text1"/>
                <w:lang w:val="zh-CN"/>
                <w14:textFill>
                  <w14:solidFill>
                    <w14:schemeClr w14:val="tx1"/>
                  </w14:solidFill>
                </w14:textFill>
              </w:rPr>
              <w:t>类操作等插件命令</w:t>
            </w:r>
            <w:r>
              <w:rPr>
                <w:rFonts w:hint="eastAsia" w:ascii="宋体" w:hAnsi="宋体" w:cs="宋体"/>
                <w:sz w:val="24"/>
              </w:rPr>
              <w:t>；支持但不仅限于Windows录制、Chrome录制、Java录制操作的流程录制功能。支持各种命令组合，便捷高效的设计机器人流程</w:t>
            </w:r>
            <w:r>
              <w:rPr>
                <w:rFonts w:hint="eastAsia" w:ascii="宋体" w:hAnsi="宋体" w:cs="宋体"/>
                <w:sz w:val="24"/>
                <w:lang w:val="en-US" w:eastAsia="zh-CN"/>
              </w:rPr>
              <w:t>模板</w:t>
            </w:r>
            <w:r>
              <w:rPr>
                <w:rFonts w:hint="eastAsia" w:ascii="宋体" w:hAnsi="宋体" w:cs="宋体"/>
                <w:sz w:val="24"/>
              </w:rPr>
              <w:t>。</w:t>
            </w:r>
          </w:p>
          <w:p w14:paraId="4C8420E2">
            <w:pPr>
              <w:keepNext w:val="0"/>
              <w:keepLines w:val="0"/>
              <w:suppressLineNumbers w:val="0"/>
              <w:spacing w:before="0" w:beforeAutospacing="0" w:after="0" w:afterAutospacing="0"/>
              <w:ind w:left="0" w:right="0"/>
              <w:rPr>
                <w:rFonts w:hint="eastAsia" w:ascii="宋体" w:hAnsi="宋体" w:eastAsia="宋体" w:cs="宋体"/>
                <w:sz w:val="24"/>
                <w:lang w:eastAsia="zh-CN"/>
              </w:rPr>
            </w:pPr>
            <w:r>
              <w:rPr>
                <w:rFonts w:hint="eastAsia" w:ascii="宋体" w:hAnsi="宋体" w:cs="宋体"/>
                <w:color w:val="000000"/>
                <w:kern w:val="0"/>
                <w:sz w:val="24"/>
                <w:lang w:val="zh-CN"/>
              </w:rPr>
              <w:t>★</w:t>
            </w:r>
            <w:r>
              <w:rPr>
                <w:rFonts w:hint="eastAsia" w:ascii="宋体" w:hAnsi="宋体" w:cs="宋体"/>
                <w:sz w:val="24"/>
              </w:rPr>
              <w:t>(3)AI OCR：支持但不仅限于对营业执照信息识别、出租车发票识别、表格识别、通用文字识别、增值税发票识别、火车票识别等</w:t>
            </w:r>
            <w:r>
              <w:rPr>
                <w:rFonts w:hint="eastAsia" w:ascii="宋体" w:hAnsi="宋体" w:cs="宋体"/>
                <w:sz w:val="24"/>
                <w:lang w:eastAsia="zh-CN"/>
              </w:rPr>
              <w:t>。</w:t>
            </w:r>
          </w:p>
          <w:p w14:paraId="23E8AB3E">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(4)代码运行与调用：支持连接Sql Server、Oracle、MySQL数据库并执行SQL语句与数据查询操作；支持自定义插件扩展，运行Python脚本、运行Java UI脚本、启动UiPath机器人等命令。</w:t>
            </w:r>
          </w:p>
          <w:p w14:paraId="28461265">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(5)浏览器操作：支持不少于3种市场主流浏览器进行自动化操作，如：操作Chrome(谷歌)、IE、Firefox(火狐)等；支持创建浏览器对象、查找浏览器、导航至给定的URL、获取URL等操作；支持一键获取页面Xpath位置；支持网页表格数据抓取操作应用；支持对页面进行刷新、前进、后退的操作；支持对页面元素进行点击、双击、拖拽、鼠标悬停、邮件点击、获取文本、获取属性、设置文本、清空文本等操作；支持对网页窗口进行打开、切换、关闭、切换至最后窗口等的操作；支持网页表格数据的抓取，获取网页Cookies等信息。</w:t>
            </w:r>
          </w:p>
          <w:p w14:paraId="09793706">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(6)自动化操作：支持主流邮箱(例如：QQ、163等)的邮件接收、发送、检索等操作；支持POP3、SMTP、IMAP邮件协议；支持邮件附件下载、邮件读取状态标记、关键字筛选、时间范围筛选等；支持但不仅限于Excel、Word等Office办公软件的操作；支持Excel单元格颜色标记及Word的基本操作；支持PDF文本智能识别操作；支持对文件的操作，包含但不仅限于对文件的创建、删除、解压缩、名称修改、文件属性、移动、复制操作。</w:t>
            </w:r>
          </w:p>
        </w:tc>
      </w:tr>
      <w:tr w14:paraId="0A52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0008FA8E">
            <w:pPr>
              <w:keepNext w:val="0"/>
              <w:keepLines w:val="0"/>
              <w:suppressLineNumbers w:val="0"/>
              <w:spacing w:before="0" w:beforeAutospacing="0" w:after="0" w:afterAutospacing="0"/>
              <w:ind w:left="0" w:right="0"/>
              <w:rPr>
                <w:rFonts w:hint="eastAsia" w:ascii="宋体" w:hAnsi="宋体" w:cs="宋体"/>
                <w:kern w:val="0"/>
                <w:sz w:val="24"/>
              </w:rPr>
            </w:pPr>
          </w:p>
        </w:tc>
        <w:tc>
          <w:tcPr>
            <w:tcW w:w="382" w:type="pct"/>
            <w:vAlign w:val="center"/>
          </w:tcPr>
          <w:p w14:paraId="1CB312A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五、教学项目模块</w:t>
            </w:r>
          </w:p>
          <w:p w14:paraId="759F9724">
            <w:pPr>
              <w:keepNext w:val="0"/>
              <w:keepLines w:val="0"/>
              <w:suppressLineNumbers w:val="0"/>
              <w:spacing w:before="0" w:beforeAutospacing="0" w:after="0" w:afterAutospacing="0"/>
              <w:ind w:left="0" w:right="0"/>
              <w:jc w:val="center"/>
              <w:rPr>
                <w:rFonts w:hint="eastAsia" w:ascii="宋体" w:hAnsi="宋体" w:cs="宋体"/>
                <w:sz w:val="24"/>
              </w:rPr>
            </w:pPr>
          </w:p>
        </w:tc>
        <w:tc>
          <w:tcPr>
            <w:tcW w:w="4341" w:type="pct"/>
          </w:tcPr>
          <w:p w14:paraId="0B52E91B">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1.财务机器人概述。介绍财务机器人概念、财务机器人的应用领域、分类、应用场景及应用价值等。提供RPA软件安装包。</w:t>
            </w:r>
          </w:p>
          <w:p w14:paraId="7EB61E79">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2.基础财务业务机器人。介绍网银付款机器人、长期待摊费用摊销机器人、汇率下载机器人、汇率录入机器人和银企对账机器人。介绍了机器人相关的案例背景、业务流程及体验、RPA需求分析及方案设计、RPA应用与开发、项目总结等内容。</w:t>
            </w:r>
          </w:p>
          <w:p w14:paraId="7C49983F">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color w:val="000000"/>
                <w:kern w:val="0"/>
                <w:sz w:val="24"/>
                <w:lang w:val="zh-CN"/>
              </w:rPr>
              <w:t>★</w:t>
            </w: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税务业务机器人。介绍税务业务场景的机器人应用，包括发票开具机器人、发票查验机器人、个人所得税纳税申报机器人和增值税纳税申报机器人等应用。</w:t>
            </w:r>
          </w:p>
          <w:p w14:paraId="3C7B6487">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000000"/>
                <w:kern w:val="0"/>
                <w:sz w:val="24"/>
                <w:lang w:val="zh-CN"/>
              </w:rPr>
              <w:t>★</w:t>
            </w:r>
            <w:r>
              <w:rPr>
                <w:rFonts w:hint="eastAsia" w:ascii="宋体" w:hAnsi="宋体" w:cs="宋体"/>
                <w:sz w:val="24"/>
              </w:rPr>
              <w:t>4.资金业务机器人。介绍了银行到账通知发布机器人、银行到账通知认领机器人和银行对账机器人的相关内容。</w:t>
            </w:r>
          </w:p>
          <w:p w14:paraId="5B5C17BF">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color w:val="000000"/>
                <w:kern w:val="0"/>
                <w:sz w:val="24"/>
                <w:lang w:val="zh-CN"/>
              </w:rPr>
              <w:t>★</w:t>
            </w:r>
            <w:r>
              <w:rPr>
                <w:rFonts w:hint="eastAsia" w:ascii="宋体" w:hAnsi="宋体" w:cs="宋体"/>
                <w:sz w:val="24"/>
              </w:rPr>
              <w:t>5.费用业务循环机器人。整体介绍了费用业务流程，梳理费用业务流程、提出改进需求分析、设计优化方案，依据优化后的流程，进行费用业务循环机器人的应用与开发。详细介绍了企业基本信息、差旅费报销业务流程及现状体验、差旅报销流程问题梳理、应用商旅平台后差旅报销业务流程、差旅报销业务流程改进需求分析、差旅报销业务RPA机器人方案设计、差旅报销与携程对账机器人、商旅平台费用报销填报机器人等内容。</w:t>
            </w:r>
          </w:p>
          <w:p w14:paraId="4CFA0172">
            <w:pPr>
              <w:keepNext w:val="0"/>
              <w:keepLines w:val="0"/>
              <w:suppressLineNumbers w:val="0"/>
              <w:spacing w:before="0" w:beforeAutospacing="0" w:after="0" w:afterAutospacing="0"/>
              <w:ind w:left="0" w:right="0"/>
              <w:rPr>
                <w:rFonts w:hint="default" w:ascii="宋体" w:hAnsi="宋体" w:cs="宋体"/>
                <w:sz w:val="24"/>
              </w:rPr>
            </w:pPr>
            <w:r>
              <w:rPr>
                <w:rFonts w:hint="eastAsia" w:ascii="宋体" w:hAnsi="宋体" w:cs="宋体"/>
                <w:sz w:val="24"/>
              </w:rPr>
              <w:t>6.销售业务循环机器人。整体介绍了销售业务流程，梳理销售业务流程、提出改进需求分析、设计优化方案，依据优化后的流程，进行销售业务循环机器人的应用与开发。详细介绍了企业基本信息、电商销售业务流程、下载汇总天猫销售数据、在ERP系统中体验销售订单录入、销售出库单录入，进行收入及成本确认。获取收款数据并体验收款单录入工作。在现状体验流程的基础上，梳理销售业务流程问题、进行电商销售业务流程改进需求分析，设计电商销售流程RPA解决方案，并开发配置包括客户维护机器人、销售订单录入机器人、收入确认机器人及应收核销机器人等内容。</w:t>
            </w:r>
          </w:p>
          <w:p w14:paraId="0B0A09BC">
            <w:pPr>
              <w:keepNext w:val="0"/>
              <w:keepLines w:val="0"/>
              <w:suppressLineNumbers w:val="0"/>
              <w:spacing w:before="0" w:beforeAutospacing="0" w:after="0" w:afterAutospacing="0"/>
              <w:ind w:left="0" w:right="0"/>
              <w:rPr>
                <w:rFonts w:hint="eastAsia" w:ascii="宋体" w:hAnsi="宋体" w:cs="宋体"/>
                <w:sz w:val="24"/>
              </w:rPr>
            </w:pPr>
            <w:r>
              <w:rPr>
                <w:rFonts w:hint="eastAsia" w:ascii="宋体" w:hAnsi="宋体" w:cs="宋体"/>
                <w:sz w:val="24"/>
              </w:rPr>
              <w:t>▲7.采购业务循环机器人。整体介绍了采购业务流程，梳理采购业务流程、提出改进需求分析、设计优化方案，依据优化后的流程，进行采购业务循环机器人的应用与开发。详细介绍了案例企业集团采购业务流程、体验供应商增加、采购订单增加、采购入库增加、采购发票生成业务流程，梳理采购业务流程问题、提出采购业务流程改进需求分析、设计采购业务流程RPA方案，并开发配置供应商维护机器人、采购订单录入机器人及三单匹配机器人等内容。</w:t>
            </w:r>
          </w:p>
        </w:tc>
      </w:tr>
    </w:tbl>
    <w:p w14:paraId="50CBDE0C">
      <w:pPr>
        <w:spacing w:line="460" w:lineRule="exact"/>
        <w:ind w:firstLine="482" w:firstLineChars="200"/>
        <w:rPr>
          <w:rFonts w:ascii="宋体" w:hAnsi="宋体" w:cs="宋体"/>
          <w:b/>
          <w:bCs/>
          <w:sz w:val="24"/>
          <w:szCs w:val="20"/>
        </w:rPr>
      </w:pPr>
      <w:r>
        <w:rPr>
          <w:rFonts w:hint="eastAsia" w:ascii="宋体" w:hAnsi="宋体" w:cs="宋体"/>
          <w:b/>
          <w:bCs/>
          <w:sz w:val="24"/>
          <w:szCs w:val="20"/>
        </w:rPr>
        <w:t>二、采购项目交付或者实施的时间和地点</w:t>
      </w:r>
    </w:p>
    <w:p w14:paraId="18B77953">
      <w:pPr>
        <w:widowControl/>
        <w:spacing w:line="460" w:lineRule="exact"/>
        <w:ind w:firstLine="480" w:firstLineChars="200"/>
        <w:rPr>
          <w:rFonts w:ascii="宋体" w:hAnsi="宋体" w:cs="宋体"/>
          <w:sz w:val="24"/>
          <w:szCs w:val="20"/>
        </w:rPr>
      </w:pPr>
      <w:r>
        <w:rPr>
          <w:rFonts w:hint="eastAsia" w:ascii="宋体" w:hAnsi="宋体" w:cs="宋体"/>
          <w:sz w:val="24"/>
          <w:szCs w:val="20"/>
        </w:rPr>
        <w:t>（一）交付时间：本项目要求在合同签订之日起</w:t>
      </w:r>
      <w:r>
        <w:rPr>
          <w:rFonts w:hint="eastAsia" w:ascii="宋体" w:hAnsi="宋体" w:cs="宋体"/>
          <w:sz w:val="24"/>
          <w:szCs w:val="20"/>
          <w:lang w:val="en-US" w:eastAsia="zh-CN"/>
        </w:rPr>
        <w:t>30</w:t>
      </w:r>
      <w:r>
        <w:rPr>
          <w:rFonts w:hint="eastAsia" w:ascii="宋体" w:hAnsi="宋体" w:cs="宋体"/>
          <w:sz w:val="24"/>
          <w:szCs w:val="20"/>
        </w:rPr>
        <w:t>个工作日内完成交付。</w:t>
      </w:r>
    </w:p>
    <w:p w14:paraId="5C67B1EC">
      <w:pPr>
        <w:widowControl/>
        <w:spacing w:line="460" w:lineRule="exact"/>
        <w:ind w:firstLine="480" w:firstLineChars="200"/>
        <w:rPr>
          <w:rFonts w:hint="default" w:ascii="宋体" w:hAnsi="宋体" w:eastAsia="宋体" w:cs="宋体"/>
          <w:sz w:val="24"/>
          <w:szCs w:val="20"/>
          <w:lang w:val="en-US" w:eastAsia="zh-CN"/>
        </w:rPr>
      </w:pPr>
      <w:r>
        <w:rPr>
          <w:rFonts w:hint="eastAsia" w:ascii="宋体" w:hAnsi="宋体" w:cs="宋体"/>
          <w:sz w:val="24"/>
          <w:szCs w:val="20"/>
        </w:rPr>
        <w:t>（二）交付地点：江苏商贸职业学院</w:t>
      </w:r>
      <w:r>
        <w:rPr>
          <w:rFonts w:hint="eastAsia" w:ascii="宋体" w:hAnsi="宋体" w:cs="宋体"/>
          <w:sz w:val="24"/>
          <w:szCs w:val="20"/>
          <w:lang w:val="en-US" w:eastAsia="zh-CN"/>
        </w:rPr>
        <w:t>指定地点</w:t>
      </w:r>
    </w:p>
    <w:p w14:paraId="1CC112B4">
      <w:pPr>
        <w:widowControl/>
        <w:spacing w:line="460" w:lineRule="exact"/>
        <w:ind w:firstLine="482" w:firstLineChars="200"/>
        <w:rPr>
          <w:rFonts w:ascii="宋体" w:hAnsi="宋体" w:cs="宋体"/>
          <w:b/>
          <w:sz w:val="24"/>
          <w:szCs w:val="20"/>
        </w:rPr>
      </w:pPr>
      <w:r>
        <w:rPr>
          <w:rFonts w:hint="eastAsia" w:ascii="宋体" w:hAnsi="宋体" w:cs="宋体"/>
          <w:b/>
          <w:bCs/>
          <w:kern w:val="0"/>
          <w:sz w:val="24"/>
          <w:szCs w:val="20"/>
          <w:lang w:val="en-US" w:eastAsia="zh-CN"/>
        </w:rPr>
        <w:t>三</w:t>
      </w:r>
      <w:r>
        <w:rPr>
          <w:rFonts w:hint="eastAsia" w:ascii="宋体" w:hAnsi="宋体" w:cs="宋体"/>
          <w:b/>
          <w:bCs/>
          <w:kern w:val="0"/>
          <w:sz w:val="24"/>
          <w:szCs w:val="20"/>
        </w:rPr>
        <w:t>、</w:t>
      </w:r>
      <w:r>
        <w:rPr>
          <w:rFonts w:hint="eastAsia" w:ascii="宋体" w:hAnsi="宋体" w:cs="宋体"/>
          <w:b/>
          <w:bCs/>
          <w:sz w:val="24"/>
          <w:szCs w:val="20"/>
        </w:rPr>
        <w:t>采</w:t>
      </w:r>
      <w:r>
        <w:rPr>
          <w:rFonts w:hint="eastAsia" w:ascii="宋体" w:hAnsi="宋体" w:cs="宋体"/>
          <w:b/>
          <w:sz w:val="24"/>
          <w:szCs w:val="20"/>
        </w:rPr>
        <w:t>购标的需满足的服务标准、期限、效率等要求</w:t>
      </w:r>
    </w:p>
    <w:p w14:paraId="3C047944">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1.服务期间内，提供的技术支持与服务主要包括：7*24小时热线电话支持、远程支持、现场服务、系统故障报告和预防、软件版本升级与增强、后期技术培训、技术咨询服务等。根据用户实际需求和使用过程中提出的问题进行相应需求的调整、修正与调试，公司可提供远程调试予以解决问题，远程调试解决不了的问题，由公司将派工程师在</w:t>
      </w:r>
      <w:r>
        <w:rPr>
          <w:rFonts w:hint="eastAsia" w:ascii="宋体" w:hAnsi="宋体" w:cs="宋体"/>
          <w:kern w:val="0"/>
          <w:sz w:val="24"/>
          <w:szCs w:val="20"/>
          <w:lang w:val="en-US" w:eastAsia="zh-CN"/>
        </w:rPr>
        <w:t>2</w:t>
      </w:r>
      <w:r>
        <w:rPr>
          <w:rFonts w:ascii="宋体" w:hAnsi="宋体" w:cs="宋体"/>
          <w:kern w:val="0"/>
          <w:sz w:val="24"/>
          <w:szCs w:val="20"/>
        </w:rPr>
        <w:t>4</w:t>
      </w:r>
      <w:r>
        <w:rPr>
          <w:rFonts w:hint="eastAsia" w:ascii="宋体" w:hAnsi="宋体" w:cs="宋体"/>
          <w:kern w:val="0"/>
          <w:sz w:val="24"/>
          <w:szCs w:val="20"/>
        </w:rPr>
        <w:t>小时内上门调试。</w:t>
      </w:r>
    </w:p>
    <w:p w14:paraId="61475413">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2.系统技术支持服务。在项目合同约定时间内，对本项目的软件产品进行</w:t>
      </w:r>
      <w:r>
        <w:rPr>
          <w:rFonts w:hint="eastAsia" w:ascii="宋体" w:hAnsi="宋体" w:cs="宋体"/>
          <w:kern w:val="0"/>
          <w:sz w:val="24"/>
          <w:szCs w:val="20"/>
          <w:lang w:val="en-US" w:eastAsia="zh-CN"/>
        </w:rPr>
        <w:t>同版本</w:t>
      </w:r>
      <w:r>
        <w:rPr>
          <w:rFonts w:hint="eastAsia" w:ascii="宋体" w:hAnsi="宋体" w:cs="宋体"/>
          <w:kern w:val="0"/>
          <w:sz w:val="24"/>
          <w:szCs w:val="20"/>
        </w:rPr>
        <w:t>免费的升级和维护保障，并提供远程升级维护服务。</w:t>
      </w:r>
    </w:p>
    <w:p w14:paraId="15C718A3">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3.技术培训要求：要求对不同的使用人员，不同管理性质的技术人员和使用人员进行统一培训或针对性培训，保证使用人员快速的掌握系统的完整使用。</w:t>
      </w:r>
    </w:p>
    <w:p w14:paraId="567C5FB3">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4.培训方式要求：学校指定培训地点进行现场培训，并且可以结合线上培训。</w:t>
      </w:r>
    </w:p>
    <w:p w14:paraId="15C83432">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5.培训内容要求：免费提供系统管理员的系统维护培训及必要的支撑技术培训。提供至少1次以上针财务机器人应用于开发</w:t>
      </w:r>
      <w:r>
        <w:rPr>
          <w:rFonts w:hint="eastAsia" w:ascii="宋体" w:hAnsi="宋体" w:cs="宋体"/>
          <w:sz w:val="24"/>
          <w:szCs w:val="20"/>
        </w:rPr>
        <w:t>项目</w:t>
      </w:r>
      <w:r>
        <w:rPr>
          <w:rFonts w:hint="eastAsia" w:ascii="宋体" w:hAnsi="宋体" w:cs="宋体"/>
          <w:kern w:val="0"/>
          <w:sz w:val="24"/>
          <w:szCs w:val="20"/>
        </w:rPr>
        <w:t>的使用操作培训，保证学校不同的使用人员能够完全掌握对平台和系统的全部运行、操作、维护和故障分析等工作。培训内容包括以下几个方面：</w:t>
      </w:r>
    </w:p>
    <w:p w14:paraId="7346659E">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（1）软件的安装和调试。</w:t>
      </w:r>
    </w:p>
    <w:p w14:paraId="6AA59A16">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（2）软件的操作和维护。</w:t>
      </w:r>
    </w:p>
    <w:p w14:paraId="1FF2549E">
      <w:pPr>
        <w:spacing w:line="460" w:lineRule="exact"/>
        <w:ind w:firstLine="480" w:firstLineChars="200"/>
        <w:rPr>
          <w:rFonts w:ascii="宋体" w:hAnsi="宋体" w:cs="宋体"/>
          <w:kern w:val="0"/>
          <w:sz w:val="24"/>
          <w:szCs w:val="20"/>
        </w:rPr>
      </w:pPr>
      <w:r>
        <w:rPr>
          <w:rFonts w:hint="eastAsia" w:ascii="宋体" w:hAnsi="宋体" w:cs="宋体"/>
          <w:kern w:val="0"/>
          <w:sz w:val="24"/>
          <w:szCs w:val="20"/>
        </w:rPr>
        <w:t>6.培训计划：中标方根据学校实际需求制定培训计划，并按学校要求安排人员到学校指定地点进行相关技术培训。</w:t>
      </w:r>
    </w:p>
    <w:p w14:paraId="5578DDC5">
      <w:pPr>
        <w:widowControl/>
        <w:spacing w:line="460" w:lineRule="exact"/>
        <w:ind w:firstLine="482" w:firstLineChars="200"/>
        <w:rPr>
          <w:rFonts w:ascii="宋体" w:hAnsi="宋体" w:cs="宋体"/>
          <w:b/>
          <w:sz w:val="24"/>
          <w:szCs w:val="20"/>
        </w:rPr>
      </w:pPr>
      <w:r>
        <w:rPr>
          <w:rFonts w:hint="eastAsia" w:ascii="宋体" w:hAnsi="宋体" w:cs="宋体"/>
          <w:b/>
          <w:bCs/>
          <w:sz w:val="24"/>
          <w:szCs w:val="20"/>
          <w:lang w:val="en-US" w:eastAsia="zh-CN"/>
        </w:rPr>
        <w:t>四</w:t>
      </w:r>
      <w:r>
        <w:rPr>
          <w:rFonts w:hint="eastAsia" w:ascii="宋体" w:hAnsi="宋体" w:cs="宋体"/>
          <w:b/>
          <w:bCs/>
          <w:sz w:val="24"/>
          <w:szCs w:val="20"/>
        </w:rPr>
        <w:t>、采购</w:t>
      </w:r>
      <w:r>
        <w:rPr>
          <w:rFonts w:hint="eastAsia" w:ascii="宋体" w:hAnsi="宋体" w:cs="宋体"/>
          <w:b/>
          <w:sz w:val="24"/>
          <w:szCs w:val="20"/>
        </w:rPr>
        <w:t>标的其他技术、服务等要求</w:t>
      </w:r>
    </w:p>
    <w:p w14:paraId="0C6D89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firstLine="480" w:firstLineChars="200"/>
        <w:rPr>
          <w:rFonts w:ascii="宋体" w:hAnsi="宋体" w:cs="宋体"/>
          <w:kern w:val="0"/>
          <w:sz w:val="24"/>
          <w:szCs w:val="20"/>
          <w:lang w:val="zh-CN"/>
        </w:rPr>
      </w:pPr>
      <w:r>
        <w:rPr>
          <w:rFonts w:hint="eastAsia" w:ascii="宋体" w:hAnsi="宋体" w:cs="宋体"/>
          <w:kern w:val="0"/>
          <w:sz w:val="24"/>
          <w:szCs w:val="20"/>
          <w:lang w:val="zh-CN"/>
        </w:rPr>
        <w:t>1.投标产品必须确保是稳定运行的最新版本，满足</w:t>
      </w:r>
      <w:r>
        <w:rPr>
          <w:rFonts w:hint="eastAsia" w:ascii="宋体" w:hAnsi="宋体" w:cs="宋体"/>
          <w:kern w:val="0"/>
          <w:sz w:val="24"/>
          <w:szCs w:val="20"/>
        </w:rPr>
        <w:t>用户</w:t>
      </w:r>
      <w:r>
        <w:rPr>
          <w:rFonts w:hint="eastAsia" w:ascii="宋体" w:hAnsi="宋体" w:cs="宋体"/>
          <w:kern w:val="0"/>
          <w:sz w:val="24"/>
          <w:szCs w:val="20"/>
          <w:lang w:val="zh-CN"/>
        </w:rPr>
        <w:t>使用需求，其他按有关规定执行(国际标准、国家标准、行业标准或企业标准)。</w:t>
      </w:r>
    </w:p>
    <w:p w14:paraId="054A12E1">
      <w:pPr>
        <w:spacing w:line="460" w:lineRule="exact"/>
        <w:ind w:firstLine="480" w:firstLineChars="200"/>
        <w:outlineLvl w:val="2"/>
        <w:rPr>
          <w:rFonts w:ascii="宋体" w:hAnsi="宋体" w:cs="宋体"/>
          <w:kern w:val="0"/>
          <w:sz w:val="24"/>
          <w:szCs w:val="20"/>
          <w:lang w:val="zh-CN"/>
        </w:rPr>
      </w:pPr>
      <w:r>
        <w:rPr>
          <w:rFonts w:hint="eastAsia" w:ascii="宋体" w:hAnsi="宋体" w:cs="宋体"/>
          <w:kern w:val="0"/>
          <w:sz w:val="24"/>
          <w:szCs w:val="20"/>
          <w:lang w:val="zh-CN"/>
        </w:rPr>
        <w:t>2.产品质保期：三年内</w:t>
      </w:r>
      <w:r>
        <w:rPr>
          <w:rFonts w:hint="eastAsia" w:ascii="宋体" w:hAnsi="宋体" w:cs="宋体"/>
          <w:kern w:val="0"/>
          <w:sz w:val="24"/>
          <w:szCs w:val="20"/>
        </w:rPr>
        <w:t>同版本</w:t>
      </w:r>
      <w:r>
        <w:rPr>
          <w:rFonts w:hint="eastAsia" w:ascii="宋体" w:hAnsi="宋体" w:cs="宋体"/>
          <w:kern w:val="0"/>
          <w:sz w:val="24"/>
          <w:szCs w:val="20"/>
          <w:lang w:val="zh-CN"/>
        </w:rPr>
        <w:t>免费更新升级。在质保期内，若有产品质量问题，由产品</w:t>
      </w:r>
      <w:r>
        <w:rPr>
          <w:rFonts w:hint="eastAsia" w:ascii="宋体" w:hAnsi="宋体" w:cs="宋体"/>
          <w:kern w:val="0"/>
          <w:sz w:val="24"/>
          <w:szCs w:val="20"/>
        </w:rPr>
        <w:t>中标方</w:t>
      </w:r>
      <w:r>
        <w:rPr>
          <w:rFonts w:hint="eastAsia" w:ascii="宋体" w:hAnsi="宋体" w:cs="宋体"/>
          <w:kern w:val="0"/>
          <w:sz w:val="24"/>
          <w:szCs w:val="20"/>
          <w:lang w:val="zh-CN"/>
        </w:rPr>
        <w:t>负责免费更换或维修。产品使用中，接到</w:t>
      </w:r>
      <w:r>
        <w:rPr>
          <w:rFonts w:hint="eastAsia" w:ascii="宋体" w:hAnsi="宋体" w:cs="宋体"/>
          <w:kern w:val="0"/>
          <w:sz w:val="24"/>
          <w:szCs w:val="20"/>
          <w:lang w:val="en-US" w:eastAsia="zh-CN"/>
        </w:rPr>
        <w:t>招标人</w:t>
      </w:r>
      <w:r>
        <w:rPr>
          <w:rFonts w:hint="eastAsia" w:ascii="宋体" w:hAnsi="宋体" w:cs="宋体"/>
          <w:kern w:val="0"/>
          <w:sz w:val="24"/>
          <w:szCs w:val="20"/>
          <w:lang w:val="zh-CN"/>
        </w:rPr>
        <w:t>维修电话通知后，在一小时内提供技术指导或远程维护。</w:t>
      </w:r>
      <w:r>
        <w:rPr>
          <w:rFonts w:hint="eastAsia" w:ascii="宋体" w:hAnsi="宋体" w:cs="宋体"/>
          <w:kern w:val="0"/>
          <w:sz w:val="24"/>
          <w:lang w:val="zh-CN"/>
        </w:rPr>
        <w:t>如需要在24小时（省外单位48小时）内派出技术人员到达用户现场进行相关服务，售后服务未能达到要求每次扣</w:t>
      </w:r>
      <w:r>
        <w:rPr>
          <w:rFonts w:hint="eastAsia" w:ascii="宋体" w:hAnsi="宋体" w:cs="宋体"/>
          <w:kern w:val="0"/>
          <w:sz w:val="24"/>
        </w:rPr>
        <w:t>履约保证金</w:t>
      </w:r>
      <w:r>
        <w:rPr>
          <w:rFonts w:hint="eastAsia" w:ascii="宋体" w:hAnsi="宋体" w:cs="宋体"/>
          <w:kern w:val="0"/>
          <w:sz w:val="24"/>
          <w:lang w:val="en-US" w:eastAsia="zh-CN"/>
        </w:rPr>
        <w:t>10</w:t>
      </w:r>
      <w:r>
        <w:rPr>
          <w:rFonts w:hint="eastAsia" w:ascii="宋体" w:hAnsi="宋体" w:cs="宋体"/>
          <w:kern w:val="0"/>
          <w:sz w:val="24"/>
          <w:lang w:val="zh-CN"/>
        </w:rPr>
        <w:t>%。</w:t>
      </w:r>
    </w:p>
    <w:p w14:paraId="02FA9E4E">
      <w:pPr>
        <w:spacing w:line="460" w:lineRule="exact"/>
        <w:ind w:firstLine="480" w:firstLineChars="200"/>
        <w:outlineLvl w:val="2"/>
        <w:rPr>
          <w:rFonts w:ascii="宋体" w:hAnsi="宋体" w:cs="宋体"/>
          <w:kern w:val="0"/>
          <w:sz w:val="24"/>
          <w:szCs w:val="20"/>
          <w:lang w:val="zh-CN"/>
        </w:rPr>
      </w:pPr>
      <w:r>
        <w:rPr>
          <w:rFonts w:hint="eastAsia" w:ascii="宋体" w:hAnsi="宋体" w:cs="宋体"/>
          <w:kern w:val="0"/>
          <w:sz w:val="24"/>
          <w:szCs w:val="20"/>
        </w:rPr>
        <w:t>3.</w:t>
      </w:r>
      <w:r>
        <w:rPr>
          <w:rFonts w:hint="eastAsia" w:ascii="宋体" w:hAnsi="宋体" w:cs="宋体"/>
          <w:kern w:val="0"/>
          <w:sz w:val="24"/>
          <w:szCs w:val="20"/>
          <w:lang w:val="zh-CN"/>
        </w:rPr>
        <w:t>投标文件中需要对所购软硬件的培训及质保期满后的维护收费和可能存在的升级费用进行阐述。</w:t>
      </w:r>
    </w:p>
    <w:p w14:paraId="740CCCC5">
      <w:pPr>
        <w:spacing w:line="460" w:lineRule="exact"/>
        <w:ind w:firstLine="480" w:firstLineChars="200"/>
        <w:outlineLvl w:val="2"/>
        <w:rPr>
          <w:rFonts w:ascii="宋体" w:hAnsi="宋体" w:cs="宋体"/>
          <w:kern w:val="0"/>
          <w:sz w:val="24"/>
          <w:szCs w:val="20"/>
          <w:lang w:val="zh-CN"/>
        </w:rPr>
      </w:pPr>
      <w:r>
        <w:rPr>
          <w:rFonts w:hint="eastAsia" w:ascii="宋体" w:hAnsi="宋体" w:cs="宋体"/>
          <w:kern w:val="0"/>
          <w:sz w:val="24"/>
          <w:szCs w:val="20"/>
        </w:rPr>
        <w:t>4.</w:t>
      </w:r>
      <w:r>
        <w:rPr>
          <w:rFonts w:hint="eastAsia" w:ascii="宋体" w:hAnsi="宋体" w:cs="宋体"/>
          <w:kern w:val="0"/>
          <w:sz w:val="24"/>
          <w:szCs w:val="20"/>
          <w:lang w:val="zh-CN"/>
        </w:rPr>
        <w:t>项目实施阶段安排专业技术人员现场实施，中标方对使用方免费进行使用培训至少</w:t>
      </w:r>
      <w:r>
        <w:rPr>
          <w:rFonts w:hint="eastAsia" w:ascii="宋体" w:hAnsi="宋体" w:cs="宋体"/>
          <w:kern w:val="0"/>
          <w:sz w:val="24"/>
          <w:szCs w:val="20"/>
        </w:rPr>
        <w:t>1</w:t>
      </w:r>
      <w:r>
        <w:rPr>
          <w:rFonts w:hint="eastAsia" w:ascii="宋体" w:hAnsi="宋体" w:cs="宋体"/>
          <w:kern w:val="0"/>
          <w:sz w:val="24"/>
          <w:szCs w:val="20"/>
          <w:lang w:val="zh-CN"/>
        </w:rPr>
        <w:t>次，项目建设过程中至少</w:t>
      </w:r>
      <w:r>
        <w:rPr>
          <w:rFonts w:hint="eastAsia" w:ascii="宋体" w:hAnsi="宋体" w:cs="宋体"/>
          <w:kern w:val="0"/>
          <w:sz w:val="24"/>
          <w:szCs w:val="20"/>
        </w:rPr>
        <w:t>1</w:t>
      </w:r>
      <w:r>
        <w:rPr>
          <w:rFonts w:hint="eastAsia" w:ascii="宋体" w:hAnsi="宋体" w:cs="宋体"/>
          <w:kern w:val="0"/>
          <w:sz w:val="24"/>
          <w:szCs w:val="20"/>
          <w:lang w:val="zh-CN"/>
        </w:rPr>
        <w:t>次。</w:t>
      </w:r>
    </w:p>
    <w:p w14:paraId="0C0665D6">
      <w:pPr>
        <w:spacing w:line="460" w:lineRule="exact"/>
        <w:ind w:firstLine="480" w:firstLineChars="200"/>
        <w:outlineLvl w:val="2"/>
        <w:rPr>
          <w:rFonts w:ascii="宋体" w:hAnsi="宋体" w:cs="宋体"/>
          <w:kern w:val="0"/>
          <w:sz w:val="24"/>
          <w:szCs w:val="20"/>
          <w:lang w:val="zh-CN"/>
        </w:rPr>
      </w:pPr>
      <w:r>
        <w:rPr>
          <w:rFonts w:hint="eastAsia" w:ascii="宋体" w:hAnsi="宋体" w:cs="宋体"/>
          <w:kern w:val="0"/>
          <w:sz w:val="24"/>
          <w:szCs w:val="20"/>
          <w:lang w:val="zh-CN"/>
        </w:rPr>
        <w:t>5.交货时间：合同签订之日起</w:t>
      </w:r>
      <w:r>
        <w:rPr>
          <w:rFonts w:hint="eastAsia" w:ascii="宋体" w:hAnsi="宋体" w:cs="宋体"/>
          <w:kern w:val="0"/>
          <w:sz w:val="24"/>
          <w:szCs w:val="20"/>
          <w:lang w:val="en-US" w:eastAsia="zh-CN"/>
        </w:rPr>
        <w:t>30</w:t>
      </w:r>
      <w:r>
        <w:rPr>
          <w:rFonts w:hint="eastAsia" w:ascii="宋体" w:hAnsi="宋体" w:cs="宋体"/>
          <w:kern w:val="0"/>
          <w:sz w:val="24"/>
          <w:szCs w:val="20"/>
        </w:rPr>
        <w:t>个工作日</w:t>
      </w:r>
      <w:r>
        <w:rPr>
          <w:rFonts w:hint="eastAsia" w:ascii="宋体" w:hAnsi="宋体" w:cs="宋体"/>
          <w:kern w:val="0"/>
          <w:sz w:val="24"/>
          <w:szCs w:val="20"/>
          <w:lang w:val="zh-CN"/>
        </w:rPr>
        <w:t>内完成</w:t>
      </w:r>
      <w:r>
        <w:rPr>
          <w:rFonts w:hint="eastAsia" w:ascii="宋体" w:hAnsi="宋体" w:cs="宋体"/>
          <w:kern w:val="0"/>
          <w:sz w:val="24"/>
          <w:szCs w:val="20"/>
        </w:rPr>
        <w:t>财务机器人应用</w:t>
      </w:r>
      <w:r>
        <w:rPr>
          <w:rFonts w:hint="eastAsia" w:ascii="宋体" w:hAnsi="宋体" w:cs="宋体"/>
          <w:kern w:val="0"/>
          <w:sz w:val="24"/>
          <w:szCs w:val="20"/>
          <w:lang w:val="en-US" w:eastAsia="zh-CN"/>
        </w:rPr>
        <w:t>与</w:t>
      </w:r>
      <w:r>
        <w:rPr>
          <w:rFonts w:hint="eastAsia" w:ascii="宋体" w:hAnsi="宋体" w:cs="宋体"/>
          <w:kern w:val="0"/>
          <w:sz w:val="24"/>
          <w:szCs w:val="20"/>
        </w:rPr>
        <w:t>开发</w:t>
      </w:r>
      <w:r>
        <w:rPr>
          <w:rFonts w:hint="eastAsia" w:ascii="宋体" w:hAnsi="宋体" w:cs="宋体"/>
          <w:sz w:val="24"/>
          <w:szCs w:val="20"/>
        </w:rPr>
        <w:t>项目</w:t>
      </w:r>
      <w:r>
        <w:rPr>
          <w:rFonts w:hint="eastAsia" w:ascii="宋体" w:hAnsi="宋体" w:cs="宋体"/>
          <w:kern w:val="0"/>
          <w:sz w:val="24"/>
          <w:szCs w:val="20"/>
        </w:rPr>
        <w:t>的建设</w:t>
      </w:r>
      <w:r>
        <w:rPr>
          <w:rFonts w:hint="eastAsia" w:ascii="宋体" w:hAnsi="宋体" w:cs="宋体"/>
          <w:kern w:val="0"/>
          <w:sz w:val="24"/>
          <w:szCs w:val="20"/>
          <w:lang w:val="zh-CN"/>
        </w:rPr>
        <w:t>工作，如不是因</w:t>
      </w:r>
      <w:r>
        <w:rPr>
          <w:rFonts w:hint="eastAsia" w:ascii="宋体" w:hAnsi="宋体" w:cs="宋体"/>
          <w:kern w:val="0"/>
          <w:sz w:val="24"/>
          <w:szCs w:val="20"/>
          <w:lang w:val="en-US" w:eastAsia="zh-CN"/>
        </w:rPr>
        <w:t>招标人</w:t>
      </w:r>
      <w:r>
        <w:rPr>
          <w:rFonts w:hint="eastAsia" w:ascii="宋体" w:hAnsi="宋体" w:cs="宋体"/>
          <w:kern w:val="0"/>
          <w:sz w:val="24"/>
          <w:szCs w:val="20"/>
          <w:lang w:val="zh-CN"/>
        </w:rPr>
        <w:t>的原因导致延期，每超过1天，中标单位应支付合同价0.5</w:t>
      </w:r>
      <w:r>
        <w:rPr>
          <w:rFonts w:hint="eastAsia" w:ascii="宋体" w:hAnsi="宋体" w:cs="宋体"/>
          <w:kern w:val="0"/>
          <w:sz w:val="24"/>
          <w:szCs w:val="20"/>
        </w:rPr>
        <w:t>%</w:t>
      </w:r>
      <w:r>
        <w:rPr>
          <w:rFonts w:hint="eastAsia" w:ascii="宋体" w:hAnsi="宋体" w:cs="宋体"/>
          <w:kern w:val="0"/>
          <w:sz w:val="24"/>
          <w:szCs w:val="20"/>
          <w:lang w:val="zh-CN"/>
        </w:rPr>
        <w:t>的违约金。</w:t>
      </w:r>
    </w:p>
    <w:p w14:paraId="63E6474F">
      <w:pPr>
        <w:widowControl/>
        <w:tabs>
          <w:tab w:val="left" w:pos="-720"/>
        </w:tabs>
        <w:spacing w:line="460" w:lineRule="atLeast"/>
        <w:ind w:firstLine="480" w:firstLineChars="200"/>
        <w:rPr>
          <w:rFonts w:ascii="宋体" w:hAnsi="宋体" w:cs="宋体"/>
          <w:kern w:val="0"/>
          <w:sz w:val="24"/>
          <w:szCs w:val="20"/>
          <w:lang w:val="zh-CN"/>
        </w:rPr>
      </w:pPr>
      <w:r>
        <w:rPr>
          <w:rFonts w:hint="eastAsia" w:ascii="宋体" w:hAnsi="宋体" w:cs="宋体"/>
          <w:kern w:val="0"/>
          <w:sz w:val="24"/>
          <w:szCs w:val="20"/>
          <w:lang w:val="zh-CN"/>
        </w:rPr>
        <w:t>6.验收：由使用方对</w:t>
      </w:r>
      <w:r>
        <w:rPr>
          <w:rFonts w:hint="eastAsia" w:ascii="宋体" w:hAnsi="宋体" w:cs="宋体"/>
          <w:kern w:val="0"/>
          <w:sz w:val="24"/>
          <w:szCs w:val="20"/>
          <w:lang w:eastAsia="zh-CN"/>
        </w:rPr>
        <w:t>财务机器人应用</w:t>
      </w:r>
      <w:r>
        <w:rPr>
          <w:rFonts w:hint="eastAsia" w:ascii="宋体" w:hAnsi="宋体" w:cs="宋体"/>
          <w:kern w:val="0"/>
          <w:sz w:val="24"/>
          <w:szCs w:val="20"/>
          <w:lang w:val="en-US" w:eastAsia="zh-CN"/>
        </w:rPr>
        <w:t>与</w:t>
      </w:r>
      <w:r>
        <w:rPr>
          <w:rFonts w:hint="eastAsia" w:ascii="宋体" w:hAnsi="宋体" w:cs="宋体"/>
          <w:kern w:val="0"/>
          <w:sz w:val="24"/>
          <w:szCs w:val="20"/>
          <w:lang w:eastAsia="zh-CN"/>
        </w:rPr>
        <w:t>开发</w:t>
      </w:r>
      <w:r>
        <w:rPr>
          <w:rFonts w:hint="eastAsia" w:ascii="宋体" w:hAnsi="宋体" w:cs="宋体"/>
          <w:sz w:val="24"/>
          <w:szCs w:val="20"/>
        </w:rPr>
        <w:t>项目</w:t>
      </w:r>
      <w:r>
        <w:rPr>
          <w:rFonts w:hint="eastAsia" w:ascii="宋体" w:hAnsi="宋体" w:cs="宋体"/>
          <w:kern w:val="0"/>
          <w:sz w:val="24"/>
          <w:szCs w:val="20"/>
        </w:rPr>
        <w:t>的建设工作</w:t>
      </w:r>
      <w:r>
        <w:rPr>
          <w:rFonts w:hint="eastAsia" w:ascii="宋体" w:hAnsi="宋体" w:cs="宋体"/>
          <w:kern w:val="0"/>
          <w:sz w:val="24"/>
          <w:szCs w:val="20"/>
          <w:lang w:val="zh-CN"/>
        </w:rPr>
        <w:t>进行验收，中标单位需配合使用方完成验收工作。</w:t>
      </w:r>
    </w:p>
    <w:p w14:paraId="39740120">
      <w:pPr>
        <w:widowControl/>
        <w:tabs>
          <w:tab w:val="left" w:pos="-720"/>
        </w:tabs>
        <w:spacing w:line="460" w:lineRule="atLeast"/>
        <w:ind w:firstLine="482" w:firstLineChars="200"/>
        <w:rPr>
          <w:rFonts w:ascii="宋体" w:hAnsi="宋体" w:cs="宋体"/>
          <w:b/>
          <w:sz w:val="24"/>
          <w:szCs w:val="20"/>
        </w:rPr>
      </w:pPr>
      <w:r>
        <w:rPr>
          <w:rFonts w:hint="eastAsia" w:ascii="宋体" w:hAnsi="宋体" w:cs="宋体"/>
          <w:b/>
          <w:sz w:val="24"/>
          <w:szCs w:val="20"/>
        </w:rPr>
        <w:t>六、付款方式</w:t>
      </w:r>
    </w:p>
    <w:p w14:paraId="6C95C5D3">
      <w:pPr>
        <w:widowControl/>
        <w:tabs>
          <w:tab w:val="left" w:pos="-720"/>
        </w:tabs>
        <w:spacing w:line="460" w:lineRule="atLeast"/>
        <w:ind w:firstLine="480" w:firstLineChars="200"/>
        <w:rPr>
          <w:rFonts w:ascii="宋体" w:hAnsi="宋体" w:cs="宋体"/>
          <w:b/>
          <w:sz w:val="24"/>
        </w:rPr>
      </w:pPr>
      <w:r>
        <w:rPr>
          <w:rFonts w:hint="eastAsia" w:ascii="宋体" w:hAnsi="宋体" w:cs="宋体"/>
          <w:kern w:val="0"/>
          <w:sz w:val="24"/>
          <w:szCs w:val="20"/>
        </w:rPr>
        <w:t>安装完毕并验收合格后，</w:t>
      </w:r>
      <w:r>
        <w:rPr>
          <w:rFonts w:hint="eastAsia" w:ascii="宋体" w:hAnsi="宋体" w:cs="宋体"/>
          <w:kern w:val="0"/>
          <w:sz w:val="24"/>
          <w:szCs w:val="20"/>
          <w:lang w:val="en-US" w:eastAsia="zh-CN"/>
        </w:rPr>
        <w:t>招标</w:t>
      </w:r>
      <w:r>
        <w:rPr>
          <w:rFonts w:hint="eastAsia" w:ascii="宋体" w:hAnsi="宋体" w:cs="宋体"/>
          <w:kern w:val="0"/>
          <w:sz w:val="24"/>
          <w:szCs w:val="20"/>
        </w:rPr>
        <w:t>人凭收到货物的验收凭证、验收合格文件等材料，且收到中标人提供发票15个工作日内，</w:t>
      </w:r>
      <w:r>
        <w:rPr>
          <w:rFonts w:hint="eastAsia" w:ascii="宋体" w:hAnsi="宋体" w:cs="宋体"/>
          <w:kern w:val="0"/>
          <w:sz w:val="24"/>
          <w:szCs w:val="20"/>
          <w:lang w:val="en-US" w:eastAsia="zh-CN"/>
        </w:rPr>
        <w:t>招标人</w:t>
      </w:r>
      <w:r>
        <w:rPr>
          <w:rFonts w:hint="eastAsia" w:ascii="宋体" w:hAnsi="宋体" w:cs="宋体"/>
          <w:kern w:val="0"/>
          <w:sz w:val="24"/>
          <w:szCs w:val="20"/>
        </w:rPr>
        <w:t>将支付合同总额95%，同时退还履约保证金（无息），质保期期满后无质量问题一次性支付剩余款项（合同总额5%）。</w:t>
      </w:r>
    </w:p>
    <w:p w14:paraId="16A4B174">
      <w:pPr>
        <w:spacing w:line="460" w:lineRule="exact"/>
        <w:ind w:firstLine="510" w:firstLineChars="200"/>
        <w:rPr>
          <w:rFonts w:ascii="宋体" w:hAnsi="宋体" w:cs="宋体"/>
          <w:b/>
          <w:bCs/>
          <w:spacing w:val="7"/>
          <w:sz w:val="24"/>
          <w:lang w:val="zh-CN"/>
        </w:rPr>
      </w:pPr>
      <w:r>
        <w:rPr>
          <w:rFonts w:hint="eastAsia" w:ascii="宋体" w:hAnsi="宋体" w:cs="宋体"/>
          <w:b/>
          <w:bCs/>
          <w:spacing w:val="7"/>
          <w:sz w:val="24"/>
          <w:lang w:val="zh-CN"/>
        </w:rPr>
        <w:t>七、履约保证金</w:t>
      </w:r>
    </w:p>
    <w:p w14:paraId="5540BF46">
      <w:pPr>
        <w:snapToGrid w:val="0"/>
        <w:spacing w:line="460" w:lineRule="exact"/>
        <w:ind w:firstLine="480" w:firstLineChars="200"/>
        <w:rPr>
          <w:rFonts w:ascii="宋体" w:hAnsi="宋体" w:cs="宋体"/>
          <w:kern w:val="0"/>
          <w:sz w:val="24"/>
        </w:rPr>
      </w:pPr>
      <w:r>
        <w:rPr>
          <w:rFonts w:hint="eastAsia" w:ascii="宋体" w:hAnsi="宋体" w:cs="宋体"/>
          <w:kern w:val="0"/>
          <w:sz w:val="24"/>
        </w:rPr>
        <w:t>1.本项目中标后的履约保证金为中标价的10%，中标</w:t>
      </w:r>
      <w:r>
        <w:rPr>
          <w:rFonts w:hint="eastAsia" w:ascii="宋体" w:hAnsi="宋体" w:cs="宋体"/>
          <w:kern w:val="0"/>
          <w:sz w:val="24"/>
          <w:lang w:val="en-US" w:eastAsia="zh-CN"/>
        </w:rPr>
        <w:t>人</w:t>
      </w:r>
      <w:r>
        <w:rPr>
          <w:rFonts w:hint="eastAsia" w:ascii="宋体" w:hAnsi="宋体" w:cs="宋体"/>
          <w:kern w:val="0"/>
          <w:sz w:val="24"/>
        </w:rPr>
        <w:t>的履约保证金须在中标通知书发出之日起至合同签订前汇入</w:t>
      </w:r>
      <w:r>
        <w:rPr>
          <w:rFonts w:hint="eastAsia" w:ascii="宋体" w:hAnsi="宋体" w:cs="宋体"/>
          <w:kern w:val="0"/>
          <w:sz w:val="24"/>
          <w:lang w:val="en-US" w:eastAsia="zh-CN"/>
        </w:rPr>
        <w:t>招标人</w:t>
      </w:r>
      <w:r>
        <w:rPr>
          <w:rFonts w:hint="eastAsia" w:ascii="宋体" w:hAnsi="宋体" w:cs="宋体"/>
          <w:kern w:val="0"/>
          <w:sz w:val="24"/>
        </w:rPr>
        <w:t>账户（应当以数字人民币、支票、汇票或者金融机构、担保机构出具的保函等非现金形式提交），中标供应商凭中标通知书与</w:t>
      </w:r>
      <w:r>
        <w:rPr>
          <w:rFonts w:hint="eastAsia" w:ascii="宋体" w:hAnsi="宋体" w:cs="宋体"/>
          <w:kern w:val="0"/>
          <w:sz w:val="24"/>
          <w:lang w:val="en-US" w:eastAsia="zh-CN"/>
        </w:rPr>
        <w:t>招标人</w:t>
      </w:r>
      <w:r>
        <w:rPr>
          <w:rFonts w:hint="eastAsia" w:ascii="宋体" w:hAnsi="宋体" w:cs="宋体"/>
          <w:kern w:val="0"/>
          <w:sz w:val="24"/>
        </w:rPr>
        <w:t>位签订合同。超期或未有协商，则视为自动放弃中标资格。</w:t>
      </w:r>
    </w:p>
    <w:p w14:paraId="04E12320">
      <w:pPr>
        <w:snapToGrid w:val="0"/>
        <w:spacing w:line="460" w:lineRule="exact"/>
        <w:ind w:firstLine="480" w:firstLineChars="200"/>
        <w:rPr>
          <w:rFonts w:ascii="宋体" w:hAnsi="宋体" w:cs="宋体"/>
          <w:kern w:val="0"/>
          <w:sz w:val="24"/>
        </w:rPr>
      </w:pPr>
      <w:r>
        <w:rPr>
          <w:rFonts w:hint="eastAsia" w:ascii="宋体" w:hAnsi="宋体" w:cs="宋体"/>
          <w:kern w:val="0"/>
          <w:sz w:val="24"/>
        </w:rPr>
        <w:t>2. 中标</w:t>
      </w:r>
      <w:r>
        <w:rPr>
          <w:rFonts w:hint="eastAsia" w:ascii="宋体" w:hAnsi="宋体" w:cs="宋体"/>
          <w:kern w:val="0"/>
          <w:sz w:val="24"/>
          <w:lang w:val="en-US" w:eastAsia="zh-CN"/>
        </w:rPr>
        <w:t>人</w:t>
      </w:r>
      <w:r>
        <w:rPr>
          <w:rFonts w:hint="eastAsia" w:ascii="宋体" w:hAnsi="宋体" w:cs="宋体"/>
          <w:kern w:val="0"/>
          <w:sz w:val="24"/>
        </w:rPr>
        <w:t>全部履约合同义务，经采购单位验收合格无质量、进度等问题的，</w:t>
      </w:r>
      <w:r>
        <w:rPr>
          <w:rFonts w:hint="eastAsia" w:ascii="宋体" w:hAnsi="宋体" w:cs="宋体"/>
          <w:kern w:val="0"/>
          <w:sz w:val="24"/>
          <w:lang w:val="en-US" w:eastAsia="zh-CN"/>
        </w:rPr>
        <w:t>招标人</w:t>
      </w:r>
      <w:r>
        <w:rPr>
          <w:rFonts w:hint="eastAsia" w:ascii="宋体" w:hAnsi="宋体" w:cs="宋体"/>
          <w:kern w:val="0"/>
          <w:sz w:val="24"/>
        </w:rPr>
        <w:t>在验收合格后一次性</w:t>
      </w:r>
      <w:r>
        <w:rPr>
          <w:rFonts w:hint="eastAsia" w:ascii="宋体" w:hAnsi="宋体" w:cs="宋体"/>
          <w:kern w:val="0"/>
          <w:sz w:val="24"/>
          <w:lang w:val="en-US" w:eastAsia="zh-CN"/>
        </w:rPr>
        <w:t>无息</w:t>
      </w:r>
      <w:r>
        <w:rPr>
          <w:rFonts w:hint="eastAsia" w:ascii="宋体" w:hAnsi="宋体" w:cs="宋体"/>
          <w:kern w:val="0"/>
          <w:sz w:val="24"/>
        </w:rPr>
        <w:t>退还履约保证金。</w:t>
      </w:r>
    </w:p>
    <w:p w14:paraId="0CC81F11">
      <w:pPr>
        <w:spacing w:line="460" w:lineRule="exact"/>
        <w:ind w:firstLine="480" w:firstLineChars="200"/>
        <w:outlineLvl w:val="2"/>
        <w:rPr>
          <w:rFonts w:ascii="宋体" w:hAnsi="宋体" w:cs="宋体"/>
          <w:kern w:val="0"/>
          <w:sz w:val="24"/>
        </w:rPr>
      </w:pPr>
      <w:r>
        <w:rPr>
          <w:rFonts w:hint="eastAsia" w:ascii="宋体" w:hAnsi="宋体" w:cs="宋体"/>
          <w:kern w:val="0"/>
          <w:sz w:val="24"/>
        </w:rPr>
        <w:t>3.发生以下情况的，履约保证金不予退还或部分退还：</w:t>
      </w:r>
    </w:p>
    <w:p w14:paraId="2F033E9C">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a.签订合同后，中标</w:t>
      </w:r>
      <w:r>
        <w:rPr>
          <w:rFonts w:hint="eastAsia" w:ascii="宋体" w:hAnsi="宋体" w:cs="宋体"/>
          <w:kern w:val="0"/>
          <w:sz w:val="24"/>
          <w:lang w:val="en-US" w:eastAsia="zh-CN"/>
        </w:rPr>
        <w:t>人</w:t>
      </w:r>
      <w:r>
        <w:rPr>
          <w:rFonts w:hint="eastAsia" w:ascii="宋体" w:hAnsi="宋体" w:cs="宋体"/>
          <w:kern w:val="0"/>
          <w:sz w:val="24"/>
        </w:rPr>
        <w:t>不履行合同义务的，</w:t>
      </w:r>
      <w:r>
        <w:rPr>
          <w:rFonts w:hint="eastAsia" w:ascii="宋体" w:hAnsi="宋体" w:cs="宋体"/>
          <w:kern w:val="0"/>
          <w:sz w:val="24"/>
          <w:lang w:val="en-US" w:eastAsia="zh-CN"/>
        </w:rPr>
        <w:t>招标人</w:t>
      </w:r>
      <w:r>
        <w:rPr>
          <w:rFonts w:hint="eastAsia" w:ascii="宋体" w:hAnsi="宋体" w:cs="宋体"/>
          <w:kern w:val="0"/>
          <w:sz w:val="24"/>
        </w:rPr>
        <w:t>有权全额扣除履约保证金，全额不予退还，同时</w:t>
      </w:r>
      <w:r>
        <w:rPr>
          <w:rFonts w:hint="eastAsia" w:ascii="宋体" w:hAnsi="宋体" w:cs="宋体"/>
          <w:kern w:val="0"/>
          <w:sz w:val="24"/>
          <w:lang w:val="en-US" w:eastAsia="zh-CN"/>
        </w:rPr>
        <w:t>招标人</w:t>
      </w:r>
      <w:r>
        <w:rPr>
          <w:rFonts w:hint="eastAsia" w:ascii="宋体" w:hAnsi="宋体" w:cs="宋体"/>
          <w:kern w:val="0"/>
          <w:sz w:val="24"/>
        </w:rPr>
        <w:t>亦有权终止合同，中标</w:t>
      </w:r>
      <w:r>
        <w:rPr>
          <w:rFonts w:hint="eastAsia" w:ascii="宋体" w:hAnsi="宋体" w:cs="宋体"/>
          <w:kern w:val="0"/>
          <w:sz w:val="24"/>
          <w:lang w:val="en-US" w:eastAsia="zh-CN"/>
        </w:rPr>
        <w:t>人</w:t>
      </w:r>
      <w:r>
        <w:rPr>
          <w:rFonts w:hint="eastAsia" w:ascii="宋体" w:hAnsi="宋体" w:cs="宋体"/>
          <w:kern w:val="0"/>
          <w:sz w:val="24"/>
        </w:rPr>
        <w:t>还须承担相应的法律赔偿责任。</w:t>
      </w:r>
    </w:p>
    <w:p w14:paraId="7CED2C3E">
      <w:pPr>
        <w:spacing w:line="460" w:lineRule="exact"/>
        <w:ind w:firstLine="480" w:firstLineChars="200"/>
        <w:outlineLvl w:val="2"/>
        <w:rPr>
          <w:rFonts w:hint="eastAsia" w:ascii="宋体" w:hAnsi="宋体" w:cs="宋体"/>
          <w:kern w:val="0"/>
          <w:sz w:val="24"/>
        </w:rPr>
      </w:pPr>
      <w:r>
        <w:rPr>
          <w:rFonts w:hint="eastAsia" w:ascii="宋体" w:hAnsi="宋体" w:cs="宋体"/>
          <w:kern w:val="0"/>
          <w:sz w:val="24"/>
        </w:rPr>
        <w:t>b. 中标</w:t>
      </w:r>
      <w:r>
        <w:rPr>
          <w:rFonts w:hint="eastAsia" w:ascii="宋体" w:hAnsi="宋体" w:cs="宋体"/>
          <w:kern w:val="0"/>
          <w:sz w:val="24"/>
          <w:lang w:val="en-US" w:eastAsia="zh-CN"/>
        </w:rPr>
        <w:t>人</w:t>
      </w:r>
      <w:r>
        <w:rPr>
          <w:rFonts w:hint="eastAsia" w:ascii="宋体" w:hAnsi="宋体" w:cs="宋体"/>
          <w:kern w:val="0"/>
          <w:sz w:val="24"/>
        </w:rPr>
        <w:t>在履约过程中发生违约行为，给</w:t>
      </w:r>
      <w:r>
        <w:rPr>
          <w:rFonts w:hint="eastAsia" w:ascii="宋体" w:hAnsi="宋体" w:cs="宋体"/>
          <w:kern w:val="0"/>
          <w:sz w:val="24"/>
          <w:lang w:val="en-US" w:eastAsia="zh-CN"/>
        </w:rPr>
        <w:t>招标人</w:t>
      </w:r>
      <w:r>
        <w:rPr>
          <w:rFonts w:hint="eastAsia" w:ascii="宋体" w:hAnsi="宋体" w:cs="宋体"/>
          <w:kern w:val="0"/>
          <w:sz w:val="24"/>
        </w:rPr>
        <w:t>造成损失的，</w:t>
      </w:r>
      <w:r>
        <w:rPr>
          <w:rFonts w:hint="eastAsia" w:ascii="宋体" w:hAnsi="宋体" w:cs="宋体"/>
          <w:kern w:val="0"/>
          <w:sz w:val="24"/>
          <w:lang w:val="en-US" w:eastAsia="zh-CN"/>
        </w:rPr>
        <w:t>招标人</w:t>
      </w:r>
      <w:r>
        <w:rPr>
          <w:rFonts w:hint="eastAsia" w:ascii="宋体" w:hAnsi="宋体" w:cs="宋体"/>
          <w:kern w:val="0"/>
          <w:sz w:val="24"/>
        </w:rPr>
        <w:t>有权在中标</w:t>
      </w:r>
      <w:r>
        <w:rPr>
          <w:rFonts w:hint="eastAsia" w:ascii="宋体" w:hAnsi="宋体" w:cs="宋体"/>
          <w:kern w:val="0"/>
          <w:sz w:val="24"/>
          <w:lang w:val="en-US" w:eastAsia="zh-CN"/>
        </w:rPr>
        <w:t>人</w:t>
      </w:r>
      <w:r>
        <w:rPr>
          <w:rFonts w:hint="eastAsia" w:ascii="宋体" w:hAnsi="宋体" w:cs="宋体"/>
          <w:kern w:val="0"/>
          <w:sz w:val="24"/>
        </w:rPr>
        <w:t>缴纳的履约保证金中予以扣款，以弥补</w:t>
      </w:r>
      <w:r>
        <w:rPr>
          <w:rFonts w:hint="eastAsia" w:ascii="宋体" w:hAnsi="宋体" w:cs="宋体"/>
          <w:kern w:val="0"/>
          <w:sz w:val="24"/>
          <w:lang w:val="en-US" w:eastAsia="zh-CN"/>
        </w:rPr>
        <w:t>招标人</w:t>
      </w:r>
      <w:r>
        <w:rPr>
          <w:rFonts w:hint="eastAsia" w:ascii="宋体" w:hAnsi="宋体" w:cs="宋体"/>
          <w:kern w:val="0"/>
          <w:sz w:val="24"/>
        </w:rPr>
        <w:t>经济损失，不足的部分中标</w:t>
      </w:r>
      <w:r>
        <w:rPr>
          <w:rFonts w:hint="eastAsia" w:ascii="宋体" w:hAnsi="宋体" w:cs="宋体"/>
          <w:kern w:val="0"/>
          <w:sz w:val="24"/>
          <w:lang w:val="en-US" w:eastAsia="zh-CN"/>
        </w:rPr>
        <w:t>人</w:t>
      </w:r>
      <w:r>
        <w:rPr>
          <w:rFonts w:hint="eastAsia" w:ascii="宋体" w:hAnsi="宋体" w:cs="宋体"/>
          <w:kern w:val="0"/>
          <w:sz w:val="24"/>
        </w:rPr>
        <w:t>另外补齐。</w:t>
      </w:r>
    </w:p>
    <w:p w14:paraId="16F97B02">
      <w:pPr>
        <w:numPr>
          <w:ilvl w:val="0"/>
          <w:numId w:val="0"/>
        </w:numPr>
        <w:tabs>
          <w:tab w:val="left" w:pos="360"/>
        </w:tabs>
        <w:spacing w:after="60" w:line="460" w:lineRule="exact"/>
        <w:ind w:firstLine="482" w:firstLineChars="200"/>
        <w:rPr>
          <w:rFonts w:hint="eastAsia" w:ascii="宋体" w:hAnsi="宋体" w:eastAsia="宋体" w:cs="Times New Roman"/>
          <w:b/>
          <w:bCs/>
          <w:kern w:val="2"/>
          <w:sz w:val="24"/>
          <w:szCs w:val="20"/>
          <w:lang w:val="en-US" w:eastAsia="zh-CN" w:bidi="ar-SA"/>
        </w:rPr>
      </w:pPr>
    </w:p>
    <w:p w14:paraId="0BC1FB64">
      <w:pPr>
        <w:rPr>
          <w:rFonts w:hint="eastAsia" w:ascii="宋体" w:hAnsi="宋体" w:eastAsia="宋体" w:cs="Times New Roman"/>
          <w:b/>
          <w:bCs/>
          <w:kern w:val="2"/>
          <w:sz w:val="24"/>
          <w:szCs w:val="20"/>
          <w:lang w:val="en-US" w:eastAsia="zh-CN" w:bidi="ar-SA"/>
        </w:rPr>
      </w:pPr>
      <w:r>
        <w:rPr>
          <w:rFonts w:hint="eastAsia" w:ascii="宋体" w:hAnsi="宋体" w:eastAsia="宋体" w:cs="Times New Roman"/>
          <w:b/>
          <w:bCs/>
          <w:kern w:val="2"/>
          <w:sz w:val="24"/>
          <w:szCs w:val="20"/>
          <w:lang w:val="en-US" w:eastAsia="zh-CN" w:bidi="ar-SA"/>
        </w:rPr>
        <w:br w:type="page"/>
      </w:r>
    </w:p>
    <w:p w14:paraId="2B1DCE37">
      <w:pPr>
        <w:rPr>
          <w:rFonts w:hint="eastAsia" w:ascii="宋体" w:hAnsi="宋体" w:cs="宋体"/>
          <w:bCs/>
          <w:color w:val="auto"/>
          <w:sz w:val="32"/>
          <w:szCs w:val="32"/>
          <w:highlight w:val="none"/>
        </w:rPr>
      </w:pPr>
    </w:p>
    <w:p w14:paraId="15D1AF0E">
      <w:pPr>
        <w:adjustRightInd w:val="0"/>
        <w:snapToGrid w:val="0"/>
        <w:spacing w:line="500" w:lineRule="exact"/>
        <w:jc w:val="center"/>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t>第四部分  开标和评标</w:t>
      </w:r>
    </w:p>
    <w:p w14:paraId="3ED9D890">
      <w:pPr>
        <w:pStyle w:val="78"/>
        <w:snapToGrid w:val="0"/>
        <w:spacing w:before="0" w:after="0" w:line="460" w:lineRule="exact"/>
        <w:ind w:left="0" w:right="0" w:firstLine="482" w:firstLineChars="200"/>
        <w:jc w:val="left"/>
        <w:rPr>
          <w:rFonts w:ascii="宋体" w:hAnsi="宋体" w:cs="宋体"/>
          <w:b/>
          <w:color w:val="auto"/>
          <w:kern w:val="2"/>
          <w:highlight w:val="none"/>
        </w:rPr>
      </w:pPr>
      <w:r>
        <w:rPr>
          <w:rFonts w:hint="eastAsia" w:ascii="宋体" w:hAnsi="宋体" w:cs="宋体"/>
          <w:b/>
          <w:color w:val="auto"/>
          <w:kern w:val="2"/>
          <w:highlight w:val="none"/>
        </w:rPr>
        <w:t>一、开标</w:t>
      </w:r>
    </w:p>
    <w:p w14:paraId="6D572ED6">
      <w:pPr>
        <w:tabs>
          <w:tab w:val="left" w:pos="3585"/>
        </w:tabs>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见面开标模式：投标人在指定地点参加开标会。</w:t>
      </w:r>
    </w:p>
    <w:p w14:paraId="432E80D1">
      <w:pPr>
        <w:pStyle w:val="78"/>
        <w:snapToGrid w:val="0"/>
        <w:spacing w:before="0" w:after="0" w:line="460" w:lineRule="exact"/>
        <w:ind w:left="0" w:right="0" w:firstLine="482" w:firstLineChars="200"/>
        <w:jc w:val="left"/>
        <w:rPr>
          <w:rFonts w:ascii="宋体" w:hAnsi="宋体" w:cs="宋体"/>
          <w:b/>
          <w:color w:val="auto"/>
          <w:kern w:val="2"/>
          <w:highlight w:val="none"/>
        </w:rPr>
      </w:pPr>
      <w:r>
        <w:rPr>
          <w:rFonts w:hint="eastAsia" w:ascii="宋体" w:hAnsi="宋体" w:cs="宋体"/>
          <w:b/>
          <w:color w:val="auto"/>
          <w:kern w:val="2"/>
          <w:highlight w:val="none"/>
        </w:rPr>
        <w:t>二、评标流程和评标标准</w:t>
      </w:r>
    </w:p>
    <w:p w14:paraId="78C2ED2F">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采用综合评分法。分资格审查、商务技术标、价格标、三部分评审，总分值为100分，加分和减分因素除外。</w:t>
      </w:r>
    </w:p>
    <w:p w14:paraId="07F6F396">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0C6BB3C4">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4AAFBEDA">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评委在认真审阅投标文件的基础上，根据各投标文件的响应程度独立评判，不得统一打分。</w:t>
      </w:r>
    </w:p>
    <w:p w14:paraId="231FE46B">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（一）招标人（代表）对投标人资格进行审查。</w:t>
      </w:r>
    </w:p>
    <w:p w14:paraId="5E695786">
      <w:pPr>
        <w:pStyle w:val="82"/>
        <w:adjustRightInd w:val="0"/>
        <w:snapToGrid w:val="0"/>
        <w:spacing w:line="460" w:lineRule="exact"/>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投标人资格不合格的，其投标文件判定为无效投标文件。</w:t>
      </w:r>
    </w:p>
    <w:p w14:paraId="7071EB8E">
      <w:pPr>
        <w:adjustRightInd w:val="0"/>
        <w:snapToGrid w:val="0"/>
        <w:spacing w:line="460" w:lineRule="exact"/>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（二）评标委员会对符合资格投标人的投标文件进行符合性审查。</w:t>
      </w:r>
    </w:p>
    <w:p w14:paraId="1A74DA1E">
      <w:pPr>
        <w:keepNext w:val="0"/>
        <w:keepLines/>
        <w:pageBreakBefore w:val="0"/>
        <w:widowControl w:val="0"/>
        <w:numPr>
          <w:ilvl w:val="0"/>
          <w:numId w:val="0"/>
        </w:numPr>
        <w:kinsoku/>
        <w:wordWrap/>
        <w:overflowPunct/>
        <w:topLinePunct w:val="0"/>
        <w:autoSpaceDE/>
        <w:autoSpaceDN/>
        <w:bidi w:val="0"/>
        <w:adjustRightInd w:val="0"/>
        <w:snapToGrid w:val="0"/>
        <w:spacing w:line="380" w:lineRule="exact"/>
        <w:ind w:firstLine="482" w:firstLineChars="200"/>
        <w:jc w:val="left"/>
        <w:textAlignment w:val="auto"/>
        <w:rPr>
          <w:rFonts w:hint="eastAsia" w:ascii="宋体" w:hAnsi="宋体" w:cs="宋体"/>
          <w:b/>
          <w:bCs/>
          <w:color w:val="auto"/>
          <w:sz w:val="24"/>
          <w:highlight w:val="none"/>
        </w:rPr>
      </w:pPr>
      <w:r>
        <w:rPr>
          <w:rFonts w:hint="eastAsia" w:ascii="宋体" w:hAnsi="宋体" w:eastAsia="宋体" w:cs="宋体"/>
          <w:b/>
          <w:bCs/>
          <w:color w:val="auto"/>
          <w:kern w:val="2"/>
          <w:sz w:val="24"/>
          <w:szCs w:val="24"/>
          <w:lang w:val="en-US" w:eastAsia="zh-CN" w:bidi="ar-SA"/>
        </w:rPr>
        <w:t>（三）</w:t>
      </w:r>
      <w:r>
        <w:rPr>
          <w:rFonts w:hint="eastAsia" w:ascii="宋体" w:hAnsi="宋体" w:cs="宋体"/>
          <w:b/>
          <w:color w:val="auto"/>
          <w:sz w:val="24"/>
          <w:highlight w:val="none"/>
          <w:lang w:val="zh-CN"/>
        </w:rPr>
        <w:t>商务技术分：</w:t>
      </w:r>
      <w:r>
        <w:rPr>
          <w:rFonts w:hint="eastAsia" w:ascii="宋体" w:hAnsi="宋体" w:cs="宋体"/>
          <w:b/>
          <w:bCs/>
          <w:color w:val="auto"/>
          <w:sz w:val="24"/>
          <w:highlight w:val="none"/>
        </w:rPr>
        <w:t>（70分）</w:t>
      </w:r>
    </w:p>
    <w:tbl>
      <w:tblPr>
        <w:tblStyle w:val="36"/>
        <w:tblpPr w:leftFromText="180" w:rightFromText="180" w:vertAnchor="text" w:horzAnchor="page" w:tblpX="945" w:tblpY="613"/>
        <w:tblOverlap w:val="never"/>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241"/>
        <w:gridCol w:w="7279"/>
        <w:gridCol w:w="954"/>
      </w:tblGrid>
      <w:tr w14:paraId="6C13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004" w:type="dxa"/>
            <w:vAlign w:val="center"/>
          </w:tcPr>
          <w:p w14:paraId="3BC0385A">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序号</w:t>
            </w:r>
          </w:p>
        </w:tc>
        <w:tc>
          <w:tcPr>
            <w:tcW w:w="1241" w:type="dxa"/>
            <w:vAlign w:val="center"/>
          </w:tcPr>
          <w:p w14:paraId="59B26A9A">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评分细目</w:t>
            </w:r>
          </w:p>
        </w:tc>
        <w:tc>
          <w:tcPr>
            <w:tcW w:w="7279" w:type="dxa"/>
            <w:vAlign w:val="center"/>
          </w:tcPr>
          <w:p w14:paraId="361D95C9">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评分标准</w:t>
            </w:r>
          </w:p>
        </w:tc>
        <w:tc>
          <w:tcPr>
            <w:tcW w:w="954" w:type="dxa"/>
            <w:vAlign w:val="center"/>
          </w:tcPr>
          <w:p w14:paraId="21866E5A">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分值</w:t>
            </w:r>
          </w:p>
        </w:tc>
      </w:tr>
      <w:tr w14:paraId="36F7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4" w:type="dxa"/>
            <w:vAlign w:val="center"/>
          </w:tcPr>
          <w:p w14:paraId="78DF263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1241" w:type="dxa"/>
            <w:vAlign w:val="center"/>
          </w:tcPr>
          <w:p w14:paraId="5BE08D54">
            <w:pPr>
              <w:keepNext w:val="0"/>
              <w:keepLines w:val="0"/>
              <w:suppressLineNumbers w:val="0"/>
              <w:spacing w:before="0" w:beforeAutospacing="0" w:after="0" w:afterAutospacing="0" w:line="400" w:lineRule="exact"/>
              <w:ind w:left="0" w:right="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类似业绩</w:t>
            </w:r>
          </w:p>
        </w:tc>
        <w:tc>
          <w:tcPr>
            <w:tcW w:w="7279" w:type="dxa"/>
            <w:vAlign w:val="center"/>
          </w:tcPr>
          <w:p w14:paraId="5A451C91">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kern w:val="0"/>
                <w:sz w:val="24"/>
              </w:rPr>
              <w:t>投标人</w:t>
            </w:r>
            <w:r>
              <w:rPr>
                <w:rFonts w:hint="eastAsia" w:ascii="宋体" w:hAnsi="宋体" w:cs="宋体"/>
                <w:strike w:val="0"/>
                <w:dstrike w:val="0"/>
                <w:color w:val="000000" w:themeColor="text1"/>
                <w14:textFill>
                  <w14:solidFill>
                    <w14:schemeClr w14:val="tx1"/>
                  </w14:solidFill>
                </w14:textFill>
              </w:rPr>
              <w:t>提供</w:t>
            </w:r>
            <w:r>
              <w:rPr>
                <w:rFonts w:hint="eastAsia" w:ascii="宋体" w:hAnsi="宋体" w:cs="宋体"/>
                <w:strike w:val="0"/>
                <w:dstrike w:val="0"/>
                <w:color w:val="000000" w:themeColor="text1"/>
                <w:lang w:val="en-US" w:eastAsia="zh-CN"/>
                <w14:textFill>
                  <w14:solidFill>
                    <w14:schemeClr w14:val="tx1"/>
                  </w14:solidFill>
                </w14:textFill>
              </w:rPr>
              <w:t>自2020年7月1日</w:t>
            </w:r>
            <w:r>
              <w:rPr>
                <w:rFonts w:hint="eastAsia" w:ascii="宋体" w:hAnsi="宋体"/>
                <w:sz w:val="24"/>
              </w:rPr>
              <w:t>（</w:t>
            </w:r>
            <w:r>
              <w:rPr>
                <w:rFonts w:hint="default" w:ascii="宋体" w:hAnsi="宋体"/>
                <w:sz w:val="24"/>
              </w:rPr>
              <w:t>以合同签订时间为准</w:t>
            </w:r>
            <w:r>
              <w:rPr>
                <w:rFonts w:hint="eastAsia" w:ascii="宋体" w:hAnsi="宋体"/>
                <w:sz w:val="24"/>
              </w:rPr>
              <w:t>）</w:t>
            </w:r>
            <w:r>
              <w:rPr>
                <w:rFonts w:hint="eastAsia" w:ascii="宋体" w:hAnsi="宋体" w:cs="宋体"/>
                <w:strike w:val="0"/>
                <w:dstrike w:val="0"/>
                <w:color w:val="000000" w:themeColor="text1"/>
                <w:lang w:val="en-US" w:eastAsia="zh-CN"/>
                <w14:textFill>
                  <w14:solidFill>
                    <w14:schemeClr w14:val="tx1"/>
                  </w14:solidFill>
                </w14:textFill>
              </w:rPr>
              <w:t>至今</w:t>
            </w:r>
            <w:r>
              <w:rPr>
                <w:rFonts w:hint="eastAsia" w:ascii="宋体" w:hAnsi="宋体" w:cs="宋体"/>
                <w:kern w:val="0"/>
                <w:sz w:val="24"/>
              </w:rPr>
              <w:t>已完成</w:t>
            </w:r>
            <w:r>
              <w:rPr>
                <w:rFonts w:hint="eastAsia" w:ascii="宋体" w:hAnsi="宋体" w:cs="宋体"/>
                <w:color w:val="000000" w:themeColor="text1"/>
                <w14:textFill>
                  <w14:solidFill>
                    <w14:schemeClr w14:val="tx1"/>
                  </w14:solidFill>
                </w14:textFill>
              </w:rPr>
              <w:t>同类产品项目合同</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14:textFill>
                  <w14:solidFill>
                    <w14:schemeClr w14:val="tx1"/>
                  </w14:solidFill>
                </w14:textFill>
              </w:rPr>
              <w:t>每提供成功</w:t>
            </w:r>
            <w:r>
              <w:rPr>
                <w:rFonts w:hint="eastAsia" w:ascii="宋体" w:hAnsi="宋体" w:cs="宋体"/>
                <w:color w:val="000000" w:themeColor="text1"/>
                <w:lang w:val="en-US" w:eastAsia="zh-CN"/>
                <w14:textFill>
                  <w14:solidFill>
                    <w14:schemeClr w14:val="tx1"/>
                  </w14:solidFill>
                </w14:textFill>
              </w:rPr>
              <w:t>产品项目</w:t>
            </w:r>
            <w:r>
              <w:rPr>
                <w:rFonts w:hint="eastAsia" w:ascii="宋体" w:hAnsi="宋体" w:cs="宋体"/>
                <w:color w:val="000000" w:themeColor="text1"/>
                <w14:textFill>
                  <w14:solidFill>
                    <w14:schemeClr w14:val="tx1"/>
                  </w14:solidFill>
                </w14:textFill>
              </w:rPr>
              <w:t>合同得1.5分，最高得6分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kern w:val="0"/>
                <w:sz w:val="24"/>
              </w:rPr>
              <w:t>未提供不得分</w:t>
            </w:r>
            <w:r>
              <w:rPr>
                <w:rFonts w:hint="eastAsia" w:ascii="宋体" w:hAnsi="宋体" w:cs="宋体"/>
                <w:kern w:val="0"/>
                <w:sz w:val="24"/>
                <w:lang w:eastAsia="zh-CN"/>
              </w:rPr>
              <w:t>。</w:t>
            </w:r>
            <w:r>
              <w:rPr>
                <w:rFonts w:hint="eastAsia" w:ascii="宋体" w:hAnsi="宋体" w:cs="宋体"/>
                <w:kern w:val="0"/>
                <w:sz w:val="24"/>
                <w:highlight w:val="none"/>
                <w:lang w:val="en-US" w:eastAsia="zh-CN"/>
              </w:rPr>
              <w:t>提供合同复印件加盖公章。</w:t>
            </w:r>
          </w:p>
        </w:tc>
        <w:tc>
          <w:tcPr>
            <w:tcW w:w="954" w:type="dxa"/>
            <w:vAlign w:val="center"/>
          </w:tcPr>
          <w:p w14:paraId="01B0A8F9">
            <w:pPr>
              <w:keepNext w:val="0"/>
              <w:keepLines w:val="0"/>
              <w:suppressLineNumbers w:val="0"/>
              <w:spacing w:before="0" w:beforeAutospacing="0" w:after="0" w:afterAutospacing="0" w:line="40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6分</w:t>
            </w:r>
          </w:p>
        </w:tc>
      </w:tr>
      <w:tr w14:paraId="06FF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265618F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241" w:type="dxa"/>
            <w:vAlign w:val="center"/>
          </w:tcPr>
          <w:p w14:paraId="264B651C">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商务资质</w:t>
            </w:r>
          </w:p>
          <w:p w14:paraId="3548C3D0">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p>
        </w:tc>
        <w:tc>
          <w:tcPr>
            <w:tcW w:w="7279" w:type="dxa"/>
            <w:vAlign w:val="center"/>
          </w:tcPr>
          <w:p w14:paraId="7D1CFC6B">
            <w:pPr>
              <w:keepNext w:val="0"/>
              <w:keepLines w:val="0"/>
              <w:suppressLineNumbers w:val="0"/>
              <w:spacing w:before="0" w:beforeAutospacing="0" w:after="0" w:afterAutospacing="0" w:line="400" w:lineRule="exact"/>
              <w:ind w:left="0" w:right="0"/>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1.</w:t>
            </w:r>
            <w:bookmarkStart w:id="104" w:name="OLE_LINK1"/>
            <w:r>
              <w:rPr>
                <w:rFonts w:hint="eastAsia" w:ascii="宋体" w:hAnsi="宋体" w:cs="宋体"/>
                <w:color w:val="000000" w:themeColor="text1"/>
                <w14:textFill>
                  <w14:solidFill>
                    <w14:schemeClr w14:val="tx1"/>
                  </w14:solidFill>
                </w14:textFill>
              </w:rPr>
              <w:t>所投软件生产厂商</w:t>
            </w:r>
            <w:bookmarkEnd w:id="104"/>
            <w:r>
              <w:rPr>
                <w:rFonts w:hint="eastAsia" w:ascii="宋体" w:hAnsi="宋体" w:cs="宋体"/>
                <w:color w:val="000000" w:themeColor="text1"/>
                <w14:textFill>
                  <w14:solidFill>
                    <w14:schemeClr w14:val="tx1"/>
                  </w14:solidFill>
                </w14:textFill>
              </w:rPr>
              <w:t>所投平台具有国家版权局颁发的软件《计算机</w:t>
            </w:r>
            <w:r>
              <w:rPr>
                <w:rFonts w:hint="eastAsia" w:ascii="宋体" w:hAnsi="宋体" w:cs="宋体"/>
                <w:color w:val="000000" w:themeColor="text1"/>
                <w:lang w:val="en-US" w:eastAsia="zh-CN"/>
                <w14:textFill>
                  <w14:solidFill>
                    <w14:schemeClr w14:val="tx1"/>
                  </w14:solidFill>
                </w14:textFill>
              </w:rPr>
              <w:t>软件</w:t>
            </w:r>
            <w:r>
              <w:rPr>
                <w:rFonts w:hint="eastAsia" w:ascii="宋体" w:hAnsi="宋体" w:cs="宋体"/>
                <w:color w:val="000000" w:themeColor="text1"/>
                <w14:textFill>
                  <w14:solidFill>
                    <w14:schemeClr w14:val="tx1"/>
                  </w14:solidFill>
                </w14:textFill>
              </w:rPr>
              <w:t>著作权登记证书》</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kern w:val="0"/>
                <w:sz w:val="24"/>
              </w:rPr>
              <w:t>提供复印件加盖公章</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zh-CN"/>
                <w14:textFill>
                  <w14:solidFill>
                    <w14:schemeClr w14:val="tx1"/>
                  </w14:solidFill>
                </w14:textFill>
              </w:rPr>
              <w:t>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val="zh-CN"/>
                <w14:textFill>
                  <w14:solidFill>
                    <w14:schemeClr w14:val="tx1"/>
                  </w14:solidFill>
                </w14:textFill>
              </w:rPr>
              <w:t>分。</w:t>
            </w:r>
          </w:p>
          <w:p w14:paraId="1A4EC502">
            <w:pPr>
              <w:keepNext w:val="0"/>
              <w:keepLines w:val="0"/>
              <w:suppressLineNumbers w:val="0"/>
              <w:spacing w:before="0" w:beforeAutospacing="0" w:after="0" w:afterAutospacing="0" w:line="400" w:lineRule="exact"/>
              <w:ind w:left="0" w:right="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所投软件生产厂商获得中华人民共和国公安部监制的信息安全等级保护备案证明，达到二级及以上系统资格的得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分</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sz w:val="24"/>
              </w:rPr>
              <w:t>没有不得分</w:t>
            </w:r>
            <w:r>
              <w:rPr>
                <w:rFonts w:hint="eastAsia" w:ascii="宋体" w:hAnsi="宋体" w:cs="宋体"/>
                <w:color w:val="000000" w:themeColor="text1"/>
                <w14:textFill>
                  <w14:solidFill>
                    <w14:schemeClr w14:val="tx1"/>
                  </w14:solidFill>
                </w14:textFill>
              </w:rPr>
              <w:t>。</w:t>
            </w:r>
          </w:p>
          <w:p w14:paraId="717007F8">
            <w:pPr>
              <w:keepNext w:val="0"/>
              <w:keepLines w:val="0"/>
              <w:suppressLineNumbers w:val="0"/>
              <w:spacing w:before="0" w:beforeAutospacing="0" w:after="0" w:afterAutospacing="0" w:line="400" w:lineRule="exact"/>
              <w:ind w:left="0" w:right="0"/>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所投软件生产厂商</w:t>
            </w:r>
            <w:r>
              <w:rPr>
                <w:rFonts w:hint="eastAsia" w:ascii="宋体" w:hAnsi="宋体" w:cs="宋体"/>
                <w:sz w:val="24"/>
              </w:rPr>
              <w:t>参与过教育部或省教育厅技能相关比赛赛项的得</w:t>
            </w:r>
            <w:r>
              <w:rPr>
                <w:rFonts w:hint="eastAsia" w:ascii="宋体" w:hAnsi="宋体" w:cs="宋体"/>
                <w:sz w:val="24"/>
                <w:lang w:val="en-US" w:eastAsia="zh-CN"/>
              </w:rPr>
              <w:t>3</w:t>
            </w:r>
            <w:r>
              <w:rPr>
                <w:rFonts w:hint="eastAsia" w:ascii="宋体" w:hAnsi="宋体" w:cs="宋体"/>
                <w:sz w:val="24"/>
              </w:rPr>
              <w:t>分，没有不得分。</w:t>
            </w:r>
          </w:p>
          <w:p w14:paraId="377BC723">
            <w:pPr>
              <w:keepNext w:val="0"/>
              <w:keepLines w:val="0"/>
              <w:suppressLineNumbers w:val="0"/>
              <w:spacing w:before="0" w:beforeAutospacing="0" w:after="0" w:afterAutospacing="0" w:line="400" w:lineRule="exact"/>
              <w:ind w:left="0" w:right="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所投软件生产厂商</w:t>
            </w:r>
            <w:r>
              <w:rPr>
                <w:rFonts w:hint="eastAsia" w:ascii="宋体" w:hAnsi="宋体" w:cs="宋体"/>
                <w:kern w:val="0"/>
                <w:sz w:val="24"/>
                <w:lang w:val="zh-CN"/>
              </w:rPr>
              <w:t>具备</w:t>
            </w:r>
            <w:r>
              <w:rPr>
                <w:rFonts w:hint="eastAsia" w:ascii="Segoe UI" w:hAnsi="Segoe UI" w:eastAsia="宋体" w:cs="Segoe UI"/>
                <w:i w:val="0"/>
                <w:iCs w:val="0"/>
                <w:caps w:val="0"/>
                <w:spacing w:val="0"/>
                <w:sz w:val="22"/>
                <w:szCs w:val="22"/>
                <w:lang w:val="en-US" w:eastAsia="zh-CN"/>
              </w:rPr>
              <w:t>开展</w:t>
            </w:r>
            <w:r>
              <w:rPr>
                <w:rFonts w:hint="eastAsia" w:ascii="宋体" w:hAnsi="宋体" w:cs="宋体"/>
                <w:kern w:val="0"/>
                <w:sz w:val="24"/>
                <w:lang w:val="zh-CN"/>
              </w:rPr>
              <w:t>与本次采购内容相关</w:t>
            </w:r>
            <w:r>
              <w:rPr>
                <w:rFonts w:hint="eastAsia" w:ascii="宋体" w:hAnsi="宋体" w:cs="宋体"/>
                <w:kern w:val="0"/>
                <w:sz w:val="24"/>
                <w:lang w:val="en-US" w:eastAsia="zh-CN"/>
              </w:rPr>
              <w:t>的</w:t>
            </w:r>
            <w:r>
              <w:rPr>
                <w:rFonts w:hint="eastAsia" w:ascii="宋体" w:hAnsi="宋体" w:cs="宋体"/>
                <w:kern w:val="0"/>
                <w:sz w:val="24"/>
                <w:lang w:val="zh-CN"/>
              </w:rPr>
              <w:t>培训能力，</w:t>
            </w:r>
            <w:r>
              <w:rPr>
                <w:rFonts w:hint="default" w:ascii="Segoe UI" w:hAnsi="Segoe UI" w:eastAsia="Segoe UI" w:cs="Segoe UI"/>
                <w:i w:val="0"/>
                <w:iCs w:val="0"/>
                <w:caps w:val="0"/>
                <w:spacing w:val="0"/>
                <w:sz w:val="22"/>
                <w:szCs w:val="22"/>
              </w:rPr>
              <w:t>提供培训方案</w:t>
            </w:r>
            <w:r>
              <w:rPr>
                <w:rFonts w:hint="eastAsia" w:ascii="Segoe UI" w:hAnsi="Segoe UI" w:eastAsia="宋体" w:cs="Segoe UI"/>
                <w:i w:val="0"/>
                <w:iCs w:val="0"/>
                <w:caps w:val="0"/>
                <w:spacing w:val="0"/>
                <w:sz w:val="22"/>
                <w:szCs w:val="22"/>
                <w:lang w:val="en-US" w:eastAsia="zh-CN"/>
              </w:rPr>
              <w:t>等</w:t>
            </w:r>
            <w:r>
              <w:rPr>
                <w:rFonts w:hint="eastAsia" w:ascii="宋体" w:hAnsi="宋体" w:cs="宋体"/>
                <w:color w:val="000000" w:themeColor="text1"/>
                <w14:textFill>
                  <w14:solidFill>
                    <w14:schemeClr w14:val="tx1"/>
                  </w14:solidFill>
                </w14:textFill>
              </w:rPr>
              <w:t>证明材料</w:t>
            </w:r>
            <w:r>
              <w:rPr>
                <w:rFonts w:hint="eastAsia" w:ascii="宋体" w:hAnsi="宋体" w:cs="宋体"/>
                <w:color w:val="000000" w:themeColor="text1"/>
                <w:lang w:val="en-US" w:eastAsia="zh-CN"/>
                <w14:textFill>
                  <w14:solidFill>
                    <w14:schemeClr w14:val="tx1"/>
                  </w14:solidFill>
                </w14:textFill>
              </w:rPr>
              <w:t>的</w:t>
            </w:r>
            <w:r>
              <w:rPr>
                <w:rFonts w:hint="eastAsia" w:ascii="宋体" w:hAnsi="宋体" w:cs="宋体"/>
                <w:color w:val="000000" w:themeColor="text1"/>
                <w14:textFill>
                  <w14:solidFill>
                    <w14:schemeClr w14:val="tx1"/>
                  </w14:solidFill>
                </w14:textFill>
              </w:rPr>
              <w:t>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分</w:t>
            </w:r>
            <w:r>
              <w:rPr>
                <w:rFonts w:hint="eastAsia" w:ascii="宋体" w:hAnsi="宋体" w:cs="宋体"/>
                <w:color w:val="000000" w:themeColor="text1"/>
                <w:lang w:eastAsia="zh-CN"/>
                <w14:textFill>
                  <w14:solidFill>
                    <w14:schemeClr w14:val="tx1"/>
                  </w14:solidFill>
                </w14:textFill>
              </w:rPr>
              <w:t>。</w:t>
            </w:r>
          </w:p>
          <w:p w14:paraId="6208AA6C">
            <w:pPr>
              <w:keepNext w:val="0"/>
              <w:keepLines w:val="0"/>
              <w:suppressLineNumbers w:val="0"/>
              <w:tabs>
                <w:tab w:val="left" w:pos="426"/>
              </w:tabs>
              <w:autoSpaceDE w:val="0"/>
              <w:autoSpaceDN w:val="0"/>
              <w:adjustRightInd w:val="0"/>
              <w:spacing w:before="0" w:beforeAutospacing="0" w:after="0" w:afterAutospacing="0" w:line="360" w:lineRule="exact"/>
              <w:ind w:left="0" w:right="0"/>
              <w:rPr>
                <w:rFonts w:hint="default" w:ascii="宋体" w:hAnsi="宋体" w:cs="宋体"/>
                <w:color w:val="FF0000"/>
                <w:kern w:val="0"/>
                <w:sz w:val="24"/>
              </w:rPr>
            </w:pP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所投软件生产厂商</w:t>
            </w:r>
            <w:r>
              <w:rPr>
                <w:rFonts w:hint="eastAsia" w:ascii="宋体" w:hAnsi="宋体" w:cs="宋体"/>
                <w:sz w:val="24"/>
              </w:rPr>
              <w:t>设有三年以上的直属售后服务机构（不可授权或外包）可得</w:t>
            </w:r>
            <w:r>
              <w:rPr>
                <w:rFonts w:hint="eastAsia" w:ascii="宋体" w:hAnsi="宋体" w:cs="宋体"/>
                <w:sz w:val="24"/>
                <w:lang w:val="en-US" w:eastAsia="zh-CN"/>
              </w:rPr>
              <w:t>3</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提供相关证明材料</w:t>
            </w:r>
            <w:r>
              <w:rPr>
                <w:rFonts w:hint="eastAsia" w:ascii="宋体" w:hAnsi="宋体" w:cs="宋体"/>
                <w:sz w:val="24"/>
                <w:lang w:eastAsia="zh-CN"/>
              </w:rPr>
              <w:t>）。</w:t>
            </w:r>
          </w:p>
        </w:tc>
        <w:tc>
          <w:tcPr>
            <w:tcW w:w="954" w:type="dxa"/>
            <w:vAlign w:val="center"/>
          </w:tcPr>
          <w:p w14:paraId="1C5F6492">
            <w:pPr>
              <w:keepNext w:val="0"/>
              <w:keepLines w:val="0"/>
              <w:suppressLineNumbers w:val="0"/>
              <w:spacing w:before="0" w:beforeAutospacing="0" w:after="0" w:afterAutospacing="0" w:line="400" w:lineRule="exact"/>
              <w:ind w:left="0" w:right="0"/>
              <w:jc w:val="center"/>
              <w:rPr>
                <w:rFonts w:hint="default"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r>
              <w:rPr>
                <w:rFonts w:hint="eastAsia" w:ascii="宋体" w:hAnsi="宋体" w:cs="宋体"/>
                <w:color w:val="000000"/>
                <w:kern w:val="0"/>
                <w:sz w:val="24"/>
              </w:rPr>
              <w:t>分</w:t>
            </w:r>
          </w:p>
        </w:tc>
      </w:tr>
      <w:tr w14:paraId="1772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6DF0530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1241" w:type="dxa"/>
            <w:vAlign w:val="center"/>
          </w:tcPr>
          <w:p w14:paraId="7C32C1B6">
            <w:pPr>
              <w:keepNext w:val="0"/>
              <w:keepLines w:val="0"/>
              <w:suppressLineNumbers w:val="0"/>
              <w:spacing w:before="0" w:beforeAutospacing="0" w:after="0" w:afterAutospacing="0" w:line="400" w:lineRule="exact"/>
              <w:ind w:left="0" w:leftChars="0" w:right="0" w:rightChars="0"/>
              <w:jc w:val="center"/>
              <w:rPr>
                <w:rFonts w:hint="default" w:ascii="宋体" w:hAnsi="宋体" w:cs="宋体"/>
                <w:color w:val="FF0000"/>
                <w:kern w:val="0"/>
                <w:sz w:val="24"/>
              </w:rPr>
            </w:pPr>
            <w:r>
              <w:rPr>
                <w:rFonts w:hint="eastAsia" w:ascii="宋体" w:hAnsi="宋体" w:eastAsia="宋体" w:cs="宋体"/>
                <w:sz w:val="24"/>
              </w:rPr>
              <w:t>技术条款响应程度</w:t>
            </w:r>
          </w:p>
        </w:tc>
        <w:tc>
          <w:tcPr>
            <w:tcW w:w="7279" w:type="dxa"/>
            <w:vAlign w:val="center"/>
          </w:tcPr>
          <w:p w14:paraId="57F5DCE2">
            <w:pPr>
              <w:keepNext w:val="0"/>
              <w:keepLines w:val="0"/>
              <w:suppressLineNumbers w:val="0"/>
              <w:spacing w:before="0" w:beforeAutospacing="0" w:after="0" w:afterAutospacing="0" w:line="400" w:lineRule="exact"/>
              <w:ind w:left="0" w:right="0"/>
              <w:rPr>
                <w:rFonts w:hint="default" w:eastAsia="新宋体"/>
                <w:lang w:val="en-US" w:eastAsia="zh-CN"/>
              </w:rPr>
            </w:pPr>
            <w:r>
              <w:rPr>
                <w:rFonts w:hint="eastAsia" w:ascii="宋体" w:hAnsi="宋体" w:cs="微软雅黑"/>
                <w:sz w:val="24"/>
              </w:rPr>
              <w:t>技术要求的符合性，即对提供标的的技术参数、配置、性能与招标文件的符合性进行评价</w:t>
            </w:r>
            <w:r>
              <w:rPr>
                <w:rFonts w:hint="eastAsia" w:ascii="宋体" w:hAnsi="宋体" w:cs="微软雅黑"/>
                <w:sz w:val="24"/>
                <w:lang w:eastAsia="zh-CN"/>
              </w:rPr>
              <w:t>，</w:t>
            </w:r>
            <w:r>
              <w:rPr>
                <w:rFonts w:hint="eastAsia" w:ascii="宋体" w:hAnsi="宋体" w:cs="宋体"/>
                <w:color w:val="000000" w:themeColor="text1"/>
                <w:highlight w:val="none"/>
                <w:lang w:val="en-US" w:eastAsia="zh-CN"/>
                <w14:textFill>
                  <w14:solidFill>
                    <w14:schemeClr w14:val="tx1"/>
                  </w14:solidFill>
                </w14:textFill>
              </w:rPr>
              <w:t>符合技术要求得20分</w:t>
            </w:r>
            <w:r>
              <w:rPr>
                <w:rFonts w:hint="eastAsia" w:ascii="宋体" w:hAnsi="宋体" w:cs="宋体"/>
                <w:color w:val="auto"/>
                <w:highlight w:val="none"/>
                <w:lang w:val="en-US" w:eastAsia="zh-CN"/>
              </w:rPr>
              <w:t>。</w:t>
            </w:r>
            <w:r>
              <w:rPr>
                <w:rFonts w:hint="eastAsia" w:ascii="Times New Roman" w:hAnsi="Times New Roman" w:eastAsia="宋体" w:cs="Times New Roman"/>
                <w:color w:val="auto"/>
                <w:kern w:val="2"/>
                <w:sz w:val="24"/>
                <w:szCs w:val="24"/>
                <w:highlight w:val="none"/>
                <w:lang w:val="zh-CN" w:eastAsia="zh-CN" w:bidi="ar-SA"/>
              </w:rPr>
              <w:t>带“★”标识项为</w:t>
            </w:r>
            <w:r>
              <w:rPr>
                <w:rFonts w:hint="eastAsia" w:eastAsia="宋体" w:cs="Times New Roman"/>
                <w:color w:val="auto"/>
                <w:kern w:val="2"/>
                <w:sz w:val="24"/>
                <w:szCs w:val="24"/>
                <w:highlight w:val="none"/>
                <w:lang w:val="en-US" w:eastAsia="zh-CN" w:bidi="ar-SA"/>
              </w:rPr>
              <w:t>重要</w:t>
            </w:r>
            <w:r>
              <w:rPr>
                <w:rFonts w:hint="eastAsia" w:ascii="Times New Roman" w:hAnsi="Times New Roman" w:eastAsia="宋体" w:cs="Times New Roman"/>
                <w:color w:val="auto"/>
                <w:kern w:val="2"/>
                <w:sz w:val="24"/>
                <w:szCs w:val="24"/>
                <w:highlight w:val="none"/>
                <w:lang w:val="zh-CN" w:eastAsia="zh-CN" w:bidi="ar-SA"/>
              </w:rPr>
              <w:t>技术要求，</w:t>
            </w:r>
            <w:r>
              <w:rPr>
                <w:rFonts w:hint="eastAsia" w:eastAsia="宋体" w:cs="Times New Roman"/>
                <w:color w:val="auto"/>
                <w:kern w:val="2"/>
                <w:sz w:val="24"/>
                <w:szCs w:val="24"/>
                <w:highlight w:val="none"/>
                <w:lang w:val="en-US" w:eastAsia="zh-CN" w:bidi="ar-SA"/>
              </w:rPr>
              <w:t>投标时需</w:t>
            </w:r>
            <w:r>
              <w:rPr>
                <w:rFonts w:hint="eastAsia" w:ascii="Times New Roman" w:hAnsi="Times New Roman" w:eastAsia="宋体" w:cs="Times New Roman"/>
                <w:color w:val="auto"/>
                <w:kern w:val="2"/>
                <w:sz w:val="24"/>
                <w:szCs w:val="24"/>
                <w:highlight w:val="none"/>
                <w:lang w:val="en-US" w:eastAsia="zh-CN" w:bidi="ar-SA"/>
              </w:rPr>
              <w:t>提供证明文件，未提供证明文件的</w:t>
            </w:r>
            <w:r>
              <w:rPr>
                <w:rFonts w:hint="eastAsia" w:ascii="Times New Roman" w:hAnsi="Times New Roman" w:eastAsia="宋体" w:cs="Times New Roman"/>
                <w:color w:val="auto"/>
                <w:kern w:val="2"/>
                <w:sz w:val="24"/>
                <w:szCs w:val="24"/>
                <w:highlight w:val="none"/>
                <w:lang w:val="zh-CN" w:eastAsia="zh-CN" w:bidi="ar-SA"/>
              </w:rPr>
              <w:t>每项扣2分</w:t>
            </w:r>
            <w:r>
              <w:rPr>
                <w:rFonts w:hint="eastAsia" w:eastAsia="宋体" w:cs="Times New Roman"/>
                <w:color w:val="auto"/>
                <w:kern w:val="2"/>
                <w:sz w:val="24"/>
                <w:szCs w:val="24"/>
                <w:highlight w:val="none"/>
                <w:lang w:val="zh-CN" w:eastAsia="zh-CN" w:bidi="ar-SA"/>
              </w:rPr>
              <w:t>；</w:t>
            </w:r>
            <w:r>
              <w:rPr>
                <w:rFonts w:hint="eastAsia" w:ascii="宋体" w:hAnsi="宋体" w:cs="宋体"/>
                <w:color w:val="auto"/>
                <w:kern w:val="0"/>
                <w:sz w:val="24"/>
                <w:highlight w:val="none"/>
              </w:rPr>
              <w:t>其他项为一般项，有一项不满足扣</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rPr>
              <w:t>分，扣完为止。</w:t>
            </w:r>
            <w:r>
              <w:rPr>
                <w:rFonts w:hint="eastAsia" w:ascii="宋体" w:hAnsi="宋体" w:cs="宋体"/>
                <w:b/>
                <w:color w:val="auto"/>
                <w:sz w:val="24"/>
                <w:highlight w:val="none"/>
              </w:rPr>
              <w:t>如有</w:t>
            </w:r>
            <w:r>
              <w:rPr>
                <w:rFonts w:hint="eastAsia" w:ascii="宋体" w:hAnsi="宋体" w:cs="宋体"/>
                <w:b/>
                <w:color w:val="auto"/>
                <w:sz w:val="24"/>
              </w:rPr>
              <w:t>提</w:t>
            </w:r>
            <w:r>
              <w:rPr>
                <w:rFonts w:hint="eastAsia" w:ascii="宋体" w:hAnsi="宋体" w:cs="宋体"/>
                <w:b/>
                <w:color w:val="000000"/>
                <w:sz w:val="24"/>
              </w:rPr>
              <w:t>供虚假技术参数的，一经发现作无效投标处理。</w:t>
            </w:r>
          </w:p>
        </w:tc>
        <w:tc>
          <w:tcPr>
            <w:tcW w:w="954" w:type="dxa"/>
            <w:vAlign w:val="center"/>
          </w:tcPr>
          <w:p w14:paraId="3A34C295">
            <w:pPr>
              <w:keepNext w:val="0"/>
              <w:keepLines w:val="0"/>
              <w:suppressLineNumbers w:val="0"/>
              <w:spacing w:before="0" w:beforeAutospacing="0" w:after="0" w:afterAutospacing="0" w:line="400" w:lineRule="exact"/>
              <w:ind w:left="0" w:leftChars="0" w:right="0" w:rightChars="0"/>
              <w:jc w:val="center"/>
              <w:rPr>
                <w:rFonts w:hint="default" w:ascii="宋体" w:hAnsi="宋体" w:cs="宋体"/>
                <w:color w:val="FF0000"/>
                <w:kern w:val="0"/>
                <w:sz w:val="24"/>
              </w:rPr>
            </w:pPr>
            <w:r>
              <w:rPr>
                <w:rFonts w:hint="eastAsia" w:ascii="宋体" w:hAnsi="宋体" w:cs="宋体"/>
                <w:kern w:val="0"/>
                <w:sz w:val="24"/>
                <w:lang w:val="en-US" w:eastAsia="zh-CN"/>
              </w:rPr>
              <w:t>2</w:t>
            </w:r>
            <w:r>
              <w:rPr>
                <w:rFonts w:hint="eastAsia" w:ascii="宋体" w:hAnsi="宋体" w:cs="宋体"/>
                <w:kern w:val="0"/>
                <w:sz w:val="24"/>
              </w:rPr>
              <w:t>0分</w:t>
            </w:r>
          </w:p>
        </w:tc>
      </w:tr>
      <w:tr w14:paraId="0A5E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004" w:type="dxa"/>
            <w:vAlign w:val="center"/>
          </w:tcPr>
          <w:p w14:paraId="4DAB3FE1">
            <w:pPr>
              <w:keepNext w:val="0"/>
              <w:keepLines w:val="0"/>
              <w:suppressLineNumbers w:val="0"/>
              <w:spacing w:before="0" w:beforeAutospacing="0" w:after="0" w:afterAutospacing="0" w:line="400" w:lineRule="exact"/>
              <w:ind w:left="0" w:leftChars="0" w:right="0" w:rightChars="0"/>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w:t>
            </w:r>
          </w:p>
        </w:tc>
        <w:tc>
          <w:tcPr>
            <w:tcW w:w="1241" w:type="dxa"/>
            <w:vAlign w:val="center"/>
          </w:tcPr>
          <w:p w14:paraId="0AE8AF0C">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sz w:val="24"/>
              </w:rPr>
            </w:pPr>
            <w:r>
              <w:rPr>
                <w:rFonts w:hint="eastAsia" w:ascii="宋体" w:hAnsi="宋体"/>
                <w:sz w:val="24"/>
              </w:rPr>
              <w:t>演示部分</w:t>
            </w:r>
            <w:r>
              <w:rPr>
                <w:rFonts w:hint="eastAsia" w:ascii="宋体" w:hAnsi="宋体"/>
                <w:sz w:val="24"/>
                <w:lang w:val="en-US" w:eastAsia="zh-CN"/>
              </w:rPr>
              <w:t>-财务机器人应用与开发平台</w:t>
            </w:r>
          </w:p>
        </w:tc>
        <w:tc>
          <w:tcPr>
            <w:tcW w:w="7279" w:type="dxa"/>
            <w:vAlign w:val="center"/>
          </w:tcPr>
          <w:p w14:paraId="52EB9C03">
            <w:pPr>
              <w:keepNext w:val="0"/>
              <w:keepLines w:val="0"/>
              <w:numPr>
                <w:ilvl w:val="0"/>
                <w:numId w:val="0"/>
              </w:numPr>
              <w:suppressLineNumbers w:val="0"/>
              <w:spacing w:before="0" w:beforeAutospacing="0" w:after="0" w:afterAutospacing="0" w:line="400" w:lineRule="exact"/>
              <w:ind w:left="0" w:right="0" w:rightChars="0"/>
              <w:rPr>
                <w:rFonts w:hint="eastAsia"/>
              </w:rPr>
            </w:pPr>
            <w:r>
              <w:rPr>
                <w:rFonts w:hint="eastAsia"/>
                <w:lang w:val="zh-CN"/>
              </w:rPr>
              <w:t>根据招标文件要求</w:t>
            </w:r>
            <w:r>
              <w:rPr>
                <w:rFonts w:hint="eastAsia"/>
                <w:lang w:val="en-US" w:eastAsia="zh-CN"/>
              </w:rPr>
              <w:t>带</w:t>
            </w:r>
            <w:r>
              <w:rPr>
                <w:rFonts w:hint="eastAsia"/>
                <w:lang w:val="zh-CN"/>
              </w:rPr>
              <w:t>“▲”标识项为关键性技术要求，需现场</w:t>
            </w:r>
            <w:r>
              <w:rPr>
                <w:rFonts w:hint="eastAsia"/>
                <w:lang w:val="en-US" w:eastAsia="zh-CN"/>
              </w:rPr>
              <w:t>进行</w:t>
            </w:r>
            <w:r>
              <w:rPr>
                <w:rFonts w:hint="eastAsia"/>
                <w:lang w:val="zh-CN"/>
              </w:rPr>
              <w:t>演示。现场只提供电源，演示设备由供应商自备，如因演示设备原因无法演示的，责任由投标人自行承担。</w:t>
            </w:r>
            <w:r>
              <w:rPr>
                <w:rFonts w:hint="eastAsia"/>
                <w:lang w:val="en-US" w:eastAsia="zh-CN"/>
              </w:rPr>
              <w:t>以下内容</w:t>
            </w:r>
            <w:r>
              <w:rPr>
                <w:rFonts w:hint="eastAsia"/>
              </w:rPr>
              <w:t>每满足一项得2分，最高20分；仅采用PPT或者视频</w:t>
            </w:r>
            <w:r>
              <w:rPr>
                <w:rFonts w:hint="eastAsia"/>
                <w:lang w:val="en-US" w:eastAsia="zh-CN"/>
              </w:rPr>
              <w:t>展示</w:t>
            </w:r>
            <w:r>
              <w:rPr>
                <w:rFonts w:hint="eastAsia"/>
              </w:rPr>
              <w:t>的，每满足一项得0.5分，最高10分。无演示不得分。</w:t>
            </w:r>
          </w:p>
          <w:p w14:paraId="7E866CDE">
            <w:pPr>
              <w:keepNext w:val="0"/>
              <w:keepLines w:val="0"/>
              <w:numPr>
                <w:ilvl w:val="0"/>
                <w:numId w:val="0"/>
              </w:numPr>
              <w:suppressLineNumbers w:val="0"/>
              <w:spacing w:before="0" w:beforeAutospacing="0" w:after="0" w:afterAutospacing="0" w:line="400" w:lineRule="exact"/>
              <w:ind w:left="0" w:right="0" w:rightChars="0"/>
              <w:rPr>
                <w:rFonts w:hint="eastAsia"/>
                <w:lang w:val="en-US" w:eastAsia="zh-CN"/>
              </w:rPr>
            </w:pPr>
            <w:r>
              <w:rPr>
                <w:rFonts w:hint="eastAsia"/>
                <w:lang w:val="en-US" w:eastAsia="zh-CN"/>
              </w:rPr>
              <w:t>1.</w:t>
            </w:r>
            <w:r>
              <w:rPr>
                <w:rFonts w:hint="eastAsia"/>
                <w:lang w:val="zh-CN"/>
              </w:rPr>
              <w:t>支持教师个性化教学。可在教学班内编辑课程，包含但不限于编辑课程基本信息（如编辑课程名称、课程标签、课程概述等）、编辑项目信息（项目简介、项目任务添加删除与修改、项目顺序调整等）、添加删除项目（理论项目、实战项目等）等，其中，可添加或修改的项目任务不少于6类不同类型的任务。支持</w:t>
            </w:r>
            <w:r>
              <w:rPr>
                <w:rFonts w:hint="eastAsia"/>
                <w:lang w:val="en-US" w:eastAsia="zh-CN"/>
              </w:rPr>
              <w:t>多种</w:t>
            </w:r>
            <w:r>
              <w:rPr>
                <w:rFonts w:hint="eastAsia"/>
                <w:lang w:val="zh-CN"/>
              </w:rPr>
              <w:t>教学模式。支持推送任务后收回推送。</w:t>
            </w:r>
          </w:p>
          <w:p w14:paraId="34ACAA35">
            <w:pPr>
              <w:keepNext w:val="0"/>
              <w:keepLines w:val="0"/>
              <w:suppressLineNumbers w:val="0"/>
              <w:spacing w:before="0" w:beforeAutospacing="0" w:after="0" w:afterAutospacing="0" w:line="400" w:lineRule="exact"/>
              <w:ind w:left="0" w:right="0"/>
              <w:rPr>
                <w:rFonts w:hint="default"/>
                <w:lang w:val="en-US"/>
              </w:rPr>
            </w:pPr>
            <w:r>
              <w:rPr>
                <w:rFonts w:hint="eastAsia"/>
                <w:lang w:val="en-US" w:eastAsia="zh-CN"/>
              </w:rPr>
              <w:t>2.平台中提供的课件不少于</w:t>
            </w:r>
            <w:r>
              <w:rPr>
                <w:rFonts w:hint="eastAsia"/>
                <w:lang w:val="zh-CN"/>
              </w:rPr>
              <w:t>5</w:t>
            </w:r>
            <w:r>
              <w:rPr>
                <w:rFonts w:hint="eastAsia"/>
                <w:lang w:val="en-US" w:eastAsia="zh-CN"/>
              </w:rPr>
              <w:t>0</w:t>
            </w:r>
            <w:r>
              <w:rPr>
                <w:rFonts w:hint="eastAsia"/>
                <w:lang w:val="zh-CN"/>
              </w:rPr>
              <w:t>个，测验题</w:t>
            </w:r>
            <w:r>
              <w:rPr>
                <w:rFonts w:hint="eastAsia"/>
                <w:lang w:val="en-US" w:eastAsia="zh-CN"/>
              </w:rPr>
              <w:t>不少于70</w:t>
            </w:r>
            <w:r>
              <w:rPr>
                <w:rFonts w:hint="eastAsia"/>
                <w:lang w:val="zh-CN"/>
              </w:rPr>
              <w:t>道，视频</w:t>
            </w:r>
            <w:r>
              <w:rPr>
                <w:rFonts w:hint="eastAsia"/>
                <w:lang w:val="en-US" w:eastAsia="zh-CN"/>
              </w:rPr>
              <w:t>不少于</w:t>
            </w:r>
            <w:r>
              <w:rPr>
                <w:rFonts w:hint="eastAsia"/>
                <w:lang w:val="zh-CN"/>
              </w:rPr>
              <w:t>4</w:t>
            </w:r>
            <w:r>
              <w:rPr>
                <w:rFonts w:hint="eastAsia"/>
                <w:lang w:val="en-US" w:eastAsia="zh-CN"/>
              </w:rPr>
              <w:t>0</w:t>
            </w:r>
            <w:r>
              <w:rPr>
                <w:rFonts w:hint="eastAsia"/>
                <w:lang w:val="zh-CN"/>
              </w:rPr>
              <w:t>个，实训任务</w:t>
            </w:r>
            <w:r>
              <w:rPr>
                <w:rFonts w:hint="eastAsia"/>
                <w:lang w:val="en-US" w:eastAsia="zh-CN"/>
              </w:rPr>
              <w:t>不少于60</w:t>
            </w:r>
            <w:r>
              <w:rPr>
                <w:rFonts w:hint="eastAsia"/>
                <w:lang w:val="zh-CN"/>
              </w:rPr>
              <w:t>个，操作资料</w:t>
            </w:r>
            <w:r>
              <w:rPr>
                <w:rFonts w:hint="eastAsia"/>
                <w:lang w:val="en-US" w:eastAsia="zh-CN"/>
              </w:rPr>
              <w:t>不少于40</w:t>
            </w:r>
            <w:r>
              <w:rPr>
                <w:rFonts w:hint="eastAsia"/>
                <w:lang w:val="zh-CN"/>
              </w:rPr>
              <w:t>个，</w:t>
            </w:r>
            <w:r>
              <w:rPr>
                <w:rFonts w:hint="eastAsia"/>
                <w:lang w:val="en-US" w:eastAsia="zh-CN"/>
              </w:rPr>
              <w:t>期末测验试卷至少</w:t>
            </w:r>
            <w:r>
              <w:rPr>
                <w:rFonts w:hint="eastAsia"/>
                <w:lang w:val="zh-CN"/>
              </w:rPr>
              <w:t>1套，作业任务</w:t>
            </w:r>
            <w:r>
              <w:rPr>
                <w:rFonts w:hint="eastAsia"/>
                <w:lang w:val="en-US" w:eastAsia="zh-CN"/>
              </w:rPr>
              <w:t>不少于</w:t>
            </w:r>
            <w:r>
              <w:rPr>
                <w:rFonts w:hint="eastAsia"/>
                <w:lang w:val="zh-CN"/>
              </w:rPr>
              <w:t>3</w:t>
            </w:r>
            <w:r>
              <w:rPr>
                <w:rFonts w:hint="eastAsia"/>
                <w:lang w:val="en-US" w:eastAsia="zh-CN"/>
              </w:rPr>
              <w:t>0</w:t>
            </w:r>
            <w:r>
              <w:rPr>
                <w:rFonts w:hint="eastAsia"/>
                <w:lang w:val="zh-CN"/>
              </w:rPr>
              <w:t>个，RPA脚本</w:t>
            </w:r>
            <w:r>
              <w:rPr>
                <w:rFonts w:hint="eastAsia"/>
                <w:lang w:val="en-US" w:eastAsia="zh-CN"/>
              </w:rPr>
              <w:t>不少于</w:t>
            </w:r>
            <w:r>
              <w:rPr>
                <w:rFonts w:hint="eastAsia"/>
                <w:lang w:val="zh-CN"/>
              </w:rPr>
              <w:t>1</w:t>
            </w:r>
            <w:r>
              <w:rPr>
                <w:rFonts w:hint="eastAsia"/>
                <w:lang w:val="en-US" w:eastAsia="zh-CN"/>
              </w:rPr>
              <w:t>5</w:t>
            </w:r>
            <w:r>
              <w:rPr>
                <w:rFonts w:hint="eastAsia"/>
                <w:lang w:val="zh-CN"/>
              </w:rPr>
              <w:t>个</w:t>
            </w:r>
            <w:r>
              <w:rPr>
                <w:rFonts w:hint="eastAsia"/>
                <w:lang w:val="zh-CN" w:eastAsia="zh-CN"/>
              </w:rPr>
              <w:t>。</w:t>
            </w:r>
          </w:p>
          <w:p w14:paraId="169E216B">
            <w:pPr>
              <w:keepNext w:val="0"/>
              <w:keepLines w:val="0"/>
              <w:suppressLineNumbers w:val="0"/>
              <w:spacing w:before="0" w:beforeAutospacing="0" w:after="0" w:afterAutospacing="0" w:line="400" w:lineRule="exact"/>
              <w:ind w:left="0" w:right="0"/>
              <w:rPr>
                <w:rFonts w:hint="eastAsia"/>
                <w:lang w:val="zh-CN" w:eastAsia="zh-CN"/>
              </w:rPr>
            </w:pPr>
            <w:r>
              <w:rPr>
                <w:rFonts w:hint="eastAsia"/>
                <w:lang w:val="en-US" w:eastAsia="zh-CN"/>
              </w:rPr>
              <w:t>3.微课（视频）内置知识点测验题目，</w:t>
            </w:r>
            <w:r>
              <w:rPr>
                <w:rFonts w:hint="eastAsia"/>
                <w:lang w:val="zh-CN"/>
              </w:rPr>
              <w:t>教师可在视频中分批次添加多道测验题，便于教师检验学生学习认真和掌握程度</w:t>
            </w:r>
            <w:r>
              <w:rPr>
                <w:rFonts w:hint="eastAsia"/>
                <w:lang w:val="zh-CN" w:eastAsia="zh-CN"/>
              </w:rPr>
              <w:t>。</w:t>
            </w:r>
          </w:p>
          <w:p w14:paraId="35E78054">
            <w:pPr>
              <w:keepNext w:val="0"/>
              <w:keepLines w:val="0"/>
              <w:suppressLineNumbers w:val="0"/>
              <w:spacing w:before="0" w:beforeAutospacing="0" w:after="0" w:afterAutospacing="0" w:line="400" w:lineRule="exact"/>
              <w:ind w:left="0" w:right="0"/>
              <w:rPr>
                <w:rFonts w:hint="default"/>
                <w:lang w:val="en-US" w:eastAsia="zh-CN"/>
              </w:rPr>
            </w:pPr>
            <w:r>
              <w:rPr>
                <w:rFonts w:hint="eastAsia"/>
                <w:lang w:val="en-US" w:eastAsia="zh-CN"/>
              </w:rPr>
              <w:t>4.</w:t>
            </w:r>
            <w:r>
              <w:rPr>
                <w:rFonts w:hint="eastAsia" w:ascii="宋体" w:hAnsi="宋体" w:cs="宋体"/>
                <w:color w:val="auto"/>
                <w:sz w:val="24"/>
                <w:highlight w:val="none"/>
                <w:lang w:eastAsia="zh-CN"/>
              </w:rPr>
              <w:t>支持通过可视化的方式查看班级课程学习分析。支持教学班综合情况分析：包含但不限于学习概况、教学成果、学生掌握度进度分布、学习时长和学习进度排行等。其中掌握度进度分布需使用散点图表示，方便教师查看分布高频区域。</w:t>
            </w:r>
            <w:r>
              <w:rPr>
                <w:rFonts w:hint="eastAsia" w:ascii="宋体" w:hAnsi="宋体" w:cs="宋体"/>
                <w:sz w:val="24"/>
              </w:rPr>
              <w:t>支持班级图谱平均掌握度详情查看：支持单独查看课程某个章节下所包含的知识点、能力项以及每一项的全班的平均掌握情况。</w:t>
            </w:r>
          </w:p>
          <w:p w14:paraId="3C553946">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5.</w:t>
            </w:r>
            <w:r>
              <w:rPr>
                <w:rFonts w:hint="eastAsia" w:ascii="宋体" w:hAnsi="宋体" w:cs="宋体"/>
                <w:sz w:val="24"/>
              </w:rPr>
              <w:t>教学互动</w:t>
            </w:r>
            <w:r>
              <w:rPr>
                <w:rFonts w:hint="eastAsia" w:ascii="宋体" w:hAnsi="宋体" w:cs="宋体"/>
                <w:sz w:val="24"/>
                <w:lang w:eastAsia="zh-CN"/>
              </w:rPr>
              <w:t>。</w:t>
            </w:r>
            <w:r>
              <w:rPr>
                <w:rFonts w:hint="eastAsia" w:ascii="宋体" w:hAnsi="宋体" w:cs="宋体"/>
                <w:sz w:val="24"/>
              </w:rPr>
              <w:t>支持</w:t>
            </w:r>
            <w:r>
              <w:rPr>
                <w:rFonts w:hint="eastAsia" w:ascii="宋体" w:hAnsi="宋体" w:cs="宋体"/>
                <w:sz w:val="24"/>
                <w:lang w:val="en-US" w:eastAsia="zh-CN"/>
              </w:rPr>
              <w:t>教师通过各种方式与学生进行课上的互动，可以</w:t>
            </w:r>
            <w:r>
              <w:rPr>
                <w:rFonts w:hint="eastAsia" w:ascii="宋体" w:hAnsi="宋体" w:cs="宋体"/>
                <w:sz w:val="24"/>
              </w:rPr>
              <w:t>随时</w:t>
            </w:r>
            <w:r>
              <w:rPr>
                <w:rFonts w:hint="eastAsia" w:ascii="宋体" w:hAnsi="宋体" w:cs="宋体"/>
                <w:sz w:val="24"/>
                <w:lang w:val="en-US" w:eastAsia="zh-CN"/>
              </w:rPr>
              <w:t>看到学生的学习进度。</w:t>
            </w:r>
            <w:r>
              <w:rPr>
                <w:rFonts w:hint="eastAsia" w:ascii="宋体" w:hAnsi="宋体" w:cs="宋体"/>
                <w:color w:val="auto"/>
                <w:sz w:val="24"/>
                <w:highlight w:val="none"/>
                <w:lang w:eastAsia="zh-CN"/>
              </w:rPr>
              <w:t>支持通过可视化的方式查看学生的课程学习情况。</w:t>
            </w:r>
          </w:p>
          <w:p w14:paraId="691E94A4">
            <w:pPr>
              <w:keepNext w:val="0"/>
              <w:keepLines w:val="0"/>
              <w:suppressLineNumbers w:val="0"/>
              <w:spacing w:before="0" w:beforeAutospacing="0" w:after="0" w:afterAutospacing="0" w:line="400" w:lineRule="exact"/>
              <w:ind w:left="0" w:right="0"/>
              <w:rPr>
                <w:rFonts w:hint="eastAsia"/>
                <w:lang w:val="zh-CN"/>
              </w:rPr>
            </w:pPr>
            <w:r>
              <w:rPr>
                <w:rFonts w:hint="eastAsia"/>
                <w:lang w:val="en-US" w:eastAsia="zh-CN"/>
              </w:rPr>
              <w:t>6</w:t>
            </w:r>
            <w:r>
              <w:rPr>
                <w:rFonts w:hint="eastAsia"/>
                <w:lang w:val="zh-CN"/>
              </w:rPr>
              <w:t>.仿真税务云平台</w:t>
            </w:r>
            <w:r>
              <w:rPr>
                <w:rFonts w:hint="eastAsia"/>
                <w:lang w:val="zh-CN" w:eastAsia="zh-CN"/>
              </w:rPr>
              <w:t>。</w:t>
            </w:r>
            <w:r>
              <w:rPr>
                <w:rFonts w:hint="eastAsia"/>
                <w:lang w:val="zh-CN"/>
              </w:rPr>
              <w:t>支持仿真税务云服务，可以虚拟仿真增值税专用发票、普通发票和电子普通发票的开票、受票、验真，进行增值税、</w:t>
            </w:r>
            <w:r>
              <w:rPr>
                <w:rFonts w:hint="eastAsia"/>
              </w:rPr>
              <w:t>附加税费</w:t>
            </w:r>
            <w:r>
              <w:rPr>
                <w:rFonts w:hint="eastAsia"/>
                <w:lang w:eastAsia="zh-CN"/>
              </w:rPr>
              <w:t>、</w:t>
            </w:r>
            <w:r>
              <w:rPr>
                <w:rFonts w:hint="eastAsia"/>
                <w:lang w:val="en-US" w:eastAsia="zh-CN"/>
              </w:rPr>
              <w:t>所得税</w:t>
            </w:r>
            <w:r>
              <w:rPr>
                <w:rFonts w:hint="eastAsia"/>
              </w:rPr>
              <w:t>的纳税申报</w:t>
            </w:r>
            <w:r>
              <w:rPr>
                <w:rFonts w:hint="eastAsia"/>
                <w:lang w:val="zh-CN"/>
              </w:rPr>
              <w:t>等。支持对已保存的增值税申报表、附加税费申报表进行申报，完成一键报税。</w:t>
            </w:r>
          </w:p>
          <w:p w14:paraId="0FD664D0">
            <w:pPr>
              <w:keepNext w:val="0"/>
              <w:keepLines w:val="0"/>
              <w:suppressLineNumbers w:val="0"/>
              <w:spacing w:before="0" w:beforeAutospacing="0" w:after="0" w:afterAutospacing="0" w:line="400" w:lineRule="exact"/>
              <w:ind w:left="0" w:right="0"/>
              <w:rPr>
                <w:rFonts w:hint="eastAsia"/>
                <w:lang w:val="zh-CN"/>
              </w:rPr>
            </w:pPr>
            <w:r>
              <w:rPr>
                <w:rFonts w:hint="eastAsia"/>
                <w:lang w:val="en-US" w:eastAsia="zh-CN"/>
              </w:rPr>
              <w:t>7.</w:t>
            </w:r>
            <w:r>
              <w:rPr>
                <w:rFonts w:hint="eastAsia"/>
                <w:lang w:val="zh-CN"/>
              </w:rPr>
              <w:t>仿真仓储管理系统。仿真企业独立部署仓储管理系统，能够在系统中新增、修改、导出入库单、库存需求平衡表等数据。</w:t>
            </w:r>
          </w:p>
          <w:p w14:paraId="0FED684A">
            <w:pPr>
              <w:keepNext w:val="0"/>
              <w:keepLines w:val="0"/>
              <w:suppressLineNumbers w:val="0"/>
              <w:spacing w:before="0" w:beforeAutospacing="0" w:after="0" w:afterAutospacing="0" w:line="400" w:lineRule="exact"/>
              <w:ind w:left="0" w:right="0"/>
              <w:rPr>
                <w:rFonts w:hint="eastAsia"/>
                <w:lang w:val="zh-CN"/>
              </w:rPr>
            </w:pPr>
            <w:r>
              <w:rPr>
                <w:rFonts w:hint="eastAsia"/>
                <w:lang w:val="en-US" w:eastAsia="zh-CN"/>
              </w:rPr>
              <w:t>8</w:t>
            </w:r>
            <w:r>
              <w:rPr>
                <w:rFonts w:hint="eastAsia"/>
                <w:lang w:val="zh-CN"/>
              </w:rPr>
              <w:t>.仿真支付结算平台。仿真</w:t>
            </w:r>
            <w:r>
              <w:rPr>
                <w:rFonts w:hint="eastAsia"/>
                <w:lang w:val="en-US" w:eastAsia="zh-CN"/>
              </w:rPr>
              <w:t>支付</w:t>
            </w:r>
            <w:r>
              <w:rPr>
                <w:rFonts w:hint="eastAsia"/>
                <w:lang w:val="zh-CN"/>
              </w:rPr>
              <w:t>结算平台数据与仿真电子商务平台中的订单数据匹配，可通过不同查询条件筛选出不同的结果数据，支持订单结算数据查询与下载；</w:t>
            </w:r>
            <w:r>
              <w:rPr>
                <w:rFonts w:hint="eastAsia"/>
              </w:rPr>
              <w:t>仿真企业ERP银企直连，进行网银转账结算操作</w:t>
            </w:r>
            <w:r>
              <w:rPr>
                <w:rFonts w:hint="eastAsia"/>
                <w:lang w:eastAsia="zh-CN"/>
              </w:rPr>
              <w:t>。</w:t>
            </w:r>
          </w:p>
          <w:p w14:paraId="08A07D64">
            <w:pPr>
              <w:keepNext w:val="0"/>
              <w:keepLines w:val="0"/>
              <w:suppressLineNumbers w:val="0"/>
              <w:spacing w:before="0" w:beforeAutospacing="0" w:after="0" w:afterAutospacing="0" w:line="400" w:lineRule="exact"/>
              <w:ind w:left="0" w:right="0"/>
              <w:rPr>
                <w:rFonts w:hint="eastAsia"/>
                <w:lang w:val="zh-CN"/>
              </w:rPr>
            </w:pPr>
            <w:r>
              <w:rPr>
                <w:rFonts w:hint="eastAsia"/>
                <w:lang w:val="en-US" w:eastAsia="zh-CN"/>
              </w:rPr>
              <w:t>9</w:t>
            </w:r>
            <w:r>
              <w:rPr>
                <w:rFonts w:hint="eastAsia"/>
                <w:lang w:val="zh-CN"/>
              </w:rPr>
              <w:t>.RPA</w:t>
            </w:r>
            <w:r>
              <w:rPr>
                <w:rFonts w:hint="eastAsia"/>
                <w:lang w:val="en-US" w:eastAsia="zh-CN"/>
              </w:rPr>
              <w:t>平台。可</w:t>
            </w:r>
            <w:r>
              <w:rPr>
                <w:rFonts w:hint="eastAsia"/>
                <w:lang w:val="zh-CN"/>
              </w:rPr>
              <w:t>通过RPA开发能实现对各种应用的自动化，可以在无需改造原有系统的基础上，依据设定的程序完成特定的工作任务，替代繁琐和重复的事务性工作。RPA</w:t>
            </w:r>
            <w:r>
              <w:rPr>
                <w:rFonts w:hint="eastAsia"/>
                <w:lang w:val="en-US" w:eastAsia="zh-CN"/>
              </w:rPr>
              <w:t>设计器</w:t>
            </w:r>
            <w:r>
              <w:rPr>
                <w:rFonts w:hint="eastAsia"/>
                <w:lang w:val="zh-CN"/>
              </w:rPr>
              <w:t>内置</w:t>
            </w:r>
            <w:r>
              <w:rPr>
                <w:rFonts w:hint="eastAsia"/>
                <w:lang w:val="en-US" w:eastAsia="zh-CN"/>
              </w:rPr>
              <w:t>多种</w:t>
            </w:r>
            <w:r>
              <w:rPr>
                <w:rFonts w:hint="eastAsia"/>
                <w:lang w:val="zh-CN"/>
              </w:rPr>
              <w:t>插件，300个以上命令，拥有流程设计、数据操作、图像识别、用户交互、文件操作、Office读写、网络服务、浏览器操作、</w:t>
            </w:r>
            <w:r>
              <w:rPr>
                <w:rFonts w:hint="eastAsia"/>
                <w:lang w:val="en-US" w:eastAsia="zh-CN"/>
              </w:rPr>
              <w:t>财务核算平台</w:t>
            </w:r>
            <w:r>
              <w:rPr>
                <w:rFonts w:hint="eastAsia"/>
                <w:lang w:val="zh-CN"/>
              </w:rPr>
              <w:t>类操作等插件命令；</w:t>
            </w:r>
            <w:r>
              <w:rPr>
                <w:rFonts w:hint="eastAsia"/>
              </w:rPr>
              <w:t>支持但不仅限于Windows录制、Chrome录制、Java录制操作的流程录制功能。支持各种</w:t>
            </w:r>
            <w:r>
              <w:rPr>
                <w:rFonts w:hint="eastAsia"/>
                <w:lang w:val="zh-CN"/>
              </w:rPr>
              <w:t>命令组合，便捷高效地设计机器人流程模板。</w:t>
            </w:r>
          </w:p>
          <w:p w14:paraId="78FEC352">
            <w:pPr>
              <w:keepNext w:val="0"/>
              <w:keepLines w:val="0"/>
              <w:suppressLineNumbers w:val="0"/>
              <w:spacing w:before="0" w:beforeAutospacing="0" w:after="0" w:afterAutospacing="0" w:line="400" w:lineRule="exact"/>
              <w:ind w:left="0" w:right="0"/>
              <w:rPr>
                <w:rFonts w:hint="eastAsia" w:ascii="宋体" w:hAnsi="宋体" w:cs="宋体"/>
                <w:color w:val="000000" w:themeColor="text1"/>
                <w:lang w:val="en-US" w:eastAsia="zh-CN"/>
                <w14:textFill>
                  <w14:solidFill>
                    <w14:schemeClr w14:val="tx1"/>
                  </w14:solidFill>
                </w14:textFill>
              </w:rPr>
            </w:pPr>
            <w:r>
              <w:rPr>
                <w:rFonts w:hint="eastAsia"/>
                <w:lang w:val="en-US" w:eastAsia="zh-CN"/>
              </w:rPr>
              <w:t>10</w:t>
            </w:r>
            <w:r>
              <w:rPr>
                <w:rFonts w:hint="eastAsia" w:ascii="宋体" w:hAnsi="宋体" w:cs="宋体"/>
                <w:color w:val="000000" w:themeColor="text1"/>
                <w:highlight w:val="none"/>
                <w:lang w:val="en-US" w:eastAsia="zh-CN"/>
                <w14:textFill>
                  <w14:solidFill>
                    <w14:schemeClr w14:val="tx1"/>
                  </w14:solidFill>
                </w14:textFill>
              </w:rPr>
              <w:t>.采购业务循环机器人。整体介绍了采购业务流程，梳理采购业务流程、提出改进需求分析、设计优化方案，依据优化后的流程，进行采购业务循环机器人的应用与开发。详细介绍了案例企业集团采购业务流程、体验供应商增加、采购订单增加、采购入库增加、采购发票生成业务流程，梳理采购业务流程问题、提出采购业务流程改进需求分析、设计采购业务流程RPA方案，并开发配置供应商维护机器人、采购订单录入机器人及三单匹配机器人等内容。</w:t>
            </w:r>
          </w:p>
        </w:tc>
        <w:tc>
          <w:tcPr>
            <w:tcW w:w="954" w:type="dxa"/>
            <w:vAlign w:val="center"/>
          </w:tcPr>
          <w:p w14:paraId="2290067F">
            <w:pPr>
              <w:keepNext w:val="0"/>
              <w:keepLines w:val="0"/>
              <w:suppressLineNumbers w:val="0"/>
              <w:spacing w:before="0" w:beforeAutospacing="0" w:after="0" w:afterAutospacing="0" w:line="400" w:lineRule="exact"/>
              <w:ind w:left="0" w:leftChars="0" w:right="0" w:rightChars="0"/>
              <w:jc w:val="center"/>
              <w:rPr>
                <w:rFonts w:hint="eastAsia" w:ascii="宋体" w:hAnsi="宋体" w:cs="宋体"/>
                <w:kern w:val="0"/>
                <w:sz w:val="24"/>
              </w:rPr>
            </w:pPr>
            <w:r>
              <w:rPr>
                <w:rFonts w:hint="eastAsia" w:ascii="宋体" w:hAnsi="宋体" w:cs="宋体"/>
                <w:kern w:val="0"/>
                <w:sz w:val="24"/>
                <w:lang w:val="en-US" w:eastAsia="zh-CN"/>
              </w:rPr>
              <w:t>20分</w:t>
            </w:r>
          </w:p>
        </w:tc>
      </w:tr>
      <w:tr w14:paraId="5820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4" w:type="dxa"/>
            <w:vAlign w:val="center"/>
          </w:tcPr>
          <w:p w14:paraId="76A5CE35">
            <w:pPr>
              <w:keepNext w:val="0"/>
              <w:keepLines w:val="0"/>
              <w:suppressLineNumbers w:val="0"/>
              <w:spacing w:before="0" w:beforeAutospacing="0" w:after="0" w:afterAutospacing="0" w:line="400" w:lineRule="exact"/>
              <w:ind w:left="0" w:leftChars="0" w:right="0" w:rightChars="0"/>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w:t>
            </w:r>
          </w:p>
        </w:tc>
        <w:tc>
          <w:tcPr>
            <w:tcW w:w="1241" w:type="dxa"/>
            <w:vAlign w:val="center"/>
          </w:tcPr>
          <w:p w14:paraId="2C31DF57">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平台技术方案</w:t>
            </w:r>
          </w:p>
          <w:p w14:paraId="6D6D7EFC">
            <w:pPr>
              <w:keepNext w:val="0"/>
              <w:keepLines w:val="0"/>
              <w:suppressLineNumbers w:val="0"/>
              <w:spacing w:before="0" w:beforeAutospacing="0" w:after="0" w:afterAutospacing="0" w:line="400" w:lineRule="exact"/>
              <w:ind w:left="0" w:leftChars="0" w:right="0" w:rightChars="0"/>
              <w:jc w:val="center"/>
              <w:rPr>
                <w:rFonts w:hint="eastAsia" w:ascii="宋体" w:hAnsi="宋体"/>
                <w:sz w:val="24"/>
              </w:rPr>
            </w:pPr>
          </w:p>
        </w:tc>
        <w:tc>
          <w:tcPr>
            <w:tcW w:w="7279" w:type="dxa"/>
            <w:vAlign w:val="center"/>
          </w:tcPr>
          <w:p w14:paraId="0AEE9669">
            <w:pPr>
              <w:keepNext w:val="0"/>
              <w:keepLines w:val="0"/>
              <w:suppressLineNumbers w:val="0"/>
              <w:spacing w:before="0" w:beforeAutospacing="0" w:after="0" w:afterAutospacing="0" w:line="400" w:lineRule="exact"/>
              <w:ind w:left="0" w:right="0"/>
              <w:rPr>
                <w:rFonts w:hint="eastAsia" w:ascii="宋体" w:hAnsi="宋体" w:cs="宋体"/>
                <w:color w:val="000000" w:themeColor="text1"/>
                <w:lang w:val="en-US" w:eastAsia="zh-CN"/>
                <w14:textFill>
                  <w14:solidFill>
                    <w14:schemeClr w14:val="tx1"/>
                  </w14:solidFill>
                </w14:textFill>
              </w:rPr>
            </w:pPr>
            <w:r>
              <w:rPr>
                <w:rFonts w:hint="eastAsia" w:ascii="宋体" w:hAnsi="宋体" w:cs="宋体"/>
                <w:kern w:val="0"/>
                <w:sz w:val="24"/>
                <w:lang w:val="zh-CN"/>
              </w:rPr>
              <w:t>对投标</w:t>
            </w:r>
            <w:r>
              <w:rPr>
                <w:rFonts w:hint="eastAsia" w:ascii="宋体" w:hAnsi="宋体" w:cs="宋体"/>
                <w:kern w:val="0"/>
                <w:sz w:val="24"/>
                <w:lang w:val="en-US" w:eastAsia="zh-CN"/>
              </w:rPr>
              <w:t>人</w:t>
            </w:r>
            <w:r>
              <w:rPr>
                <w:rFonts w:hint="eastAsia" w:ascii="宋体" w:hAnsi="宋体" w:cs="宋体"/>
                <w:kern w:val="0"/>
                <w:sz w:val="24"/>
                <w:lang w:val="zh-CN"/>
              </w:rPr>
              <w:t>提供完善的项目实施方案进行打分，</w:t>
            </w:r>
            <w:r>
              <w:rPr>
                <w:rFonts w:hint="eastAsia" w:ascii="宋体" w:hAnsi="宋体" w:cs="宋体"/>
                <w:kern w:val="0"/>
                <w:sz w:val="24"/>
                <w:lang w:val="en-US" w:eastAsia="zh-CN"/>
              </w:rPr>
              <w:t>包含</w:t>
            </w:r>
            <w:r>
              <w:rPr>
                <w:rFonts w:hint="default" w:ascii="宋体" w:hAnsi="宋体" w:cs="宋体"/>
                <w:kern w:val="0"/>
                <w:sz w:val="24"/>
                <w:lang w:val="en-US" w:eastAsia="zh-CN"/>
              </w:rPr>
              <w:t>①</w:t>
            </w:r>
            <w:r>
              <w:rPr>
                <w:rFonts w:hint="eastAsia" w:ascii="宋体" w:hAnsi="宋体" w:cs="宋体"/>
                <w:kern w:val="0"/>
                <w:sz w:val="24"/>
                <w:lang w:val="zh-CN"/>
              </w:rPr>
              <w:t>整体建设方案论述</w:t>
            </w:r>
            <w:r>
              <w:rPr>
                <w:rFonts w:hint="default" w:ascii="宋体" w:hAnsi="宋体" w:cs="宋体"/>
                <w:kern w:val="0"/>
                <w:sz w:val="24"/>
                <w:lang w:val="zh-CN" w:eastAsia="zh-CN"/>
              </w:rPr>
              <w:t>②</w:t>
            </w:r>
            <w:r>
              <w:rPr>
                <w:rFonts w:hint="eastAsia" w:ascii="宋体" w:hAnsi="宋体" w:cs="宋体"/>
                <w:kern w:val="0"/>
                <w:sz w:val="24"/>
                <w:lang w:val="zh-CN"/>
              </w:rPr>
              <w:t>平台的功能、性能、安全性设计</w:t>
            </w:r>
            <w:r>
              <w:rPr>
                <w:rFonts w:hint="default" w:ascii="宋体" w:hAnsi="宋体" w:cs="宋体"/>
                <w:kern w:val="0"/>
                <w:sz w:val="24"/>
                <w:lang w:val="zh-CN" w:eastAsia="zh-CN"/>
              </w:rPr>
              <w:t>③</w:t>
            </w:r>
            <w:r>
              <w:rPr>
                <w:rFonts w:hint="eastAsia" w:ascii="宋体" w:hAnsi="宋体" w:cs="宋体"/>
                <w:kern w:val="0"/>
                <w:sz w:val="24"/>
                <w:lang w:val="zh-CN"/>
              </w:rPr>
              <w:t>实施进度</w:t>
            </w:r>
            <w:r>
              <w:rPr>
                <w:rFonts w:hint="default" w:ascii="宋体" w:hAnsi="宋体" w:cs="宋体"/>
                <w:kern w:val="0"/>
                <w:sz w:val="24"/>
                <w:lang w:val="zh-CN" w:eastAsia="zh-CN"/>
              </w:rPr>
              <w:t>④</w:t>
            </w:r>
            <w:r>
              <w:rPr>
                <w:rFonts w:hint="eastAsia" w:ascii="宋体" w:hAnsi="宋体" w:cs="宋体"/>
                <w:kern w:val="0"/>
                <w:sz w:val="24"/>
                <w:lang w:val="zh-CN"/>
              </w:rPr>
              <w:t>验收进度、</w:t>
            </w:r>
            <w:r>
              <w:rPr>
                <w:rFonts w:hint="eastAsia" w:ascii="宋体" w:hAnsi="宋体" w:cs="宋体"/>
                <w:kern w:val="0"/>
                <w:sz w:val="24"/>
                <w:lang w:val="en-US" w:eastAsia="zh-CN"/>
              </w:rPr>
              <w:t>人员配备等内容。</w:t>
            </w:r>
            <w:r>
              <w:rPr>
                <w:rFonts w:hint="eastAsia" w:ascii="宋体" w:hAnsi="宋体" w:cs="宋体"/>
                <w:kern w:val="0"/>
                <w:sz w:val="24"/>
                <w:lang w:val="zh-CN" w:eastAsia="zh-CN"/>
              </w:rPr>
              <w:t>每小项内容的要点齐全无缺漏项、内容与与本项目实际需求匹配度高、内容完善严谨、程序规范得</w:t>
            </w:r>
            <w:r>
              <w:rPr>
                <w:rFonts w:hint="eastAsia" w:ascii="宋体" w:hAnsi="宋体" w:cs="宋体"/>
                <w:kern w:val="0"/>
                <w:sz w:val="24"/>
                <w:lang w:val="en-US" w:eastAsia="zh-CN"/>
              </w:rPr>
              <w:t>2</w:t>
            </w:r>
            <w:r>
              <w:rPr>
                <w:rFonts w:hint="eastAsia" w:ascii="宋体" w:hAnsi="宋体" w:cs="宋体"/>
                <w:kern w:val="0"/>
                <w:sz w:val="24"/>
                <w:lang w:val="zh-CN" w:eastAsia="zh-CN"/>
              </w:rPr>
              <w:t>分；每小项内容要点有所缺失、严谨度不高，措施过于简单得</w:t>
            </w:r>
            <w:r>
              <w:rPr>
                <w:rFonts w:hint="eastAsia" w:ascii="宋体" w:hAnsi="宋体" w:cs="宋体"/>
                <w:kern w:val="0"/>
                <w:sz w:val="24"/>
                <w:lang w:val="en-US" w:eastAsia="zh-CN"/>
              </w:rPr>
              <w:t>1</w:t>
            </w:r>
            <w:r>
              <w:rPr>
                <w:rFonts w:hint="eastAsia" w:ascii="宋体" w:hAnsi="宋体" w:cs="宋体"/>
                <w:kern w:val="0"/>
                <w:sz w:val="24"/>
                <w:lang w:val="zh-CN" w:eastAsia="zh-CN"/>
              </w:rPr>
              <w:t>分；描述有不符合本项目需求的内容或未不提供的小项不得分。本项最高得</w:t>
            </w:r>
            <w:r>
              <w:rPr>
                <w:rFonts w:hint="eastAsia" w:ascii="宋体" w:hAnsi="宋体" w:cs="宋体"/>
                <w:kern w:val="0"/>
                <w:sz w:val="24"/>
                <w:lang w:val="en-US" w:eastAsia="zh-CN"/>
              </w:rPr>
              <w:t>8</w:t>
            </w:r>
            <w:r>
              <w:rPr>
                <w:rFonts w:hint="eastAsia" w:ascii="宋体" w:hAnsi="宋体" w:cs="宋体"/>
                <w:kern w:val="0"/>
                <w:sz w:val="24"/>
                <w:lang w:val="zh-CN" w:eastAsia="zh-CN"/>
              </w:rPr>
              <w:t>分。</w:t>
            </w:r>
          </w:p>
        </w:tc>
        <w:tc>
          <w:tcPr>
            <w:tcW w:w="954" w:type="dxa"/>
            <w:vAlign w:val="center"/>
          </w:tcPr>
          <w:p w14:paraId="1A3C7678">
            <w:pPr>
              <w:keepNext w:val="0"/>
              <w:keepLines w:val="0"/>
              <w:suppressLineNumbers w:val="0"/>
              <w:spacing w:before="0" w:beforeAutospacing="0" w:after="0" w:afterAutospacing="0" w:line="400" w:lineRule="exact"/>
              <w:ind w:left="0" w:leftChars="0" w:right="0" w:rightChars="0"/>
              <w:jc w:val="center"/>
              <w:rPr>
                <w:rFonts w:hint="eastAsia" w:ascii="宋体" w:hAnsi="宋体" w:cs="宋体"/>
                <w:kern w:val="0"/>
                <w:sz w:val="24"/>
                <w:lang w:val="en-US" w:eastAsia="zh-CN"/>
              </w:rPr>
            </w:pPr>
            <w:r>
              <w:rPr>
                <w:rFonts w:hint="eastAsia" w:ascii="宋体" w:hAnsi="宋体" w:cs="宋体"/>
                <w:color w:val="000000"/>
                <w:kern w:val="0"/>
                <w:sz w:val="24"/>
                <w:lang w:val="en-US" w:eastAsia="zh-CN"/>
              </w:rPr>
              <w:t>8</w:t>
            </w:r>
            <w:r>
              <w:rPr>
                <w:rFonts w:hint="eastAsia" w:ascii="宋体" w:hAnsi="宋体" w:cs="宋体"/>
                <w:color w:val="000000"/>
                <w:kern w:val="0"/>
                <w:sz w:val="24"/>
              </w:rPr>
              <w:t>分</w:t>
            </w:r>
          </w:p>
        </w:tc>
      </w:tr>
      <w:tr w14:paraId="2B03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4" w:type="dxa"/>
            <w:vAlign w:val="center"/>
          </w:tcPr>
          <w:p w14:paraId="03B5A851">
            <w:pPr>
              <w:keepNext w:val="0"/>
              <w:keepLines w:val="0"/>
              <w:suppressLineNumbers w:val="0"/>
              <w:spacing w:before="0" w:beforeAutospacing="0" w:after="0" w:afterAutospacing="0" w:line="400" w:lineRule="exact"/>
              <w:ind w:left="0" w:leftChars="0" w:right="0" w:rightChars="0"/>
              <w:jc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w:t>
            </w:r>
          </w:p>
        </w:tc>
        <w:tc>
          <w:tcPr>
            <w:tcW w:w="1241" w:type="dxa"/>
            <w:vAlign w:val="center"/>
          </w:tcPr>
          <w:p w14:paraId="36216A3D">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rPr>
            </w:pPr>
            <w:r>
              <w:rPr>
                <w:rFonts w:hint="eastAsia" w:ascii="宋体" w:hAnsi="宋体" w:eastAsia="宋体" w:cs="宋体"/>
                <w:sz w:val="24"/>
              </w:rPr>
              <w:t>维护服务方案</w:t>
            </w:r>
          </w:p>
          <w:p w14:paraId="0F7CC5E6">
            <w:pPr>
              <w:keepNext w:val="0"/>
              <w:keepLines w:val="0"/>
              <w:suppressLineNumbers w:val="0"/>
              <w:spacing w:before="0" w:beforeAutospacing="0" w:after="0" w:afterAutospacing="0" w:line="400" w:lineRule="exact"/>
              <w:ind w:left="0" w:leftChars="0" w:right="0" w:rightChars="0"/>
              <w:jc w:val="center"/>
              <w:rPr>
                <w:rFonts w:hint="eastAsia" w:ascii="宋体" w:hAnsi="宋体"/>
                <w:sz w:val="24"/>
              </w:rPr>
            </w:pPr>
          </w:p>
        </w:tc>
        <w:tc>
          <w:tcPr>
            <w:tcW w:w="7279" w:type="dxa"/>
            <w:vAlign w:val="center"/>
          </w:tcPr>
          <w:p w14:paraId="5E8EC298">
            <w:pPr>
              <w:keepNext w:val="0"/>
              <w:keepLines w:val="0"/>
              <w:suppressLineNumbers w:val="0"/>
              <w:spacing w:before="0" w:beforeAutospacing="0" w:after="0" w:afterAutospacing="0" w:line="400" w:lineRule="exact"/>
              <w:ind w:left="0" w:leftChars="0" w:right="0" w:rightChars="0"/>
              <w:rPr>
                <w:rFonts w:hint="eastAsia" w:ascii="宋体" w:hAnsi="宋体" w:cs="宋体"/>
                <w:color w:val="000000" w:themeColor="text1"/>
                <w:lang w:val="en-US" w:eastAsia="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售后服务方案合理，服务响应</w:t>
            </w:r>
            <w:r>
              <w:rPr>
                <w:rFonts w:hint="eastAsia" w:ascii="宋体" w:hAnsi="宋体" w:cs="宋体"/>
                <w:color w:val="000000" w:themeColor="text1"/>
                <w:lang w:val="en-US" w:eastAsia="zh-CN"/>
                <w14:textFill>
                  <w14:solidFill>
                    <w14:schemeClr w14:val="tx1"/>
                  </w14:solidFill>
                </w14:textFill>
              </w:rPr>
              <w:t>非常</w:t>
            </w:r>
            <w:r>
              <w:rPr>
                <w:rFonts w:hint="eastAsia" w:ascii="宋体" w:hAnsi="宋体" w:cs="宋体"/>
                <w:color w:val="000000" w:themeColor="text1"/>
                <w:lang w:val="zh-CN"/>
                <w14:textFill>
                  <w14:solidFill>
                    <w14:schemeClr w14:val="tx1"/>
                  </w14:solidFill>
                </w14:textFill>
              </w:rPr>
              <w:t>迅速，售后服务体系完善，售后服务承诺及质保期全面的得</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lang w:val="zh-CN"/>
                <w14:textFill>
                  <w14:solidFill>
                    <w14:schemeClr w14:val="tx1"/>
                  </w14:solidFill>
                </w14:textFill>
              </w:rPr>
              <w:t>分；售后服务方案合理，服务响应不及时，售后服务体系有所欠缺的得</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val="zh-CN"/>
                <w14:textFill>
                  <w14:solidFill>
                    <w14:schemeClr w14:val="tx1"/>
                  </w14:solidFill>
                </w14:textFill>
              </w:rPr>
              <w:t>分；售后服务方案有所欠缺，服务响应不及时，售后服务体系不足的得</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cs="宋体"/>
                <w:color w:val="000000" w:themeColor="text1"/>
                <w:lang w:val="zh-CN"/>
                <w14:textFill>
                  <w14:solidFill>
                    <w14:schemeClr w14:val="tx1"/>
                  </w14:solidFill>
                </w14:textFill>
              </w:rPr>
              <w:t>分；未提供相关内容不得分。</w:t>
            </w:r>
          </w:p>
        </w:tc>
        <w:tc>
          <w:tcPr>
            <w:tcW w:w="954" w:type="dxa"/>
            <w:vAlign w:val="center"/>
          </w:tcPr>
          <w:p w14:paraId="4C2D1891">
            <w:pPr>
              <w:keepNext w:val="0"/>
              <w:keepLines w:val="0"/>
              <w:suppressLineNumbers w:val="0"/>
              <w:spacing w:before="0" w:beforeAutospacing="0" w:after="0" w:afterAutospacing="0" w:line="400" w:lineRule="exact"/>
              <w:ind w:left="0" w:leftChars="0" w:right="0" w:rightChars="0"/>
              <w:jc w:val="center"/>
              <w:rPr>
                <w:rFonts w:hint="eastAsia" w:ascii="宋体" w:hAnsi="宋体" w:cs="宋体"/>
                <w:kern w:val="0"/>
                <w:sz w:val="24"/>
                <w:lang w:val="en-US" w:eastAsia="zh-CN"/>
              </w:rPr>
            </w:pPr>
            <w:r>
              <w:rPr>
                <w:rFonts w:hint="eastAsia" w:ascii="宋体" w:hAnsi="宋体" w:cs="宋体"/>
                <w:color w:val="000000"/>
                <w:kern w:val="0"/>
                <w:sz w:val="24"/>
                <w:lang w:val="en-US" w:eastAsia="zh-CN"/>
              </w:rPr>
              <w:t>4</w:t>
            </w:r>
            <w:r>
              <w:rPr>
                <w:rFonts w:hint="eastAsia" w:ascii="宋体" w:hAnsi="宋体" w:cs="宋体"/>
                <w:color w:val="000000"/>
                <w:kern w:val="0"/>
                <w:sz w:val="24"/>
              </w:rPr>
              <w:t>分</w:t>
            </w:r>
          </w:p>
        </w:tc>
      </w:tr>
    </w:tbl>
    <w:p w14:paraId="38A8F461">
      <w:pPr>
        <w:pStyle w:val="82"/>
        <w:adjustRightInd w:val="0"/>
        <w:snapToGrid w:val="0"/>
        <w:spacing w:line="460" w:lineRule="exact"/>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 xml:space="preserve">未通过符合性审查的投标文件，将被判为不满足招标文件实质性要求。 </w:t>
      </w:r>
    </w:p>
    <w:p w14:paraId="08FCFB4C">
      <w:pPr>
        <w:adjustRightInd w:val="0"/>
        <w:snapToGrid w:val="0"/>
        <w:spacing w:line="460" w:lineRule="exact"/>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（四）</w:t>
      </w:r>
      <w:r>
        <w:rPr>
          <w:rFonts w:hint="eastAsia" w:ascii="宋体" w:hAnsi="宋体" w:cs="宋体"/>
          <w:b/>
          <w:color w:val="auto"/>
          <w:sz w:val="24"/>
          <w:highlight w:val="none"/>
        </w:rPr>
        <w:t>价格</w:t>
      </w:r>
      <w:r>
        <w:rPr>
          <w:rFonts w:hint="eastAsia" w:ascii="宋体" w:hAnsi="宋体" w:cs="宋体"/>
          <w:b/>
          <w:color w:val="auto"/>
          <w:sz w:val="24"/>
          <w:highlight w:val="none"/>
          <w:lang w:val="zh-CN"/>
        </w:rPr>
        <w:t>分</w:t>
      </w:r>
      <w:r>
        <w:rPr>
          <w:rFonts w:hint="eastAsia" w:ascii="宋体" w:hAnsi="宋体" w:cs="宋体"/>
          <w:b/>
          <w:color w:val="auto"/>
          <w:sz w:val="24"/>
          <w:highlight w:val="none"/>
        </w:rPr>
        <w:t>：（30分）</w:t>
      </w:r>
    </w:p>
    <w:p w14:paraId="7C6E5358">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价格分统一采用低价优先法计算，即满足招标文件要求且投标价格最低的投标报价为评标基准价，其价格分为满分。其他投标人的价格分统一按照下列公式计算：</w:t>
      </w:r>
    </w:p>
    <w:p w14:paraId="6A203252">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投标报价得分=（评标基准价/投标报价）×价格权值</w:t>
      </w:r>
    </w:p>
    <w:p w14:paraId="1CCA98EF">
      <w:pPr>
        <w:adjustRightInd w:val="0"/>
        <w:snapToGrid w:val="0"/>
        <w:spacing w:line="46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（五）中标人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评审结果</w:t>
      </w:r>
      <w:r>
        <w:rPr>
          <w:rFonts w:hint="eastAsia" w:ascii="宋体" w:hAnsi="宋体" w:cs="宋体"/>
          <w:b/>
          <w:color w:val="auto"/>
          <w:sz w:val="24"/>
          <w:highlight w:val="none"/>
          <w:lang w:eastAsia="zh-CN"/>
        </w:rPr>
        <w:t>）</w:t>
      </w:r>
      <w:r>
        <w:rPr>
          <w:rFonts w:hint="eastAsia" w:ascii="宋体" w:hAnsi="宋体" w:cs="宋体"/>
          <w:b/>
          <w:color w:val="auto"/>
          <w:sz w:val="24"/>
          <w:highlight w:val="none"/>
        </w:rPr>
        <w:t>的确定</w:t>
      </w:r>
    </w:p>
    <w:p w14:paraId="19FA83CE">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评委会汇总各评委评分后，按照得分从高到低的顺序推荐三名中标候选人，并编写评标报告。</w:t>
      </w:r>
    </w:p>
    <w:p w14:paraId="0BFBF835">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招标人委托评标委员会直接确定排名第一的中标候选人为中标人。</w:t>
      </w:r>
    </w:p>
    <w:p w14:paraId="2B962721">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（六）招标人代表宣布评标结果。</w:t>
      </w:r>
    </w:p>
    <w:p w14:paraId="4B2B0FC5">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bCs/>
          <w:color w:val="auto"/>
          <w:sz w:val="24"/>
          <w:highlight w:val="none"/>
        </w:rPr>
        <w:t>七</w:t>
      </w:r>
      <w:r>
        <w:rPr>
          <w:rFonts w:hint="eastAsia" w:ascii="宋体" w:hAnsi="宋体" w:cs="宋体"/>
          <w:b/>
          <w:color w:val="auto"/>
          <w:sz w:val="24"/>
          <w:highlight w:val="none"/>
        </w:rPr>
        <w:t>）公告中标结果</w:t>
      </w:r>
    </w:p>
    <w:p w14:paraId="04FCBE00">
      <w:pPr>
        <w:adjustRightInd w:val="0"/>
        <w:snapToGri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自确定中标人之日起2个工作日内，在江苏商贸职业学院网（http://www.jsbc.edu.cn/）公告中标结果，公告期限为1个工作日。</w:t>
      </w:r>
    </w:p>
    <w:p w14:paraId="0DFA3574">
      <w:pPr>
        <w:adjustRightInd w:val="0"/>
        <w:snapToGrid w:val="0"/>
        <w:spacing w:line="460" w:lineRule="exact"/>
        <w:ind w:firstLine="482" w:firstLineChars="200"/>
        <w:rPr>
          <w:rFonts w:ascii="宋体" w:hAnsi="宋体" w:cs="宋体"/>
          <w:b/>
          <w:bCs/>
          <w:color w:val="auto"/>
          <w:sz w:val="24"/>
          <w:highlight w:val="none"/>
        </w:rPr>
      </w:pPr>
      <w:r>
        <w:rPr>
          <w:rFonts w:hint="eastAsia" w:ascii="宋体" w:hAnsi="宋体" w:cs="宋体"/>
          <w:b/>
          <w:color w:val="auto"/>
          <w:sz w:val="24"/>
          <w:highlight w:val="none"/>
        </w:rPr>
        <w:t>（八）</w:t>
      </w:r>
      <w:r>
        <w:rPr>
          <w:rFonts w:hint="eastAsia" w:ascii="宋体" w:hAnsi="宋体" w:cs="宋体"/>
          <w:b/>
          <w:bCs/>
          <w:color w:val="auto"/>
          <w:sz w:val="24"/>
          <w:highlight w:val="none"/>
        </w:rPr>
        <w:t>发放中标通知书</w:t>
      </w:r>
    </w:p>
    <w:p w14:paraId="690CC19F">
      <w:pPr>
        <w:adjustRightInd w:val="0"/>
        <w:snapToGrid w:val="0"/>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公告中标结果的同时，招标人</w:t>
      </w:r>
      <w:r>
        <w:rPr>
          <w:rFonts w:hint="eastAsia" w:ascii="宋体" w:hAnsi="宋体" w:cs="宋体"/>
          <w:bCs/>
          <w:color w:val="auto"/>
          <w:sz w:val="24"/>
          <w:highlight w:val="none"/>
        </w:rPr>
        <w:t>向中标供应商发放中标通知书。</w:t>
      </w:r>
    </w:p>
    <w:p w14:paraId="5FF9F303">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中标通知书发出后，招标人不得违法改变中标结果，中标供应商无正当理由不得放弃中标。</w:t>
      </w:r>
    </w:p>
    <w:p w14:paraId="27536F46">
      <w:pPr>
        <w:adjustRightInd w:val="0"/>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（九）其他</w:t>
      </w:r>
    </w:p>
    <w:p w14:paraId="2F206CA2">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当排名第一的中标候选人无正当理由放弃中标，被查实存在影响中标结果的违法行为等情形，采购人有权按照政府采购相关法律法规的规定对其采取惩戒措施，包含但不限于列入采购失信人黑名单等措施。</w:t>
      </w:r>
    </w:p>
    <w:p w14:paraId="7D337B9C">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06B51F88">
      <w:pPr>
        <w:spacing w:after="60" w:line="360" w:lineRule="auto"/>
        <w:rPr>
          <w:rFonts w:ascii="宋体" w:hAnsi="宋体" w:cs="宋体"/>
          <w:color w:val="auto"/>
          <w:sz w:val="24"/>
          <w:highlight w:val="none"/>
        </w:rPr>
        <w:sectPr>
          <w:headerReference r:id="rId5" w:type="default"/>
          <w:footerReference r:id="rId6" w:type="default"/>
          <w:pgSz w:w="11906" w:h="16838"/>
          <w:pgMar w:top="720" w:right="720" w:bottom="720" w:left="720" w:header="851" w:footer="992" w:gutter="0"/>
          <w:cols w:space="720" w:num="1"/>
          <w:docGrid w:type="lines" w:linePitch="312" w:charSpace="0"/>
        </w:sectPr>
      </w:pPr>
      <w:r>
        <w:rPr>
          <w:rFonts w:hint="eastAsia" w:ascii="宋体" w:hAnsi="宋体" w:cs="宋体"/>
          <w:bCs/>
          <w:color w:val="auto"/>
          <w:sz w:val="32"/>
          <w:szCs w:val="32"/>
          <w:highlight w:val="none"/>
        </w:rPr>
        <w:br w:type="page"/>
      </w:r>
    </w:p>
    <w:p w14:paraId="7C7DB5D1">
      <w:pPr>
        <w:numPr>
          <w:ilvl w:val="0"/>
          <w:numId w:val="2"/>
        </w:numPr>
        <w:adjustRightInd w:val="0"/>
        <w:snapToGrid w:val="0"/>
        <w:spacing w:line="460" w:lineRule="exact"/>
        <w:jc w:val="center"/>
        <w:textAlignment w:val="baseline"/>
        <w:outlineLvl w:val="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合同主要条款</w:t>
      </w:r>
    </w:p>
    <w:p w14:paraId="59266B02">
      <w:pPr>
        <w:adjustRightInd w:val="0"/>
        <w:snapToGrid w:val="0"/>
        <w:spacing w:line="460" w:lineRule="exact"/>
        <w:jc w:val="center"/>
        <w:textAlignment w:val="baseline"/>
        <w:outlineLvl w:val="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江苏商贸职业学院财务机器人应用与开发实践教学平台采购项目</w:t>
      </w:r>
    </w:p>
    <w:p w14:paraId="437F1CE9">
      <w:pPr>
        <w:spacing w:after="60" w:line="440" w:lineRule="exact"/>
        <w:rPr>
          <w:rFonts w:ascii="宋体" w:hAnsi="宋体" w:cs="仿宋"/>
          <w:color w:val="auto"/>
          <w:sz w:val="24"/>
          <w:highlight w:val="none"/>
          <w:u w:val="single"/>
        </w:rPr>
      </w:pPr>
      <w:r>
        <w:rPr>
          <w:rFonts w:hint="eastAsia" w:ascii="宋体" w:hAnsi="宋体" w:cs="仿宋"/>
          <w:color w:val="auto"/>
          <w:sz w:val="24"/>
          <w:highlight w:val="none"/>
        </w:rPr>
        <w:t>采购人（或称甲方）：</w:t>
      </w:r>
      <w:r>
        <w:rPr>
          <w:rFonts w:hint="eastAsia" w:ascii="宋体" w:hAnsi="宋体" w:cs="仿宋"/>
          <w:color w:val="auto"/>
          <w:sz w:val="24"/>
          <w:highlight w:val="none"/>
          <w:u w:val="single"/>
        </w:rPr>
        <w:t>江苏商贸职业学院</w:t>
      </w:r>
    </w:p>
    <w:p w14:paraId="5C5D9D55">
      <w:pPr>
        <w:spacing w:after="60" w:line="440" w:lineRule="exact"/>
        <w:rPr>
          <w:rFonts w:ascii="宋体" w:hAnsi="宋体" w:cs="仿宋"/>
          <w:color w:val="auto"/>
          <w:sz w:val="24"/>
          <w:highlight w:val="none"/>
        </w:rPr>
      </w:pPr>
      <w:r>
        <w:rPr>
          <w:rFonts w:hint="eastAsia" w:ascii="宋体" w:hAnsi="宋体" w:cs="仿宋"/>
          <w:color w:val="auto"/>
          <w:sz w:val="24"/>
          <w:highlight w:val="none"/>
        </w:rPr>
        <w:t>成交供应商（或称乙方）：</w:t>
      </w:r>
    </w:p>
    <w:p w14:paraId="140960DC">
      <w:pPr>
        <w:spacing w:after="60" w:line="440" w:lineRule="exact"/>
        <w:rPr>
          <w:rFonts w:ascii="宋体" w:hAnsi="宋体" w:cs="仿宋"/>
          <w:color w:val="auto"/>
          <w:sz w:val="24"/>
          <w:highlight w:val="none"/>
        </w:rPr>
      </w:pPr>
      <w:r>
        <w:rPr>
          <w:rFonts w:hint="eastAsia" w:ascii="宋体" w:hAnsi="宋体" w:cs="仿宋"/>
          <w:color w:val="auto"/>
          <w:sz w:val="24"/>
          <w:highlight w:val="none"/>
        </w:rPr>
        <w:t>签订时间：</w:t>
      </w:r>
      <w:r>
        <w:rPr>
          <w:rFonts w:hint="eastAsia" w:ascii="宋体" w:hAnsi="宋体" w:cs="仿宋"/>
          <w:color w:val="auto"/>
          <w:sz w:val="24"/>
          <w:highlight w:val="none"/>
          <w:u w:val="single"/>
        </w:rPr>
        <w:t xml:space="preserve">   年  月   日  </w:t>
      </w:r>
    </w:p>
    <w:p w14:paraId="5F276FFD">
      <w:pPr>
        <w:spacing w:after="60" w:line="440" w:lineRule="exact"/>
        <w:rPr>
          <w:rFonts w:ascii="宋体" w:hAnsi="宋体" w:cs="仿宋"/>
          <w:color w:val="auto"/>
          <w:sz w:val="24"/>
          <w:highlight w:val="none"/>
        </w:rPr>
      </w:pPr>
      <w:r>
        <w:rPr>
          <w:rFonts w:hint="eastAsia" w:ascii="宋体" w:hAnsi="宋体" w:cs="仿宋"/>
          <w:color w:val="auto"/>
          <w:sz w:val="24"/>
          <w:highlight w:val="none"/>
        </w:rPr>
        <w:t>签订地点：</w:t>
      </w:r>
    </w:p>
    <w:p w14:paraId="729E2755">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根据《合同法》及  年  月 日</w:t>
      </w:r>
      <w:r>
        <w:rPr>
          <w:rFonts w:hint="eastAsia" w:ascii="宋体" w:hAnsi="宋体" w:cs="仿宋"/>
          <w:color w:val="auto"/>
          <w:sz w:val="24"/>
          <w:highlight w:val="none"/>
          <w:u w:val="single"/>
          <w:lang w:eastAsia="zh-CN"/>
        </w:rPr>
        <w:t>江苏商贸职业学院财务机器人应用与开发实践教学平台采购项目</w:t>
      </w:r>
      <w:r>
        <w:rPr>
          <w:rFonts w:hint="eastAsia" w:ascii="宋体" w:hAnsi="宋体" w:cs="仿宋"/>
          <w:color w:val="auto"/>
          <w:sz w:val="24"/>
          <w:highlight w:val="none"/>
        </w:rPr>
        <w:t>(采购编号：    )的采购结果、采购文件、成交通知书及成交乙方的询价响应文件，经甲乙双方协商一致，签订本合同书。</w:t>
      </w:r>
    </w:p>
    <w:p w14:paraId="11737D19">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一、合同的标的物</w:t>
      </w:r>
    </w:p>
    <w:p w14:paraId="694564F8">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1.1甲方向乙方采购标的物，具体的品种、规格要求详见采购文件。</w:t>
      </w:r>
    </w:p>
    <w:p w14:paraId="1057545D">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1.2 乙方对提供的标的物应当拥有完整的物权，并且负有保证第三人不得向甲方主张任何权利（包括知识产权）的义务。</w:t>
      </w:r>
    </w:p>
    <w:p w14:paraId="1B276D7E">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二、合同价格与支付</w:t>
      </w:r>
    </w:p>
    <w:p w14:paraId="2308939A">
      <w:pPr>
        <w:snapToGrid w:val="0"/>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 xml:space="preserve">2.1 </w:t>
      </w:r>
    </w:p>
    <w:tbl>
      <w:tblPr>
        <w:tblStyle w:val="36"/>
        <w:tblW w:w="8760" w:type="dxa"/>
        <w:tblInd w:w="-5"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60D4712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48" w:type="dxa"/>
            <w:tcBorders>
              <w:top w:val="single" w:color="auto" w:sz="4" w:space="0"/>
              <w:left w:val="single" w:color="auto" w:sz="4" w:space="0"/>
              <w:bottom w:val="single" w:color="auto" w:sz="4" w:space="0"/>
              <w:right w:val="single" w:color="auto" w:sz="4" w:space="0"/>
            </w:tcBorders>
            <w:vAlign w:val="center"/>
          </w:tcPr>
          <w:p w14:paraId="4F86C637">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4CEF8FD2">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F5E787">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D70D6F">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CAD4E">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default" w:ascii="宋体" w:hAnsi="宋体"/>
                <w:color w:val="auto"/>
                <w:sz w:val="24"/>
                <w:szCs w:val="21"/>
                <w:highlight w:val="none"/>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17F83160">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158B7BA0">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r>
              <w:rPr>
                <w:rFonts w:hint="eastAsia" w:ascii="宋体" w:hAnsi="宋体"/>
                <w:color w:val="auto"/>
                <w:sz w:val="24"/>
                <w:szCs w:val="21"/>
                <w:highlight w:val="none"/>
              </w:rPr>
              <w:t>总价（元）</w:t>
            </w:r>
          </w:p>
        </w:tc>
      </w:tr>
      <w:tr w14:paraId="17B2AA49">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vAlign w:val="center"/>
          </w:tcPr>
          <w:p w14:paraId="6BFEE77C">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878" w:type="dxa"/>
            <w:tcBorders>
              <w:top w:val="single" w:color="auto" w:sz="4" w:space="0"/>
              <w:left w:val="single" w:color="auto" w:sz="8" w:space="0"/>
              <w:bottom w:val="single" w:color="auto" w:sz="4" w:space="0"/>
              <w:right w:val="single" w:color="auto" w:sz="4" w:space="0"/>
            </w:tcBorders>
            <w:vAlign w:val="center"/>
          </w:tcPr>
          <w:p w14:paraId="47ECBB81">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923590">
            <w:pPr>
              <w:keepNext w:val="0"/>
              <w:keepLines w:val="0"/>
              <w:suppressLineNumbers w:val="0"/>
              <w:spacing w:before="0" w:beforeAutospacing="0" w:after="0" w:afterAutospacing="0" w:line="440" w:lineRule="exact"/>
              <w:ind w:left="0" w:right="0"/>
              <w:rPr>
                <w:rFonts w:hint="default" w:ascii="宋体" w:hAnsi="宋体" w:cs="仿宋"/>
                <w:color w:val="auto"/>
                <w:sz w:val="24"/>
                <w:highlight w:val="none"/>
              </w:rPr>
            </w:pP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3E1F3E">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C1C297">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31C49DE7">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14:paraId="5E8E5FC1">
            <w:pPr>
              <w:keepNext w:val="0"/>
              <w:keepLines w:val="0"/>
              <w:suppressLineNumbers w:val="0"/>
              <w:spacing w:before="0" w:beforeAutospacing="0" w:after="0" w:afterAutospacing="0" w:line="440" w:lineRule="exact"/>
              <w:ind w:left="0" w:right="0"/>
              <w:jc w:val="center"/>
              <w:rPr>
                <w:rFonts w:hint="default" w:ascii="宋体" w:hAnsi="宋体" w:cs="仿宋"/>
                <w:color w:val="auto"/>
                <w:sz w:val="24"/>
                <w:highlight w:val="none"/>
              </w:rPr>
            </w:pPr>
          </w:p>
        </w:tc>
      </w:tr>
      <w:tr w14:paraId="51390A5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053EB8C">
            <w:pPr>
              <w:keepNext w:val="0"/>
              <w:keepLines w:val="0"/>
              <w:suppressLineNumbers w:val="0"/>
              <w:spacing w:before="0" w:beforeAutospacing="0" w:after="0" w:afterAutospacing="0" w:line="440" w:lineRule="exact"/>
              <w:ind w:left="0" w:right="0"/>
              <w:jc w:val="left"/>
              <w:rPr>
                <w:rFonts w:hint="default" w:ascii="宋体" w:hAnsi="宋体" w:cs="仿宋"/>
                <w:color w:val="auto"/>
                <w:sz w:val="24"/>
                <w:highlight w:val="none"/>
              </w:rPr>
            </w:pPr>
            <w:r>
              <w:rPr>
                <w:rFonts w:hint="eastAsia" w:ascii="宋体" w:hAnsi="宋体" w:cs="仿宋"/>
                <w:color w:val="auto"/>
                <w:sz w:val="24"/>
                <w:highlight w:val="none"/>
              </w:rPr>
              <w:t>总计金额大写：                            小写：</w:t>
            </w:r>
          </w:p>
        </w:tc>
      </w:tr>
    </w:tbl>
    <w:p w14:paraId="6E5E6489">
      <w:pPr>
        <w:snapToGrid w:val="0"/>
        <w:spacing w:line="440" w:lineRule="exact"/>
        <w:ind w:firstLine="480" w:firstLineChars="200"/>
        <w:rPr>
          <w:rFonts w:ascii="宋体" w:hAnsi="宋体" w:cs="仿宋"/>
          <w:b/>
          <w:color w:val="auto"/>
          <w:sz w:val="24"/>
          <w:highlight w:val="none"/>
        </w:rPr>
      </w:pPr>
      <w:r>
        <w:rPr>
          <w:rFonts w:hint="eastAsia" w:ascii="宋体" w:hAnsi="宋体" w:cs="仿宋"/>
          <w:color w:val="auto"/>
          <w:kern w:val="0"/>
          <w:sz w:val="24"/>
          <w:highlight w:val="none"/>
        </w:rPr>
        <w:t>合同价格按此次成交价格执行，合同总金额为人民币</w:t>
      </w:r>
      <w:r>
        <w:rPr>
          <w:rFonts w:hint="eastAsia" w:ascii="宋体" w:hAnsi="宋体" w:cs="仿宋"/>
          <w:color w:val="auto"/>
          <w:kern w:val="0"/>
          <w:sz w:val="24"/>
          <w:highlight w:val="none"/>
          <w:u w:val="single"/>
        </w:rPr>
        <w:t xml:space="preserve">       元</w:t>
      </w:r>
      <w:r>
        <w:rPr>
          <w:rFonts w:hint="eastAsia" w:ascii="宋体" w:hAnsi="宋体" w:cs="仿宋"/>
          <w:color w:val="auto"/>
          <w:kern w:val="0"/>
          <w:sz w:val="24"/>
          <w:highlight w:val="none"/>
        </w:rPr>
        <w:t>整</w:t>
      </w:r>
      <w:r>
        <w:rPr>
          <w:rFonts w:hint="eastAsia" w:ascii="宋体" w:hAnsi="宋体" w:cs="仿宋"/>
          <w:b/>
          <w:color w:val="auto"/>
          <w:sz w:val="24"/>
          <w:highlight w:val="none"/>
        </w:rPr>
        <w:t>(合同价应包含软</w:t>
      </w:r>
      <w:r>
        <w:rPr>
          <w:rFonts w:hint="eastAsia" w:ascii="宋体" w:hAnsi="宋体" w:cs="仿宋"/>
          <w:b/>
          <w:color w:val="auto"/>
          <w:sz w:val="24"/>
          <w:highlight w:val="none"/>
          <w:lang w:val="en-US" w:eastAsia="zh-CN"/>
        </w:rPr>
        <w:t>硬</w:t>
      </w:r>
      <w:r>
        <w:rPr>
          <w:rFonts w:hint="eastAsia" w:ascii="宋体" w:hAnsi="宋体" w:cs="仿宋"/>
          <w:b/>
          <w:color w:val="auto"/>
          <w:sz w:val="24"/>
          <w:highlight w:val="none"/>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2B35F7C4">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2.2付款方式：</w:t>
      </w:r>
    </w:p>
    <w:p w14:paraId="35807265">
      <w:pPr>
        <w:snapToGrid w:val="0"/>
        <w:spacing w:line="440" w:lineRule="exact"/>
        <w:ind w:firstLine="480" w:firstLineChars="200"/>
        <w:rPr>
          <w:rFonts w:hint="eastAsia" w:ascii="宋体" w:hAnsi="宋体" w:cs="宋体"/>
          <w:kern w:val="0"/>
          <w:sz w:val="24"/>
          <w:szCs w:val="20"/>
        </w:rPr>
      </w:pPr>
      <w:r>
        <w:rPr>
          <w:rFonts w:hint="eastAsia" w:ascii="宋体" w:hAnsi="宋体" w:cs="宋体"/>
          <w:kern w:val="0"/>
          <w:sz w:val="24"/>
          <w:szCs w:val="20"/>
        </w:rPr>
        <w:t>安装完毕并验收合格后，采购人凭收到货物的验收凭证、验收合格文件等材料，且收到中标人提供发票15个工作日内，</w:t>
      </w:r>
      <w:r>
        <w:rPr>
          <w:rFonts w:hint="eastAsia" w:ascii="宋体" w:hAnsi="宋体" w:cs="宋体"/>
          <w:kern w:val="0"/>
          <w:sz w:val="24"/>
          <w:szCs w:val="20"/>
          <w:lang w:val="en-US" w:eastAsia="zh-CN"/>
        </w:rPr>
        <w:t>招标人</w:t>
      </w:r>
      <w:r>
        <w:rPr>
          <w:rFonts w:hint="eastAsia" w:ascii="宋体" w:hAnsi="宋体" w:cs="宋体"/>
          <w:kern w:val="0"/>
          <w:sz w:val="24"/>
          <w:szCs w:val="20"/>
        </w:rPr>
        <w:t>将支付合同总额95%，同时退还履约保证金（无息），质保期期满后无质量问题一次性支付剩余款项（合同总额5%）。</w:t>
      </w:r>
    </w:p>
    <w:p w14:paraId="7AA5ABFA">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款项由甲方按相关财务支付规定办理支付手续。每次付款</w:t>
      </w:r>
      <w:r>
        <w:rPr>
          <w:rFonts w:hint="eastAsia" w:ascii="宋体" w:hAnsi="宋体" w:cs="仿宋"/>
          <w:color w:val="auto"/>
          <w:sz w:val="24"/>
          <w:highlight w:val="none"/>
          <w:lang w:val="en-US" w:eastAsia="zh-CN"/>
        </w:rPr>
        <w:t>乙方</w:t>
      </w:r>
      <w:r>
        <w:rPr>
          <w:rFonts w:hint="eastAsia" w:ascii="宋体" w:hAnsi="宋体" w:cs="仿宋"/>
          <w:color w:val="auto"/>
          <w:sz w:val="24"/>
          <w:highlight w:val="none"/>
        </w:rPr>
        <w:t>均需提供正规发票。以上付款均不计利息。</w:t>
      </w:r>
    </w:p>
    <w:p w14:paraId="58C3EDD0">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2.3 乙方按期交货后向甲方结算货款时须提供甲方盖章验收合格证明。</w:t>
      </w:r>
    </w:p>
    <w:p w14:paraId="05FEAF1D">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2.4 根据现行税法对甲方征收的与本合同有关的一切税费均由甲方承担；根据现行税法对乙方征收的与本合同有关的一切税费均由乙方承担。</w:t>
      </w:r>
    </w:p>
    <w:p w14:paraId="5F2EEFE6">
      <w:pPr>
        <w:snapToGrid w:val="0"/>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三、质量要求</w:t>
      </w:r>
    </w:p>
    <w:p w14:paraId="28284D9A">
      <w:pPr>
        <w:autoSpaceDE w:val="0"/>
        <w:autoSpaceDN w:val="0"/>
        <w:adjustRightInd w:val="0"/>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仿宋"/>
          <w:color w:val="auto"/>
          <w:kern w:val="0"/>
          <w:sz w:val="24"/>
          <w:highlight w:val="none"/>
        </w:rPr>
        <w:t>1、乙方应按招标文件的要求提供相关软件及服务。验收时</w:t>
      </w:r>
      <w:r>
        <w:rPr>
          <w:rFonts w:hint="eastAsia" w:ascii="宋体" w:hAnsi="宋体" w:cs="仿宋"/>
          <w:color w:val="auto"/>
          <w:kern w:val="0"/>
          <w:sz w:val="24"/>
          <w:highlight w:val="none"/>
          <w:lang w:val="zh-CN"/>
        </w:rPr>
        <w:t>由</w:t>
      </w:r>
      <w:r>
        <w:rPr>
          <w:rFonts w:hint="eastAsia" w:ascii="宋体" w:hAnsi="宋体" w:cs="仿宋"/>
          <w:color w:val="auto"/>
          <w:kern w:val="0"/>
          <w:sz w:val="24"/>
          <w:highlight w:val="none"/>
        </w:rPr>
        <w:t>甲方</w:t>
      </w:r>
      <w:r>
        <w:rPr>
          <w:rFonts w:hint="eastAsia" w:ascii="宋体" w:hAnsi="宋体" w:cs="仿宋"/>
          <w:color w:val="auto"/>
          <w:kern w:val="0"/>
          <w:sz w:val="24"/>
          <w:highlight w:val="none"/>
          <w:lang w:val="zh-CN"/>
        </w:rPr>
        <w:t>对</w:t>
      </w:r>
      <w:r>
        <w:rPr>
          <w:rFonts w:hint="eastAsia" w:ascii="宋体" w:hAnsi="宋体" w:cs="仿宋"/>
          <w:color w:val="auto"/>
          <w:kern w:val="0"/>
          <w:sz w:val="24"/>
          <w:highlight w:val="none"/>
        </w:rPr>
        <w:t>数字化教材平台的建设工作</w:t>
      </w:r>
      <w:r>
        <w:rPr>
          <w:rFonts w:hint="eastAsia" w:ascii="宋体" w:hAnsi="宋体" w:cs="仿宋"/>
          <w:color w:val="auto"/>
          <w:kern w:val="0"/>
          <w:sz w:val="24"/>
          <w:highlight w:val="none"/>
          <w:lang w:val="zh-CN"/>
        </w:rPr>
        <w:t>进行验收，</w:t>
      </w:r>
      <w:r>
        <w:rPr>
          <w:rFonts w:hint="eastAsia" w:ascii="宋体" w:hAnsi="宋体" w:cs="仿宋"/>
          <w:color w:val="auto"/>
          <w:kern w:val="0"/>
          <w:sz w:val="24"/>
          <w:highlight w:val="none"/>
        </w:rPr>
        <w:t>乙方</w:t>
      </w:r>
      <w:r>
        <w:rPr>
          <w:rFonts w:hint="eastAsia" w:ascii="宋体" w:hAnsi="宋体" w:cs="仿宋"/>
          <w:color w:val="auto"/>
          <w:kern w:val="0"/>
          <w:sz w:val="24"/>
          <w:highlight w:val="none"/>
          <w:lang w:val="zh-CN"/>
        </w:rPr>
        <w:t>需配合使用方完成验收工</w:t>
      </w:r>
      <w:r>
        <w:rPr>
          <w:rFonts w:hint="eastAsia" w:ascii="宋体" w:hAnsi="宋体" w:cs="宋体"/>
          <w:color w:val="auto"/>
          <w:kern w:val="0"/>
          <w:sz w:val="24"/>
          <w:highlight w:val="none"/>
          <w:lang w:val="zh-CN"/>
        </w:rPr>
        <w:t>作。</w:t>
      </w:r>
      <w:r>
        <w:rPr>
          <w:rFonts w:hint="eastAsia" w:ascii="宋体" w:hAnsi="宋体" w:cs="宋体"/>
          <w:color w:val="auto"/>
          <w:sz w:val="24"/>
          <w:highlight w:val="none"/>
        </w:rPr>
        <w:t xml:space="preserve">  </w:t>
      </w:r>
    </w:p>
    <w:p w14:paraId="71CA84D7">
      <w:pPr>
        <w:autoSpaceDE w:val="0"/>
        <w:autoSpaceDN w:val="0"/>
        <w:adjustRightInd w:val="0"/>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3.2、</w:t>
      </w:r>
      <w:r>
        <w:rPr>
          <w:rFonts w:hint="eastAsia" w:ascii="宋体" w:hAnsi="宋体" w:cs="仿宋"/>
          <w:color w:val="auto"/>
          <w:sz w:val="24"/>
          <w:highlight w:val="none"/>
        </w:rPr>
        <w:t>乙方</w:t>
      </w:r>
      <w:r>
        <w:rPr>
          <w:rFonts w:hint="eastAsia" w:ascii="宋体" w:hAnsi="宋体"/>
          <w:color w:val="auto"/>
          <w:sz w:val="24"/>
          <w:highlight w:val="none"/>
        </w:rPr>
        <w:t>所提供的货物的技术规格应与招标文件规定的技术规格及投标文件要求的相一致；若技术性能无特殊说明，则按国家有关部门最新颁布的标准及规范为准。</w:t>
      </w:r>
    </w:p>
    <w:p w14:paraId="35344083">
      <w:pPr>
        <w:autoSpaceDE w:val="0"/>
        <w:autoSpaceDN w:val="0"/>
        <w:adjustRightInd w:val="0"/>
        <w:spacing w:line="460" w:lineRule="exact"/>
        <w:ind w:firstLine="480" w:firstLineChars="200"/>
        <w:jc w:val="left"/>
        <w:rPr>
          <w:rFonts w:ascii="宋体" w:hAnsi="宋体"/>
          <w:color w:val="auto"/>
          <w:sz w:val="24"/>
          <w:highlight w:val="none"/>
        </w:rPr>
      </w:pPr>
      <w:r>
        <w:rPr>
          <w:rFonts w:hint="eastAsia" w:ascii="宋体" w:hAnsi="宋体"/>
          <w:color w:val="auto"/>
          <w:sz w:val="24"/>
          <w:highlight w:val="none"/>
        </w:rPr>
        <w:t>3.3、</w:t>
      </w:r>
      <w:r>
        <w:rPr>
          <w:rFonts w:hint="eastAsia" w:ascii="宋体" w:hAnsi="宋体" w:cs="仿宋"/>
          <w:color w:val="auto"/>
          <w:sz w:val="24"/>
          <w:highlight w:val="none"/>
        </w:rPr>
        <w:t>乙方</w:t>
      </w:r>
      <w:r>
        <w:rPr>
          <w:rFonts w:hint="eastAsia" w:ascii="宋体" w:hAnsi="宋体"/>
          <w:color w:val="auto"/>
          <w:sz w:val="24"/>
          <w:highlight w:val="none"/>
        </w:rPr>
        <w:t>应保证货物是全新、未使用过的原装合格正品，并完全符合合同规定的质量、规格和性能的要求。</w:t>
      </w:r>
      <w:r>
        <w:rPr>
          <w:rFonts w:hint="eastAsia" w:ascii="宋体" w:hAnsi="宋体" w:cs="仿宋"/>
          <w:color w:val="auto"/>
          <w:sz w:val="24"/>
          <w:highlight w:val="none"/>
        </w:rPr>
        <w:t>乙方</w:t>
      </w:r>
      <w:r>
        <w:rPr>
          <w:rFonts w:hint="eastAsia" w:ascii="宋体" w:hAnsi="宋体"/>
          <w:color w:val="auto"/>
          <w:sz w:val="24"/>
          <w:highlight w:val="none"/>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color w:val="auto"/>
          <w:sz w:val="24"/>
          <w:highlight w:val="none"/>
        </w:rPr>
        <w:t>乙方</w:t>
      </w:r>
      <w:r>
        <w:rPr>
          <w:rFonts w:hint="eastAsia" w:ascii="宋体" w:hAnsi="宋体"/>
          <w:color w:val="auto"/>
          <w:sz w:val="24"/>
          <w:highlight w:val="none"/>
        </w:rPr>
        <w:t>承担。</w:t>
      </w:r>
    </w:p>
    <w:p w14:paraId="0E5E7047">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四、售后服务及其他</w:t>
      </w:r>
    </w:p>
    <w:p w14:paraId="56D6B0BA">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4.1、乙方负责安装、调试、验收，并承担因此发生的一切费用。</w:t>
      </w:r>
    </w:p>
    <w:p w14:paraId="7F90E874">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4.2、质保期自验收合格之日起计算，本项目乙方提供免费质保及升级服务。</w:t>
      </w:r>
    </w:p>
    <w:p w14:paraId="49CE5154">
      <w:pPr>
        <w:spacing w:line="440" w:lineRule="exact"/>
        <w:ind w:firstLine="480" w:firstLineChars="200"/>
        <w:rPr>
          <w:rFonts w:ascii="宋体" w:hAnsi="宋体" w:cs="仿宋"/>
          <w:color w:val="auto"/>
          <w:kern w:val="0"/>
          <w:sz w:val="24"/>
          <w:highlight w:val="none"/>
        </w:rPr>
      </w:pPr>
      <w:r>
        <w:rPr>
          <w:rFonts w:hint="eastAsia" w:ascii="宋体" w:hAnsi="宋体" w:cs="仿宋"/>
          <w:color w:val="auto"/>
          <w:sz w:val="24"/>
          <w:highlight w:val="none"/>
        </w:rPr>
        <w:t>4.3、产品安装验收合格后，</w:t>
      </w:r>
      <w:r>
        <w:rPr>
          <w:rFonts w:hint="eastAsia" w:ascii="宋体" w:hAnsi="宋体" w:cs="宋体"/>
          <w:color w:val="auto"/>
          <w:kern w:val="0"/>
          <w:sz w:val="24"/>
          <w:highlight w:val="none"/>
        </w:rPr>
        <w:t>免费提供系统管理员的系统维护培训及必要的支撑技术培训</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保证学校不同的使用人员能够完全掌握对平台和系统的全部运行、操作、维护和故障分析等工作。</w:t>
      </w:r>
      <w:r>
        <w:rPr>
          <w:rFonts w:hint="eastAsia" w:ascii="宋体" w:hAnsi="宋体" w:cs="宋体"/>
          <w:color w:val="auto"/>
          <w:kern w:val="0"/>
          <w:sz w:val="24"/>
          <w:highlight w:val="none"/>
          <w:lang w:val="zh-CN"/>
        </w:rPr>
        <w:t>若有产品质量问题，由</w:t>
      </w:r>
      <w:r>
        <w:rPr>
          <w:rFonts w:hint="eastAsia" w:ascii="宋体" w:hAnsi="宋体" w:cs="宋体"/>
          <w:color w:val="auto"/>
          <w:kern w:val="0"/>
          <w:sz w:val="24"/>
          <w:highlight w:val="none"/>
        </w:rPr>
        <w:t>乙方</w:t>
      </w:r>
      <w:r>
        <w:rPr>
          <w:rFonts w:hint="eastAsia" w:ascii="宋体" w:hAnsi="宋体" w:cs="宋体"/>
          <w:color w:val="auto"/>
          <w:kern w:val="0"/>
          <w:sz w:val="24"/>
          <w:highlight w:val="none"/>
          <w:lang w:val="zh-CN"/>
        </w:rPr>
        <w:t>负责免费更换或维修。产品使用中，接到</w:t>
      </w:r>
      <w:r>
        <w:rPr>
          <w:rFonts w:hint="eastAsia" w:ascii="宋体" w:hAnsi="宋体" w:cs="宋体"/>
          <w:color w:val="auto"/>
          <w:kern w:val="0"/>
          <w:sz w:val="24"/>
          <w:highlight w:val="none"/>
        </w:rPr>
        <w:t>甲方</w:t>
      </w:r>
      <w:r>
        <w:rPr>
          <w:rFonts w:hint="eastAsia" w:ascii="宋体" w:hAnsi="宋体" w:cs="宋体"/>
          <w:color w:val="auto"/>
          <w:kern w:val="0"/>
          <w:sz w:val="24"/>
          <w:highlight w:val="none"/>
          <w:lang w:val="zh-CN"/>
        </w:rPr>
        <w:t>维修电话通知后，在一小时内提供技术指导或远程维护，如需要在24小时（省外单位48小时）内派出技术人员到达用户现场进行相关服务。</w:t>
      </w:r>
    </w:p>
    <w:p w14:paraId="7805ADF3">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五、交货及安装调试</w:t>
      </w:r>
    </w:p>
    <w:p w14:paraId="3350212C">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5.1、</w:t>
      </w:r>
      <w:r>
        <w:rPr>
          <w:rFonts w:hint="eastAsia" w:ascii="宋体" w:hAnsi="宋体" w:cs="宋体"/>
          <w:sz w:val="24"/>
          <w:szCs w:val="20"/>
        </w:rPr>
        <w:t>本项目要求在合同签订之日起</w:t>
      </w:r>
      <w:r>
        <w:rPr>
          <w:rFonts w:hint="eastAsia" w:ascii="宋体" w:hAnsi="宋体" w:cs="宋体"/>
          <w:sz w:val="24"/>
          <w:szCs w:val="20"/>
          <w:lang w:val="en-US" w:eastAsia="zh-CN"/>
        </w:rPr>
        <w:t>30</w:t>
      </w:r>
      <w:r>
        <w:rPr>
          <w:rFonts w:hint="eastAsia" w:ascii="宋体" w:hAnsi="宋体" w:cs="宋体"/>
          <w:sz w:val="24"/>
          <w:szCs w:val="20"/>
        </w:rPr>
        <w:t>个工作日内完成交付</w:t>
      </w:r>
      <w:r>
        <w:rPr>
          <w:rFonts w:hint="eastAsia" w:ascii="宋体" w:hAnsi="宋体" w:cs="仿宋"/>
          <w:color w:val="auto"/>
          <w:sz w:val="24"/>
          <w:highlight w:val="none"/>
        </w:rPr>
        <w:t>。</w:t>
      </w:r>
    </w:p>
    <w:p w14:paraId="4D1940F3">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5.2、所有货物须按合同指定地点、时间前安装调试合格并交付使用。</w:t>
      </w:r>
    </w:p>
    <w:p w14:paraId="27B313A5">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①交货地点：送至甲方指定的地点并负责安装、调试。</w:t>
      </w:r>
    </w:p>
    <w:p w14:paraId="1DAD501C">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②发货到甲方指定地点时应先用函、电通告甲方。</w:t>
      </w:r>
    </w:p>
    <w:p w14:paraId="5FEBDDF4">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5.3、货物交货时，应提供到货的清单，具体还包括但不限于以下的内容：</w:t>
      </w:r>
    </w:p>
    <w:p w14:paraId="2D8B7236">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①产品出厂检验合格证，制造商全称、配套件的名称、型号、规格等。</w:t>
      </w:r>
    </w:p>
    <w:p w14:paraId="60C900DF">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②完备的使用说明书。</w:t>
      </w:r>
    </w:p>
    <w:p w14:paraId="2662EF33">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5.4、乙方须负责进行设备安装调试服务并承担因此发生的一切费用。</w:t>
      </w:r>
    </w:p>
    <w:p w14:paraId="5DBDA795">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5.5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01C9E2B4">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六、验收要求</w:t>
      </w:r>
    </w:p>
    <w:p w14:paraId="476B30A2">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6.1、验收标准：乙方提供的产品必须满足招标文件中所列具体配置、技术条件及功能要求和甲方承诺的其它指标。</w:t>
      </w:r>
    </w:p>
    <w:p w14:paraId="523B6664">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6.2、甲方有权要求乙方就产品及技术参数进行逐条演示、检测验收，如验收不合格，甲方有权终止合同，拒收未供产品，并没收已供货物，甲方保留追究因此造成的一切损失的权利。</w:t>
      </w:r>
    </w:p>
    <w:p w14:paraId="45ACB4C3">
      <w:pPr>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6.3、如现场不能维修解决的故障问题，须提供故障不能排除时的解决方案。</w:t>
      </w:r>
    </w:p>
    <w:p w14:paraId="72541B24">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七、违约责任</w:t>
      </w:r>
    </w:p>
    <w:p w14:paraId="754CFAF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合同一方不履行合同义务或者履行合同义务不符合约定的，应当承担继续履行、采取补救措施或赔偿损失等违约责任。</w:t>
      </w:r>
    </w:p>
    <w:p w14:paraId="4FBA2AD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7.1甲方违约责任</w:t>
      </w:r>
    </w:p>
    <w:p w14:paraId="04DBFEA9">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7.1.1在合同生效后，非乙方原因甲方要求退货的，应向乙方偿付合同总价款的</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%，作为违约金，违约金不足以补偿损失的，乙方有权要求甲方补足。</w:t>
      </w:r>
    </w:p>
    <w:p w14:paraId="6269D24B">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7.1.2甲方违反合同规定，拒绝接收乙方交付的合格标的物，应当承担乙方由此造成的损失。</w:t>
      </w:r>
    </w:p>
    <w:p w14:paraId="1B8CE01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7.2乙方违约责任</w:t>
      </w:r>
    </w:p>
    <w:p w14:paraId="5D8F46E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7.2.1乙方不能交货，或交货不合格从而影响甲方按期正常使用的，应向甲方偿付合同总价款</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%的违约金，违约金不足以补偿损失的，甲方有权要求乙方补足。</w:t>
      </w:r>
    </w:p>
    <w:p w14:paraId="28F5510E">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7.2.2乙方逾期交货的，每超过1天，中标单位应支付货款总额0.5%的违约金。应在发货前与甲方协商，甲方仍需求的，乙方应立即发货，按照逾期交货部分货款的每天</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支付逾期交货违约金，同时承担甲方因此遭致的损失费用。</w:t>
      </w:r>
    </w:p>
    <w:p w14:paraId="2E9283F1">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八、不可抗力</w:t>
      </w:r>
    </w:p>
    <w:p w14:paraId="341A2149">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8.1因不可抗力不能履行合同的，根据不可抗力的影响，部分或者全部免除责任。但合同一方延迟履行后发生不可抗力的，不能免除责任。</w:t>
      </w:r>
    </w:p>
    <w:p w14:paraId="4902629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8.2合同一方因不可抗力不能履行合同的，应当及时通知对方，以减轻可能给对方造成的损失，并应当在合理期限内提供证明。</w:t>
      </w:r>
    </w:p>
    <w:p w14:paraId="5BB2EF6E">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九、索赔</w:t>
      </w:r>
    </w:p>
    <w:p w14:paraId="38E450F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9.1甲方有权根据当地产品质量检验机构或其他有权部门出具的检验证书向乙方提出索赔。</w:t>
      </w:r>
    </w:p>
    <w:p w14:paraId="670047C8">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9.2在本合同规定的检验期限和质保期内，如果乙方对甲方提出的索赔或差异有责任，则乙方应按甲方同意的下列一种或多种方式解决索赔事宜：</w:t>
      </w:r>
    </w:p>
    <w:p w14:paraId="328DF260">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9.2.1乙方同意退货，并按合同规定的货币将货款退还给甲方，并且承担由此发生的一切损失和费用，包括利息、银行手续费、运费、保险费、检验费、仓储费、装卸费以及为保护退回标的物所需的其他必要费用。</w:t>
      </w:r>
    </w:p>
    <w:p w14:paraId="5711B674">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9.2.2根据标的物的低劣程度、损坏程度以及甲方遭受损失的数额，经双方协商确定降低标的物的价格。</w:t>
      </w:r>
    </w:p>
    <w:p w14:paraId="075F60A3">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5F83FB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十、履约保证金</w:t>
      </w:r>
    </w:p>
    <w:p w14:paraId="1A359F69">
      <w:pPr>
        <w:snapToGrid w:val="0"/>
        <w:spacing w:line="440" w:lineRule="exact"/>
        <w:ind w:firstLine="494" w:firstLineChars="206"/>
        <w:rPr>
          <w:rFonts w:ascii="宋体" w:hAnsi="宋体" w:cs="仿宋"/>
          <w:color w:val="auto"/>
          <w:sz w:val="24"/>
          <w:highlight w:val="none"/>
        </w:rPr>
      </w:pPr>
      <w:r>
        <w:rPr>
          <w:rFonts w:hint="eastAsia" w:ascii="宋体" w:hAnsi="宋体" w:cs="仿宋"/>
          <w:color w:val="auto"/>
          <w:sz w:val="24"/>
          <w:highlight w:val="none"/>
        </w:rPr>
        <w:t>10.1乙方按采购文件规定缴纳了</w:t>
      </w:r>
      <w:r>
        <w:rPr>
          <w:rFonts w:hint="eastAsia" w:ascii="宋体" w:hAnsi="宋体" w:cs="仿宋"/>
          <w:color w:val="auto"/>
          <w:kern w:val="0"/>
          <w:sz w:val="24"/>
          <w:highlight w:val="none"/>
        </w:rPr>
        <w:t>合同总价款</w:t>
      </w:r>
      <w:r>
        <w:rPr>
          <w:rFonts w:hint="eastAsia" w:ascii="宋体" w:hAnsi="宋体" w:cs="仿宋"/>
          <w:color w:val="auto"/>
          <w:kern w:val="0"/>
          <w:sz w:val="24"/>
          <w:highlight w:val="none"/>
          <w:u w:val="single"/>
        </w:rPr>
        <w:t xml:space="preserve"> 5 </w:t>
      </w:r>
      <w:r>
        <w:rPr>
          <w:rFonts w:hint="eastAsia" w:ascii="宋体" w:hAnsi="宋体" w:cs="仿宋"/>
          <w:color w:val="auto"/>
          <w:kern w:val="0"/>
          <w:sz w:val="24"/>
          <w:highlight w:val="none"/>
        </w:rPr>
        <w:t>%</w:t>
      </w:r>
      <w:r>
        <w:rPr>
          <w:rFonts w:hint="eastAsia" w:ascii="宋体" w:hAnsi="宋体" w:cs="仿宋"/>
          <w:color w:val="auto"/>
          <w:sz w:val="24"/>
          <w:highlight w:val="none"/>
        </w:rPr>
        <w:t>的履约保证金，在按要求保质保量的完成该项目合同并通过验收后，甲方凭乙方提交的申请，一次性无息退还该合同项目的履约保证金。</w:t>
      </w:r>
    </w:p>
    <w:p w14:paraId="559AB389">
      <w:pPr>
        <w:snapToGrid w:val="0"/>
        <w:spacing w:line="440" w:lineRule="exact"/>
        <w:ind w:firstLine="494" w:firstLineChars="206"/>
        <w:rPr>
          <w:rFonts w:ascii="宋体" w:hAnsi="宋体" w:cs="仿宋"/>
          <w:color w:val="auto"/>
          <w:sz w:val="24"/>
          <w:highlight w:val="none"/>
        </w:rPr>
      </w:pPr>
      <w:r>
        <w:rPr>
          <w:rFonts w:hint="eastAsia" w:ascii="宋体" w:hAnsi="宋体" w:cs="仿宋"/>
          <w:color w:val="auto"/>
          <w:sz w:val="24"/>
          <w:highlight w:val="none"/>
        </w:rPr>
        <w:t>10.2由于乙方原因，在签订合同后出现不按合同履行的情况，甲方有权将履约保证金作为违约金，全额不予退还，同时甲方亦有权终止合同，乙方还须承担相应的法律赔偿责任。</w:t>
      </w:r>
    </w:p>
    <w:p w14:paraId="36063548">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十一、合同的解除和转让</w:t>
      </w:r>
    </w:p>
    <w:p w14:paraId="324F64D4">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11.1甲方和乙方协商一致，可以解除合同。</w:t>
      </w:r>
    </w:p>
    <w:p w14:paraId="03EDF2B4">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11.2有下列情形之一，合同一方可以解除合同：</w:t>
      </w:r>
    </w:p>
    <w:p w14:paraId="6F2E9CE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11.2.1因不可抗力致使不能实现合同目的，未受不可抗力影响的一方有权解除合同；</w:t>
      </w:r>
    </w:p>
    <w:p w14:paraId="76DA6731">
      <w:pPr>
        <w:spacing w:line="44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11.2.2因合同一方违约导致合同不能履行，另一方有权解除合同；</w:t>
      </w:r>
    </w:p>
    <w:p w14:paraId="6511552B">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11.2.3有权解除合同的一方，应当在违约事实或不可抗力发生之后三十天内书面通知对方以主张解除合同，合同在书面通知到达对方时解除。</w:t>
      </w:r>
    </w:p>
    <w:p w14:paraId="05405C5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11.3合同的部分和全部都不得转让。</w:t>
      </w:r>
    </w:p>
    <w:p w14:paraId="6C8081CC">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十二、合同的生效</w:t>
      </w:r>
    </w:p>
    <w:p w14:paraId="0729D485">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本合同在乙方按规定缴纳了履约保证金且甲乙双方签字盖章后即生效。</w:t>
      </w:r>
    </w:p>
    <w:p w14:paraId="72E740E7">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十三、争议的解决</w:t>
      </w:r>
    </w:p>
    <w:p w14:paraId="217CDE66">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甲乙双方因合同发生争议，应在采购人的主持下进行调解，协商不成，任何一方可以向南通仲裁委员会申请仲裁解决。</w:t>
      </w:r>
    </w:p>
    <w:p w14:paraId="0C430453">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十四、附则</w:t>
      </w:r>
    </w:p>
    <w:p w14:paraId="587CD9B2">
      <w:pPr>
        <w:spacing w:line="440" w:lineRule="exact"/>
        <w:ind w:firstLine="484" w:firstLineChars="202"/>
        <w:rPr>
          <w:rFonts w:ascii="宋体" w:hAnsi="宋体" w:cs="仿宋"/>
          <w:color w:val="auto"/>
          <w:sz w:val="24"/>
          <w:highlight w:val="none"/>
        </w:rPr>
      </w:pPr>
      <w:r>
        <w:rPr>
          <w:rFonts w:hint="eastAsia" w:ascii="宋体" w:hAnsi="宋体" w:cs="仿宋"/>
          <w:color w:val="auto"/>
          <w:kern w:val="0"/>
          <w:sz w:val="24"/>
          <w:highlight w:val="none"/>
        </w:rPr>
        <w:t>14.1</w:t>
      </w:r>
      <w:r>
        <w:rPr>
          <w:rFonts w:hint="eastAsia" w:ascii="宋体" w:hAnsi="宋体" w:cs="仿宋"/>
          <w:color w:val="auto"/>
          <w:sz w:val="24"/>
          <w:highlight w:val="none"/>
        </w:rPr>
        <w:t>合同份数：本合同一式陆份，甲方伍份，乙方壹份。</w:t>
      </w:r>
    </w:p>
    <w:p w14:paraId="30FC83C2">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14.2本合同文件使用中文书写、解释和说明。</w:t>
      </w:r>
    </w:p>
    <w:p w14:paraId="4043F9E8">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14.3本合同履行过程中产生的纪要、协议以及中标通知书、询价响应文件和采购文件为本合同的附件，与合同具有同等效力。</w:t>
      </w:r>
    </w:p>
    <w:p w14:paraId="5EE0CFA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14.4未尽事宜</w:t>
      </w:r>
    </w:p>
    <w:p w14:paraId="4E2B967F">
      <w:pPr>
        <w:spacing w:line="440" w:lineRule="exact"/>
        <w:ind w:firstLine="484" w:firstLineChars="202"/>
        <w:rPr>
          <w:rFonts w:ascii="宋体" w:hAnsi="宋体" w:cs="仿宋"/>
          <w:color w:val="auto"/>
          <w:kern w:val="0"/>
          <w:sz w:val="24"/>
          <w:highlight w:val="none"/>
        </w:rPr>
      </w:pPr>
      <w:r>
        <w:rPr>
          <w:rFonts w:hint="eastAsia" w:ascii="宋体" w:hAnsi="宋体" w:cs="仿宋"/>
          <w:color w:val="auto"/>
          <w:kern w:val="0"/>
          <w:sz w:val="24"/>
          <w:highlight w:val="none"/>
        </w:rPr>
        <w:t>本合同未尽事宜应按照《中华人民共和国民法典》、《中华人民共和国产品质量法》及其相关配套法律法规之规定解释。</w:t>
      </w:r>
    </w:p>
    <w:p w14:paraId="187F4144">
      <w:pPr>
        <w:spacing w:line="440" w:lineRule="exact"/>
        <w:ind w:firstLine="484" w:firstLineChars="202"/>
        <w:rPr>
          <w:rFonts w:ascii="宋体" w:hAnsi="宋体" w:cs="仿宋"/>
          <w:color w:val="auto"/>
          <w:kern w:val="0"/>
          <w:sz w:val="24"/>
          <w:highlight w:val="none"/>
        </w:rPr>
      </w:pPr>
    </w:p>
    <w:p w14:paraId="543173BC">
      <w:pPr>
        <w:spacing w:after="60" w:line="440" w:lineRule="exact"/>
        <w:rPr>
          <w:rFonts w:ascii="宋体" w:hAnsi="宋体" w:cs="仿宋"/>
          <w:color w:val="auto"/>
          <w:sz w:val="24"/>
          <w:highlight w:val="none"/>
        </w:rPr>
      </w:pPr>
      <w:r>
        <w:rPr>
          <w:rFonts w:hint="eastAsia" w:ascii="宋体" w:hAnsi="宋体" w:cs="仿宋"/>
          <w:color w:val="auto"/>
          <w:sz w:val="24"/>
          <w:highlight w:val="none"/>
        </w:rPr>
        <w:t xml:space="preserve">采购人（或甲方）： </w:t>
      </w:r>
      <w:r>
        <w:rPr>
          <w:rFonts w:hint="eastAsia" w:ascii="宋体" w:hAnsi="宋体" w:cs="仿宋"/>
          <w:color w:val="auto"/>
          <w:sz w:val="24"/>
          <w:highlight w:val="none"/>
          <w:lang w:val="en-US" w:eastAsia="zh-CN"/>
        </w:rPr>
        <w:t xml:space="preserve"> </w:t>
      </w:r>
      <w:r>
        <w:rPr>
          <w:rFonts w:hint="eastAsia" w:ascii="宋体" w:hAnsi="宋体" w:cs="仿宋"/>
          <w:color w:val="auto"/>
          <w:sz w:val="24"/>
          <w:highlight w:val="none"/>
        </w:rPr>
        <w:t xml:space="preserve">           成交供应商（或乙方）：</w:t>
      </w:r>
    </w:p>
    <w:p w14:paraId="2FB4652B">
      <w:pPr>
        <w:spacing w:after="60" w:line="440" w:lineRule="exact"/>
        <w:rPr>
          <w:rFonts w:ascii="宋体" w:hAnsi="宋体" w:cs="仿宋"/>
          <w:color w:val="auto"/>
          <w:sz w:val="24"/>
          <w:highlight w:val="none"/>
        </w:rPr>
      </w:pPr>
      <w:r>
        <w:rPr>
          <w:rFonts w:hint="eastAsia" w:ascii="宋体" w:hAnsi="宋体" w:cs="仿宋"/>
          <w:color w:val="auto"/>
          <w:sz w:val="24"/>
          <w:highlight w:val="none"/>
        </w:rPr>
        <w:t>法定代表人：                  法定代表人：</w:t>
      </w:r>
    </w:p>
    <w:p w14:paraId="38152E58">
      <w:pPr>
        <w:spacing w:after="60" w:line="440" w:lineRule="exact"/>
        <w:rPr>
          <w:rFonts w:ascii="宋体" w:hAnsi="宋体"/>
          <w:color w:val="auto"/>
          <w:sz w:val="24"/>
          <w:highlight w:val="none"/>
        </w:rPr>
      </w:pPr>
      <w:r>
        <w:rPr>
          <w:rFonts w:hint="eastAsia" w:ascii="宋体" w:hAnsi="宋体" w:cs="仿宋"/>
          <w:color w:val="auto"/>
          <w:sz w:val="24"/>
          <w:highlight w:val="none"/>
        </w:rPr>
        <w:t>委托代理人：                  委托代理人：</w:t>
      </w:r>
    </w:p>
    <w:p w14:paraId="736B7557">
      <w:pPr>
        <w:rPr>
          <w:color w:val="auto"/>
          <w:highlight w:val="none"/>
        </w:rPr>
      </w:pPr>
    </w:p>
    <w:p w14:paraId="263AAAE5">
      <w:pPr>
        <w:adjustRightInd w:val="0"/>
        <w:snapToGrid w:val="0"/>
        <w:spacing w:line="460" w:lineRule="exact"/>
        <w:jc w:val="center"/>
        <w:textAlignment w:val="baseline"/>
        <w:outlineLvl w:val="0"/>
        <w:rPr>
          <w:rFonts w:ascii="宋体" w:hAnsi="宋体" w:cs="宋体"/>
          <w:bCs/>
          <w:color w:val="auto"/>
          <w:sz w:val="32"/>
          <w:szCs w:val="32"/>
          <w:highlight w:val="none"/>
        </w:rPr>
      </w:pPr>
    </w:p>
    <w:p w14:paraId="3EB57E70">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417E850">
      <w:pPr>
        <w:adjustRightInd w:val="0"/>
        <w:snapToGrid w:val="0"/>
        <w:spacing w:line="460" w:lineRule="exact"/>
        <w:jc w:val="center"/>
        <w:textAlignment w:val="baseline"/>
        <w:outlineLvl w:val="0"/>
        <w:rPr>
          <w:rFonts w:ascii="宋体" w:hAnsi="宋体" w:cs="宋体"/>
          <w:bCs/>
          <w:color w:val="auto"/>
          <w:sz w:val="32"/>
          <w:szCs w:val="32"/>
          <w:highlight w:val="none"/>
        </w:rPr>
      </w:pPr>
    </w:p>
    <w:p w14:paraId="2B0BD743">
      <w:pPr>
        <w:adjustRightInd w:val="0"/>
        <w:snapToGrid w:val="0"/>
        <w:spacing w:line="460" w:lineRule="exact"/>
        <w:jc w:val="center"/>
        <w:textAlignment w:val="baseline"/>
        <w:outlineLvl w:val="0"/>
        <w:rPr>
          <w:rFonts w:ascii="宋体" w:hAnsi="宋体" w:cs="宋体"/>
          <w:bCs/>
          <w:color w:val="auto"/>
          <w:sz w:val="32"/>
          <w:szCs w:val="32"/>
          <w:highlight w:val="none"/>
        </w:rPr>
      </w:pPr>
    </w:p>
    <w:p w14:paraId="7B5F89E7">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4A41562">
      <w:pPr>
        <w:adjustRightInd w:val="0"/>
        <w:snapToGrid w:val="0"/>
        <w:spacing w:line="460" w:lineRule="exact"/>
        <w:jc w:val="center"/>
        <w:textAlignment w:val="baseline"/>
        <w:outlineLvl w:val="0"/>
        <w:rPr>
          <w:rFonts w:ascii="宋体" w:hAnsi="宋体" w:cs="宋体"/>
          <w:bCs/>
          <w:color w:val="auto"/>
          <w:sz w:val="32"/>
          <w:szCs w:val="32"/>
          <w:highlight w:val="none"/>
        </w:rPr>
      </w:pPr>
    </w:p>
    <w:p w14:paraId="11257062">
      <w:pPr>
        <w:adjustRightInd w:val="0"/>
        <w:snapToGrid w:val="0"/>
        <w:spacing w:line="460" w:lineRule="exact"/>
        <w:jc w:val="center"/>
        <w:textAlignment w:val="baseline"/>
        <w:outlineLvl w:val="0"/>
        <w:rPr>
          <w:rFonts w:ascii="宋体" w:hAnsi="宋体" w:cs="宋体"/>
          <w:bCs/>
          <w:color w:val="auto"/>
          <w:sz w:val="32"/>
          <w:szCs w:val="32"/>
          <w:highlight w:val="none"/>
        </w:rPr>
      </w:pPr>
    </w:p>
    <w:p w14:paraId="42FD7D29">
      <w:pPr>
        <w:adjustRightInd w:val="0"/>
        <w:snapToGrid w:val="0"/>
        <w:spacing w:line="460" w:lineRule="exact"/>
        <w:jc w:val="center"/>
        <w:textAlignment w:val="baseline"/>
        <w:outlineLvl w:val="0"/>
        <w:rPr>
          <w:rFonts w:ascii="宋体" w:hAnsi="宋体" w:cs="宋体"/>
          <w:bCs/>
          <w:color w:val="auto"/>
          <w:sz w:val="32"/>
          <w:szCs w:val="32"/>
          <w:highlight w:val="none"/>
        </w:rPr>
      </w:pPr>
    </w:p>
    <w:p w14:paraId="06409F08">
      <w:pPr>
        <w:adjustRightInd w:val="0"/>
        <w:snapToGrid w:val="0"/>
        <w:spacing w:line="460" w:lineRule="exact"/>
        <w:jc w:val="center"/>
        <w:textAlignment w:val="baseline"/>
        <w:outlineLvl w:val="0"/>
        <w:rPr>
          <w:rFonts w:ascii="宋体" w:hAnsi="宋体" w:cs="宋体"/>
          <w:bCs/>
          <w:color w:val="auto"/>
          <w:sz w:val="32"/>
          <w:szCs w:val="32"/>
          <w:highlight w:val="none"/>
        </w:rPr>
      </w:pPr>
    </w:p>
    <w:p w14:paraId="0A93D951">
      <w:pPr>
        <w:adjustRightInd w:val="0"/>
        <w:snapToGrid w:val="0"/>
        <w:spacing w:line="460" w:lineRule="exact"/>
        <w:jc w:val="center"/>
        <w:textAlignment w:val="baseline"/>
        <w:outlineLvl w:val="0"/>
        <w:rPr>
          <w:rFonts w:ascii="宋体" w:hAnsi="宋体" w:cs="宋体"/>
          <w:bCs/>
          <w:color w:val="auto"/>
          <w:sz w:val="32"/>
          <w:szCs w:val="32"/>
          <w:highlight w:val="none"/>
        </w:rPr>
      </w:pPr>
    </w:p>
    <w:p w14:paraId="3D3E5C5A">
      <w:pPr>
        <w:adjustRightInd w:val="0"/>
        <w:snapToGrid w:val="0"/>
        <w:spacing w:line="460" w:lineRule="exact"/>
        <w:ind w:firstLine="720" w:firstLineChars="200"/>
        <w:jc w:val="center"/>
        <w:rPr>
          <w:rFonts w:ascii="宋体" w:hAnsi="宋体" w:cs="宋体"/>
          <w:bCs/>
          <w:color w:val="auto"/>
          <w:sz w:val="36"/>
          <w:szCs w:val="36"/>
          <w:highlight w:val="none"/>
        </w:rPr>
      </w:pPr>
      <w:r>
        <w:rPr>
          <w:rFonts w:hint="eastAsia" w:ascii="宋体" w:hAnsi="宋体" w:cs="宋体"/>
          <w:bCs/>
          <w:color w:val="auto"/>
          <w:sz w:val="36"/>
          <w:szCs w:val="36"/>
          <w:highlight w:val="none"/>
        </w:rPr>
        <w:t>第</w:t>
      </w:r>
      <w:r>
        <w:rPr>
          <w:rFonts w:hint="eastAsia" w:ascii="宋体" w:hAnsi="宋体" w:cs="宋体"/>
          <w:bCs/>
          <w:color w:val="auto"/>
          <w:sz w:val="36"/>
          <w:szCs w:val="36"/>
          <w:highlight w:val="none"/>
          <w:lang w:val="en-US" w:eastAsia="zh-CN"/>
        </w:rPr>
        <w:t>六</w:t>
      </w:r>
      <w:r>
        <w:rPr>
          <w:rFonts w:hint="eastAsia" w:ascii="宋体" w:hAnsi="宋体" w:cs="宋体"/>
          <w:bCs/>
          <w:color w:val="auto"/>
          <w:sz w:val="36"/>
          <w:szCs w:val="36"/>
          <w:highlight w:val="none"/>
        </w:rPr>
        <w:t>部分  投标文件组成</w:t>
      </w:r>
    </w:p>
    <w:p w14:paraId="2B101D34">
      <w:pPr>
        <w:adjustRightInd w:val="0"/>
        <w:snapToGrid w:val="0"/>
        <w:spacing w:line="46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投标文件由资格审查文件、商务技术标、价格标、电子响应文件四部分组成。</w:t>
      </w:r>
    </w:p>
    <w:p w14:paraId="56C7AD59">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一、资格审查文件（不能出现商务技术标、价格标）</w:t>
      </w:r>
    </w:p>
    <w:p w14:paraId="46D6D20A">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符合投标人资格要求的承诺函（格式见附件1）</w:t>
      </w:r>
      <w:r>
        <w:rPr>
          <w:rFonts w:hint="eastAsia" w:ascii="宋体" w:hAnsi="宋体" w:cs="宋体"/>
          <w:color w:val="auto"/>
          <w:kern w:val="0"/>
          <w:sz w:val="24"/>
          <w:highlight w:val="none"/>
          <w:lang w:val="zh-CN"/>
        </w:rPr>
        <w:t>；</w:t>
      </w:r>
    </w:p>
    <w:p w14:paraId="49342D34">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2.提供法定代表人身份证明及法定代表人本人身份证复印件(须加盖单位公章)（格式见附件</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）;非法定代表人参加投标的，还必须提供法定代表人签字或印章的授权委托书及被授权人本人身份证复印件(须加盖单位公章)（格式见附件</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w:t>
      </w:r>
    </w:p>
    <w:p w14:paraId="4685CFA5">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.有效的营业执照副本复印件并加盖投标单位公章；</w:t>
      </w:r>
    </w:p>
    <w:p w14:paraId="3C77C474">
      <w:pPr>
        <w:adjustRightInd w:val="0"/>
        <w:snapToGrid w:val="0"/>
        <w:spacing w:line="46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4.具备履行合同所必需的设备和专业技术能力的书面声明（</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4）；</w:t>
      </w:r>
    </w:p>
    <w:p w14:paraId="09E26B1D">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5.未被“信用中国”网站列入失信被执行人、重大税收违法案件当事人名单、采购不良行为记录名单，提供无重大违法记录声明（</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rPr>
        <w:t>5）；</w:t>
      </w:r>
    </w:p>
    <w:p w14:paraId="10743623">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二、商务技术标（不能出现价格标）</w:t>
      </w:r>
    </w:p>
    <w:p w14:paraId="36EB29D5">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sz w:val="24"/>
          <w:highlight w:val="none"/>
        </w:rPr>
        <w:t>投标响应函</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w:t>
      </w:r>
    </w:p>
    <w:p w14:paraId="6059E549">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商务部分正负偏离表（格式见附件</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val="zh-CN"/>
        </w:rPr>
        <w:t>）；</w:t>
      </w:r>
    </w:p>
    <w:p w14:paraId="4F409E83">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技术部分正负偏离表（格式见附件</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w:t>
      </w:r>
    </w:p>
    <w:p w14:paraId="3776FDC4">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val="zh-CN"/>
        </w:rPr>
        <w:t>商务技术评分标准中须提供的相关得分佐证材料；</w:t>
      </w:r>
    </w:p>
    <w:p w14:paraId="59DD4A74">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5.</w:t>
      </w:r>
      <w:r>
        <w:rPr>
          <w:rFonts w:hint="eastAsia" w:ascii="宋体" w:hAnsi="宋体" w:cs="宋体"/>
          <w:color w:val="auto"/>
          <w:kern w:val="0"/>
          <w:sz w:val="24"/>
          <w:highlight w:val="none"/>
          <w:lang w:val="zh-CN"/>
        </w:rPr>
        <w:t>投标人认为需要提交的其他商务技术材料。</w:t>
      </w:r>
    </w:p>
    <w:p w14:paraId="3D3AF6A0">
      <w:pPr>
        <w:adjustRightInd w:val="0"/>
        <w:snapToGrid w:val="0"/>
        <w:spacing w:line="460" w:lineRule="exact"/>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三、价格标</w:t>
      </w:r>
    </w:p>
    <w:p w14:paraId="6F43E746">
      <w:pPr>
        <w:adjustRightInd w:val="0"/>
        <w:snapToGrid w:val="0"/>
        <w:spacing w:line="46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rPr>
        <w:t>价格表响应文件</w:t>
      </w:r>
      <w:r>
        <w:rPr>
          <w:rFonts w:hint="eastAsia" w:ascii="宋体" w:hAnsi="宋体" w:cs="宋体"/>
          <w:color w:val="auto"/>
          <w:kern w:val="0"/>
          <w:sz w:val="24"/>
          <w:highlight w:val="none"/>
          <w:lang w:val="zh-CN"/>
        </w:rPr>
        <w:t>（格式见附件</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w:t>
      </w:r>
    </w:p>
    <w:p w14:paraId="21A0E765">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2.分项报价表（格式见附件</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w:t>
      </w:r>
    </w:p>
    <w:p w14:paraId="02C13F40">
      <w:pPr>
        <w:adjustRightInd w:val="0"/>
        <w:snapToGrid w:val="0"/>
        <w:spacing w:line="4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四、电子响应文件（一份、单独密封提交）</w:t>
      </w:r>
    </w:p>
    <w:p w14:paraId="31F1B588">
      <w:pPr>
        <w:adjustRightInd w:val="0"/>
        <w:snapToGrid w:val="0"/>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电子响应文件的内容为“资格审查文件、商务技术标、价格标”的打印盖章（或电子签章）后的响应文件的扫描件（资格审查文件、商务技术标、价格标需分别逐页连续扫描为三个独立的PDF文件）。</w:t>
      </w:r>
    </w:p>
    <w:p w14:paraId="397CDA78">
      <w:pPr>
        <w:snapToGrid w:val="0"/>
        <w:spacing w:line="460" w:lineRule="exact"/>
        <w:contextualSpacing/>
        <w:rPr>
          <w:rFonts w:ascii="宋体" w:hAnsi="宋体" w:cs="宋体"/>
          <w:color w:val="auto"/>
          <w:kern w:val="0"/>
          <w:sz w:val="32"/>
          <w:szCs w:val="32"/>
          <w:highlight w:val="none"/>
          <w:lang w:val="zh-CN"/>
        </w:rPr>
      </w:pPr>
      <w:r>
        <w:rPr>
          <w:rFonts w:hint="eastAsia" w:ascii="宋体" w:hAnsi="宋体" w:cs="宋体"/>
          <w:color w:val="auto"/>
          <w:kern w:val="0"/>
          <w:sz w:val="32"/>
          <w:szCs w:val="32"/>
          <w:highlight w:val="none"/>
          <w:lang w:val="zh-CN"/>
        </w:rPr>
        <w:br w:type="page"/>
      </w:r>
      <w:r>
        <w:rPr>
          <w:rFonts w:hint="eastAsia" w:ascii="宋体" w:hAnsi="宋体" w:cs="宋体"/>
          <w:color w:val="auto"/>
          <w:kern w:val="0"/>
          <w:sz w:val="32"/>
          <w:szCs w:val="32"/>
          <w:highlight w:val="none"/>
          <w:lang w:val="zh-CN"/>
        </w:rPr>
        <w:t>附件1</w:t>
      </w:r>
    </w:p>
    <w:p w14:paraId="7B11E214">
      <w:pPr>
        <w:spacing w:line="460" w:lineRule="exact"/>
        <w:jc w:val="center"/>
        <w:rPr>
          <w:rFonts w:ascii="宋体" w:hAnsi="宋体" w:cs="宋体"/>
          <w:b/>
          <w:color w:val="auto"/>
          <w:sz w:val="30"/>
          <w:szCs w:val="30"/>
          <w:highlight w:val="none"/>
        </w:rPr>
      </w:pPr>
    </w:p>
    <w:p w14:paraId="479E77D0">
      <w:pPr>
        <w:spacing w:line="460" w:lineRule="exact"/>
        <w:jc w:val="center"/>
        <w:rPr>
          <w:rFonts w:ascii="宋体" w:hAnsi="宋体" w:cs="宋体"/>
          <w:b/>
          <w:color w:val="auto"/>
          <w:sz w:val="30"/>
          <w:szCs w:val="30"/>
          <w:highlight w:val="none"/>
        </w:rPr>
      </w:pPr>
    </w:p>
    <w:p w14:paraId="2252C020">
      <w:pPr>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符合投标人资格要求的承诺函</w:t>
      </w:r>
    </w:p>
    <w:p w14:paraId="36B8AF89">
      <w:pPr>
        <w:spacing w:line="460" w:lineRule="exact"/>
        <w:rPr>
          <w:rFonts w:ascii="宋体" w:hAnsi="宋体" w:cs="宋体"/>
          <w:b/>
          <w:bCs/>
          <w:color w:val="auto"/>
          <w:sz w:val="44"/>
          <w:szCs w:val="44"/>
          <w:highlight w:val="none"/>
        </w:rPr>
      </w:pPr>
      <w:r>
        <w:rPr>
          <w:rFonts w:hint="eastAsia" w:ascii="宋体" w:hAnsi="宋体" w:cs="宋体"/>
          <w:b/>
          <w:bCs/>
          <w:color w:val="auto"/>
          <w:sz w:val="24"/>
          <w:szCs w:val="21"/>
          <w:highlight w:val="none"/>
        </w:rPr>
        <w:t xml:space="preserve">                       </w:t>
      </w:r>
      <w:r>
        <w:rPr>
          <w:rFonts w:hint="eastAsia" w:ascii="宋体" w:hAnsi="宋体" w:cs="宋体"/>
          <w:b/>
          <w:bCs/>
          <w:color w:val="auto"/>
          <w:sz w:val="44"/>
          <w:szCs w:val="44"/>
          <w:highlight w:val="none"/>
        </w:rPr>
        <w:t xml:space="preserve">   </w:t>
      </w:r>
    </w:p>
    <w:p w14:paraId="56767C74">
      <w:pPr>
        <w:spacing w:line="46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szCs w:val="21"/>
          <w:highlight w:val="none"/>
          <w:u w:val="single"/>
        </w:rPr>
        <w:t>________________ _</w:t>
      </w:r>
      <w:r>
        <w:rPr>
          <w:rFonts w:hint="eastAsia" w:ascii="宋体" w:hAnsi="宋体" w:cs="宋体"/>
          <w:bCs/>
          <w:color w:val="auto"/>
          <w:sz w:val="24"/>
          <w:szCs w:val="21"/>
          <w:highlight w:val="none"/>
        </w:rPr>
        <w:t>（项目名称），</w:t>
      </w:r>
      <w:r>
        <w:rPr>
          <w:rFonts w:hint="eastAsia" w:ascii="宋体" w:hAnsi="宋体" w:cs="宋体"/>
          <w:bCs/>
          <w:color w:val="auto"/>
          <w:sz w:val="24"/>
          <w:szCs w:val="21"/>
          <w:highlight w:val="none"/>
          <w:u w:val="single"/>
        </w:rPr>
        <w:t>_______ __________</w:t>
      </w:r>
      <w:r>
        <w:rPr>
          <w:rFonts w:hint="eastAsia" w:ascii="宋体" w:hAnsi="宋体" w:cs="宋体"/>
          <w:bCs/>
          <w:color w:val="auto"/>
          <w:sz w:val="24"/>
          <w:szCs w:val="21"/>
          <w:highlight w:val="none"/>
        </w:rPr>
        <w:t>（项目编号）投标活动。现做出如下承诺：</w:t>
      </w:r>
    </w:p>
    <w:p w14:paraId="762D85AD">
      <w:pPr>
        <w:spacing w:line="460" w:lineRule="exact"/>
        <w:ind w:firstLine="480" w:firstLineChars="200"/>
        <w:rPr>
          <w:rFonts w:ascii="宋体" w:hAnsi="宋体" w:cs="宋体"/>
          <w:color w:val="auto"/>
          <w:sz w:val="24"/>
          <w:highlight w:val="none"/>
        </w:rPr>
      </w:pPr>
      <w:r>
        <w:rPr>
          <w:rFonts w:hint="eastAsia" w:ascii="宋体" w:hAnsi="宋体" w:cs="宋体"/>
          <w:bCs/>
          <w:color w:val="auto"/>
          <w:sz w:val="24"/>
          <w:szCs w:val="21"/>
          <w:highlight w:val="none"/>
        </w:rPr>
        <w:t>1.我单位具有独立承担民事责任的能力；</w:t>
      </w:r>
    </w:p>
    <w:p w14:paraId="05A68C2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2.我单位具有良好的商业信誉和健全的财务会计制度；</w:t>
      </w:r>
    </w:p>
    <w:p w14:paraId="5F8FFE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3.我单位具有履行合同所必需的设备和专业技术能力；</w:t>
      </w:r>
    </w:p>
    <w:p w14:paraId="13118CC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4.我单位有依法缴纳税收和社会保障资金的良好记录；</w:t>
      </w:r>
    </w:p>
    <w:p w14:paraId="5C1E865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5.我单位参加采购活动前三年内，在经营活动中没有重大违法记录。</w:t>
      </w:r>
    </w:p>
    <w:p w14:paraId="3CDA22B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6.我单位满足法律、行政法规规定的其他条件。</w:t>
      </w:r>
    </w:p>
    <w:p w14:paraId="0459F0FA">
      <w:pPr>
        <w:spacing w:line="460" w:lineRule="exact"/>
        <w:ind w:firstLine="480" w:firstLineChars="200"/>
        <w:rPr>
          <w:rFonts w:ascii="宋体" w:hAnsi="宋体" w:cs="宋体"/>
          <w:color w:val="auto"/>
          <w:sz w:val="24"/>
          <w:highlight w:val="none"/>
        </w:rPr>
      </w:pPr>
    </w:p>
    <w:p w14:paraId="0644828F">
      <w:pPr>
        <w:spacing w:line="460" w:lineRule="exact"/>
        <w:ind w:firstLine="480" w:firstLineChars="200"/>
        <w:rPr>
          <w:rFonts w:ascii="宋体" w:hAnsi="宋体" w:cs="宋体"/>
          <w:color w:val="auto"/>
          <w:sz w:val="24"/>
          <w:highlight w:val="none"/>
        </w:rPr>
      </w:pPr>
    </w:p>
    <w:p w14:paraId="3E3EE934">
      <w:pPr>
        <w:spacing w:line="460" w:lineRule="exact"/>
        <w:ind w:firstLine="480" w:firstLineChars="200"/>
        <w:rPr>
          <w:rFonts w:ascii="宋体" w:hAnsi="宋体" w:cs="宋体"/>
          <w:bCs/>
          <w:color w:val="auto"/>
          <w:sz w:val="24"/>
          <w:szCs w:val="21"/>
          <w:highlight w:val="none"/>
        </w:rPr>
      </w:pPr>
    </w:p>
    <w:p w14:paraId="2E4975A8">
      <w:pPr>
        <w:spacing w:line="460" w:lineRule="exact"/>
        <w:ind w:firstLine="480" w:firstLineChars="200"/>
        <w:rPr>
          <w:rFonts w:ascii="宋体" w:hAnsi="宋体" w:cs="宋体"/>
          <w:bCs/>
          <w:color w:val="auto"/>
          <w:sz w:val="24"/>
          <w:szCs w:val="21"/>
          <w:highlight w:val="none"/>
        </w:rPr>
      </w:pPr>
    </w:p>
    <w:p w14:paraId="1ECB26DC">
      <w:pPr>
        <w:spacing w:line="460" w:lineRule="exact"/>
        <w:ind w:firstLine="480" w:firstLineChars="200"/>
        <w:rPr>
          <w:rFonts w:ascii="宋体" w:hAnsi="宋体" w:cs="宋体"/>
          <w:bCs/>
          <w:color w:val="auto"/>
          <w:sz w:val="24"/>
          <w:szCs w:val="21"/>
          <w:highlight w:val="none"/>
        </w:rPr>
      </w:pPr>
    </w:p>
    <w:p w14:paraId="4F7A61A3">
      <w:pPr>
        <w:spacing w:line="460" w:lineRule="exact"/>
        <w:ind w:firstLine="480" w:firstLineChars="200"/>
        <w:jc w:val="center"/>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承诺人名称（公章）：</w:t>
      </w:r>
    </w:p>
    <w:p w14:paraId="28341AB1">
      <w:pPr>
        <w:spacing w:line="460" w:lineRule="exact"/>
        <w:ind w:firstLine="480" w:firstLineChars="200"/>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w:t>
      </w:r>
    </w:p>
    <w:p w14:paraId="42389863">
      <w:pPr>
        <w:spacing w:line="460" w:lineRule="exact"/>
        <w:ind w:firstLine="480" w:firstLineChars="200"/>
        <w:jc w:val="right"/>
        <w:rPr>
          <w:rFonts w:ascii="宋体" w:hAnsi="宋体" w:cs="宋体"/>
          <w:bCs/>
          <w:color w:val="auto"/>
          <w:sz w:val="24"/>
          <w:szCs w:val="21"/>
          <w:highlight w:val="none"/>
        </w:rPr>
      </w:pPr>
      <w:r>
        <w:rPr>
          <w:rFonts w:hint="eastAsia" w:ascii="宋体" w:hAnsi="宋体" w:cs="宋体"/>
          <w:bCs/>
          <w:color w:val="auto"/>
          <w:sz w:val="24"/>
          <w:szCs w:val="21"/>
          <w:highlight w:val="none"/>
        </w:rPr>
        <w:t xml:space="preserve">                                 日期：</w:t>
      </w:r>
      <w:r>
        <w:rPr>
          <w:rFonts w:hint="eastAsia" w:ascii="宋体" w:hAnsi="宋体" w:cs="宋体"/>
          <w:bCs/>
          <w:color w:val="auto"/>
          <w:sz w:val="24"/>
          <w:szCs w:val="21"/>
          <w:highlight w:val="none"/>
          <w:u w:val="single"/>
        </w:rPr>
        <w:t>______</w:t>
      </w:r>
      <w:r>
        <w:rPr>
          <w:rFonts w:hint="eastAsia" w:ascii="宋体" w:hAnsi="宋体" w:cs="宋体"/>
          <w:bCs/>
          <w:color w:val="auto"/>
          <w:sz w:val="24"/>
          <w:szCs w:val="21"/>
          <w:highlight w:val="none"/>
        </w:rPr>
        <w:t>年</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月</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日</w:t>
      </w:r>
    </w:p>
    <w:p w14:paraId="048053DB">
      <w:pPr>
        <w:snapToGrid w:val="0"/>
        <w:spacing w:line="400" w:lineRule="exact"/>
        <w:contextualSpacing/>
        <w:rPr>
          <w:rFonts w:ascii="宋体" w:hAnsi="宋体" w:cs="宋体"/>
          <w:b/>
          <w:color w:val="auto"/>
          <w:kern w:val="0"/>
          <w:sz w:val="28"/>
          <w:szCs w:val="28"/>
          <w:highlight w:val="none"/>
          <w:lang w:val="zh-CN"/>
        </w:rPr>
      </w:pPr>
    </w:p>
    <w:p w14:paraId="6B1C57B6">
      <w:pPr>
        <w:pStyle w:val="12"/>
        <w:rPr>
          <w:rFonts w:ascii="宋体" w:hAnsi="宋体" w:cs="宋体"/>
          <w:b/>
          <w:color w:val="auto"/>
          <w:kern w:val="0"/>
          <w:sz w:val="28"/>
          <w:szCs w:val="28"/>
          <w:highlight w:val="none"/>
          <w:lang w:val="zh-CN"/>
        </w:rPr>
      </w:pPr>
    </w:p>
    <w:p w14:paraId="565FEDF6">
      <w:pPr>
        <w:rPr>
          <w:rFonts w:ascii="宋体" w:hAnsi="宋体" w:cs="宋体"/>
          <w:b/>
          <w:color w:val="auto"/>
          <w:kern w:val="0"/>
          <w:sz w:val="28"/>
          <w:szCs w:val="28"/>
          <w:highlight w:val="none"/>
          <w:lang w:val="zh-CN"/>
        </w:rPr>
      </w:pPr>
    </w:p>
    <w:p w14:paraId="441F1AD5">
      <w:pPr>
        <w:snapToGrid w:val="0"/>
        <w:spacing w:line="400" w:lineRule="exact"/>
        <w:contextualSpacing/>
        <w:rPr>
          <w:rFonts w:ascii="宋体" w:hAnsi="宋体" w:cs="宋体"/>
          <w:b/>
          <w:color w:val="auto"/>
          <w:kern w:val="0"/>
          <w:sz w:val="28"/>
          <w:szCs w:val="28"/>
          <w:highlight w:val="none"/>
          <w:lang w:val="zh-CN"/>
        </w:rPr>
      </w:pPr>
    </w:p>
    <w:p w14:paraId="0E8EF43D">
      <w:pPr>
        <w:snapToGrid w:val="0"/>
        <w:spacing w:line="300" w:lineRule="auto"/>
        <w:outlineLvl w:val="0"/>
        <w:rPr>
          <w:rFonts w:ascii="宋体" w:hAnsi="宋体" w:cs="宋体"/>
          <w:color w:val="auto"/>
          <w:sz w:val="32"/>
          <w:szCs w:val="32"/>
          <w:highlight w:val="cyan"/>
          <w:lang w:val="zh-CN"/>
        </w:rPr>
      </w:pPr>
      <w:r>
        <w:rPr>
          <w:rFonts w:hint="eastAsia" w:ascii="宋体" w:hAnsi="宋体" w:cs="宋体"/>
          <w:color w:val="auto"/>
          <w:sz w:val="32"/>
          <w:szCs w:val="32"/>
          <w:highlight w:val="none"/>
          <w:lang w:val="zh-CN"/>
        </w:rPr>
        <w:br w:type="column"/>
      </w:r>
      <w:r>
        <w:rPr>
          <w:rFonts w:hint="eastAsia" w:ascii="宋体" w:hAnsi="宋体" w:cs="宋体"/>
          <w:color w:val="auto"/>
          <w:sz w:val="32"/>
          <w:szCs w:val="32"/>
          <w:highlight w:val="none"/>
          <w:lang w:val="zh-CN"/>
        </w:rPr>
        <w:t>附件2</w:t>
      </w:r>
    </w:p>
    <w:p w14:paraId="0CF19340">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25F72DC1">
      <w:pPr>
        <w:spacing w:line="360" w:lineRule="auto"/>
        <w:jc w:val="center"/>
        <w:rPr>
          <w:rFonts w:ascii="宋体" w:hAnsi="宋体" w:cs="宋体"/>
          <w:color w:val="auto"/>
          <w:sz w:val="24"/>
          <w:highlight w:val="none"/>
        </w:rPr>
      </w:pPr>
      <w:r>
        <w:rPr>
          <w:rFonts w:hint="eastAsia" w:ascii="宋体" w:hAnsi="宋体" w:cs="宋体"/>
          <w:color w:val="auto"/>
          <w:sz w:val="24"/>
          <w:highlight w:val="none"/>
          <w:u w:val="single"/>
        </w:rPr>
        <w:t>（法定代表人参加投标时，须出示此证明）</w:t>
      </w:r>
    </w:p>
    <w:p w14:paraId="3F801E1E">
      <w:pPr>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6E0BD6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参加贵单位组织的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（采购项目名称及项目编号)项目公开招标采购活动，全权代表我公司处理投标的有关事宜。</w:t>
      </w:r>
    </w:p>
    <w:p w14:paraId="17984E0F">
      <w:pPr>
        <w:spacing w:line="360" w:lineRule="auto"/>
        <w:ind w:firstLine="480" w:firstLineChars="200"/>
        <w:rPr>
          <w:rFonts w:ascii="宋体" w:hAnsi="宋体" w:cs="宋体"/>
          <w:color w:val="auto"/>
          <w:sz w:val="24"/>
          <w:highlight w:val="none"/>
        </w:rPr>
      </w:pPr>
    </w:p>
    <w:p w14:paraId="470702A3">
      <w:pPr>
        <w:spacing w:line="360" w:lineRule="auto"/>
        <w:rPr>
          <w:rFonts w:ascii="宋体" w:hAnsi="宋体" w:cs="宋体"/>
          <w:color w:val="auto"/>
          <w:sz w:val="24"/>
          <w:highlight w:val="none"/>
        </w:rPr>
      </w:pPr>
      <w:r>
        <w:rPr>
          <w:rFonts w:hint="eastAsia" w:ascii="宋体" w:hAnsi="宋体" w:cs="宋体"/>
          <w:color w:val="auto"/>
          <w:sz w:val="24"/>
          <w:highlight w:val="none"/>
        </w:rPr>
        <w:t>附：法定代表人情况：</w:t>
      </w:r>
    </w:p>
    <w:p w14:paraId="5FDDC74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5CBA97EC">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1EEF9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手机：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A7C2696">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02A8C098">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616066C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81E8BB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DA708BC">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w:t>
      </w:r>
    </w:p>
    <w:p w14:paraId="6BE1698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AAB921D">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2750E0A8">
      <w:pPr>
        <w:rPr>
          <w:rFonts w:ascii="宋体" w:hAnsi="宋体" w:cs="宋体"/>
          <w:color w:val="auto"/>
          <w:highlight w:val="none"/>
        </w:rPr>
      </w:pPr>
      <w:r>
        <w:rPr>
          <w:rFonts w:hint="eastAsia" w:ascii="宋体" w:hAnsi="宋体" w:cs="宋体"/>
          <w:color w:val="auto"/>
          <w:highlight w:val="none"/>
        </w:rPr>
        <w:t xml:space="preserve">     </w:t>
      </w:r>
    </w:p>
    <w:p w14:paraId="5D797E45">
      <w:pPr>
        <w:spacing w:line="560" w:lineRule="exact"/>
        <w:jc w:val="center"/>
        <w:rPr>
          <w:rFonts w:hint="eastAsia" w:ascii="宋体" w:hAnsi="宋体"/>
          <w:b/>
          <w:bCs/>
          <w:color w:val="auto"/>
          <w:sz w:val="32"/>
          <w:szCs w:val="32"/>
        </w:rPr>
      </w:pPr>
    </w:p>
    <w:p w14:paraId="628895F9">
      <w:pPr>
        <w:spacing w:line="56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法定代表人身份证明</w:t>
      </w:r>
    </w:p>
    <w:p w14:paraId="4A910DE9">
      <w:pPr>
        <w:spacing w:line="480" w:lineRule="exact"/>
        <w:rPr>
          <w:rFonts w:hint="eastAsia" w:ascii="仿宋_GB2312" w:hAnsi="仿宋_GB2312" w:eastAsia="仿宋_GB2312" w:cs="仿宋_GB2312"/>
          <w:color w:val="auto"/>
          <w:sz w:val="24"/>
        </w:rPr>
      </w:pPr>
    </w:p>
    <w:p w14:paraId="6E8002C2">
      <w:pPr>
        <w:spacing w:line="48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先生/女士： 现任我单位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职务，为法定代表人，特此证明。</w:t>
      </w:r>
    </w:p>
    <w:p w14:paraId="0948CA83">
      <w:pPr>
        <w:spacing w:line="480" w:lineRule="exact"/>
        <w:ind w:firstLine="48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p>
    <w:p w14:paraId="1EB4F084">
      <w:pPr>
        <w:spacing w:line="480" w:lineRule="exact"/>
        <w:ind w:firstLine="480"/>
        <w:rPr>
          <w:rFonts w:hint="eastAsia" w:ascii="仿宋_GB2312" w:hAnsi="仿宋_GB2312" w:eastAsia="仿宋_GB2312" w:cs="仿宋_GB2312"/>
          <w:color w:val="auto"/>
          <w:sz w:val="24"/>
        </w:rPr>
      </w:pPr>
    </w:p>
    <w:p w14:paraId="32541B73">
      <w:pPr>
        <w:spacing w:line="600" w:lineRule="exac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注：提供法定代表人的身份证复印件盖公章</w:t>
      </w:r>
    </w:p>
    <w:p w14:paraId="205AAE53">
      <w:pPr>
        <w:spacing w:line="480" w:lineRule="exact"/>
        <w:ind w:firstLine="480" w:firstLineChars="200"/>
        <w:rPr>
          <w:rFonts w:hint="eastAsia" w:ascii="仿宋_GB2312" w:hAnsi="仿宋_GB2312" w:eastAsia="仿宋_GB2312" w:cs="仿宋_GB2312"/>
          <w:color w:val="auto"/>
          <w:sz w:val="24"/>
        </w:rPr>
      </w:pPr>
    </w:p>
    <w:p w14:paraId="7ECEC8CF">
      <w:pPr>
        <w:snapToGrid w:val="0"/>
        <w:spacing w:line="400" w:lineRule="exact"/>
        <w:contextualSpacing/>
        <w:rPr>
          <w:rFonts w:ascii="宋体" w:hAnsi="宋体" w:cs="宋体"/>
          <w:b/>
          <w:color w:val="auto"/>
          <w:kern w:val="0"/>
          <w:sz w:val="28"/>
          <w:szCs w:val="28"/>
          <w:highlight w:val="none"/>
          <w:lang w:val="zh-CN"/>
        </w:rPr>
      </w:pPr>
    </w:p>
    <w:p w14:paraId="60FC7E6C">
      <w:pPr>
        <w:snapToGrid w:val="0"/>
        <w:spacing w:line="300" w:lineRule="auto"/>
        <w:outlineLvl w:val="0"/>
        <w:rPr>
          <w:rFonts w:ascii="宋体" w:hAnsi="宋体" w:cs="宋体"/>
          <w:color w:val="auto"/>
          <w:sz w:val="32"/>
          <w:szCs w:val="32"/>
          <w:highlight w:val="none"/>
          <w:lang w:val="zh-CN"/>
        </w:rPr>
      </w:pPr>
      <w:r>
        <w:rPr>
          <w:rFonts w:hint="eastAsia" w:ascii="宋体" w:hAnsi="宋体" w:cs="宋体"/>
          <w:color w:val="auto"/>
          <w:sz w:val="32"/>
          <w:szCs w:val="32"/>
          <w:highlight w:val="none"/>
          <w:lang w:val="zh-CN"/>
        </w:rPr>
        <w:br w:type="page"/>
      </w:r>
      <w:r>
        <w:rPr>
          <w:rFonts w:hint="eastAsia" w:ascii="宋体" w:hAnsi="宋体" w:cs="宋体"/>
          <w:color w:val="auto"/>
          <w:sz w:val="32"/>
          <w:szCs w:val="32"/>
          <w:highlight w:val="none"/>
          <w:lang w:val="zh-CN"/>
        </w:rPr>
        <w:t>附件3</w:t>
      </w:r>
    </w:p>
    <w:p w14:paraId="6E956A69">
      <w:pPr>
        <w:jc w:val="center"/>
        <w:rPr>
          <w:rFonts w:ascii="宋体" w:hAnsi="宋体" w:cs="宋体"/>
          <w:color w:val="auto"/>
          <w:sz w:val="32"/>
          <w:szCs w:val="32"/>
          <w:highlight w:val="none"/>
        </w:rPr>
      </w:pPr>
      <w:r>
        <w:rPr>
          <w:rFonts w:hint="eastAsia" w:ascii="宋体" w:hAnsi="宋体" w:cs="宋体"/>
          <w:color w:val="auto"/>
          <w:sz w:val="32"/>
          <w:szCs w:val="32"/>
          <w:highlight w:val="none"/>
        </w:rPr>
        <w:t>法定代表人授权委托书</w:t>
      </w:r>
    </w:p>
    <w:p w14:paraId="3091683B">
      <w:pPr>
        <w:jc w:val="center"/>
        <w:rPr>
          <w:rFonts w:ascii="宋体" w:hAnsi="宋体" w:cs="宋体"/>
          <w:color w:val="auto"/>
          <w:sz w:val="32"/>
          <w:szCs w:val="32"/>
          <w:highlight w:val="none"/>
        </w:rPr>
      </w:pPr>
      <w:r>
        <w:rPr>
          <w:rFonts w:hint="eastAsia" w:ascii="宋体" w:hAnsi="宋体" w:cs="宋体"/>
          <w:color w:val="auto"/>
          <w:sz w:val="28"/>
          <w:szCs w:val="28"/>
          <w:highlight w:val="none"/>
        </w:rPr>
        <w:t>（如法人参加投标，无需提供）</w:t>
      </w:r>
    </w:p>
    <w:p w14:paraId="433EAEB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39E2914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被授权人的姓名）代表我公司参加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（采购项目名称及项目编号)项目的采购活动，全权处理一切与该项目公开招标有关的事务。其在办理上述事宜过程中所签署的所有文件我公司均予以承认。</w:t>
      </w:r>
    </w:p>
    <w:p w14:paraId="6BF6190A">
      <w:pPr>
        <w:pStyle w:val="21"/>
        <w:adjustRightInd w:val="0"/>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被授权人无转委托权，特此委托。</w:t>
      </w:r>
    </w:p>
    <w:p w14:paraId="012DF7FE">
      <w:pPr>
        <w:pStyle w:val="21"/>
        <w:adjustRightInd w:val="0"/>
        <w:snapToGrid w:val="0"/>
        <w:spacing w:line="360" w:lineRule="auto"/>
        <w:ind w:firstLine="480" w:firstLineChars="200"/>
        <w:jc w:val="left"/>
        <w:rPr>
          <w:rFonts w:hAnsi="宋体" w:cs="宋体"/>
          <w:color w:val="auto"/>
          <w:sz w:val="24"/>
          <w:szCs w:val="24"/>
          <w:highlight w:val="none"/>
        </w:rPr>
      </w:pPr>
    </w:p>
    <w:p w14:paraId="69DC4CFE">
      <w:pPr>
        <w:spacing w:line="360" w:lineRule="auto"/>
        <w:rPr>
          <w:rFonts w:ascii="宋体" w:hAnsi="宋体" w:cs="宋体"/>
          <w:color w:val="auto"/>
          <w:sz w:val="24"/>
          <w:highlight w:val="none"/>
        </w:rPr>
      </w:pPr>
      <w:r>
        <w:rPr>
          <w:rFonts w:hint="eastAsia" w:ascii="宋体" w:hAnsi="宋体" w:cs="宋体"/>
          <w:color w:val="auto"/>
          <w:sz w:val="24"/>
          <w:highlight w:val="none"/>
        </w:rPr>
        <w:t>附：被授权人情况：</w:t>
      </w:r>
    </w:p>
    <w:p w14:paraId="53E06A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14:paraId="23734637">
      <w:pPr>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7D811CE">
      <w:pPr>
        <w:spacing w:line="360" w:lineRule="auto"/>
        <w:rPr>
          <w:rFonts w:ascii="宋体" w:hAnsi="宋体" w:cs="宋体"/>
          <w:color w:val="auto"/>
          <w:sz w:val="24"/>
          <w:highlight w:val="none"/>
        </w:rPr>
      </w:pP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9910C14">
      <w:pPr>
        <w:spacing w:line="360" w:lineRule="auto"/>
        <w:rPr>
          <w:rFonts w:ascii="宋体" w:hAnsi="宋体" w:cs="宋体"/>
          <w:color w:val="auto"/>
          <w:sz w:val="24"/>
          <w:highlight w:val="none"/>
        </w:rPr>
      </w:pPr>
      <w:r>
        <w:rPr>
          <w:rFonts w:hint="eastAsia" w:ascii="宋体" w:hAnsi="宋体" w:cs="宋体"/>
          <w:color w:val="auto"/>
          <w:sz w:val="24"/>
          <w:highlight w:val="none"/>
        </w:rPr>
        <w:t>单位名称（公章）             法定代表人（签字或盖章）</w:t>
      </w:r>
    </w:p>
    <w:p w14:paraId="2FC0EEC7">
      <w:pPr>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 xml:space="preserve">年   月   日                 年   月    日  </w:t>
      </w:r>
    </w:p>
    <w:p w14:paraId="5F4B53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0323B1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6BB721E">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法定代表人身份证复印件</w:t>
      </w:r>
    </w:p>
    <w:p w14:paraId="68A32915">
      <w:pPr>
        <w:spacing w:line="360" w:lineRule="auto"/>
        <w:rPr>
          <w:rFonts w:ascii="宋体" w:hAnsi="宋体" w:cs="宋体"/>
          <w:color w:val="auto"/>
          <w:sz w:val="24"/>
          <w:highlight w:val="none"/>
        </w:rPr>
      </w:pPr>
    </w:p>
    <w:p w14:paraId="34D06115">
      <w:pPr>
        <w:spacing w:line="360" w:lineRule="auto"/>
        <w:rPr>
          <w:rFonts w:ascii="宋体" w:hAnsi="宋体" w:cs="宋体"/>
          <w:color w:val="auto"/>
          <w:sz w:val="24"/>
          <w:highlight w:val="none"/>
        </w:rPr>
      </w:pPr>
    </w:p>
    <w:p w14:paraId="51194F24">
      <w:pPr>
        <w:spacing w:line="360" w:lineRule="auto"/>
        <w:rPr>
          <w:rFonts w:ascii="宋体" w:hAnsi="宋体" w:cs="宋体"/>
          <w:color w:val="auto"/>
          <w:sz w:val="24"/>
          <w:highlight w:val="none"/>
        </w:rPr>
      </w:pPr>
    </w:p>
    <w:p w14:paraId="166A1C9A">
      <w:pPr>
        <w:spacing w:line="360" w:lineRule="auto"/>
        <w:rPr>
          <w:rFonts w:ascii="宋体" w:hAnsi="宋体" w:cs="宋体"/>
          <w:color w:val="auto"/>
          <w:sz w:val="24"/>
          <w:highlight w:val="none"/>
        </w:rPr>
      </w:pPr>
    </w:p>
    <w:p w14:paraId="1CA8323E">
      <w:pPr>
        <w:spacing w:line="360" w:lineRule="auto"/>
        <w:rPr>
          <w:rFonts w:ascii="宋体" w:hAnsi="宋体" w:cs="宋体"/>
          <w:color w:val="auto"/>
          <w:sz w:val="24"/>
          <w:highlight w:val="none"/>
        </w:rPr>
      </w:pPr>
      <w:r>
        <w:rPr>
          <w:rFonts w:hint="eastAsia" w:ascii="宋体" w:hAnsi="宋体" w:cs="宋体"/>
          <w:color w:val="auto"/>
          <w:sz w:val="24"/>
          <w:highlight w:val="none"/>
        </w:rPr>
        <w:t>被授权人身份证复印件</w:t>
      </w:r>
    </w:p>
    <w:p w14:paraId="7D3C2E03">
      <w:pPr>
        <w:spacing w:line="360" w:lineRule="auto"/>
        <w:rPr>
          <w:rFonts w:ascii="宋体" w:hAnsi="宋体" w:cs="宋体"/>
          <w:color w:val="auto"/>
          <w:sz w:val="24"/>
          <w:highlight w:val="none"/>
        </w:rPr>
      </w:pPr>
    </w:p>
    <w:p w14:paraId="014F1E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287CF9F">
      <w:pPr>
        <w:spacing w:line="360" w:lineRule="auto"/>
        <w:ind w:firstLine="2280" w:firstLineChars="950"/>
        <w:rPr>
          <w:rFonts w:ascii="宋体" w:hAnsi="宋体" w:cs="宋体"/>
          <w:color w:val="auto"/>
          <w:sz w:val="24"/>
          <w:highlight w:val="none"/>
        </w:rPr>
      </w:pPr>
      <w:r>
        <w:rPr>
          <w:rFonts w:hint="eastAsia" w:ascii="宋体" w:hAnsi="宋体" w:cs="宋体"/>
          <w:color w:val="auto"/>
          <w:sz w:val="24"/>
          <w:highlight w:val="none"/>
        </w:rPr>
        <w:t>（粘贴此处）</w:t>
      </w:r>
    </w:p>
    <w:p w14:paraId="7A7F4B1B">
      <w:pPr>
        <w:spacing w:line="360" w:lineRule="auto"/>
        <w:ind w:firstLine="2289" w:firstLineChars="950"/>
        <w:rPr>
          <w:rFonts w:ascii="宋体" w:hAnsi="宋体" w:cs="宋体"/>
          <w:b/>
          <w:bCs/>
          <w:color w:val="auto"/>
          <w:sz w:val="24"/>
          <w:highlight w:val="none"/>
        </w:rPr>
      </w:pPr>
    </w:p>
    <w:p w14:paraId="7E5DB73C">
      <w:pPr>
        <w:snapToGrid w:val="0"/>
        <w:spacing w:line="400" w:lineRule="exact"/>
        <w:contextualSpacing/>
        <w:rPr>
          <w:rFonts w:ascii="宋体" w:hAnsi="宋体" w:cs="宋体"/>
          <w:b/>
          <w:color w:val="auto"/>
          <w:kern w:val="0"/>
          <w:sz w:val="28"/>
          <w:szCs w:val="28"/>
          <w:highlight w:val="none"/>
        </w:rPr>
      </w:pPr>
    </w:p>
    <w:p w14:paraId="2B6CD1A6">
      <w:pPr>
        <w:snapToGrid w:val="0"/>
        <w:spacing w:line="460" w:lineRule="exact"/>
        <w:jc w:val="left"/>
        <w:outlineLvl w:val="1"/>
        <w:rPr>
          <w:rFonts w:ascii="宋体" w:hAnsi="宋体" w:cs="宋体"/>
          <w:color w:val="auto"/>
          <w:sz w:val="32"/>
          <w:szCs w:val="32"/>
          <w:highlight w:val="none"/>
        </w:rPr>
      </w:pPr>
    </w:p>
    <w:p w14:paraId="6BCAD124">
      <w:pPr>
        <w:snapToGrid w:val="0"/>
        <w:spacing w:line="460" w:lineRule="exact"/>
        <w:jc w:val="left"/>
        <w:outlineLvl w:val="1"/>
        <w:rPr>
          <w:rFonts w:ascii="宋体" w:hAnsi="宋体" w:cs="宋体"/>
          <w:b/>
          <w:color w:val="auto"/>
          <w:kern w:val="0"/>
          <w:sz w:val="28"/>
          <w:szCs w:val="28"/>
          <w:highlight w:val="none"/>
        </w:rPr>
      </w:pPr>
      <w:r>
        <w:rPr>
          <w:rFonts w:hint="eastAsia" w:ascii="宋体" w:hAnsi="宋体" w:cs="宋体"/>
          <w:color w:val="auto"/>
          <w:sz w:val="32"/>
          <w:szCs w:val="32"/>
          <w:highlight w:val="none"/>
        </w:rPr>
        <w:t>附件4</w:t>
      </w:r>
    </w:p>
    <w:p w14:paraId="3ED20CF9">
      <w:pPr>
        <w:snapToGrid w:val="0"/>
        <w:spacing w:line="460" w:lineRule="exact"/>
        <w:jc w:val="center"/>
        <w:outlineLvl w:val="1"/>
        <w:rPr>
          <w:rFonts w:ascii="宋体" w:hAnsi="宋体" w:cs="宋体"/>
          <w:b/>
          <w:color w:val="auto"/>
          <w:sz w:val="28"/>
          <w:szCs w:val="28"/>
          <w:highlight w:val="none"/>
        </w:rPr>
      </w:pPr>
      <w:r>
        <w:rPr>
          <w:rFonts w:hint="eastAsia" w:ascii="宋体" w:hAnsi="宋体" w:cs="宋体"/>
          <w:b/>
          <w:bCs/>
          <w:color w:val="auto"/>
          <w:sz w:val="28"/>
          <w:szCs w:val="28"/>
          <w:highlight w:val="none"/>
        </w:rPr>
        <w:t>具备履行合同所必需的设备和专业技术能力的书面声明</w:t>
      </w:r>
    </w:p>
    <w:p w14:paraId="7499BD15">
      <w:pPr>
        <w:snapToGrid w:val="0"/>
        <w:spacing w:line="460" w:lineRule="exact"/>
        <w:ind w:firstLine="560" w:firstLineChars="200"/>
        <w:rPr>
          <w:rFonts w:ascii="宋体" w:hAnsi="宋体" w:cs="宋体"/>
          <w:color w:val="auto"/>
          <w:sz w:val="28"/>
          <w:szCs w:val="28"/>
          <w:highlight w:val="none"/>
        </w:rPr>
      </w:pPr>
    </w:p>
    <w:p w14:paraId="576DDCB9">
      <w:pPr>
        <w:snapToGrid w:val="0"/>
        <w:spacing w:line="460" w:lineRule="exact"/>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199B5F61">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我单位</w:t>
      </w:r>
      <w:r>
        <w:rPr>
          <w:rFonts w:hint="eastAsia" w:ascii="宋体" w:hAnsi="宋体" w:cs="宋体"/>
          <w:color w:val="auto"/>
          <w:sz w:val="28"/>
          <w:szCs w:val="28"/>
          <w:highlight w:val="none"/>
          <w:u w:val="single"/>
        </w:rPr>
        <w:t xml:space="preserve"> （投标单位名称） </w:t>
      </w:r>
      <w:r>
        <w:rPr>
          <w:rFonts w:hint="eastAsia" w:ascii="宋体" w:hAnsi="宋体" w:cs="宋体"/>
          <w:color w:val="auto"/>
          <w:sz w:val="28"/>
          <w:szCs w:val="28"/>
          <w:highlight w:val="none"/>
        </w:rPr>
        <w:t>郑重承诺：</w:t>
      </w:r>
    </w:p>
    <w:p w14:paraId="60E77B69">
      <w:pPr>
        <w:snapToGrid w:val="0"/>
        <w:spacing w:line="4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贵方组织的</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，我单位</w:t>
      </w:r>
      <w:r>
        <w:rPr>
          <w:rFonts w:hint="eastAsia" w:ascii="宋体" w:hAnsi="宋体" w:cs="宋体"/>
          <w:color w:val="auto"/>
          <w:sz w:val="28"/>
          <w:szCs w:val="28"/>
          <w:highlight w:val="none"/>
          <w:u w:val="single"/>
        </w:rPr>
        <w:t xml:space="preserve"> (在下划线上如实填写：有或没有） </w:t>
      </w:r>
      <w:r>
        <w:rPr>
          <w:rFonts w:hint="eastAsia" w:ascii="宋体" w:hAnsi="宋体" w:cs="宋体"/>
          <w:color w:val="auto"/>
          <w:sz w:val="28"/>
          <w:szCs w:val="28"/>
          <w:highlight w:val="none"/>
        </w:rPr>
        <w:t>履行合同所必需的设备和专业技术能力。</w:t>
      </w:r>
    </w:p>
    <w:p w14:paraId="20D439F8">
      <w:pPr>
        <w:spacing w:line="460" w:lineRule="exact"/>
        <w:rPr>
          <w:rFonts w:ascii="宋体" w:hAnsi="宋体" w:cs="宋体"/>
          <w:b/>
          <w:bCs/>
          <w:color w:val="auto"/>
          <w:sz w:val="32"/>
          <w:szCs w:val="32"/>
          <w:highlight w:val="none"/>
        </w:rPr>
      </w:pPr>
    </w:p>
    <w:p w14:paraId="3E7255E5">
      <w:pPr>
        <w:spacing w:line="460" w:lineRule="exact"/>
        <w:rPr>
          <w:rFonts w:ascii="宋体" w:hAnsi="宋体" w:cs="宋体"/>
          <w:b/>
          <w:bCs/>
          <w:color w:val="auto"/>
          <w:sz w:val="32"/>
          <w:szCs w:val="32"/>
          <w:highlight w:val="none"/>
        </w:rPr>
      </w:pPr>
    </w:p>
    <w:p w14:paraId="4A030E39">
      <w:pPr>
        <w:spacing w:line="460" w:lineRule="exact"/>
        <w:rPr>
          <w:rFonts w:ascii="宋体" w:hAnsi="宋体" w:cs="宋体"/>
          <w:b/>
          <w:bCs/>
          <w:color w:val="auto"/>
          <w:sz w:val="32"/>
          <w:szCs w:val="32"/>
          <w:highlight w:val="none"/>
        </w:rPr>
      </w:pPr>
    </w:p>
    <w:p w14:paraId="5E843D36">
      <w:pPr>
        <w:spacing w:line="460" w:lineRule="exact"/>
        <w:rPr>
          <w:rFonts w:ascii="宋体" w:hAnsi="宋体" w:cs="宋体"/>
          <w:b/>
          <w:bCs/>
          <w:color w:val="auto"/>
          <w:sz w:val="32"/>
          <w:szCs w:val="32"/>
          <w:highlight w:val="none"/>
        </w:rPr>
      </w:pPr>
    </w:p>
    <w:p w14:paraId="2ABBDDA5">
      <w:pPr>
        <w:spacing w:line="4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（加盖公章）</w:t>
      </w:r>
    </w:p>
    <w:p w14:paraId="584EC769">
      <w:pPr>
        <w:spacing w:line="460" w:lineRule="exact"/>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27633C91">
      <w:pPr>
        <w:spacing w:line="360" w:lineRule="auto"/>
        <w:jc w:val="right"/>
        <w:outlineLvl w:val="2"/>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607634E0">
      <w:pPr>
        <w:spacing w:line="360" w:lineRule="auto"/>
        <w:jc w:val="left"/>
        <w:outlineLvl w:val="2"/>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color w:val="auto"/>
          <w:sz w:val="32"/>
          <w:szCs w:val="32"/>
          <w:highlight w:val="none"/>
        </w:rPr>
        <w:t>附件5</w:t>
      </w:r>
    </w:p>
    <w:p w14:paraId="2B5E4EC2">
      <w:pPr>
        <w:snapToGrid w:val="0"/>
        <w:spacing w:line="360" w:lineRule="auto"/>
        <w:jc w:val="center"/>
        <w:outlineLvl w:val="4"/>
        <w:rPr>
          <w:rFonts w:ascii="宋体" w:hAnsi="宋体" w:cs="宋体"/>
          <w:b/>
          <w:bCs/>
          <w:color w:val="auto"/>
          <w:sz w:val="28"/>
          <w:szCs w:val="28"/>
          <w:highlight w:val="none"/>
        </w:rPr>
      </w:pPr>
      <w:r>
        <w:rPr>
          <w:rFonts w:hint="eastAsia" w:ascii="宋体" w:hAnsi="宋体" w:cs="宋体"/>
          <w:b/>
          <w:bCs/>
          <w:color w:val="auto"/>
          <w:sz w:val="28"/>
          <w:szCs w:val="28"/>
          <w:highlight w:val="none"/>
        </w:rPr>
        <w:t>无重大违法记录声明</w:t>
      </w:r>
    </w:p>
    <w:p w14:paraId="22905FE8">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江苏商贸职业学院：</w:t>
      </w:r>
    </w:p>
    <w:p w14:paraId="589397D8">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我单位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（投标人名称）郑重声明：</w:t>
      </w:r>
    </w:p>
    <w:p w14:paraId="6CE79A04">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参加采购活动前3年内在经营活动中</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（在下划线上如实填写：</w:t>
      </w:r>
      <w:r>
        <w:rPr>
          <w:rFonts w:hint="eastAsia" w:ascii="宋体" w:hAnsi="宋体" w:cs="宋体"/>
          <w:b/>
          <w:bCs/>
          <w:color w:val="auto"/>
          <w:sz w:val="28"/>
          <w:szCs w:val="28"/>
          <w:highlight w:val="none"/>
        </w:rPr>
        <w:t>有或没有</w:t>
      </w:r>
      <w:r>
        <w:rPr>
          <w:rFonts w:hint="eastAsia" w:ascii="宋体" w:hAnsi="宋体" w:cs="宋体"/>
          <w:color w:val="auto"/>
          <w:sz w:val="28"/>
          <w:szCs w:val="28"/>
          <w:highlight w:val="none"/>
        </w:rPr>
        <w:t>）重大违法记录。</w:t>
      </w:r>
    </w:p>
    <w:p w14:paraId="066434C6">
      <w:pPr>
        <w:spacing w:line="360" w:lineRule="auto"/>
        <w:ind w:firstLine="480"/>
        <w:jc w:val="left"/>
        <w:rPr>
          <w:rFonts w:ascii="宋体" w:hAnsi="宋体" w:cs="宋体"/>
          <w:color w:val="auto"/>
          <w:sz w:val="28"/>
          <w:szCs w:val="28"/>
          <w:highlight w:val="none"/>
        </w:rPr>
      </w:pPr>
      <w:r>
        <w:rPr>
          <w:rFonts w:hint="eastAsia" w:ascii="宋体" w:hAnsi="宋体" w:cs="宋体"/>
          <w:color w:val="auto"/>
          <w:sz w:val="28"/>
          <w:szCs w:val="28"/>
          <w:highlight w:val="none"/>
        </w:rPr>
        <w:t>在投标截止时间节点，没有被“信用中国”（www.creditchina.gov.cn）、“中国政府采购网”（www.ccgp.gov.cn）、“信用江苏”（www.jscredit.cn/index.htm）网站列入失信被执行人、重大税收违法案件当事人名单、政府采购严重违法失信行为记录名单。</w:t>
      </w:r>
    </w:p>
    <w:p w14:paraId="07551B0F">
      <w:pPr>
        <w:spacing w:line="360" w:lineRule="auto"/>
        <w:ind w:firstLine="480"/>
        <w:rPr>
          <w:rFonts w:ascii="宋体" w:hAnsi="宋体" w:cs="宋体"/>
          <w:color w:val="auto"/>
          <w:sz w:val="28"/>
          <w:szCs w:val="28"/>
          <w:highlight w:val="none"/>
        </w:rPr>
      </w:pPr>
    </w:p>
    <w:p w14:paraId="1159CC58">
      <w:pPr>
        <w:spacing w:line="360" w:lineRule="auto"/>
        <w:ind w:firstLine="480"/>
        <w:rPr>
          <w:rFonts w:ascii="宋体" w:hAnsi="宋体" w:cs="宋体"/>
          <w:color w:val="auto"/>
          <w:sz w:val="28"/>
          <w:szCs w:val="28"/>
          <w:highlight w:val="none"/>
        </w:rPr>
      </w:pPr>
      <w:r>
        <w:rPr>
          <w:rFonts w:hint="eastAsia" w:ascii="宋体" w:hAnsi="宋体" w:cs="宋体"/>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14:paraId="2CF8FA75">
      <w:pPr>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（加盖公章）</w:t>
      </w:r>
    </w:p>
    <w:p w14:paraId="436C718D">
      <w:pPr>
        <w:spacing w:line="360" w:lineRule="auto"/>
        <w:ind w:firstLine="560" w:firstLineChars="200"/>
        <w:jc w:val="right"/>
        <w:rPr>
          <w:rFonts w:ascii="宋体" w:hAnsi="宋体" w:cs="宋体"/>
          <w:color w:val="auto"/>
          <w:sz w:val="28"/>
          <w:szCs w:val="28"/>
          <w:highlight w:val="none"/>
        </w:rPr>
      </w:pPr>
      <w:r>
        <w:rPr>
          <w:rFonts w:hint="eastAsia" w:ascii="宋体" w:hAnsi="宋体" w:cs="宋体"/>
          <w:color w:val="auto"/>
          <w:sz w:val="28"/>
          <w:szCs w:val="28"/>
          <w:highlight w:val="none"/>
        </w:rPr>
        <w:t>法定代表人或被授权人：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1D6B28A">
      <w:pPr>
        <w:spacing w:line="360" w:lineRule="auto"/>
        <w:ind w:firstLine="1540" w:firstLineChars="550"/>
        <w:jc w:val="right"/>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6AAEA4A3">
      <w:pPr>
        <w:rPr>
          <w:rFonts w:ascii="宋体" w:hAnsi="宋体" w:cs="宋体"/>
          <w:color w:val="auto"/>
          <w:sz w:val="32"/>
          <w:szCs w:val="32"/>
          <w:highlight w:val="none"/>
        </w:rPr>
      </w:pPr>
      <w:r>
        <w:rPr>
          <w:rFonts w:hint="eastAsia" w:ascii="宋体" w:hAnsi="宋体" w:cs="宋体"/>
          <w:b/>
          <w:color w:val="auto"/>
          <w:szCs w:val="28"/>
          <w:highlight w:val="none"/>
        </w:rPr>
        <w:br w:type="page"/>
      </w:r>
    </w:p>
    <w:p w14:paraId="62206E2B">
      <w:pPr>
        <w:spacing w:line="360" w:lineRule="auto"/>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6</w:t>
      </w:r>
    </w:p>
    <w:p w14:paraId="0F7252D0">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投标响应函</w:t>
      </w:r>
    </w:p>
    <w:p w14:paraId="6F66798D">
      <w:pPr>
        <w:spacing w:line="360" w:lineRule="auto"/>
        <w:rPr>
          <w:rFonts w:ascii="宋体" w:hAnsi="宋体" w:cs="宋体"/>
          <w:color w:val="auto"/>
          <w:sz w:val="24"/>
          <w:highlight w:val="none"/>
        </w:rPr>
      </w:pPr>
      <w:r>
        <w:rPr>
          <w:rFonts w:hint="eastAsia" w:ascii="宋体" w:hAnsi="宋体" w:cs="宋体"/>
          <w:color w:val="auto"/>
          <w:sz w:val="24"/>
          <w:highlight w:val="none"/>
        </w:rPr>
        <w:t>江苏商贸职业学院：</w:t>
      </w:r>
    </w:p>
    <w:p w14:paraId="321D23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（投标项目名称及项目编号）项目采购的邀请，我方授权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（职务）为全权代表参加该项目的投标工作，全权处理本次采购的有关事宜。同时，我公司声明如下：</w:t>
      </w:r>
    </w:p>
    <w:p w14:paraId="6D6D1E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1、同意并接受招标文件的各项要求，遵守招标文件中的各项规定，按招标文件的要求提供报价。</w:t>
      </w:r>
    </w:p>
    <w:p w14:paraId="3F7DFE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2、我方已经详细阅读了全部招标文件及其附件，完全清晰理解招标文件的要求，不存在任何含糊不清和误解之处，同意放弃对这些文件所提出的异议和质疑的权利。</w:t>
      </w:r>
    </w:p>
    <w:p w14:paraId="05A7A5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3、我方已毫无保留地向贵方提供一切所需的证明材料。</w:t>
      </w:r>
    </w:p>
    <w:p w14:paraId="28FD7B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4、我公司承诺在本次投标响应中提供的一切文件，无论是原件还是复印件均真实有效，绝无任何虚假、伪造和夸大的成份。否则，愿承担相应的后果和法律责任。</w:t>
      </w:r>
    </w:p>
    <w:p w14:paraId="4185F6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5、我方尊重评标委员会所作的评定结果，同时清楚理解到报价最低并非意味着必定获得成交资格。</w:t>
      </w:r>
    </w:p>
    <w:p w14:paraId="00DDDF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6、一旦我方成交,我方将根据招标文件的规定，严格履行合同的责任和义务,并保证按招标文件规定的项目工期时间内完成，交付采购人验收、使用。</w:t>
      </w:r>
    </w:p>
    <w:p w14:paraId="45D16359">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投标服务商：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14:paraId="0E5033B8">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法定代表人或被授权人：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6F8D5ACA">
      <w:pPr>
        <w:spacing w:line="360" w:lineRule="auto"/>
        <w:ind w:firstLine="1320" w:firstLineChars="550"/>
        <w:jc w:val="right"/>
        <w:rPr>
          <w:rFonts w:ascii="宋体" w:hAnsi="宋体" w:cs="宋体"/>
          <w:color w:val="auto"/>
          <w:sz w:val="24"/>
          <w:highlight w:val="none"/>
        </w:rPr>
      </w:pPr>
      <w:r>
        <w:rPr>
          <w:rFonts w:hint="eastAsia" w:ascii="宋体" w:hAnsi="宋体" w:cs="宋体"/>
          <w:color w:val="auto"/>
          <w:sz w:val="24"/>
          <w:highlight w:val="none"/>
        </w:rPr>
        <w:t>年      月     日</w:t>
      </w:r>
    </w:p>
    <w:p w14:paraId="60891BA9">
      <w:pPr>
        <w:snapToGrid w:val="0"/>
        <w:spacing w:line="300" w:lineRule="auto"/>
        <w:outlineLvl w:val="0"/>
        <w:rPr>
          <w:rFonts w:ascii="宋体" w:hAnsi="宋体" w:cs="宋体"/>
          <w:color w:val="auto"/>
          <w:sz w:val="32"/>
          <w:szCs w:val="32"/>
          <w:highlight w:val="none"/>
        </w:rPr>
      </w:pPr>
    </w:p>
    <w:p w14:paraId="6BB5D488">
      <w:pPr>
        <w:snapToGrid w:val="0"/>
        <w:spacing w:line="300" w:lineRule="auto"/>
        <w:outlineLvl w:val="0"/>
        <w:rPr>
          <w:rFonts w:ascii="宋体" w:hAnsi="宋体" w:cs="宋体"/>
          <w:color w:val="auto"/>
          <w:sz w:val="32"/>
          <w:szCs w:val="32"/>
          <w:highlight w:val="none"/>
        </w:rPr>
      </w:pPr>
    </w:p>
    <w:p w14:paraId="6BF21862">
      <w:pPr>
        <w:snapToGrid w:val="0"/>
        <w:spacing w:line="300" w:lineRule="auto"/>
        <w:outlineLvl w:val="0"/>
        <w:rPr>
          <w:rFonts w:ascii="宋体" w:hAnsi="宋体" w:cs="宋体"/>
          <w:color w:val="auto"/>
          <w:sz w:val="32"/>
          <w:szCs w:val="32"/>
          <w:highlight w:val="none"/>
        </w:rPr>
      </w:pPr>
    </w:p>
    <w:p w14:paraId="3EDF65C3">
      <w:pPr>
        <w:snapToGrid w:val="0"/>
        <w:spacing w:line="300" w:lineRule="auto"/>
        <w:outlineLvl w:val="0"/>
        <w:rPr>
          <w:rFonts w:ascii="宋体" w:hAnsi="宋体" w:cs="宋体"/>
          <w:color w:val="auto"/>
          <w:sz w:val="32"/>
          <w:szCs w:val="32"/>
          <w:highlight w:val="none"/>
        </w:rPr>
      </w:pPr>
    </w:p>
    <w:p w14:paraId="51450E87">
      <w:pPr>
        <w:snapToGrid w:val="0"/>
        <w:spacing w:line="300" w:lineRule="auto"/>
        <w:outlineLvl w:val="0"/>
        <w:rPr>
          <w:rFonts w:ascii="宋体" w:hAnsi="宋体" w:cs="宋体"/>
          <w:color w:val="auto"/>
          <w:sz w:val="32"/>
          <w:szCs w:val="32"/>
          <w:highlight w:val="none"/>
        </w:rPr>
      </w:pPr>
    </w:p>
    <w:p w14:paraId="5DA54AB6">
      <w:pPr>
        <w:snapToGrid w:val="0"/>
        <w:spacing w:line="300" w:lineRule="auto"/>
        <w:outlineLvl w:val="0"/>
        <w:rPr>
          <w:rFonts w:ascii="宋体" w:hAnsi="宋体" w:cs="宋体"/>
          <w:color w:val="auto"/>
          <w:sz w:val="32"/>
          <w:szCs w:val="32"/>
          <w:highlight w:val="none"/>
        </w:rPr>
      </w:pPr>
    </w:p>
    <w:p w14:paraId="52A9260F">
      <w:pPr>
        <w:snapToGrid w:val="0"/>
        <w:spacing w:line="300" w:lineRule="auto"/>
        <w:outlineLvl w:val="0"/>
        <w:rPr>
          <w:rFonts w:ascii="宋体" w:hAnsi="宋体" w:cs="宋体"/>
          <w:color w:val="auto"/>
          <w:sz w:val="32"/>
          <w:szCs w:val="32"/>
          <w:highlight w:val="none"/>
        </w:rPr>
      </w:pPr>
    </w:p>
    <w:p w14:paraId="2D935424">
      <w:pPr>
        <w:snapToGrid w:val="0"/>
        <w:spacing w:line="300" w:lineRule="auto"/>
        <w:contextualSpacing/>
        <w:jc w:val="left"/>
        <w:rPr>
          <w:rFonts w:hint="eastAsia" w:ascii="宋体" w:hAnsi="宋体" w:eastAsia="宋体" w:cs="宋体"/>
          <w:b/>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7</w:t>
      </w:r>
    </w:p>
    <w:p w14:paraId="0C34D13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商务部分正负偏离表</w:t>
      </w:r>
    </w:p>
    <w:p w14:paraId="68DC44BE">
      <w:pPr>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7C29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85FB5A6">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D0710CC">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E971DF8">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3C5A1E7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0C13868">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p>
          <w:p w14:paraId="34DE25AC">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偏离说明</w:t>
            </w:r>
          </w:p>
        </w:tc>
      </w:tr>
      <w:tr w14:paraId="54579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D21DF33">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7992A59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1778AFB">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C9C3FB0">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25BEDD1">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5F300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94B1CE8">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5D4579E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1714967">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B880F2D">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BF38BD9">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38FC4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1A3E848">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B491B96">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E3323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1658144">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A1F6C6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5BA80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A51A371">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3DA13FE7">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66B3AB7">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E681A6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0089E78">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bl>
    <w:p w14:paraId="6494C89C">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rPr>
        <w:t>注：</w:t>
      </w:r>
    </w:p>
    <w:p w14:paraId="6A1CBDD6">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1.供应商提交的响应文件中与招标文件第三部分“项目需求”中的商务部分的要求，应逐条填列在偏离表中。</w:t>
      </w:r>
    </w:p>
    <w:p w14:paraId="51FA694F">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color w:val="auto"/>
          <w:sz w:val="24"/>
          <w:highlight w:val="none"/>
        </w:rPr>
        <w:t>2.“偏离说明”一栏选择“正偏离”、“负偏离”、“无偏离”进行填写。正</w:t>
      </w:r>
      <w:r>
        <w:rPr>
          <w:rFonts w:hint="eastAsia" w:ascii="宋体" w:hAnsi="宋体" w:cs="宋体"/>
          <w:bCs/>
          <w:color w:val="auto"/>
          <w:sz w:val="24"/>
          <w:highlight w:val="none"/>
        </w:rPr>
        <w:t>偏离、负偏离、无偏离的确认，由评标小组认定。</w:t>
      </w:r>
    </w:p>
    <w:p w14:paraId="5B4F78D7">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若提供其他增值服务，可以在表中自行据实填写。</w:t>
      </w:r>
    </w:p>
    <w:p w14:paraId="76BD80E0">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4.若完全响应本项目需求且无偏离，投标时本表可空白盖章提供。</w:t>
      </w:r>
    </w:p>
    <w:p w14:paraId="3EB5CD45">
      <w:pPr>
        <w:snapToGrid w:val="0"/>
        <w:spacing w:line="400" w:lineRule="exact"/>
        <w:ind w:firstLine="540" w:firstLineChars="192"/>
        <w:contextualSpacing/>
        <w:rPr>
          <w:rFonts w:ascii="宋体" w:hAnsi="宋体" w:cs="宋体"/>
          <w:b/>
          <w:color w:val="auto"/>
          <w:kern w:val="0"/>
          <w:sz w:val="28"/>
          <w:szCs w:val="28"/>
          <w:highlight w:val="none"/>
        </w:rPr>
      </w:pPr>
    </w:p>
    <w:p w14:paraId="6E877B7C">
      <w:pPr>
        <w:snapToGrid w:val="0"/>
        <w:spacing w:line="400" w:lineRule="exact"/>
        <w:ind w:firstLine="540" w:firstLineChars="192"/>
        <w:contextualSpacing/>
        <w:rPr>
          <w:rFonts w:ascii="宋体" w:hAnsi="宋体" w:cs="宋体"/>
          <w:b/>
          <w:color w:val="auto"/>
          <w:kern w:val="0"/>
          <w:sz w:val="28"/>
          <w:szCs w:val="28"/>
          <w:highlight w:val="none"/>
        </w:rPr>
      </w:pPr>
    </w:p>
    <w:p w14:paraId="41D1D678">
      <w:pPr>
        <w:snapToGrid w:val="0"/>
        <w:spacing w:line="400" w:lineRule="exact"/>
        <w:ind w:firstLine="540" w:firstLineChars="192"/>
        <w:contextualSpacing/>
        <w:rPr>
          <w:rFonts w:ascii="宋体" w:hAnsi="宋体" w:cs="宋体"/>
          <w:b/>
          <w:color w:val="auto"/>
          <w:kern w:val="0"/>
          <w:sz w:val="28"/>
          <w:szCs w:val="28"/>
          <w:highlight w:val="none"/>
        </w:rPr>
      </w:pPr>
    </w:p>
    <w:p w14:paraId="15B9669F">
      <w:pPr>
        <w:snapToGrid w:val="0"/>
        <w:spacing w:line="400" w:lineRule="exact"/>
        <w:ind w:firstLine="540" w:firstLineChars="192"/>
        <w:contextualSpacing/>
        <w:rPr>
          <w:rFonts w:ascii="宋体" w:hAnsi="宋体" w:cs="宋体"/>
          <w:b/>
          <w:color w:val="auto"/>
          <w:kern w:val="0"/>
          <w:sz w:val="28"/>
          <w:szCs w:val="28"/>
          <w:highlight w:val="none"/>
        </w:rPr>
      </w:pPr>
    </w:p>
    <w:p w14:paraId="7AE01185">
      <w:pPr>
        <w:snapToGrid w:val="0"/>
        <w:spacing w:line="400" w:lineRule="exact"/>
        <w:ind w:firstLine="540" w:firstLineChars="192"/>
        <w:contextualSpacing/>
        <w:rPr>
          <w:rFonts w:ascii="宋体" w:hAnsi="宋体" w:cs="宋体"/>
          <w:b/>
          <w:color w:val="auto"/>
          <w:kern w:val="0"/>
          <w:sz w:val="28"/>
          <w:szCs w:val="28"/>
          <w:highlight w:val="none"/>
        </w:rPr>
      </w:pPr>
    </w:p>
    <w:p w14:paraId="7604C498">
      <w:pPr>
        <w:snapToGrid w:val="0"/>
        <w:spacing w:line="400" w:lineRule="exact"/>
        <w:ind w:firstLine="540" w:firstLineChars="192"/>
        <w:contextualSpacing/>
        <w:rPr>
          <w:rFonts w:ascii="宋体" w:hAnsi="宋体" w:cs="宋体"/>
          <w:b/>
          <w:color w:val="auto"/>
          <w:kern w:val="0"/>
          <w:sz w:val="28"/>
          <w:szCs w:val="28"/>
          <w:highlight w:val="none"/>
        </w:rPr>
      </w:pPr>
    </w:p>
    <w:p w14:paraId="588F2AE2">
      <w:pPr>
        <w:snapToGrid w:val="0"/>
        <w:spacing w:line="400" w:lineRule="exact"/>
        <w:ind w:firstLine="540" w:firstLineChars="192"/>
        <w:contextualSpacing/>
        <w:rPr>
          <w:rFonts w:ascii="宋体" w:hAnsi="宋体" w:cs="宋体"/>
          <w:b/>
          <w:color w:val="auto"/>
          <w:kern w:val="0"/>
          <w:sz w:val="28"/>
          <w:szCs w:val="28"/>
          <w:highlight w:val="none"/>
        </w:rPr>
      </w:pPr>
    </w:p>
    <w:p w14:paraId="3BD505F9">
      <w:pPr>
        <w:snapToGrid w:val="0"/>
        <w:spacing w:line="400" w:lineRule="exact"/>
        <w:ind w:firstLine="540" w:firstLineChars="192"/>
        <w:contextualSpacing/>
        <w:rPr>
          <w:rFonts w:ascii="宋体" w:hAnsi="宋体" w:cs="宋体"/>
          <w:b/>
          <w:color w:val="auto"/>
          <w:kern w:val="0"/>
          <w:sz w:val="28"/>
          <w:szCs w:val="28"/>
          <w:highlight w:val="none"/>
        </w:rPr>
      </w:pPr>
    </w:p>
    <w:p w14:paraId="68DE2547">
      <w:pPr>
        <w:snapToGrid w:val="0"/>
        <w:spacing w:line="400" w:lineRule="exact"/>
        <w:ind w:firstLine="540" w:firstLineChars="192"/>
        <w:contextualSpacing/>
        <w:rPr>
          <w:rFonts w:ascii="宋体" w:hAnsi="宋体" w:cs="宋体"/>
          <w:b/>
          <w:color w:val="auto"/>
          <w:kern w:val="0"/>
          <w:sz w:val="28"/>
          <w:szCs w:val="28"/>
          <w:highlight w:val="none"/>
        </w:rPr>
      </w:pPr>
    </w:p>
    <w:p w14:paraId="6F206457">
      <w:pPr>
        <w:snapToGrid w:val="0"/>
        <w:spacing w:line="400" w:lineRule="exact"/>
        <w:ind w:firstLine="540" w:firstLineChars="192"/>
        <w:contextualSpacing/>
        <w:rPr>
          <w:rFonts w:ascii="宋体" w:hAnsi="宋体" w:cs="宋体"/>
          <w:b/>
          <w:color w:val="auto"/>
          <w:kern w:val="0"/>
          <w:sz w:val="28"/>
          <w:szCs w:val="28"/>
          <w:highlight w:val="none"/>
        </w:rPr>
      </w:pPr>
    </w:p>
    <w:p w14:paraId="546913D8">
      <w:pPr>
        <w:snapToGrid w:val="0"/>
        <w:spacing w:line="400" w:lineRule="exact"/>
        <w:ind w:firstLine="540" w:firstLineChars="192"/>
        <w:contextualSpacing/>
        <w:rPr>
          <w:rFonts w:ascii="宋体" w:hAnsi="宋体" w:cs="宋体"/>
          <w:b/>
          <w:color w:val="auto"/>
          <w:kern w:val="0"/>
          <w:sz w:val="28"/>
          <w:szCs w:val="28"/>
          <w:highlight w:val="none"/>
        </w:rPr>
      </w:pPr>
    </w:p>
    <w:p w14:paraId="019A0603">
      <w:pPr>
        <w:snapToGrid w:val="0"/>
        <w:spacing w:line="400" w:lineRule="exact"/>
        <w:ind w:firstLine="540" w:firstLineChars="192"/>
        <w:contextualSpacing/>
        <w:rPr>
          <w:rFonts w:ascii="宋体" w:hAnsi="宋体" w:cs="宋体"/>
          <w:b/>
          <w:color w:val="auto"/>
          <w:kern w:val="0"/>
          <w:sz w:val="28"/>
          <w:szCs w:val="28"/>
          <w:highlight w:val="none"/>
        </w:rPr>
      </w:pPr>
    </w:p>
    <w:p w14:paraId="4B0E7347">
      <w:pPr>
        <w:snapToGrid w:val="0"/>
        <w:spacing w:line="400" w:lineRule="exact"/>
        <w:ind w:firstLine="540" w:firstLineChars="192"/>
        <w:contextualSpacing/>
        <w:rPr>
          <w:rFonts w:ascii="宋体" w:hAnsi="宋体" w:cs="宋体"/>
          <w:b/>
          <w:color w:val="auto"/>
          <w:kern w:val="0"/>
          <w:sz w:val="28"/>
          <w:szCs w:val="28"/>
          <w:highlight w:val="none"/>
        </w:rPr>
      </w:pPr>
    </w:p>
    <w:p w14:paraId="32981507">
      <w:pPr>
        <w:snapToGrid w:val="0"/>
        <w:spacing w:line="400" w:lineRule="exact"/>
        <w:ind w:firstLine="540" w:firstLineChars="192"/>
        <w:contextualSpacing/>
        <w:rPr>
          <w:rFonts w:ascii="宋体" w:hAnsi="宋体" w:cs="宋体"/>
          <w:b/>
          <w:color w:val="auto"/>
          <w:kern w:val="0"/>
          <w:sz w:val="28"/>
          <w:szCs w:val="28"/>
          <w:highlight w:val="none"/>
        </w:rPr>
      </w:pPr>
    </w:p>
    <w:p w14:paraId="755DF8A4">
      <w:pPr>
        <w:snapToGrid w:val="0"/>
        <w:spacing w:line="400" w:lineRule="exact"/>
        <w:contextualSpacing/>
        <w:rPr>
          <w:rFonts w:ascii="宋体" w:hAnsi="宋体" w:cs="宋体"/>
          <w:color w:val="auto"/>
          <w:kern w:val="0"/>
          <w:sz w:val="28"/>
          <w:szCs w:val="28"/>
          <w:highlight w:val="none"/>
        </w:rPr>
      </w:pPr>
    </w:p>
    <w:p w14:paraId="03E82BB2">
      <w:pPr>
        <w:snapToGrid w:val="0"/>
        <w:spacing w:line="300" w:lineRule="auto"/>
        <w:contextualSpacing/>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7C01B894">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技术部分正负偏离表</w:t>
      </w:r>
    </w:p>
    <w:p w14:paraId="1CD1C658">
      <w:pPr>
        <w:ind w:firstLine="560" w:firstLineChars="200"/>
        <w:jc w:val="center"/>
        <w:rPr>
          <w:rFonts w:ascii="宋体" w:hAnsi="宋体" w:cs="宋体"/>
          <w:color w:val="auto"/>
          <w:sz w:val="28"/>
          <w:szCs w:val="28"/>
          <w:highlight w:val="none"/>
        </w:rPr>
      </w:pPr>
      <w:r>
        <w:rPr>
          <w:rFonts w:hint="eastAsia" w:ascii="宋体" w:hAnsi="宋体" w:cs="宋体"/>
          <w:color w:val="auto"/>
          <w:sz w:val="28"/>
          <w:szCs w:val="28"/>
          <w:highlight w:val="none"/>
        </w:rPr>
        <w:t>（由供应商据实填写，表格不够自行添加）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6D7A8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C17AEC">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B9C8B5B">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A01D891">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5582FAB">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3302E4E">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p>
          <w:p w14:paraId="79A9F47F">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偏离说明</w:t>
            </w:r>
          </w:p>
        </w:tc>
      </w:tr>
      <w:tr w14:paraId="69C94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4D91EBF">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6FD390E9">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BDDF38B">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A94DCF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BB3D48B">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499CC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AEF7F02">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E519B6E">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0FE69BD">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A66647F">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93296A">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186C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8C35FAB">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280C1D2">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68786E4">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97C96A4">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E04AE04">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r w14:paraId="7FA22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7BC8E76">
            <w:pPr>
              <w:keepNext w:val="0"/>
              <w:keepLines w:val="0"/>
              <w:suppressLineNumbers w:val="0"/>
              <w:spacing w:before="0" w:beforeAutospacing="0" w:after="0" w:afterAutospacing="0" w:line="3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C328B71">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650AF8A5">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E1B5421">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A604479">
            <w:pPr>
              <w:keepNext w:val="0"/>
              <w:keepLines w:val="0"/>
              <w:suppressLineNumbers w:val="0"/>
              <w:spacing w:before="0" w:beforeAutospacing="0" w:after="0" w:afterAutospacing="0" w:line="340" w:lineRule="exact"/>
              <w:ind w:left="0" w:right="0"/>
              <w:jc w:val="left"/>
              <w:rPr>
                <w:rFonts w:hint="default" w:ascii="宋体" w:hAnsi="宋体" w:cs="宋体"/>
                <w:color w:val="auto"/>
                <w:sz w:val="24"/>
                <w:highlight w:val="none"/>
              </w:rPr>
            </w:pPr>
          </w:p>
        </w:tc>
      </w:tr>
    </w:tbl>
    <w:p w14:paraId="60FA75FB">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rPr>
        <w:t>注：</w:t>
      </w:r>
    </w:p>
    <w:p w14:paraId="4C615C36">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1.供应商提交的响应文件中与招标文件第三部分“项目需求”中的技术部分的要求，应逐条填列在偏离表中。</w:t>
      </w:r>
    </w:p>
    <w:p w14:paraId="659625BD">
      <w:pPr>
        <w:snapToGrid w:val="0"/>
        <w:spacing w:line="30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2.“偏离说明”一栏选择“正偏离”、“负偏离”、“无偏离”进行填写。正偏离、负偏离、无偏离的确认，由评标小组认定。</w:t>
      </w:r>
    </w:p>
    <w:p w14:paraId="47A2BFFD">
      <w:pPr>
        <w:snapToGrid w:val="0"/>
        <w:spacing w:line="30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若提供其他增值服务，可以在表中自行据实填写。</w:t>
      </w:r>
    </w:p>
    <w:p w14:paraId="43CC3815">
      <w:pPr>
        <w:snapToGrid w:val="0"/>
        <w:spacing w:line="300" w:lineRule="auto"/>
        <w:ind w:firstLine="480" w:firstLineChars="200"/>
        <w:contextualSpacing/>
        <w:rPr>
          <w:rFonts w:ascii="宋体" w:hAnsi="宋体" w:cs="宋体"/>
          <w:bCs/>
          <w:color w:val="auto"/>
          <w:sz w:val="24"/>
          <w:highlight w:val="none"/>
        </w:rPr>
        <w:sectPr>
          <w:headerReference r:id="rId7" w:type="default"/>
          <w:pgSz w:w="11906" w:h="16838"/>
          <w:pgMar w:top="1440" w:right="1800" w:bottom="1440" w:left="1800" w:header="851" w:footer="992" w:gutter="0"/>
          <w:cols w:space="720" w:num="1"/>
          <w:docGrid w:type="lines" w:linePitch="312" w:charSpace="0"/>
        </w:sectPr>
      </w:pPr>
    </w:p>
    <w:p w14:paraId="6758BE1B">
      <w:pPr>
        <w:pStyle w:val="72"/>
        <w:ind w:left="0"/>
        <w:rPr>
          <w:rFonts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附件</w:t>
      </w:r>
      <w:r>
        <w:rPr>
          <w:rFonts w:hint="eastAsia" w:ascii="宋体" w:hAnsi="宋体" w:cs="宋体"/>
          <w:color w:val="auto"/>
          <w:sz w:val="32"/>
          <w:szCs w:val="32"/>
          <w:highlight w:val="none"/>
          <w:lang w:val="en-US" w:eastAsia="zh-CN"/>
        </w:rPr>
        <w:t>9</w:t>
      </w:r>
    </w:p>
    <w:p w14:paraId="2FF21764">
      <w:pPr>
        <w:pStyle w:val="72"/>
        <w:rPr>
          <w:rFonts w:ascii="宋体" w:hAnsi="宋体" w:cs="宋体"/>
          <w:color w:val="auto"/>
          <w:sz w:val="32"/>
          <w:szCs w:val="32"/>
          <w:highlight w:val="none"/>
        </w:rPr>
      </w:pPr>
    </w:p>
    <w:p w14:paraId="2FBB7637">
      <w:pPr>
        <w:pStyle w:val="72"/>
        <w:rPr>
          <w:rFonts w:ascii="宋体" w:hAnsi="宋体" w:cs="宋体"/>
          <w:color w:val="auto"/>
          <w:sz w:val="32"/>
          <w:szCs w:val="32"/>
          <w:highlight w:val="none"/>
        </w:rPr>
      </w:pPr>
    </w:p>
    <w:p w14:paraId="34ACBDB6">
      <w:pPr>
        <w:pStyle w:val="82"/>
        <w:snapToGrid w:val="0"/>
        <w:spacing w:line="300" w:lineRule="auto"/>
        <w:ind w:firstLine="643" w:firstLineChars="200"/>
        <w:jc w:val="center"/>
        <w:outlineLvl w:val="0"/>
        <w:rPr>
          <w:rFonts w:ascii="宋体" w:eastAsia="宋体" w:cs="宋体"/>
          <w:b/>
          <w:bCs/>
          <w:color w:val="auto"/>
          <w:sz w:val="32"/>
          <w:szCs w:val="32"/>
          <w:highlight w:val="none"/>
        </w:rPr>
      </w:pPr>
      <w:bookmarkStart w:id="105" w:name="_Toc23203"/>
      <w:r>
        <w:rPr>
          <w:rFonts w:hint="eastAsia" w:ascii="宋体" w:eastAsia="宋体" w:cs="宋体"/>
          <w:b/>
          <w:bCs/>
          <w:color w:val="auto"/>
          <w:sz w:val="32"/>
          <w:szCs w:val="32"/>
          <w:highlight w:val="none"/>
        </w:rPr>
        <w:t>价格标响应文件</w:t>
      </w:r>
      <w:bookmarkEnd w:id="105"/>
    </w:p>
    <w:tbl>
      <w:tblPr>
        <w:tblStyle w:val="36"/>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2B80F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4AF1AA76">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22C9AC87">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0CB135D">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2FBF6BA3">
            <w:pPr>
              <w:keepNext w:val="0"/>
              <w:keepLines w:val="0"/>
              <w:suppressLineNumbers w:val="0"/>
              <w:kinsoku w:val="0"/>
              <w:topLinePunct/>
              <w:spacing w:before="0" w:beforeAutospacing="0" w:after="0" w:afterAutospacing="0" w:line="44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付款方式</w:t>
            </w:r>
          </w:p>
        </w:tc>
      </w:tr>
      <w:tr w14:paraId="01BF7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676927C9">
            <w:pPr>
              <w:keepNext w:val="0"/>
              <w:keepLines w:val="0"/>
              <w:suppressLineNumbers w:val="0"/>
              <w:kinsoku w:val="0"/>
              <w:topLinePunct/>
              <w:spacing w:before="0" w:beforeAutospacing="0" w:after="0" w:afterAutospacing="0" w:line="440" w:lineRule="exact"/>
              <w:ind w:left="0" w:right="0"/>
              <w:rPr>
                <w:rFonts w:hint="default" w:ascii="宋体" w:hAnsi="宋体" w:cs="宋体"/>
                <w:b/>
                <w:bCs/>
                <w:color w:val="auto"/>
                <w:sz w:val="24"/>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8489217">
            <w:pPr>
              <w:keepNext w:val="0"/>
              <w:keepLines w:val="0"/>
              <w:suppressLineNumbers w:val="0"/>
              <w:kinsoku w:val="0"/>
              <w:topLinePunct/>
              <w:spacing w:before="0" w:beforeAutospacing="0" w:after="0" w:afterAutospacing="0" w:line="440" w:lineRule="exact"/>
              <w:ind w:left="960" w:right="0" w:hanging="960" w:hangingChars="400"/>
              <w:rPr>
                <w:rFonts w:hint="default" w:ascii="宋体" w:hAnsi="宋体" w:cs="宋体"/>
                <w:color w:val="auto"/>
                <w:sz w:val="24"/>
                <w:highlight w:val="none"/>
                <w:u w:val="single"/>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元</w:t>
            </w:r>
          </w:p>
          <w:p w14:paraId="13B7972A">
            <w:pPr>
              <w:pStyle w:val="45"/>
              <w:keepNext w:val="0"/>
              <w:keepLines w:val="0"/>
              <w:widowControl/>
              <w:suppressLineNumbers w:val="0"/>
              <w:spacing w:before="0" w:beforeAutospacing="0" w:after="0" w:afterAutospacing="0"/>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小写：</w:t>
            </w:r>
            <w:r>
              <w:rPr>
                <w:rFonts w:hint="eastAsia" w:ascii="宋体" w:hAnsi="宋体" w:cs="宋体"/>
                <w:color w:val="auto"/>
                <w:sz w:val="24"/>
                <w:szCs w:val="24"/>
                <w:highlight w:val="none"/>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4ECD8921">
            <w:pPr>
              <w:keepNext w:val="0"/>
              <w:keepLines w:val="0"/>
              <w:suppressLineNumbers w:val="0"/>
              <w:kinsoku w:val="0"/>
              <w:topLinePunct/>
              <w:spacing w:before="0" w:beforeAutospacing="0" w:after="0" w:afterAutospacing="0" w:line="440" w:lineRule="exact"/>
              <w:ind w:left="0" w:right="0"/>
              <w:rPr>
                <w:rFonts w:hint="default" w:ascii="宋体" w:hAnsi="宋体" w:cs="宋体"/>
                <w:color w:val="auto"/>
                <w:sz w:val="24"/>
                <w:highlight w:val="none"/>
              </w:rPr>
            </w:pPr>
            <w:r>
              <w:rPr>
                <w:rFonts w:hint="eastAsia" w:ascii="宋体" w:hAnsi="宋体" w:cs="宋体"/>
                <w:color w:val="auto"/>
                <w:sz w:val="24"/>
                <w:highlight w:val="none"/>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202F2A58">
            <w:pPr>
              <w:keepNext w:val="0"/>
              <w:keepLines w:val="0"/>
              <w:suppressLineNumbers w:val="0"/>
              <w:kinsoku w:val="0"/>
              <w:topLinePunct/>
              <w:spacing w:before="0" w:beforeAutospacing="0" w:after="0" w:afterAutospacing="0" w:line="440" w:lineRule="exact"/>
              <w:ind w:left="0" w:right="0"/>
              <w:rPr>
                <w:rFonts w:hint="default" w:ascii="宋体" w:hAnsi="宋体" w:cs="宋体"/>
                <w:color w:val="auto"/>
                <w:sz w:val="24"/>
                <w:highlight w:val="none"/>
              </w:rPr>
            </w:pPr>
            <w:r>
              <w:rPr>
                <w:rFonts w:hint="eastAsia" w:ascii="宋体" w:hAnsi="宋体" w:cs="宋体"/>
                <w:color w:val="auto"/>
                <w:sz w:val="24"/>
                <w:highlight w:val="none"/>
              </w:rPr>
              <w:t>完全响应招标文件要求的付款方式</w:t>
            </w:r>
          </w:p>
        </w:tc>
      </w:tr>
    </w:tbl>
    <w:p w14:paraId="4C9090F9">
      <w:pPr>
        <w:widowControl/>
        <w:spacing w:line="440" w:lineRule="exact"/>
        <w:jc w:val="left"/>
        <w:rPr>
          <w:rFonts w:ascii="宋体" w:hAnsi="宋体" w:cs="宋体"/>
          <w:color w:val="auto"/>
          <w:kern w:val="0"/>
          <w:sz w:val="28"/>
          <w:szCs w:val="28"/>
          <w:highlight w:val="none"/>
        </w:rPr>
      </w:pPr>
    </w:p>
    <w:p w14:paraId="3343BD61">
      <w:pPr>
        <w:snapToGrid w:val="0"/>
        <w:spacing w:line="460" w:lineRule="exact"/>
        <w:ind w:firstLine="470" w:firstLineChars="196"/>
        <w:outlineLvl w:val="1"/>
        <w:rPr>
          <w:rFonts w:ascii="宋体" w:hAnsi="宋体" w:cs="宋体"/>
          <w:color w:val="auto"/>
          <w:kern w:val="0"/>
          <w:sz w:val="24"/>
          <w:highlight w:val="none"/>
        </w:rPr>
      </w:pPr>
      <w:r>
        <w:rPr>
          <w:rFonts w:hint="eastAsia" w:ascii="宋体" w:hAnsi="宋体" w:cs="宋体"/>
          <w:color w:val="auto"/>
          <w:kern w:val="0"/>
          <w:sz w:val="24"/>
          <w:highlight w:val="none"/>
        </w:rPr>
        <w:t>1.本表为格式表，不得自行改动，必须提供，否则视为未实质性响应招标文件。</w:t>
      </w:r>
    </w:p>
    <w:p w14:paraId="5AB97A40">
      <w:pPr>
        <w:snapToGrid w:val="0"/>
        <w:spacing w:line="440" w:lineRule="exact"/>
        <w:ind w:firstLine="480" w:firstLineChars="200"/>
        <w:rPr>
          <w:rFonts w:ascii="宋体" w:hAnsi="宋体" w:cs="仿宋"/>
          <w:b/>
          <w:color w:val="auto"/>
          <w:sz w:val="24"/>
          <w:highlight w:val="none"/>
        </w:rPr>
      </w:pPr>
      <w:r>
        <w:rPr>
          <w:rFonts w:hint="eastAsia" w:ascii="宋体" w:hAnsi="宋体" w:cs="宋体"/>
          <w:color w:val="auto"/>
          <w:kern w:val="0"/>
          <w:sz w:val="24"/>
          <w:highlight w:val="none"/>
        </w:rPr>
        <w:t>2.投标报价（以人民币计价）应包含：</w:t>
      </w:r>
      <w:r>
        <w:rPr>
          <w:rFonts w:hint="eastAsia" w:ascii="宋体" w:hAnsi="宋体" w:cs="仿宋"/>
          <w:b/>
          <w:color w:val="auto"/>
          <w:sz w:val="24"/>
          <w:highlight w:val="none"/>
        </w:rPr>
        <w:t>软</w:t>
      </w:r>
      <w:r>
        <w:rPr>
          <w:rFonts w:hint="eastAsia" w:ascii="宋体" w:hAnsi="宋体" w:cs="仿宋"/>
          <w:b/>
          <w:color w:val="auto"/>
          <w:sz w:val="24"/>
          <w:highlight w:val="none"/>
          <w:lang w:val="en-US" w:eastAsia="zh-CN"/>
        </w:rPr>
        <w:t>硬</w:t>
      </w:r>
      <w:r>
        <w:rPr>
          <w:rFonts w:hint="eastAsia" w:ascii="宋体" w:hAnsi="宋体" w:cs="仿宋"/>
          <w:b/>
          <w:color w:val="auto"/>
          <w:sz w:val="24"/>
          <w:highlight w:val="none"/>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10425C96">
      <w:pPr>
        <w:snapToGrid w:val="0"/>
        <w:spacing w:line="460" w:lineRule="exact"/>
        <w:ind w:firstLine="470" w:firstLineChars="196"/>
        <w:outlineLvl w:val="1"/>
        <w:rPr>
          <w:rFonts w:ascii="宋体" w:hAnsi="宋体" w:cs="宋体"/>
          <w:color w:val="auto"/>
          <w:kern w:val="0"/>
          <w:sz w:val="24"/>
          <w:highlight w:val="none"/>
        </w:rPr>
      </w:pPr>
    </w:p>
    <w:p w14:paraId="018F4D37">
      <w:pPr>
        <w:spacing w:line="480" w:lineRule="exact"/>
        <w:rPr>
          <w:rFonts w:ascii="宋体" w:hAnsi="宋体" w:cs="宋体"/>
          <w:color w:val="auto"/>
          <w:kern w:val="0"/>
          <w:sz w:val="24"/>
          <w:highlight w:val="none"/>
        </w:rPr>
      </w:pPr>
    </w:p>
    <w:p w14:paraId="558DBAB9">
      <w:pPr>
        <w:snapToGrid w:val="0"/>
        <w:spacing w:line="480" w:lineRule="exact"/>
        <w:ind w:firstLine="463" w:firstLineChars="192"/>
        <w:contextualSpacing/>
        <w:rPr>
          <w:rFonts w:ascii="宋体" w:hAnsi="宋体" w:cs="宋体"/>
          <w:b/>
          <w:color w:val="auto"/>
          <w:kern w:val="0"/>
          <w:sz w:val="24"/>
          <w:highlight w:val="none"/>
        </w:rPr>
      </w:pPr>
    </w:p>
    <w:p w14:paraId="1AC3F221">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投标人名称：（盖章）</w:t>
      </w:r>
    </w:p>
    <w:p w14:paraId="158E5169">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w:t>
      </w:r>
    </w:p>
    <w:p w14:paraId="48BCDFAC">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日期：</w:t>
      </w:r>
    </w:p>
    <w:p w14:paraId="21FDAD02">
      <w:pPr>
        <w:snapToGrid w:val="0"/>
        <w:spacing w:line="400" w:lineRule="exact"/>
        <w:ind w:firstLine="540" w:firstLineChars="192"/>
        <w:contextualSpacing/>
        <w:rPr>
          <w:rFonts w:ascii="宋体" w:hAnsi="宋体" w:cs="宋体"/>
          <w:b/>
          <w:color w:val="auto"/>
          <w:kern w:val="0"/>
          <w:sz w:val="28"/>
          <w:szCs w:val="28"/>
          <w:highlight w:val="none"/>
        </w:rPr>
      </w:pPr>
    </w:p>
    <w:p w14:paraId="547F0EBA">
      <w:pPr>
        <w:snapToGrid w:val="0"/>
        <w:spacing w:line="400" w:lineRule="exact"/>
        <w:ind w:firstLine="540" w:firstLineChars="192"/>
        <w:contextualSpacing/>
        <w:rPr>
          <w:rFonts w:ascii="宋体" w:hAnsi="宋体" w:cs="宋体"/>
          <w:b/>
          <w:color w:val="auto"/>
          <w:kern w:val="0"/>
          <w:sz w:val="28"/>
          <w:szCs w:val="28"/>
          <w:highlight w:val="none"/>
        </w:rPr>
      </w:pPr>
    </w:p>
    <w:p w14:paraId="60F28D98">
      <w:pPr>
        <w:snapToGrid w:val="0"/>
        <w:spacing w:line="400" w:lineRule="exact"/>
        <w:ind w:firstLine="540" w:firstLineChars="192"/>
        <w:contextualSpacing/>
        <w:rPr>
          <w:rFonts w:ascii="宋体" w:hAnsi="宋体" w:cs="宋体"/>
          <w:b/>
          <w:color w:val="auto"/>
          <w:kern w:val="0"/>
          <w:sz w:val="28"/>
          <w:szCs w:val="28"/>
          <w:highlight w:val="none"/>
        </w:rPr>
      </w:pPr>
    </w:p>
    <w:p w14:paraId="52F0D9DC">
      <w:pPr>
        <w:snapToGrid w:val="0"/>
        <w:spacing w:line="400" w:lineRule="exact"/>
        <w:ind w:firstLine="540" w:firstLineChars="192"/>
        <w:contextualSpacing/>
        <w:rPr>
          <w:rFonts w:ascii="宋体" w:hAnsi="宋体" w:cs="宋体"/>
          <w:b/>
          <w:color w:val="auto"/>
          <w:kern w:val="0"/>
          <w:sz w:val="28"/>
          <w:szCs w:val="28"/>
          <w:highlight w:val="none"/>
        </w:rPr>
      </w:pPr>
    </w:p>
    <w:p w14:paraId="1F2E3BD4">
      <w:pPr>
        <w:pStyle w:val="12"/>
        <w:rPr>
          <w:rFonts w:ascii="宋体" w:hAnsi="宋体" w:cs="宋体"/>
          <w:color w:val="auto"/>
          <w:highlight w:val="none"/>
        </w:rPr>
      </w:pPr>
    </w:p>
    <w:p w14:paraId="5CEB74F1">
      <w:pPr>
        <w:snapToGrid w:val="0"/>
        <w:spacing w:line="400" w:lineRule="exact"/>
        <w:ind w:firstLine="540" w:firstLineChars="192"/>
        <w:contextualSpacing/>
        <w:rPr>
          <w:rFonts w:ascii="宋体" w:hAnsi="宋体" w:cs="宋体"/>
          <w:b/>
          <w:color w:val="auto"/>
          <w:kern w:val="0"/>
          <w:sz w:val="28"/>
          <w:szCs w:val="28"/>
          <w:highlight w:val="none"/>
        </w:rPr>
      </w:pPr>
    </w:p>
    <w:p w14:paraId="43AE0A1E">
      <w:pPr>
        <w:pStyle w:val="72"/>
        <w:ind w:left="0"/>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lang w:eastAsia="zh-CN"/>
        </w:rPr>
        <w:br w:type="page"/>
      </w:r>
      <w:r>
        <w:rPr>
          <w:rFonts w:hint="eastAsia" w:ascii="宋体" w:hAnsi="宋体" w:cs="宋体"/>
          <w:color w:val="auto"/>
          <w:sz w:val="32"/>
          <w:szCs w:val="32"/>
          <w:highlight w:val="none"/>
          <w:lang w:eastAsia="zh-CN"/>
        </w:rPr>
        <w:t>附件</w:t>
      </w:r>
      <w:r>
        <w:rPr>
          <w:rFonts w:hint="eastAsia" w:ascii="宋体" w:hAnsi="宋体" w:cs="宋体"/>
          <w:color w:val="auto"/>
          <w:sz w:val="32"/>
          <w:szCs w:val="32"/>
          <w:highlight w:val="none"/>
          <w:lang w:val="en-US" w:eastAsia="zh-CN"/>
        </w:rPr>
        <w:t>10</w:t>
      </w:r>
    </w:p>
    <w:p w14:paraId="28F9F5D5">
      <w:pPr>
        <w:widowControl/>
        <w:shd w:val="clear" w:color="auto" w:fill="FFFFFF"/>
        <w:spacing w:line="460" w:lineRule="exact"/>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报价明细表</w:t>
      </w:r>
    </w:p>
    <w:p w14:paraId="7094E384">
      <w:pPr>
        <w:widowControl/>
        <w:shd w:val="clear" w:color="auto" w:fill="FFFFFF"/>
        <w:spacing w:line="460" w:lineRule="exact"/>
        <w:jc w:val="center"/>
        <w:rPr>
          <w:rFonts w:ascii="仿宋" w:hAnsi="仿宋" w:eastAsia="仿宋" w:cs="仿宋"/>
          <w:b/>
          <w:color w:val="auto"/>
          <w:kern w:val="0"/>
          <w:sz w:val="32"/>
          <w:szCs w:val="32"/>
          <w:highlight w:val="none"/>
        </w:rPr>
      </w:pPr>
    </w:p>
    <w:tbl>
      <w:tblPr>
        <w:tblStyle w:val="36"/>
        <w:tblW w:w="1075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3"/>
        <w:gridCol w:w="4183"/>
        <w:gridCol w:w="1005"/>
        <w:gridCol w:w="1005"/>
        <w:gridCol w:w="1256"/>
        <w:gridCol w:w="1256"/>
        <w:gridCol w:w="1256"/>
      </w:tblGrid>
      <w:tr w14:paraId="17D52D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16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0FF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6E86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产品品牌</w:t>
            </w:r>
            <w:r>
              <w:rPr>
                <w:rFonts w:hint="eastAsia" w:ascii="宋体" w:hAnsi="宋体" w:cs="宋体"/>
                <w:color w:val="auto"/>
                <w:sz w:val="24"/>
                <w:szCs w:val="24"/>
                <w:highlight w:val="none"/>
                <w:lang w:val="en-US" w:eastAsia="zh-CN"/>
              </w:rPr>
              <w:t>型号</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3AD3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EB8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810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投标单价（元）</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DD97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投标总价（元）</w:t>
            </w:r>
          </w:p>
        </w:tc>
      </w:tr>
      <w:tr w14:paraId="26D408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5"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DA5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2B8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sz w:val="24"/>
                <w:szCs w:val="24"/>
                <w:highlight w:val="none"/>
              </w:rPr>
            </w:pPr>
            <w:r>
              <w:rPr>
                <w:rFonts w:hint="eastAsia" w:ascii="宋体" w:hAnsi="宋体" w:cs="宋体"/>
                <w:kern w:val="0"/>
                <w:sz w:val="24"/>
              </w:rPr>
              <w:t>财务机器人应用与开发</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4D1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eastAsia" w:ascii="宋体" w:hAnsi="宋体" w:eastAsia="宋体" w:cs="宋体"/>
                <w:color w:val="auto"/>
                <w:kern w:val="0"/>
                <w:sz w:val="24"/>
                <w:szCs w:val="24"/>
                <w:highlight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49B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739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套</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541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A87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bidi="ar"/>
              </w:rPr>
            </w:pPr>
          </w:p>
        </w:tc>
      </w:tr>
      <w:tr w14:paraId="6EC6CE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E36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0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7CB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合计（元）</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46F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center"/>
              <w:textAlignment w:val="center"/>
              <w:rPr>
                <w:rFonts w:hint="eastAsia" w:ascii="宋体" w:hAnsi="宋体" w:eastAsia="宋体" w:cs="宋体"/>
                <w:color w:val="auto"/>
                <w:kern w:val="0"/>
                <w:sz w:val="24"/>
                <w:szCs w:val="24"/>
                <w:highlight w:val="none"/>
                <w:lang w:val="en-US" w:eastAsia="zh-CN" w:bidi="ar"/>
              </w:rPr>
            </w:pPr>
          </w:p>
        </w:tc>
      </w:tr>
    </w:tbl>
    <w:p w14:paraId="444EBE9A">
      <w:pPr>
        <w:pStyle w:val="45"/>
        <w:rPr>
          <w:color w:val="auto"/>
          <w:highlight w:val="none"/>
        </w:rPr>
      </w:pPr>
    </w:p>
    <w:p w14:paraId="26775B6C">
      <w:pPr>
        <w:snapToGrid w:val="0"/>
        <w:spacing w:line="400" w:lineRule="exact"/>
        <w:contextualSpacing/>
        <w:rPr>
          <w:rFonts w:ascii="仿宋" w:hAnsi="仿宋" w:eastAsia="仿宋" w:cs="仿宋"/>
          <w:bCs/>
          <w:color w:val="auto"/>
          <w:kern w:val="0"/>
          <w:sz w:val="28"/>
          <w:szCs w:val="28"/>
          <w:highlight w:val="none"/>
        </w:rPr>
      </w:pPr>
      <w:r>
        <w:rPr>
          <w:rFonts w:hint="eastAsia" w:ascii="仿宋" w:hAnsi="仿宋" w:eastAsia="仿宋" w:cs="仿宋"/>
          <w:b/>
          <w:color w:val="auto"/>
          <w:kern w:val="0"/>
          <w:sz w:val="28"/>
          <w:szCs w:val="28"/>
          <w:highlight w:val="none"/>
        </w:rPr>
        <w:t xml:space="preserve">     </w:t>
      </w:r>
      <w:r>
        <w:rPr>
          <w:rFonts w:hint="eastAsia" w:ascii="仿宋" w:hAnsi="仿宋" w:eastAsia="仿宋" w:cs="仿宋"/>
          <w:bCs/>
          <w:color w:val="auto"/>
          <w:kern w:val="0"/>
          <w:sz w:val="28"/>
          <w:szCs w:val="28"/>
          <w:highlight w:val="none"/>
        </w:rPr>
        <w:t xml:space="preserve">         </w:t>
      </w:r>
    </w:p>
    <w:p w14:paraId="67C57EE0">
      <w:pPr>
        <w:snapToGrid w:val="0"/>
        <w:spacing w:line="400" w:lineRule="exact"/>
        <w:contextualSpacing/>
        <w:rPr>
          <w:rFonts w:ascii="仿宋" w:hAnsi="仿宋" w:eastAsia="仿宋" w:cs="仿宋"/>
          <w:bCs/>
          <w:color w:val="auto"/>
          <w:kern w:val="0"/>
          <w:sz w:val="28"/>
          <w:szCs w:val="28"/>
          <w:highlight w:val="none"/>
        </w:rPr>
      </w:pPr>
    </w:p>
    <w:p w14:paraId="485D7D9E">
      <w:pPr>
        <w:snapToGrid w:val="0"/>
        <w:spacing w:line="400" w:lineRule="exact"/>
        <w:contextualSpacing/>
        <w:jc w:val="center"/>
        <w:rPr>
          <w:rFonts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              </w:t>
      </w:r>
    </w:p>
    <w:p w14:paraId="18037586">
      <w:pPr>
        <w:snapToGrid w:val="0"/>
        <w:spacing w:line="300" w:lineRule="auto"/>
        <w:ind w:firstLine="4900" w:firstLineChars="1750"/>
        <w:jc w:val="right"/>
        <w:outlineLvl w:val="0"/>
        <w:rPr>
          <w:rFonts w:ascii="宋体" w:hAnsi="宋体" w:cs="宋体"/>
          <w:color w:val="auto"/>
          <w:sz w:val="28"/>
          <w:szCs w:val="28"/>
          <w:highlight w:val="none"/>
          <w:lang w:bidi="zh-CN"/>
        </w:rPr>
      </w:pPr>
    </w:p>
    <w:p w14:paraId="77468FF2">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投标人名称：（盖章）</w:t>
      </w:r>
    </w:p>
    <w:p w14:paraId="485B05A9">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 xml:space="preserve">                          法定代表人或授权委托人（签字）：</w:t>
      </w:r>
    </w:p>
    <w:p w14:paraId="165FC109">
      <w:pPr>
        <w:snapToGrid w:val="0"/>
        <w:spacing w:line="500" w:lineRule="exact"/>
        <w:ind w:left="1133" w:hanging="1132" w:hangingChars="472"/>
        <w:jc w:val="center"/>
        <w:rPr>
          <w:rFonts w:ascii="宋体" w:hAnsi="宋体" w:cs="宋体"/>
          <w:color w:val="auto"/>
          <w:sz w:val="24"/>
          <w:highlight w:val="none"/>
        </w:rPr>
      </w:pPr>
      <w:r>
        <w:rPr>
          <w:rFonts w:hint="eastAsia" w:ascii="宋体" w:hAnsi="宋体" w:cs="宋体"/>
          <w:color w:val="auto"/>
          <w:sz w:val="24"/>
          <w:highlight w:val="none"/>
        </w:rPr>
        <w:t>日期：</w:t>
      </w:r>
    </w:p>
    <w:p w14:paraId="4AF125BB">
      <w:pPr>
        <w:rPr>
          <w:rFonts w:ascii="宋体" w:hAnsi="宋体" w:cs="宋体"/>
          <w:color w:val="auto"/>
          <w:sz w:val="32"/>
          <w:szCs w:val="32"/>
          <w:highlight w:val="none"/>
        </w:rPr>
      </w:pPr>
    </w:p>
    <w:p w14:paraId="79B0CEAC">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2BA16B64">
      <w:pPr>
        <w:snapToGrid w:val="0"/>
        <w:spacing w:line="400" w:lineRule="exact"/>
        <w:contextualSpacing/>
        <w:rPr>
          <w:rFonts w:hint="eastAsia" w:ascii="宋体" w:hAnsi="宋体" w:eastAsia="宋体" w:cs="宋体"/>
          <w:b/>
          <w:color w:val="auto"/>
          <w:kern w:val="0"/>
          <w:sz w:val="28"/>
          <w:szCs w:val="28"/>
          <w:highlight w:val="none"/>
          <w:lang w:eastAsia="zh-CN"/>
        </w:rPr>
      </w:pPr>
      <w:r>
        <w:rPr>
          <w:rFonts w:hint="eastAsia" w:ascii="宋体" w:hAnsi="宋体" w:cs="宋体"/>
          <w:color w:val="auto"/>
          <w:sz w:val="32"/>
          <w:szCs w:val="32"/>
          <w:highlight w:val="none"/>
        </w:rPr>
        <w:t>附件1</w:t>
      </w:r>
      <w:r>
        <w:rPr>
          <w:rFonts w:hint="eastAsia" w:ascii="宋体" w:hAnsi="宋体" w:cs="宋体"/>
          <w:color w:val="auto"/>
          <w:sz w:val="32"/>
          <w:szCs w:val="32"/>
          <w:highlight w:val="none"/>
          <w:lang w:val="en-US" w:eastAsia="zh-CN"/>
        </w:rPr>
        <w:t>1</w:t>
      </w:r>
    </w:p>
    <w:p w14:paraId="153C7BDA">
      <w:pPr>
        <w:jc w:val="center"/>
        <w:rPr>
          <w:rFonts w:ascii="宋体" w:hAnsi="宋体" w:cs="宋体"/>
          <w:bCs/>
          <w:color w:val="auto"/>
          <w:sz w:val="44"/>
          <w:szCs w:val="44"/>
          <w:highlight w:val="none"/>
        </w:rPr>
      </w:pPr>
      <w:r>
        <w:rPr>
          <w:rFonts w:hint="eastAsia" w:ascii="宋体" w:hAnsi="宋体" w:cs="宋体"/>
          <w:bCs/>
          <w:color w:val="auto"/>
          <w:sz w:val="44"/>
          <w:szCs w:val="44"/>
          <w:highlight w:val="none"/>
        </w:rPr>
        <w:t>质疑函范本</w:t>
      </w:r>
    </w:p>
    <w:p w14:paraId="4EE85402">
      <w:pPr>
        <w:adjustRightInd w:val="0"/>
        <w:snapToGrid w:val="0"/>
        <w:spacing w:before="312" w:beforeLines="100"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44AA3AD4">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p>
    <w:p w14:paraId="6B4E677B">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地址：邮编：</w:t>
      </w:r>
    </w:p>
    <w:p w14:paraId="7A6EBAB1">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联系人：联系电话：</w:t>
      </w:r>
    </w:p>
    <w:p w14:paraId="49678AAA">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p>
    <w:p w14:paraId="58C6CDE0">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联系电话：</w:t>
      </w:r>
    </w:p>
    <w:p w14:paraId="36928185">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地址：邮编：</w:t>
      </w:r>
    </w:p>
    <w:p w14:paraId="46901EF0">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22D5DE76">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p>
    <w:p w14:paraId="71023FE6">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质疑项目的编号：包号：</w:t>
      </w:r>
    </w:p>
    <w:p w14:paraId="6B332E44">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招标人名称：</w:t>
      </w:r>
    </w:p>
    <w:p w14:paraId="3AEE678B">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p>
    <w:p w14:paraId="7543D34D">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EC0C301">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p>
    <w:p w14:paraId="3E3729A7">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p>
    <w:p w14:paraId="5966FC31">
      <w:pPr>
        <w:adjustRightInd w:val="0"/>
        <w:snapToGrid w:val="0"/>
        <w:spacing w:line="460" w:lineRule="exact"/>
        <w:rPr>
          <w:rFonts w:ascii="宋体" w:hAnsi="宋体" w:cs="宋体"/>
          <w:color w:val="auto"/>
          <w:sz w:val="32"/>
          <w:szCs w:val="32"/>
          <w:highlight w:val="none"/>
        </w:rPr>
      </w:pPr>
    </w:p>
    <w:p w14:paraId="3486EACD">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p>
    <w:p w14:paraId="75FADD4B">
      <w:pPr>
        <w:adjustRightInd w:val="0"/>
        <w:snapToGrid w:val="0"/>
        <w:spacing w:line="460" w:lineRule="exact"/>
        <w:rPr>
          <w:rFonts w:ascii="宋体" w:hAnsi="宋体" w:cs="宋体"/>
          <w:color w:val="auto"/>
          <w:sz w:val="32"/>
          <w:szCs w:val="32"/>
          <w:highlight w:val="none"/>
          <w:u w:val="dotted"/>
        </w:rPr>
      </w:pPr>
    </w:p>
    <w:p w14:paraId="2E7598AE">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033BC545">
      <w:pPr>
        <w:adjustRightInd w:val="0"/>
        <w:snapToGrid w:val="0"/>
        <w:spacing w:line="460" w:lineRule="exact"/>
        <w:rPr>
          <w:rFonts w:ascii="宋体" w:hAnsi="宋体" w:cs="宋体"/>
          <w:color w:val="auto"/>
          <w:sz w:val="32"/>
          <w:szCs w:val="32"/>
          <w:highlight w:val="none"/>
        </w:rPr>
      </w:pPr>
      <w:r>
        <w:rPr>
          <w:rFonts w:hint="eastAsia" w:ascii="宋体" w:hAnsi="宋体" w:cs="宋体"/>
          <w:color w:val="auto"/>
          <w:sz w:val="32"/>
          <w:szCs w:val="32"/>
          <w:highlight w:val="none"/>
        </w:rPr>
        <w:t>……</w:t>
      </w:r>
    </w:p>
    <w:p w14:paraId="575D4152">
      <w:pPr>
        <w:adjustRightInd w:val="0"/>
        <w:snapToGrid w:val="0"/>
        <w:spacing w:line="460" w:lineRule="exact"/>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9E3944D">
      <w:pPr>
        <w:adjustRightInd w:val="0"/>
        <w:snapToGrid w:val="0"/>
        <w:spacing w:line="460" w:lineRule="exact"/>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p>
    <w:p w14:paraId="4D657EF5">
      <w:pPr>
        <w:spacing w:line="460" w:lineRule="exact"/>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A149AD0">
      <w:pPr>
        <w:spacing w:line="460" w:lineRule="exact"/>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341FEC82">
      <w:pPr>
        <w:adjustRightInd w:val="0"/>
        <w:snapToGrid w:val="0"/>
        <w:spacing w:line="360" w:lineRule="auto"/>
        <w:rPr>
          <w:rFonts w:ascii="宋体" w:hAnsi="宋体" w:cs="宋体"/>
          <w:color w:val="auto"/>
          <w:sz w:val="32"/>
          <w:szCs w:val="32"/>
          <w:highlight w:val="none"/>
        </w:rPr>
      </w:pPr>
    </w:p>
    <w:p w14:paraId="439C8C7B">
      <w:pPr>
        <w:rPr>
          <w:rFonts w:ascii="宋体" w:hAnsi="宋体" w:cs="宋体"/>
          <w:b/>
          <w:color w:val="auto"/>
          <w:sz w:val="32"/>
          <w:szCs w:val="32"/>
          <w:highlight w:val="none"/>
        </w:rPr>
      </w:pPr>
    </w:p>
    <w:p w14:paraId="5336B13F">
      <w:pPr>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2B7B417">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487A3C34">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3051834F">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4E04A29B">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35961B97">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7F160ACD">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7C2508D">
      <w:pPr>
        <w:widowControl/>
        <w:ind w:firstLine="640" w:firstLineChars="200"/>
        <w:jc w:val="left"/>
        <w:rPr>
          <w:rFonts w:ascii="宋体" w:hAnsi="宋体" w:cs="宋体"/>
          <w:color w:val="auto"/>
          <w:sz w:val="32"/>
          <w:szCs w:val="32"/>
          <w:highlight w:val="none"/>
        </w:rPr>
      </w:pPr>
    </w:p>
    <w:p w14:paraId="66FF0C18">
      <w:pPr>
        <w:widowControl/>
        <w:ind w:firstLine="640" w:firstLineChars="200"/>
        <w:jc w:val="left"/>
        <w:rPr>
          <w:rFonts w:ascii="宋体" w:hAnsi="宋体" w:cs="宋体"/>
          <w:color w:val="auto"/>
          <w:sz w:val="32"/>
          <w:szCs w:val="32"/>
          <w:highlight w:val="none"/>
        </w:rPr>
      </w:pPr>
    </w:p>
    <w:p w14:paraId="61012D97">
      <w:pPr>
        <w:widowControl/>
        <w:ind w:firstLine="640" w:firstLineChars="200"/>
        <w:jc w:val="left"/>
        <w:rPr>
          <w:rFonts w:ascii="宋体" w:hAnsi="宋体" w:cs="宋体"/>
          <w:color w:val="auto"/>
          <w:sz w:val="32"/>
          <w:szCs w:val="32"/>
          <w:highlight w:val="none"/>
        </w:rPr>
      </w:pPr>
    </w:p>
    <w:p w14:paraId="6F65A850">
      <w:pPr>
        <w:widowControl/>
        <w:ind w:firstLine="640" w:firstLineChars="200"/>
        <w:jc w:val="left"/>
        <w:rPr>
          <w:rFonts w:ascii="宋体" w:hAnsi="宋体" w:cs="宋体"/>
          <w:color w:val="auto"/>
          <w:sz w:val="32"/>
          <w:szCs w:val="32"/>
          <w:highlight w:val="none"/>
        </w:rPr>
      </w:pPr>
    </w:p>
    <w:p w14:paraId="5CFCEB9E">
      <w:pPr>
        <w:widowControl/>
        <w:ind w:firstLine="640" w:firstLineChars="200"/>
        <w:jc w:val="left"/>
        <w:rPr>
          <w:rFonts w:ascii="宋体" w:hAnsi="宋体" w:cs="宋体"/>
          <w:color w:val="auto"/>
          <w:sz w:val="32"/>
          <w:szCs w:val="32"/>
          <w:highlight w:val="none"/>
        </w:rPr>
      </w:pPr>
    </w:p>
    <w:p w14:paraId="58BFFF06">
      <w:pPr>
        <w:widowControl/>
        <w:ind w:firstLine="640" w:firstLineChars="200"/>
        <w:jc w:val="left"/>
        <w:rPr>
          <w:rFonts w:ascii="宋体" w:hAnsi="宋体" w:cs="宋体"/>
          <w:color w:val="auto"/>
          <w:sz w:val="32"/>
          <w:szCs w:val="32"/>
          <w:highlight w:val="none"/>
        </w:rPr>
      </w:pPr>
    </w:p>
    <w:p w14:paraId="4B6C3D43">
      <w:pPr>
        <w:widowControl/>
        <w:jc w:val="left"/>
        <w:rPr>
          <w:rFonts w:ascii="宋体" w:hAnsi="宋体" w:cs="宋体"/>
          <w:color w:val="auto"/>
          <w:sz w:val="32"/>
          <w:szCs w:val="32"/>
          <w:highlight w:val="none"/>
        </w:rPr>
      </w:pPr>
    </w:p>
    <w:sectPr>
      <w:headerReference r:id="rId8"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8985">
    <w:pPr>
      <w:pStyle w:val="25"/>
      <w:tabs>
        <w:tab w:val="left" w:pos="4850"/>
      </w:tabs>
    </w:pPr>
    <w:r>
      <w:tab/>
    </w:r>
  </w:p>
  <w:p w14:paraId="353BC2AF">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9BC2">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005E">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0B1E">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30D8E"/>
    <w:multiLevelType w:val="singleLevel"/>
    <w:tmpl w:val="A0B30D8E"/>
    <w:lvl w:ilvl="0" w:tentative="0">
      <w:start w:val="5"/>
      <w:numFmt w:val="chineseCounting"/>
      <w:suff w:val="space"/>
      <w:lvlText w:val="第%1部分"/>
      <w:lvlJc w:val="left"/>
      <w:rPr>
        <w:rFonts w:hint="eastAsia"/>
      </w:rPr>
    </w:lvl>
  </w:abstractNum>
  <w:abstractNum w:abstractNumId="1">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B56D8D"/>
    <w:rsid w:val="0001769C"/>
    <w:rsid w:val="00022A55"/>
    <w:rsid w:val="00036E21"/>
    <w:rsid w:val="00041E72"/>
    <w:rsid w:val="00046C36"/>
    <w:rsid w:val="00095C7A"/>
    <w:rsid w:val="000A382B"/>
    <w:rsid w:val="000B5161"/>
    <w:rsid w:val="000C2381"/>
    <w:rsid w:val="000E2758"/>
    <w:rsid w:val="0010160F"/>
    <w:rsid w:val="00101B2D"/>
    <w:rsid w:val="00123412"/>
    <w:rsid w:val="001330E3"/>
    <w:rsid w:val="00142080"/>
    <w:rsid w:val="0014223C"/>
    <w:rsid w:val="00152AC9"/>
    <w:rsid w:val="0016052F"/>
    <w:rsid w:val="001A1492"/>
    <w:rsid w:val="001B4504"/>
    <w:rsid w:val="001E4565"/>
    <w:rsid w:val="00244656"/>
    <w:rsid w:val="00252743"/>
    <w:rsid w:val="00272EAA"/>
    <w:rsid w:val="00277E8E"/>
    <w:rsid w:val="00280515"/>
    <w:rsid w:val="00284760"/>
    <w:rsid w:val="002A05C4"/>
    <w:rsid w:val="002A7289"/>
    <w:rsid w:val="002B0C54"/>
    <w:rsid w:val="002C7FDD"/>
    <w:rsid w:val="002D17CA"/>
    <w:rsid w:val="002E0AE8"/>
    <w:rsid w:val="00343552"/>
    <w:rsid w:val="00354A06"/>
    <w:rsid w:val="0037650A"/>
    <w:rsid w:val="003960A9"/>
    <w:rsid w:val="003D62D9"/>
    <w:rsid w:val="003E1FC5"/>
    <w:rsid w:val="003E449D"/>
    <w:rsid w:val="003F38E7"/>
    <w:rsid w:val="004066B4"/>
    <w:rsid w:val="0041047B"/>
    <w:rsid w:val="004152B4"/>
    <w:rsid w:val="00416E28"/>
    <w:rsid w:val="00421206"/>
    <w:rsid w:val="00422C8C"/>
    <w:rsid w:val="00443E8B"/>
    <w:rsid w:val="004A40B2"/>
    <w:rsid w:val="004E51D6"/>
    <w:rsid w:val="0051659C"/>
    <w:rsid w:val="005308C8"/>
    <w:rsid w:val="005516EA"/>
    <w:rsid w:val="00557DD9"/>
    <w:rsid w:val="005C2F60"/>
    <w:rsid w:val="005C3390"/>
    <w:rsid w:val="005D298C"/>
    <w:rsid w:val="005E67C6"/>
    <w:rsid w:val="0060172A"/>
    <w:rsid w:val="00605482"/>
    <w:rsid w:val="00621429"/>
    <w:rsid w:val="006539D4"/>
    <w:rsid w:val="00662D42"/>
    <w:rsid w:val="0067067E"/>
    <w:rsid w:val="00675C76"/>
    <w:rsid w:val="00681E06"/>
    <w:rsid w:val="006A52DF"/>
    <w:rsid w:val="006C7974"/>
    <w:rsid w:val="006E07EE"/>
    <w:rsid w:val="006E7536"/>
    <w:rsid w:val="006F1E73"/>
    <w:rsid w:val="006F6616"/>
    <w:rsid w:val="00701A69"/>
    <w:rsid w:val="00786B2F"/>
    <w:rsid w:val="007B1243"/>
    <w:rsid w:val="007C2B89"/>
    <w:rsid w:val="007D3697"/>
    <w:rsid w:val="007F72A0"/>
    <w:rsid w:val="00810FC4"/>
    <w:rsid w:val="00850556"/>
    <w:rsid w:val="0086128B"/>
    <w:rsid w:val="008A682D"/>
    <w:rsid w:val="008B5A76"/>
    <w:rsid w:val="008B60D4"/>
    <w:rsid w:val="008C3EBC"/>
    <w:rsid w:val="008C6DF9"/>
    <w:rsid w:val="008D58A2"/>
    <w:rsid w:val="008F663D"/>
    <w:rsid w:val="008F6934"/>
    <w:rsid w:val="00941F46"/>
    <w:rsid w:val="00943D2C"/>
    <w:rsid w:val="009475C2"/>
    <w:rsid w:val="0096527B"/>
    <w:rsid w:val="00983092"/>
    <w:rsid w:val="0098758C"/>
    <w:rsid w:val="009A0CD6"/>
    <w:rsid w:val="009A1179"/>
    <w:rsid w:val="009B4DD5"/>
    <w:rsid w:val="009E160D"/>
    <w:rsid w:val="009E51EE"/>
    <w:rsid w:val="009F50CF"/>
    <w:rsid w:val="00A00B51"/>
    <w:rsid w:val="00A316A7"/>
    <w:rsid w:val="00A52D92"/>
    <w:rsid w:val="00AC3B98"/>
    <w:rsid w:val="00AE730F"/>
    <w:rsid w:val="00B00725"/>
    <w:rsid w:val="00B2317B"/>
    <w:rsid w:val="00B558F2"/>
    <w:rsid w:val="00B56D8D"/>
    <w:rsid w:val="00B678A6"/>
    <w:rsid w:val="00B95AEC"/>
    <w:rsid w:val="00BA317D"/>
    <w:rsid w:val="00BA50B3"/>
    <w:rsid w:val="00BC4CAD"/>
    <w:rsid w:val="00C062FC"/>
    <w:rsid w:val="00C11FEE"/>
    <w:rsid w:val="00C85760"/>
    <w:rsid w:val="00CA1575"/>
    <w:rsid w:val="00CA4350"/>
    <w:rsid w:val="00CA55ED"/>
    <w:rsid w:val="00CC04E8"/>
    <w:rsid w:val="00CC68B8"/>
    <w:rsid w:val="00CF6310"/>
    <w:rsid w:val="00D00596"/>
    <w:rsid w:val="00D02D61"/>
    <w:rsid w:val="00D033D8"/>
    <w:rsid w:val="00D056A3"/>
    <w:rsid w:val="00D2650B"/>
    <w:rsid w:val="00D87A65"/>
    <w:rsid w:val="00D9708D"/>
    <w:rsid w:val="00DA60AE"/>
    <w:rsid w:val="00DB2980"/>
    <w:rsid w:val="00DE56A0"/>
    <w:rsid w:val="00E14463"/>
    <w:rsid w:val="00E347B5"/>
    <w:rsid w:val="00E37D65"/>
    <w:rsid w:val="00E45981"/>
    <w:rsid w:val="00E53713"/>
    <w:rsid w:val="00E5485C"/>
    <w:rsid w:val="00EF7A3E"/>
    <w:rsid w:val="00F07249"/>
    <w:rsid w:val="00F314BE"/>
    <w:rsid w:val="00F34D54"/>
    <w:rsid w:val="00F4710C"/>
    <w:rsid w:val="00F53883"/>
    <w:rsid w:val="00F5705A"/>
    <w:rsid w:val="00F600B7"/>
    <w:rsid w:val="00F731A4"/>
    <w:rsid w:val="00FA2CE0"/>
    <w:rsid w:val="00FA5C97"/>
    <w:rsid w:val="00FB7DF2"/>
    <w:rsid w:val="00FF1674"/>
    <w:rsid w:val="01615160"/>
    <w:rsid w:val="02472C89"/>
    <w:rsid w:val="025A529E"/>
    <w:rsid w:val="02944B48"/>
    <w:rsid w:val="02D72E63"/>
    <w:rsid w:val="03153403"/>
    <w:rsid w:val="035B4904"/>
    <w:rsid w:val="03767BF5"/>
    <w:rsid w:val="04817D14"/>
    <w:rsid w:val="053718C6"/>
    <w:rsid w:val="059D7E1B"/>
    <w:rsid w:val="07041C7C"/>
    <w:rsid w:val="07812366"/>
    <w:rsid w:val="079067C5"/>
    <w:rsid w:val="080E1768"/>
    <w:rsid w:val="082641FF"/>
    <w:rsid w:val="083B00CB"/>
    <w:rsid w:val="09BD6B8A"/>
    <w:rsid w:val="09DC5814"/>
    <w:rsid w:val="0A8F4BA2"/>
    <w:rsid w:val="0C346B5F"/>
    <w:rsid w:val="0E424360"/>
    <w:rsid w:val="0E7A3365"/>
    <w:rsid w:val="0E8D60ED"/>
    <w:rsid w:val="0ED447C6"/>
    <w:rsid w:val="0ED80D13"/>
    <w:rsid w:val="10D0339A"/>
    <w:rsid w:val="11A534D6"/>
    <w:rsid w:val="12C50511"/>
    <w:rsid w:val="13F52E4D"/>
    <w:rsid w:val="140E7C96"/>
    <w:rsid w:val="153A378B"/>
    <w:rsid w:val="16A60BC5"/>
    <w:rsid w:val="17103D25"/>
    <w:rsid w:val="17545CF1"/>
    <w:rsid w:val="1772678E"/>
    <w:rsid w:val="17AA6D72"/>
    <w:rsid w:val="17C57205"/>
    <w:rsid w:val="184C4183"/>
    <w:rsid w:val="186D3FAF"/>
    <w:rsid w:val="1B392D05"/>
    <w:rsid w:val="1B813443"/>
    <w:rsid w:val="1D24677C"/>
    <w:rsid w:val="1D965E95"/>
    <w:rsid w:val="1DF13C67"/>
    <w:rsid w:val="1E1318C7"/>
    <w:rsid w:val="1E5F6387"/>
    <w:rsid w:val="1EDF295B"/>
    <w:rsid w:val="1F256949"/>
    <w:rsid w:val="1F881ABF"/>
    <w:rsid w:val="20AB0E9C"/>
    <w:rsid w:val="21C8351B"/>
    <w:rsid w:val="21D94EAE"/>
    <w:rsid w:val="22BB0C22"/>
    <w:rsid w:val="23063A8E"/>
    <w:rsid w:val="236D082A"/>
    <w:rsid w:val="241A2687"/>
    <w:rsid w:val="242D428E"/>
    <w:rsid w:val="24CF77D7"/>
    <w:rsid w:val="2544463A"/>
    <w:rsid w:val="274C7976"/>
    <w:rsid w:val="275B1730"/>
    <w:rsid w:val="27B52D75"/>
    <w:rsid w:val="27FC27CF"/>
    <w:rsid w:val="2810151D"/>
    <w:rsid w:val="28F22BA0"/>
    <w:rsid w:val="28F33F64"/>
    <w:rsid w:val="28F41FAB"/>
    <w:rsid w:val="292D35DE"/>
    <w:rsid w:val="29916F47"/>
    <w:rsid w:val="2A207C0B"/>
    <w:rsid w:val="2A9127FD"/>
    <w:rsid w:val="2B084FE7"/>
    <w:rsid w:val="2B972492"/>
    <w:rsid w:val="2C81009F"/>
    <w:rsid w:val="2CFC2D64"/>
    <w:rsid w:val="2DC773DC"/>
    <w:rsid w:val="2DCC49F2"/>
    <w:rsid w:val="2E921297"/>
    <w:rsid w:val="2E9F2106"/>
    <w:rsid w:val="2EE1627B"/>
    <w:rsid w:val="2F6647B3"/>
    <w:rsid w:val="2FB05E91"/>
    <w:rsid w:val="30493643"/>
    <w:rsid w:val="305F1C73"/>
    <w:rsid w:val="30A9288D"/>
    <w:rsid w:val="30B82AAA"/>
    <w:rsid w:val="31823820"/>
    <w:rsid w:val="332A4581"/>
    <w:rsid w:val="332C454E"/>
    <w:rsid w:val="333C1447"/>
    <w:rsid w:val="33997124"/>
    <w:rsid w:val="34190265"/>
    <w:rsid w:val="34584307"/>
    <w:rsid w:val="34857719"/>
    <w:rsid w:val="34C00E70"/>
    <w:rsid w:val="351D761F"/>
    <w:rsid w:val="35E76841"/>
    <w:rsid w:val="365336A6"/>
    <w:rsid w:val="365C562B"/>
    <w:rsid w:val="37CE125D"/>
    <w:rsid w:val="38156132"/>
    <w:rsid w:val="38170F5F"/>
    <w:rsid w:val="38FE4579"/>
    <w:rsid w:val="39917BB6"/>
    <w:rsid w:val="39941001"/>
    <w:rsid w:val="3A7971F2"/>
    <w:rsid w:val="3A7A7584"/>
    <w:rsid w:val="3B553B81"/>
    <w:rsid w:val="3B801AE4"/>
    <w:rsid w:val="3D4429D8"/>
    <w:rsid w:val="3E5C76CC"/>
    <w:rsid w:val="3EB017C6"/>
    <w:rsid w:val="3F7D3144"/>
    <w:rsid w:val="3F870F20"/>
    <w:rsid w:val="3F8D39AC"/>
    <w:rsid w:val="3FD80FD4"/>
    <w:rsid w:val="408156A6"/>
    <w:rsid w:val="40AB66E9"/>
    <w:rsid w:val="40B73DBA"/>
    <w:rsid w:val="41A01FC6"/>
    <w:rsid w:val="425954CF"/>
    <w:rsid w:val="427B1E91"/>
    <w:rsid w:val="438E52B3"/>
    <w:rsid w:val="43D23F8D"/>
    <w:rsid w:val="43E20674"/>
    <w:rsid w:val="444153E7"/>
    <w:rsid w:val="44942573"/>
    <w:rsid w:val="4509736B"/>
    <w:rsid w:val="451E674B"/>
    <w:rsid w:val="453144FF"/>
    <w:rsid w:val="45B1142F"/>
    <w:rsid w:val="45C90A93"/>
    <w:rsid w:val="4624734E"/>
    <w:rsid w:val="46477C15"/>
    <w:rsid w:val="46E56104"/>
    <w:rsid w:val="472E1032"/>
    <w:rsid w:val="477F6C5D"/>
    <w:rsid w:val="47E4271E"/>
    <w:rsid w:val="484D62D8"/>
    <w:rsid w:val="48777026"/>
    <w:rsid w:val="496E7691"/>
    <w:rsid w:val="4998791D"/>
    <w:rsid w:val="4A9B234B"/>
    <w:rsid w:val="4ABD2DFF"/>
    <w:rsid w:val="4C6172CF"/>
    <w:rsid w:val="4D4839E1"/>
    <w:rsid w:val="4D5F2A81"/>
    <w:rsid w:val="4DAE7B58"/>
    <w:rsid w:val="4E295A47"/>
    <w:rsid w:val="4E384BBC"/>
    <w:rsid w:val="4E4503DF"/>
    <w:rsid w:val="4ECF7AC9"/>
    <w:rsid w:val="4F111E0D"/>
    <w:rsid w:val="4FBD248B"/>
    <w:rsid w:val="50A438A3"/>
    <w:rsid w:val="521D6D1B"/>
    <w:rsid w:val="52D3015E"/>
    <w:rsid w:val="54640C31"/>
    <w:rsid w:val="548F7932"/>
    <w:rsid w:val="54D96CD2"/>
    <w:rsid w:val="55870056"/>
    <w:rsid w:val="565C6009"/>
    <w:rsid w:val="569E38C5"/>
    <w:rsid w:val="56DF2407"/>
    <w:rsid w:val="572823EA"/>
    <w:rsid w:val="57997817"/>
    <w:rsid w:val="57BD2EBA"/>
    <w:rsid w:val="58AC102C"/>
    <w:rsid w:val="58BD53EE"/>
    <w:rsid w:val="58F41175"/>
    <w:rsid w:val="5A0B19B1"/>
    <w:rsid w:val="5A794F39"/>
    <w:rsid w:val="5AF60286"/>
    <w:rsid w:val="5BAE1884"/>
    <w:rsid w:val="5C477458"/>
    <w:rsid w:val="5C8B5D78"/>
    <w:rsid w:val="5E8C1054"/>
    <w:rsid w:val="5EAA6AA5"/>
    <w:rsid w:val="5F8623A3"/>
    <w:rsid w:val="5FFE2178"/>
    <w:rsid w:val="60BF241E"/>
    <w:rsid w:val="6240702B"/>
    <w:rsid w:val="62E25B42"/>
    <w:rsid w:val="63310F95"/>
    <w:rsid w:val="64432F66"/>
    <w:rsid w:val="65B5211E"/>
    <w:rsid w:val="66231071"/>
    <w:rsid w:val="663F3DE7"/>
    <w:rsid w:val="66615D51"/>
    <w:rsid w:val="67693568"/>
    <w:rsid w:val="67801F85"/>
    <w:rsid w:val="678F176E"/>
    <w:rsid w:val="68BE6B8D"/>
    <w:rsid w:val="6ADA56DC"/>
    <w:rsid w:val="6AF503DD"/>
    <w:rsid w:val="6B2232B2"/>
    <w:rsid w:val="6B8579B3"/>
    <w:rsid w:val="6C5A5CA5"/>
    <w:rsid w:val="6C7C0DB6"/>
    <w:rsid w:val="6CBD1303"/>
    <w:rsid w:val="6EA1254D"/>
    <w:rsid w:val="6EC16E53"/>
    <w:rsid w:val="6F810878"/>
    <w:rsid w:val="6F827603"/>
    <w:rsid w:val="6FD74555"/>
    <w:rsid w:val="712B13B5"/>
    <w:rsid w:val="71750118"/>
    <w:rsid w:val="71AE4C43"/>
    <w:rsid w:val="72E046C1"/>
    <w:rsid w:val="731B69EE"/>
    <w:rsid w:val="73F97190"/>
    <w:rsid w:val="741576A5"/>
    <w:rsid w:val="746309C6"/>
    <w:rsid w:val="768E6B6C"/>
    <w:rsid w:val="77004FD3"/>
    <w:rsid w:val="770F0450"/>
    <w:rsid w:val="77D17A87"/>
    <w:rsid w:val="78D7094F"/>
    <w:rsid w:val="791C2EDB"/>
    <w:rsid w:val="79427686"/>
    <w:rsid w:val="79556C16"/>
    <w:rsid w:val="7A9C2623"/>
    <w:rsid w:val="7B231ABE"/>
    <w:rsid w:val="7C534DA5"/>
    <w:rsid w:val="7CCF6D81"/>
    <w:rsid w:val="7D3B1482"/>
    <w:rsid w:val="7D5B63B2"/>
    <w:rsid w:val="7D622980"/>
    <w:rsid w:val="7D931EB5"/>
    <w:rsid w:val="7DA62A24"/>
    <w:rsid w:val="7E506AC0"/>
    <w:rsid w:val="7EC71EE7"/>
    <w:rsid w:val="7F1D7072"/>
    <w:rsid w:val="7F1E2996"/>
    <w:rsid w:val="7F231565"/>
    <w:rsid w:val="7F67123E"/>
    <w:rsid w:val="7FD2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2"/>
    <w:qFormat/>
    <w:uiPriority w:val="0"/>
    <w:pPr>
      <w:keepNext/>
      <w:jc w:val="center"/>
      <w:outlineLvl w:val="3"/>
    </w:pPr>
    <w:rPr>
      <w:rFonts w:eastAsia="新宋体"/>
      <w:kern w:val="0"/>
      <w:sz w:val="30"/>
      <w:szCs w:val="21"/>
    </w:rPr>
  </w:style>
  <w:style w:type="paragraph" w:styleId="6">
    <w:name w:val="heading 5"/>
    <w:basedOn w:val="1"/>
    <w:next w:val="1"/>
    <w:link w:val="53"/>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4"/>
    <w:qFormat/>
    <w:uiPriority w:val="0"/>
    <w:pPr>
      <w:keepNext/>
      <w:jc w:val="center"/>
      <w:outlineLvl w:val="5"/>
    </w:pPr>
    <w:rPr>
      <w:b/>
      <w:kern w:val="0"/>
      <w:sz w:val="44"/>
      <w:szCs w:val="20"/>
    </w:rPr>
  </w:style>
  <w:style w:type="paragraph" w:styleId="9">
    <w:name w:val="heading 7"/>
    <w:basedOn w:val="1"/>
    <w:next w:val="1"/>
    <w:link w:val="57"/>
    <w:qFormat/>
    <w:uiPriority w:val="0"/>
    <w:pPr>
      <w:keepNext/>
      <w:keepLines/>
      <w:spacing w:before="240" w:after="64" w:line="320" w:lineRule="auto"/>
      <w:outlineLvl w:val="6"/>
    </w:pPr>
    <w:rPr>
      <w:b/>
      <w:bCs/>
      <w:kern w:val="0"/>
      <w:sz w:val="24"/>
    </w:rPr>
  </w:style>
  <w:style w:type="paragraph" w:styleId="10">
    <w:name w:val="heading 8"/>
    <w:basedOn w:val="1"/>
    <w:next w:val="1"/>
    <w:link w:val="58"/>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9"/>
    <w:qFormat/>
    <w:uiPriority w:val="0"/>
    <w:pPr>
      <w:keepNext/>
      <w:keepLines/>
      <w:spacing w:before="240" w:after="64" w:line="320" w:lineRule="auto"/>
      <w:outlineLvl w:val="8"/>
    </w:pPr>
    <w:rPr>
      <w:rFonts w:ascii="Arial" w:hAnsi="Arial" w:eastAsia="黑体"/>
      <w:kern w:val="0"/>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8">
    <w:name w:val="Normal Indent"/>
    <w:basedOn w:val="1"/>
    <w:link w:val="55"/>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60"/>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qFormat/>
    <w:uiPriority w:val="99"/>
    <w:pPr>
      <w:jc w:val="left"/>
    </w:pPr>
  </w:style>
  <w:style w:type="paragraph" w:styleId="16">
    <w:name w:val="Body Text 3"/>
    <w:basedOn w:val="1"/>
    <w:link w:val="61"/>
    <w:qFormat/>
    <w:uiPriority w:val="0"/>
    <w:pPr>
      <w:spacing w:after="120"/>
    </w:pPr>
    <w:rPr>
      <w:kern w:val="0"/>
      <w:sz w:val="16"/>
      <w:szCs w:val="16"/>
    </w:rPr>
  </w:style>
  <w:style w:type="paragraph" w:styleId="17">
    <w:name w:val="Body Text"/>
    <w:basedOn w:val="1"/>
    <w:next w:val="1"/>
    <w:link w:val="62"/>
    <w:qFormat/>
    <w:uiPriority w:val="0"/>
    <w:rPr>
      <w:rFonts w:ascii="仿宋_GB2312" w:eastAsia="仿宋_GB2312"/>
      <w:kern w:val="0"/>
      <w:sz w:val="24"/>
      <w:szCs w:val="20"/>
    </w:rPr>
  </w:style>
  <w:style w:type="paragraph" w:styleId="18">
    <w:name w:val="Body Text Indent"/>
    <w:basedOn w:val="1"/>
    <w:next w:val="19"/>
    <w:link w:val="63"/>
    <w:qFormat/>
    <w:uiPriority w:val="0"/>
    <w:pPr>
      <w:ind w:left="765"/>
    </w:pPr>
    <w:rPr>
      <w:rFonts w:ascii="仿宋_GB2312" w:eastAsia="仿宋_GB2312"/>
      <w:kern w:val="0"/>
      <w:sz w:val="28"/>
      <w:szCs w:val="20"/>
    </w:rPr>
  </w:style>
  <w:style w:type="paragraph" w:styleId="19">
    <w:name w:val="envelope return"/>
    <w:basedOn w:val="1"/>
    <w:qFormat/>
    <w:uiPriority w:val="99"/>
    <w:pPr>
      <w:snapToGrid w:val="0"/>
    </w:pPr>
    <w:rPr>
      <w:rFonts w:ascii="Arial" w:hAnsi="Arial"/>
    </w:rPr>
  </w:style>
  <w:style w:type="paragraph" w:styleId="20">
    <w:name w:val="Block Text"/>
    <w:basedOn w:val="1"/>
    <w:qFormat/>
    <w:uiPriority w:val="99"/>
  </w:style>
  <w:style w:type="paragraph" w:styleId="21">
    <w:name w:val="Plain Text"/>
    <w:basedOn w:val="1"/>
    <w:link w:val="56"/>
    <w:qFormat/>
    <w:uiPriority w:val="0"/>
    <w:rPr>
      <w:rFonts w:ascii="宋体" w:hAnsi="Courier New"/>
      <w:kern w:val="0"/>
      <w:sz w:val="20"/>
      <w:szCs w:val="21"/>
    </w:rPr>
  </w:style>
  <w:style w:type="paragraph" w:styleId="22">
    <w:name w:val="Date"/>
    <w:basedOn w:val="1"/>
    <w:next w:val="1"/>
    <w:link w:val="64"/>
    <w:qFormat/>
    <w:uiPriority w:val="0"/>
    <w:rPr>
      <w:kern w:val="0"/>
      <w:sz w:val="24"/>
      <w:szCs w:val="20"/>
    </w:rPr>
  </w:style>
  <w:style w:type="paragraph" w:styleId="23">
    <w:name w:val="Body Text Indent 2"/>
    <w:basedOn w:val="1"/>
    <w:link w:val="65"/>
    <w:qFormat/>
    <w:uiPriority w:val="0"/>
    <w:pPr>
      <w:spacing w:line="500" w:lineRule="exact"/>
      <w:ind w:firstLine="560" w:firstLineChars="200"/>
    </w:pPr>
    <w:rPr>
      <w:rFonts w:eastAsia="仿宋_GB2312"/>
      <w:kern w:val="0"/>
      <w:sz w:val="28"/>
      <w:szCs w:val="20"/>
    </w:rPr>
  </w:style>
  <w:style w:type="paragraph" w:styleId="24">
    <w:name w:val="Balloon Text"/>
    <w:basedOn w:val="1"/>
    <w:link w:val="66"/>
    <w:qFormat/>
    <w:uiPriority w:val="0"/>
    <w:rPr>
      <w:kern w:val="0"/>
      <w:sz w:val="18"/>
      <w:szCs w:val="18"/>
    </w:rPr>
  </w:style>
  <w:style w:type="paragraph" w:styleId="25">
    <w:name w:val="footer"/>
    <w:basedOn w:val="1"/>
    <w:next w:val="1"/>
    <w:link w:val="67"/>
    <w:qFormat/>
    <w:uiPriority w:val="99"/>
    <w:pPr>
      <w:tabs>
        <w:tab w:val="center" w:pos="4153"/>
        <w:tab w:val="right" w:pos="8306"/>
      </w:tabs>
      <w:snapToGrid w:val="0"/>
      <w:jc w:val="left"/>
    </w:pPr>
    <w:rPr>
      <w:kern w:val="0"/>
      <w:sz w:val="18"/>
      <w:szCs w:val="20"/>
    </w:rPr>
  </w:style>
  <w:style w:type="paragraph" w:styleId="26">
    <w:name w:val="header"/>
    <w:basedOn w:val="1"/>
    <w:link w:val="68"/>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next w:val="14"/>
    <w:link w:val="69"/>
    <w:qFormat/>
    <w:uiPriority w:val="0"/>
    <w:pPr>
      <w:spacing w:after="120"/>
      <w:ind w:left="420" w:leftChars="200"/>
    </w:pPr>
    <w:rPr>
      <w:kern w:val="0"/>
      <w:sz w:val="16"/>
      <w:szCs w:val="16"/>
    </w:rPr>
  </w:style>
  <w:style w:type="paragraph" w:styleId="30">
    <w:name w:val="Body Text 2"/>
    <w:basedOn w:val="1"/>
    <w:next w:val="17"/>
    <w:link w:val="70"/>
    <w:qFormat/>
    <w:uiPriority w:val="0"/>
    <w:pPr>
      <w:snapToGrid w:val="0"/>
    </w:pPr>
    <w:rPr>
      <w:b/>
      <w:bCs/>
      <w:kern w:val="0"/>
      <w:sz w:val="18"/>
    </w:rPr>
  </w:style>
  <w:style w:type="paragraph" w:styleId="3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annotation subject"/>
    <w:basedOn w:val="15"/>
    <w:next w:val="15"/>
    <w:link w:val="131"/>
    <w:qFormat/>
    <w:uiPriority w:val="99"/>
    <w:rPr>
      <w:b/>
      <w:bCs/>
    </w:rPr>
  </w:style>
  <w:style w:type="paragraph" w:styleId="34">
    <w:name w:val="Body Text First Indent"/>
    <w:basedOn w:val="17"/>
    <w:next w:val="35"/>
    <w:link w:val="71"/>
    <w:qFormat/>
    <w:uiPriority w:val="0"/>
    <w:pPr>
      <w:spacing w:after="120"/>
      <w:ind w:firstLine="420" w:firstLineChars="100"/>
    </w:pPr>
    <w:rPr>
      <w:rFonts w:ascii="Times New Roman" w:eastAsia="宋体"/>
      <w:szCs w:val="24"/>
    </w:rPr>
  </w:style>
  <w:style w:type="paragraph" w:styleId="35">
    <w:name w:val="Body Text First Indent 2"/>
    <w:basedOn w:val="18"/>
    <w:next w:val="1"/>
    <w:qFormat/>
    <w:uiPriority w:val="99"/>
    <w:pPr>
      <w:ind w:firstLine="200" w:firstLineChars="200"/>
    </w:p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666666"/>
      <w:u w:val="none"/>
    </w:rPr>
  </w:style>
  <w:style w:type="character" w:styleId="42">
    <w:name w:val="Emphasis"/>
    <w:qFormat/>
    <w:uiPriority w:val="20"/>
  </w:style>
  <w:style w:type="character" w:styleId="43">
    <w:name w:val="Hyperlink"/>
    <w:qFormat/>
    <w:uiPriority w:val="0"/>
    <w:rPr>
      <w:color w:val="666666"/>
      <w:u w:val="none"/>
    </w:rPr>
  </w:style>
  <w:style w:type="character" w:styleId="44">
    <w:name w:val="annotation reference"/>
    <w:qFormat/>
    <w:uiPriority w:val="99"/>
    <w:rPr>
      <w:sz w:val="21"/>
      <w:szCs w:val="21"/>
    </w:rPr>
  </w:style>
  <w:style w:type="paragraph" w:customStyle="1" w:styleId="45">
    <w:name w:val="无间隔1"/>
    <w:qFormat/>
    <w:uiPriority w:val="0"/>
    <w:rPr>
      <w:rFonts w:ascii="Times New Roman" w:hAnsi="Times New Roman" w:eastAsia="宋体" w:cs="Calibri"/>
      <w:sz w:val="22"/>
      <w:lang w:val="en-US" w:eastAsia="zh-CN" w:bidi="ar-SA"/>
    </w:rPr>
  </w:style>
  <w:style w:type="paragraph" w:customStyle="1" w:styleId="46">
    <w:name w:val="style4"/>
    <w:basedOn w:val="1"/>
    <w:next w:val="47"/>
    <w:qFormat/>
    <w:uiPriority w:val="0"/>
    <w:pPr>
      <w:widowControl/>
      <w:spacing w:before="280" w:after="280"/>
    </w:pPr>
    <w:rPr>
      <w:rFonts w:ascii="宋体"/>
      <w:sz w:val="18"/>
    </w:rPr>
  </w:style>
  <w:style w:type="paragraph" w:customStyle="1" w:styleId="4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9">
    <w:name w:val="标题 1 Char"/>
    <w:link w:val="2"/>
    <w:qFormat/>
    <w:uiPriority w:val="0"/>
    <w:rPr>
      <w:rFonts w:ascii="Times New Roman" w:hAnsi="Times New Roman" w:eastAsia="宋体" w:cs="Times New Roman"/>
      <w:b/>
      <w:bCs/>
      <w:kern w:val="44"/>
      <w:sz w:val="44"/>
      <w:szCs w:val="44"/>
    </w:rPr>
  </w:style>
  <w:style w:type="character" w:customStyle="1" w:styleId="50">
    <w:name w:val="标题 2 Char"/>
    <w:link w:val="3"/>
    <w:qFormat/>
    <w:uiPriority w:val="0"/>
    <w:rPr>
      <w:rFonts w:ascii="Arial" w:hAnsi="Arial" w:eastAsia="黑体" w:cs="Times New Roman"/>
      <w:b/>
      <w:bCs/>
      <w:sz w:val="32"/>
      <w:szCs w:val="32"/>
    </w:rPr>
  </w:style>
  <w:style w:type="character" w:customStyle="1" w:styleId="51">
    <w:name w:val="标题 3 Char"/>
    <w:link w:val="4"/>
    <w:qFormat/>
    <w:uiPriority w:val="0"/>
    <w:rPr>
      <w:rFonts w:ascii="Times New Roman" w:hAnsi="Times New Roman" w:eastAsia="宋体" w:cs="Times New Roman"/>
      <w:b/>
      <w:bCs/>
      <w:sz w:val="32"/>
      <w:szCs w:val="32"/>
    </w:rPr>
  </w:style>
  <w:style w:type="character" w:customStyle="1" w:styleId="52">
    <w:name w:val="标题 4 Char"/>
    <w:link w:val="5"/>
    <w:qFormat/>
    <w:uiPriority w:val="0"/>
    <w:rPr>
      <w:rFonts w:ascii="Times New Roman" w:hAnsi="Times New Roman" w:eastAsia="新宋体" w:cs="Times New Roman"/>
      <w:sz w:val="30"/>
      <w:szCs w:val="21"/>
    </w:rPr>
  </w:style>
  <w:style w:type="character" w:customStyle="1" w:styleId="53">
    <w:name w:val="标题 5 Char"/>
    <w:link w:val="6"/>
    <w:qFormat/>
    <w:uiPriority w:val="0"/>
    <w:rPr>
      <w:rFonts w:ascii="Times New Roman" w:hAnsi="Times New Roman" w:eastAsia="宋体" w:cs="Times New Roman"/>
      <w:b/>
      <w:bCs/>
      <w:sz w:val="28"/>
      <w:szCs w:val="28"/>
    </w:rPr>
  </w:style>
  <w:style w:type="character" w:customStyle="1" w:styleId="54">
    <w:name w:val="标题 6 Char"/>
    <w:link w:val="7"/>
    <w:qFormat/>
    <w:uiPriority w:val="0"/>
    <w:rPr>
      <w:rFonts w:ascii="Times New Roman" w:hAnsi="Times New Roman" w:eastAsia="宋体" w:cs="Times New Roman"/>
      <w:b/>
      <w:sz w:val="44"/>
      <w:szCs w:val="20"/>
    </w:rPr>
  </w:style>
  <w:style w:type="character" w:customStyle="1" w:styleId="55">
    <w:name w:val="正文缩进 Char"/>
    <w:link w:val="8"/>
    <w:qFormat/>
    <w:uiPriority w:val="0"/>
    <w:rPr>
      <w:rFonts w:ascii="Times New Roman" w:hAnsi="Times New Roman" w:eastAsia="宋体" w:cs="Times New Roman"/>
      <w:kern w:val="0"/>
      <w:sz w:val="20"/>
      <w:szCs w:val="20"/>
    </w:rPr>
  </w:style>
  <w:style w:type="character" w:customStyle="1" w:styleId="56">
    <w:name w:val="纯文本 Char"/>
    <w:link w:val="21"/>
    <w:qFormat/>
    <w:uiPriority w:val="0"/>
    <w:rPr>
      <w:rFonts w:ascii="宋体" w:hAnsi="Courier New" w:eastAsia="宋体" w:cs="Courier New"/>
      <w:szCs w:val="21"/>
    </w:rPr>
  </w:style>
  <w:style w:type="character" w:customStyle="1" w:styleId="57">
    <w:name w:val="标题 7 Char"/>
    <w:link w:val="9"/>
    <w:qFormat/>
    <w:uiPriority w:val="0"/>
    <w:rPr>
      <w:rFonts w:ascii="Times New Roman" w:hAnsi="Times New Roman" w:eastAsia="宋体" w:cs="Times New Roman"/>
      <w:b/>
      <w:bCs/>
      <w:sz w:val="24"/>
      <w:szCs w:val="24"/>
    </w:rPr>
  </w:style>
  <w:style w:type="character" w:customStyle="1" w:styleId="58">
    <w:name w:val="标题 8 Char"/>
    <w:link w:val="10"/>
    <w:qFormat/>
    <w:uiPriority w:val="0"/>
    <w:rPr>
      <w:rFonts w:ascii="Arial" w:hAnsi="Arial" w:eastAsia="黑体" w:cs="Times New Roman"/>
      <w:sz w:val="24"/>
      <w:szCs w:val="24"/>
    </w:rPr>
  </w:style>
  <w:style w:type="character" w:customStyle="1" w:styleId="59">
    <w:name w:val="标题 9 Char"/>
    <w:link w:val="11"/>
    <w:qFormat/>
    <w:uiPriority w:val="0"/>
    <w:rPr>
      <w:rFonts w:ascii="Arial" w:hAnsi="Arial" w:eastAsia="黑体" w:cs="Times New Roman"/>
      <w:sz w:val="24"/>
      <w:szCs w:val="21"/>
    </w:rPr>
  </w:style>
  <w:style w:type="character" w:customStyle="1" w:styleId="60">
    <w:name w:val="文档结构图 Char"/>
    <w:link w:val="13"/>
    <w:qFormat/>
    <w:uiPriority w:val="0"/>
    <w:rPr>
      <w:szCs w:val="24"/>
      <w:shd w:val="clear" w:color="auto" w:fill="000080"/>
    </w:rPr>
  </w:style>
  <w:style w:type="character" w:customStyle="1" w:styleId="61">
    <w:name w:val="正文文本 3 Char"/>
    <w:link w:val="16"/>
    <w:qFormat/>
    <w:uiPriority w:val="0"/>
    <w:rPr>
      <w:rFonts w:ascii="Times New Roman" w:hAnsi="Times New Roman" w:eastAsia="宋体" w:cs="Times New Roman"/>
      <w:sz w:val="16"/>
      <w:szCs w:val="16"/>
    </w:rPr>
  </w:style>
  <w:style w:type="character" w:customStyle="1" w:styleId="62">
    <w:name w:val="正文文本 Char"/>
    <w:link w:val="17"/>
    <w:qFormat/>
    <w:uiPriority w:val="0"/>
    <w:rPr>
      <w:rFonts w:ascii="仿宋_GB2312" w:hAnsi="Times New Roman" w:eastAsia="仿宋_GB2312" w:cs="Times New Roman"/>
      <w:sz w:val="24"/>
      <w:szCs w:val="20"/>
    </w:rPr>
  </w:style>
  <w:style w:type="character" w:customStyle="1" w:styleId="63">
    <w:name w:val="正文文本缩进 Char"/>
    <w:link w:val="18"/>
    <w:qFormat/>
    <w:uiPriority w:val="0"/>
    <w:rPr>
      <w:rFonts w:ascii="仿宋_GB2312" w:hAnsi="Times New Roman" w:eastAsia="仿宋_GB2312" w:cs="Times New Roman"/>
      <w:sz w:val="28"/>
      <w:szCs w:val="20"/>
    </w:rPr>
  </w:style>
  <w:style w:type="character" w:customStyle="1" w:styleId="64">
    <w:name w:val="日期 Char"/>
    <w:link w:val="22"/>
    <w:qFormat/>
    <w:uiPriority w:val="0"/>
    <w:rPr>
      <w:rFonts w:ascii="Times New Roman" w:hAnsi="Times New Roman" w:eastAsia="宋体" w:cs="Times New Roman"/>
      <w:sz w:val="24"/>
      <w:szCs w:val="20"/>
    </w:rPr>
  </w:style>
  <w:style w:type="character" w:customStyle="1" w:styleId="65">
    <w:name w:val="正文文本缩进 2 Char"/>
    <w:link w:val="23"/>
    <w:qFormat/>
    <w:uiPriority w:val="0"/>
    <w:rPr>
      <w:rFonts w:ascii="Times New Roman" w:hAnsi="Times New Roman" w:eastAsia="仿宋_GB2312" w:cs="Times New Roman"/>
      <w:sz w:val="28"/>
      <w:szCs w:val="20"/>
    </w:rPr>
  </w:style>
  <w:style w:type="character" w:customStyle="1" w:styleId="66">
    <w:name w:val="批注框文本 Char"/>
    <w:link w:val="24"/>
    <w:qFormat/>
    <w:uiPriority w:val="0"/>
    <w:rPr>
      <w:sz w:val="18"/>
      <w:szCs w:val="18"/>
    </w:rPr>
  </w:style>
  <w:style w:type="character" w:customStyle="1" w:styleId="67">
    <w:name w:val="页脚 Char1"/>
    <w:link w:val="25"/>
    <w:qFormat/>
    <w:uiPriority w:val="99"/>
    <w:rPr>
      <w:rFonts w:ascii="Times New Roman" w:hAnsi="Times New Roman" w:eastAsia="宋体" w:cs="Times New Roman"/>
      <w:sz w:val="18"/>
      <w:szCs w:val="20"/>
    </w:rPr>
  </w:style>
  <w:style w:type="character" w:customStyle="1" w:styleId="68">
    <w:name w:val="页眉 Char"/>
    <w:link w:val="26"/>
    <w:qFormat/>
    <w:uiPriority w:val="0"/>
    <w:rPr>
      <w:rFonts w:ascii="Times New Roman" w:hAnsi="Times New Roman" w:eastAsia="宋体" w:cs="Times New Roman"/>
      <w:sz w:val="18"/>
      <w:szCs w:val="18"/>
    </w:rPr>
  </w:style>
  <w:style w:type="character" w:customStyle="1" w:styleId="69">
    <w:name w:val="正文文本缩进 3 Char"/>
    <w:link w:val="29"/>
    <w:qFormat/>
    <w:uiPriority w:val="0"/>
    <w:rPr>
      <w:rFonts w:ascii="Times New Roman" w:hAnsi="Times New Roman" w:eastAsia="宋体" w:cs="Times New Roman"/>
      <w:sz w:val="16"/>
      <w:szCs w:val="16"/>
    </w:rPr>
  </w:style>
  <w:style w:type="character" w:customStyle="1" w:styleId="70">
    <w:name w:val="正文文本 2 Char"/>
    <w:link w:val="30"/>
    <w:qFormat/>
    <w:uiPriority w:val="0"/>
    <w:rPr>
      <w:rFonts w:ascii="Times New Roman" w:hAnsi="Times New Roman" w:eastAsia="宋体" w:cs="Times New Roman"/>
      <w:b/>
      <w:bCs/>
      <w:sz w:val="18"/>
      <w:szCs w:val="24"/>
    </w:rPr>
  </w:style>
  <w:style w:type="character" w:customStyle="1" w:styleId="71">
    <w:name w:val="正文首行缩进 Char"/>
    <w:link w:val="34"/>
    <w:qFormat/>
    <w:uiPriority w:val="0"/>
    <w:rPr>
      <w:rFonts w:ascii="Times New Roman" w:hAnsi="Times New Roman" w:eastAsia="宋体" w:cs="Times New Roman"/>
      <w:sz w:val="24"/>
      <w:szCs w:val="24"/>
    </w:rPr>
  </w:style>
  <w:style w:type="paragraph" w:customStyle="1" w:styleId="72">
    <w:name w:val="列出段落1"/>
    <w:basedOn w:val="1"/>
    <w:qFormat/>
    <w:uiPriority w:val="34"/>
    <w:pPr>
      <w:widowControl/>
      <w:ind w:left="720"/>
      <w:contextualSpacing/>
      <w:jc w:val="left"/>
    </w:pPr>
    <w:rPr>
      <w:kern w:val="0"/>
      <w:sz w:val="24"/>
      <w:lang w:eastAsia="en-US" w:bidi="en-US"/>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Char"/>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29"/>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4"/>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1"/>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qFormat/>
    <w:uiPriority w:val="99"/>
    <w:pPr>
      <w:spacing w:beforeLines="100" w:afterLines="100"/>
    </w:pPr>
    <w:rPr>
      <w:rFonts w:ascii="仿宋_GB2312" w:hAnsi="宋体"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Char"/>
    <w:basedOn w:val="38"/>
    <w:link w:val="15"/>
    <w:qFormat/>
    <w:uiPriority w:val="99"/>
    <w:rPr>
      <w:kern w:val="2"/>
      <w:sz w:val="21"/>
      <w:szCs w:val="24"/>
    </w:rPr>
  </w:style>
  <w:style w:type="character" w:customStyle="1" w:styleId="131">
    <w:name w:val="批注主题 Char"/>
    <w:basedOn w:val="130"/>
    <w:link w:val="33"/>
    <w:qFormat/>
    <w:uiPriority w:val="99"/>
    <w:rPr>
      <w:b/>
      <w:bCs/>
      <w:kern w:val="2"/>
      <w:sz w:val="21"/>
      <w:szCs w:val="24"/>
    </w:rPr>
  </w:style>
  <w:style w:type="character" w:customStyle="1" w:styleId="132">
    <w:name w:val="未处理的提及1"/>
    <w:basedOn w:val="38"/>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table" w:customStyle="1" w:styleId="137">
    <w:name w:val="Table Normal"/>
    <w:semiHidden/>
    <w:unhideWhenUsed/>
    <w:qFormat/>
    <w:uiPriority w:val="0"/>
    <w:tblPr>
      <w:tblCellMar>
        <w:top w:w="0" w:type="dxa"/>
        <w:left w:w="0" w:type="dxa"/>
        <w:bottom w:w="0" w:type="dxa"/>
        <w:right w:w="0" w:type="dxa"/>
      </w:tblCellMar>
    </w:tblPr>
  </w:style>
  <w:style w:type="paragraph" w:customStyle="1" w:styleId="13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62E52-BD8B-481E-A2B3-31B05455F1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10185</Words>
  <Characters>10901</Characters>
  <Lines>225</Lines>
  <Paragraphs>63</Paragraphs>
  <TotalTime>8</TotalTime>
  <ScaleCrop>false</ScaleCrop>
  <LinksUpToDate>false</LinksUpToDate>
  <CharactersWithSpaces>11067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2024-05-22T03:09:00Z</dcterms:created>
  <dc:creator>User</dc:creator>
  <cp:lastModifiedBy>jessie</cp:lastModifiedBy>
  <cp:lastPrinted>2024-05-21T08:21:00Z</cp:lastPrinted>
  <dcterms:modified xsi:type="dcterms:W3CDTF">2025-08-19T09:21:50Z</dcterms:modified>
  <dc:title>南通市Ⅹ项目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83BBCD6057814EEAADB2E44532A75201_13</vt:lpwstr>
  </property>
  <property fmtid="{D5CDD505-2E9C-101B-9397-08002B2CF9AE}" pid="4" name="KSOTemplateDocerSaveRecord">
    <vt:lpwstr>eyJoZGlkIjoiMTY2YTExYjU4MWEzY2MzM2I4OTY2NWYxMWY5ZTNlMmIiLCJ1c2VySWQiOiI2Mzc4MTQzODgifQ==</vt:lpwstr>
  </property>
</Properties>
</file>