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2411D">
      <w:pPr>
        <w:spacing w:line="360" w:lineRule="auto"/>
        <w:jc w:val="center"/>
        <w:rPr>
          <w:rFonts w:hint="eastAsia" w:ascii="宋体" w:hAnsi="宋体" w:eastAsia="宋体" w:cs="宋体"/>
          <w:b/>
          <w:bCs/>
          <w:color w:val="auto"/>
          <w:sz w:val="44"/>
          <w:szCs w:val="44"/>
          <w:highlight w:val="none"/>
        </w:rPr>
      </w:pPr>
    </w:p>
    <w:p w14:paraId="04313EA4">
      <w:pPr>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bCs/>
          <w:color w:val="auto"/>
          <w:sz w:val="44"/>
          <w:szCs w:val="44"/>
          <w:highlight w:val="none"/>
        </w:rPr>
        <w:t>江苏商贸职业学院交通乘务实训中心装修装饰项目</w:t>
      </w:r>
    </w:p>
    <w:p w14:paraId="011A64DA">
      <w:pPr>
        <w:spacing w:line="360" w:lineRule="auto"/>
        <w:rPr>
          <w:rFonts w:hint="eastAsia" w:ascii="宋体" w:hAnsi="宋体" w:eastAsia="宋体" w:cs="宋体"/>
          <w:b/>
          <w:color w:val="auto"/>
          <w:sz w:val="100"/>
          <w:szCs w:val="100"/>
          <w:highlight w:val="none"/>
        </w:rPr>
      </w:pPr>
    </w:p>
    <w:p w14:paraId="207FB788">
      <w:pPr>
        <w:spacing w:line="360" w:lineRule="auto"/>
        <w:jc w:val="center"/>
        <w:rPr>
          <w:rFonts w:hint="eastAsia" w:ascii="宋体" w:hAnsi="宋体" w:eastAsia="宋体" w:cs="宋体"/>
          <w:b/>
          <w:color w:val="auto"/>
          <w:sz w:val="100"/>
          <w:szCs w:val="100"/>
          <w:highlight w:val="none"/>
        </w:rPr>
      </w:pPr>
      <w:r>
        <w:rPr>
          <w:rFonts w:hint="eastAsia" w:ascii="宋体" w:hAnsi="宋体" w:eastAsia="宋体" w:cs="宋体"/>
          <w:b/>
          <w:color w:val="auto"/>
          <w:sz w:val="100"/>
          <w:szCs w:val="100"/>
          <w:highlight w:val="none"/>
        </w:rPr>
        <w:t>磋商采购文件</w:t>
      </w:r>
    </w:p>
    <w:p w14:paraId="0630C221">
      <w:pPr>
        <w:keepNext/>
        <w:spacing w:line="360" w:lineRule="auto"/>
        <w:jc w:val="center"/>
        <w:rPr>
          <w:rFonts w:hint="eastAsia" w:ascii="宋体" w:hAnsi="宋体" w:eastAsia="宋体" w:cs="宋体"/>
          <w:b/>
          <w:color w:val="auto"/>
          <w:kern w:val="0"/>
          <w:sz w:val="36"/>
          <w:szCs w:val="36"/>
          <w:highlight w:val="none"/>
        </w:rPr>
      </w:pPr>
    </w:p>
    <w:p w14:paraId="4B59084C">
      <w:pPr>
        <w:keepNext/>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采购文件编号：JSSYCG20250930057</w:t>
      </w:r>
    </w:p>
    <w:p w14:paraId="21B741FB">
      <w:pPr>
        <w:spacing w:line="360" w:lineRule="auto"/>
        <w:jc w:val="center"/>
        <w:rPr>
          <w:rFonts w:hint="eastAsia" w:ascii="宋体" w:hAnsi="宋体" w:eastAsia="宋体" w:cs="宋体"/>
          <w:b/>
          <w:color w:val="auto"/>
          <w:sz w:val="36"/>
          <w:highlight w:val="none"/>
        </w:rPr>
      </w:pPr>
    </w:p>
    <w:p w14:paraId="4499F221">
      <w:pPr>
        <w:spacing w:line="360" w:lineRule="auto"/>
        <w:jc w:val="center"/>
        <w:rPr>
          <w:rFonts w:hint="eastAsia" w:ascii="宋体" w:hAnsi="宋体" w:eastAsia="宋体" w:cs="宋体"/>
          <w:b/>
          <w:color w:val="auto"/>
          <w:sz w:val="36"/>
          <w:highlight w:val="none"/>
        </w:rPr>
      </w:pPr>
    </w:p>
    <w:p w14:paraId="3C79E76C">
      <w:pPr>
        <w:spacing w:line="360" w:lineRule="auto"/>
        <w:jc w:val="center"/>
        <w:rPr>
          <w:rFonts w:hint="eastAsia" w:ascii="宋体" w:hAnsi="宋体" w:eastAsia="宋体" w:cs="宋体"/>
          <w:b/>
          <w:color w:val="auto"/>
          <w:sz w:val="36"/>
          <w:highlight w:val="none"/>
        </w:rPr>
      </w:pPr>
    </w:p>
    <w:p w14:paraId="3B3C191B">
      <w:pPr>
        <w:spacing w:line="360" w:lineRule="auto"/>
        <w:jc w:val="center"/>
        <w:rPr>
          <w:rFonts w:hint="eastAsia" w:ascii="宋体" w:hAnsi="宋体" w:eastAsia="宋体" w:cs="宋体"/>
          <w:b/>
          <w:color w:val="auto"/>
          <w:sz w:val="36"/>
          <w:highlight w:val="none"/>
        </w:rPr>
      </w:pPr>
    </w:p>
    <w:p w14:paraId="6DC95481">
      <w:pPr>
        <w:spacing w:line="360" w:lineRule="auto"/>
        <w:jc w:val="center"/>
        <w:rPr>
          <w:rFonts w:hint="eastAsia" w:ascii="宋体" w:hAnsi="宋体" w:eastAsia="宋体" w:cs="宋体"/>
          <w:b/>
          <w:color w:val="auto"/>
          <w:sz w:val="36"/>
          <w:highlight w:val="none"/>
        </w:rPr>
      </w:pPr>
    </w:p>
    <w:p w14:paraId="324ADE5D">
      <w:pPr>
        <w:adjustRightInd w:val="0"/>
        <w:spacing w:before="120" w:after="120" w:line="360" w:lineRule="auto"/>
        <w:ind w:right="120"/>
        <w:jc w:val="both"/>
        <w:textAlignment w:val="baseline"/>
        <w:rPr>
          <w:rFonts w:hint="eastAsia" w:ascii="宋体" w:hAnsi="宋体" w:eastAsia="宋体" w:cs="宋体"/>
          <w:b/>
          <w:color w:val="auto"/>
          <w:spacing w:val="20"/>
          <w:sz w:val="32"/>
          <w:szCs w:val="32"/>
          <w:highlight w:val="none"/>
        </w:rPr>
      </w:pPr>
    </w:p>
    <w:p w14:paraId="7F35BED3">
      <w:pPr>
        <w:adjustRightInd w:val="0"/>
        <w:spacing w:before="120" w:after="120" w:line="360" w:lineRule="auto"/>
        <w:ind w:left="-2" w:right="120"/>
        <w:jc w:val="center"/>
        <w:textAlignment w:val="baseline"/>
        <w:rPr>
          <w:rFonts w:hint="eastAsia" w:ascii="宋体" w:hAnsi="宋体" w:eastAsia="宋体" w:cs="宋体"/>
          <w:b/>
          <w:color w:val="auto"/>
          <w:spacing w:val="20"/>
          <w:sz w:val="32"/>
          <w:szCs w:val="32"/>
          <w:highlight w:val="none"/>
        </w:rPr>
      </w:pPr>
    </w:p>
    <w:p w14:paraId="3C4FF459">
      <w:pPr>
        <w:adjustRightInd w:val="0"/>
        <w:spacing w:before="120" w:after="120" w:line="360" w:lineRule="auto"/>
        <w:ind w:left="-2" w:right="120"/>
        <w:jc w:val="center"/>
        <w:textAlignment w:val="baseline"/>
        <w:rPr>
          <w:rFonts w:hint="eastAsia" w:ascii="宋体" w:hAnsi="宋体" w:eastAsia="宋体" w:cs="宋体"/>
          <w:b/>
          <w:bCs/>
          <w:color w:val="auto"/>
          <w:kern w:val="0"/>
          <w:sz w:val="32"/>
          <w:szCs w:val="32"/>
          <w:highlight w:val="none"/>
        </w:rPr>
      </w:pPr>
    </w:p>
    <w:p w14:paraId="6E36FB70">
      <w:pPr>
        <w:adjustRightInd w:val="0"/>
        <w:spacing w:before="120" w:after="120" w:line="360" w:lineRule="auto"/>
        <w:ind w:left="-2" w:right="120"/>
        <w:jc w:val="center"/>
        <w:textAlignment w:val="baseline"/>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lang w:eastAsia="zh-CN"/>
        </w:rPr>
        <w:t>江苏商贸职业学院</w:t>
      </w:r>
    </w:p>
    <w:p w14:paraId="2E6DA2DB">
      <w:pPr>
        <w:adjustRightInd w:val="0"/>
        <w:spacing w:before="120" w:after="120" w:line="360" w:lineRule="auto"/>
        <w:ind w:left="-2" w:right="120"/>
        <w:jc w:val="center"/>
        <w:textAlignment w:val="baseline"/>
        <w:rPr>
          <w:rFonts w:hint="eastAsia" w:ascii="宋体" w:hAnsi="宋体" w:eastAsia="宋体" w:cs="宋体"/>
          <w:color w:val="auto"/>
          <w:sz w:val="44"/>
          <w:szCs w:val="44"/>
          <w:highlight w:val="none"/>
          <w:lang w:val="zh-CN"/>
        </w:rPr>
      </w:pPr>
      <w:r>
        <w:rPr>
          <w:rFonts w:hint="eastAsia" w:ascii="宋体" w:hAnsi="宋体" w:eastAsia="宋体" w:cs="宋体"/>
          <w:b/>
          <w:bCs/>
          <w:color w:val="auto"/>
          <w:kern w:val="0"/>
          <w:sz w:val="32"/>
          <w:szCs w:val="32"/>
          <w:highlight w:val="none"/>
        </w:rPr>
        <w:t>2025年</w:t>
      </w:r>
      <w:r>
        <w:rPr>
          <w:rFonts w:hint="eastAsia" w:ascii="宋体" w:hAnsi="宋体" w:cs="宋体"/>
          <w:b/>
          <w:bCs/>
          <w:color w:val="auto"/>
          <w:kern w:val="0"/>
          <w:sz w:val="32"/>
          <w:szCs w:val="32"/>
          <w:highlight w:val="none"/>
          <w:lang w:val="en-US" w:eastAsia="zh-CN"/>
        </w:rPr>
        <w:t>10</w:t>
      </w:r>
      <w:r>
        <w:rPr>
          <w:rFonts w:hint="eastAsia" w:ascii="宋体" w:hAnsi="宋体" w:eastAsia="宋体" w:cs="宋体"/>
          <w:b/>
          <w:bCs/>
          <w:color w:val="auto"/>
          <w:kern w:val="0"/>
          <w:sz w:val="32"/>
          <w:szCs w:val="32"/>
          <w:highlight w:val="none"/>
        </w:rPr>
        <w:t>月</w:t>
      </w:r>
      <w:r>
        <w:rPr>
          <w:rFonts w:hint="eastAsia" w:ascii="宋体" w:hAnsi="宋体" w:cs="宋体"/>
          <w:b/>
          <w:bCs/>
          <w:color w:val="auto"/>
          <w:kern w:val="0"/>
          <w:sz w:val="32"/>
          <w:szCs w:val="32"/>
          <w:highlight w:val="none"/>
          <w:lang w:val="en-US" w:eastAsia="zh-CN"/>
        </w:rPr>
        <w:t>9</w:t>
      </w:r>
      <w:r>
        <w:rPr>
          <w:rFonts w:hint="eastAsia" w:ascii="宋体" w:hAnsi="宋体" w:eastAsia="宋体" w:cs="宋体"/>
          <w:b/>
          <w:bCs/>
          <w:color w:val="auto"/>
          <w:kern w:val="0"/>
          <w:sz w:val="32"/>
          <w:szCs w:val="32"/>
          <w:highlight w:val="none"/>
        </w:rPr>
        <w:t>日</w:t>
      </w:r>
    </w:p>
    <w:p w14:paraId="31E1275B">
      <w:pPr>
        <w:adjustRightInd w:val="0"/>
        <w:snapToGrid w:val="0"/>
        <w:spacing w:line="360" w:lineRule="auto"/>
        <w:ind w:left="-158" w:leftChars="-75"/>
        <w:jc w:val="center"/>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br w:type="page"/>
      </w:r>
      <w:r>
        <w:rPr>
          <w:rFonts w:hint="eastAsia" w:ascii="宋体" w:hAnsi="宋体" w:eastAsia="宋体" w:cs="宋体"/>
          <w:color w:val="auto"/>
          <w:sz w:val="44"/>
          <w:szCs w:val="44"/>
          <w:highlight w:val="none"/>
          <w:lang w:val="zh-CN"/>
        </w:rPr>
        <w:t xml:space="preserve">目 </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zh-CN"/>
        </w:rPr>
        <w:t>录</w:t>
      </w:r>
    </w:p>
    <w:p w14:paraId="0C2729FA">
      <w:pPr>
        <w:autoSpaceDE w:val="0"/>
        <w:autoSpaceDN w:val="0"/>
        <w:adjustRightInd w:val="0"/>
        <w:snapToGrid w:val="0"/>
        <w:spacing w:line="1000" w:lineRule="exact"/>
        <w:ind w:firstLine="5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磋商公告</w:t>
      </w:r>
    </w:p>
    <w:p w14:paraId="1B364C85">
      <w:pPr>
        <w:autoSpaceDE w:val="0"/>
        <w:autoSpaceDN w:val="0"/>
        <w:adjustRightInd w:val="0"/>
        <w:snapToGrid w:val="0"/>
        <w:spacing w:line="1000" w:lineRule="exact"/>
        <w:ind w:firstLine="5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磋商须知</w:t>
      </w:r>
    </w:p>
    <w:p w14:paraId="7A1A4CF0">
      <w:pPr>
        <w:autoSpaceDE w:val="0"/>
        <w:autoSpaceDN w:val="0"/>
        <w:adjustRightInd w:val="0"/>
        <w:snapToGrid w:val="0"/>
        <w:spacing w:line="1000" w:lineRule="exact"/>
        <w:ind w:firstLine="537"/>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项目需求</w:t>
      </w:r>
    </w:p>
    <w:p w14:paraId="2690AAB0">
      <w:pPr>
        <w:autoSpaceDE w:val="0"/>
        <w:autoSpaceDN w:val="0"/>
        <w:adjustRightInd w:val="0"/>
        <w:snapToGrid w:val="0"/>
        <w:spacing w:line="1000" w:lineRule="exact"/>
        <w:ind w:firstLine="537"/>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评审方法和评审标准</w:t>
      </w:r>
    </w:p>
    <w:p w14:paraId="1C4F035E">
      <w:pPr>
        <w:autoSpaceDE w:val="0"/>
        <w:autoSpaceDN w:val="0"/>
        <w:adjustRightInd w:val="0"/>
        <w:snapToGrid w:val="0"/>
        <w:spacing w:line="1000" w:lineRule="exact"/>
        <w:ind w:firstLine="5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响应文件组成</w:t>
      </w:r>
    </w:p>
    <w:p w14:paraId="2A922B8A">
      <w:pPr>
        <w:tabs>
          <w:tab w:val="left" w:pos="7740"/>
        </w:tabs>
        <w:spacing w:line="360" w:lineRule="auto"/>
        <w:rPr>
          <w:rFonts w:hint="eastAsia" w:ascii="宋体" w:hAnsi="宋体" w:eastAsia="宋体" w:cs="宋体"/>
          <w:bCs/>
          <w:color w:val="auto"/>
          <w:sz w:val="32"/>
          <w:szCs w:val="32"/>
          <w:highlight w:val="none"/>
        </w:rPr>
      </w:pPr>
    </w:p>
    <w:p w14:paraId="5B89A61D">
      <w:pPr>
        <w:tabs>
          <w:tab w:val="left" w:pos="7740"/>
        </w:tabs>
        <w:spacing w:line="360" w:lineRule="auto"/>
        <w:rPr>
          <w:rFonts w:hint="eastAsia" w:ascii="宋体" w:hAnsi="宋体" w:eastAsia="宋体" w:cs="宋体"/>
          <w:bCs/>
          <w:color w:val="auto"/>
          <w:sz w:val="32"/>
          <w:szCs w:val="32"/>
          <w:highlight w:val="none"/>
        </w:rPr>
      </w:pPr>
    </w:p>
    <w:p w14:paraId="11C84CBF">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14F6A725">
      <w:pPr>
        <w:autoSpaceDE w:val="0"/>
        <w:autoSpaceDN w:val="0"/>
        <w:adjustRightInd w:val="0"/>
        <w:spacing w:line="360" w:lineRule="auto"/>
        <w:rPr>
          <w:rFonts w:hint="eastAsia" w:ascii="宋体" w:hAnsi="宋体" w:eastAsia="宋体" w:cs="宋体"/>
          <w:b/>
          <w:bCs/>
          <w:color w:val="auto"/>
          <w:sz w:val="36"/>
          <w:szCs w:val="36"/>
          <w:highlight w:val="none"/>
          <w:lang w:val="zh-CN"/>
        </w:rPr>
      </w:pPr>
    </w:p>
    <w:p w14:paraId="28F8BED9">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71ED8D70">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37035137">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26174675">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39B70777">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63E9E0BD">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16469EEE">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5678119E">
      <w:pPr>
        <w:autoSpaceDE w:val="0"/>
        <w:autoSpaceDN w:val="0"/>
        <w:adjustRightInd w:val="0"/>
        <w:snapToGrid w:val="0"/>
        <w:spacing w:line="360" w:lineRule="auto"/>
        <w:jc w:val="center"/>
        <w:rPr>
          <w:rFonts w:hint="eastAsia" w:ascii="宋体" w:hAnsi="宋体" w:eastAsia="宋体" w:cs="宋体"/>
          <w:color w:val="auto"/>
          <w:sz w:val="36"/>
          <w:szCs w:val="36"/>
          <w:highlight w:val="none"/>
          <w:lang w:val="zh-CN"/>
        </w:rPr>
      </w:pPr>
    </w:p>
    <w:p w14:paraId="5CC88C25">
      <w:pPr>
        <w:autoSpaceDE w:val="0"/>
        <w:autoSpaceDN w:val="0"/>
        <w:adjustRightInd w:val="0"/>
        <w:snapToGrid w:val="0"/>
        <w:spacing w:line="360" w:lineRule="auto"/>
        <w:jc w:val="center"/>
        <w:rPr>
          <w:rFonts w:hint="eastAsia" w:ascii="宋体" w:hAnsi="宋体" w:eastAsia="宋体" w:cs="宋体"/>
          <w:color w:val="auto"/>
          <w:sz w:val="36"/>
          <w:szCs w:val="36"/>
          <w:highlight w:val="none"/>
          <w:lang w:val="zh-CN"/>
        </w:rPr>
      </w:pPr>
    </w:p>
    <w:p w14:paraId="16D00DD3">
      <w:pPr>
        <w:autoSpaceDE w:val="0"/>
        <w:autoSpaceDN w:val="0"/>
        <w:adjustRightInd w:val="0"/>
        <w:snapToGrid w:val="0"/>
        <w:spacing w:line="360" w:lineRule="auto"/>
        <w:jc w:val="center"/>
        <w:rPr>
          <w:rFonts w:hint="eastAsia" w:ascii="宋体" w:hAnsi="宋体" w:eastAsia="宋体" w:cs="宋体"/>
          <w:color w:val="auto"/>
          <w:sz w:val="36"/>
          <w:szCs w:val="36"/>
          <w:highlight w:val="none"/>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5AB6C345">
      <w:pPr>
        <w:autoSpaceDE w:val="0"/>
        <w:autoSpaceDN w:val="0"/>
        <w:adjustRightInd w:val="0"/>
        <w:snapToGrid w:val="0"/>
        <w:spacing w:line="800" w:lineRule="exact"/>
        <w:jc w:val="center"/>
        <w:outlineLvl w:val="0"/>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第一部分 磋商公告</w:t>
      </w:r>
    </w:p>
    <w:p w14:paraId="78FB4442">
      <w:pPr>
        <w:wordWrap w:val="0"/>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w:t>
      </w:r>
      <w:r>
        <w:rPr>
          <w:rFonts w:hint="eastAsia" w:ascii="宋体" w:hAnsi="宋体" w:eastAsia="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]的委托，江苏中润工程建设咨询有限公司就[</w:t>
      </w:r>
      <w:r>
        <w:rPr>
          <w:rFonts w:hint="eastAsia" w:ascii="宋体" w:hAnsi="宋体" w:eastAsia="宋体" w:cs="宋体"/>
          <w:color w:val="auto"/>
          <w:sz w:val="28"/>
          <w:szCs w:val="28"/>
          <w:highlight w:val="none"/>
          <w:lang w:eastAsia="zh-CN"/>
        </w:rPr>
        <w:t>江苏商贸职业学院交通乘务实训中心装修装饰项目</w:t>
      </w:r>
      <w:r>
        <w:rPr>
          <w:rFonts w:hint="eastAsia" w:ascii="宋体" w:hAnsi="宋体" w:eastAsia="宋体" w:cs="宋体"/>
          <w:color w:val="auto"/>
          <w:sz w:val="28"/>
          <w:szCs w:val="28"/>
          <w:highlight w:val="none"/>
        </w:rPr>
        <w:t>](项目编号:</w:t>
      </w:r>
    </w:p>
    <w:p w14:paraId="275760D0">
      <w:pPr>
        <w:wordWrap w:val="0"/>
        <w:adjustRightInd w:val="0"/>
        <w:snapToGrid w:val="0"/>
        <w:spacing w:line="46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JSSYCG20250930057</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交通乘务实训中心装修装饰项目</w:t>
      </w:r>
      <w:r>
        <w:rPr>
          <w:rFonts w:hint="eastAsia" w:ascii="宋体" w:hAnsi="宋体" w:eastAsia="宋体" w:cs="宋体"/>
          <w:color w:val="auto"/>
          <w:sz w:val="28"/>
          <w:szCs w:val="28"/>
          <w:highlight w:val="none"/>
        </w:rPr>
        <w:t>)的潜在供应商应在</w:t>
      </w:r>
      <w:r>
        <w:rPr>
          <w:rFonts w:hint="eastAsia" w:ascii="宋体" w:hAnsi="宋体" w:eastAsia="宋体" w:cs="宋体"/>
          <w:b/>
          <w:bCs/>
          <w:color w:val="auto"/>
          <w:sz w:val="28"/>
          <w:szCs w:val="28"/>
          <w:highlight w:val="none"/>
          <w:u w:val="single"/>
          <w:lang w:eastAsia="zh-CN"/>
        </w:rPr>
        <w:t>江苏商贸职业学院</w:t>
      </w:r>
      <w:r>
        <w:rPr>
          <w:rFonts w:hint="eastAsia" w:ascii="宋体" w:hAnsi="宋体" w:eastAsia="宋体" w:cs="宋体"/>
          <w:b/>
          <w:bCs/>
          <w:color w:val="auto"/>
          <w:sz w:val="28"/>
          <w:szCs w:val="28"/>
          <w:highlight w:val="none"/>
          <w:u w:val="single"/>
        </w:rPr>
        <w:t>网站</w:t>
      </w:r>
      <w:r>
        <w:rPr>
          <w:rFonts w:hint="eastAsia" w:ascii="宋体" w:hAnsi="宋体" w:eastAsia="宋体" w:cs="宋体"/>
          <w:color w:val="auto"/>
          <w:sz w:val="28"/>
          <w:szCs w:val="28"/>
          <w:highlight w:val="none"/>
        </w:rPr>
        <w:t>获取采购文件，并于2025年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17</w:t>
      </w:r>
      <w:r>
        <w:rPr>
          <w:rFonts w:hint="eastAsia" w:ascii="宋体" w:hAnsi="宋体" w:eastAsia="宋体" w:cs="宋体"/>
          <w:color w:val="auto"/>
          <w:sz w:val="28"/>
          <w:szCs w:val="28"/>
          <w:highlight w:val="none"/>
        </w:rPr>
        <w:t>日14点00分（北京时间）前提交响应文件。</w:t>
      </w:r>
    </w:p>
    <w:p w14:paraId="24860082">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auto"/>
          <w:spacing w:val="7"/>
          <w:kern w:val="0"/>
          <w:sz w:val="28"/>
          <w:szCs w:val="28"/>
          <w:highlight w:val="none"/>
        </w:rPr>
      </w:pPr>
      <w:r>
        <w:rPr>
          <w:rFonts w:hint="eastAsia" w:ascii="宋体" w:hAnsi="宋体" w:eastAsia="宋体" w:cs="宋体"/>
          <w:b/>
          <w:color w:val="auto"/>
          <w:spacing w:val="7"/>
          <w:kern w:val="0"/>
          <w:sz w:val="28"/>
          <w:szCs w:val="28"/>
          <w:highlight w:val="none"/>
        </w:rPr>
        <w:t>一、项目基本情况</w:t>
      </w:r>
    </w:p>
    <w:p w14:paraId="2A8281C6">
      <w:pPr>
        <w:adjustRightInd w:val="0"/>
        <w:snapToGrid w:val="0"/>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项目编号：JSSYCG20250930057</w:t>
      </w:r>
      <w:r>
        <w:rPr>
          <w:rFonts w:hint="eastAsia" w:ascii="宋体" w:hAnsi="宋体" w:eastAsia="宋体" w:cs="宋体"/>
          <w:color w:val="auto"/>
          <w:sz w:val="28"/>
          <w:szCs w:val="28"/>
          <w:highlight w:val="none"/>
          <w:lang w:val="en-US" w:eastAsia="zh-CN"/>
        </w:rPr>
        <w:t xml:space="preserve"> </w:t>
      </w:r>
    </w:p>
    <w:p w14:paraId="176FFAF3">
      <w:pPr>
        <w:adjustRightInd w:val="0"/>
        <w:snapToGrid w:val="0"/>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江苏商贸职业学院交通乘务实训中心装修装饰项目</w:t>
      </w:r>
    </w:p>
    <w:p w14:paraId="078AE1D1">
      <w:pPr>
        <w:adjustRightInd w:val="0"/>
        <w:snapToGrid w:val="0"/>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eastAsia="宋体" w:cs="宋体"/>
          <w:color w:val="auto"/>
          <w:sz w:val="28"/>
          <w:szCs w:val="28"/>
          <w:highlight w:val="none"/>
          <w:lang w:val="en-US" w:eastAsia="zh-CN"/>
        </w:rPr>
        <w:t>工程</w:t>
      </w:r>
    </w:p>
    <w:p w14:paraId="1624323E">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建筑</w:t>
      </w:r>
      <w:r>
        <w:rPr>
          <w:rFonts w:hint="eastAsia" w:ascii="宋体" w:hAnsi="宋体" w:eastAsia="宋体" w:cs="宋体"/>
          <w:color w:val="auto"/>
          <w:sz w:val="28"/>
          <w:szCs w:val="28"/>
          <w:highlight w:val="none"/>
        </w:rPr>
        <w:t>业</w:t>
      </w:r>
    </w:p>
    <w:p w14:paraId="3BEC047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28</w:t>
      </w:r>
      <w:bookmarkStart w:id="112" w:name="_GoBack"/>
      <w:bookmarkEnd w:id="112"/>
      <w:r>
        <w:rPr>
          <w:rFonts w:hint="eastAsia" w:ascii="宋体" w:hAnsi="宋体" w:eastAsia="宋体" w:cs="宋体"/>
          <w:color w:val="auto"/>
          <w:sz w:val="28"/>
          <w:szCs w:val="28"/>
          <w:highlight w:val="none"/>
          <w:lang w:val="en-US" w:eastAsia="zh-CN"/>
        </w:rPr>
        <w:t>万元</w:t>
      </w:r>
    </w:p>
    <w:p w14:paraId="3317521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w:t>
      </w:r>
      <w:r>
        <w:rPr>
          <w:rFonts w:hint="eastAsia" w:ascii="宋体" w:hAnsi="宋体" w:cs="宋体"/>
          <w:color w:val="auto"/>
          <w:sz w:val="28"/>
          <w:szCs w:val="28"/>
          <w:highlight w:val="none"/>
          <w:lang w:val="en-US" w:eastAsia="zh-CN"/>
        </w:rPr>
        <w:t>28</w:t>
      </w:r>
      <w:r>
        <w:rPr>
          <w:rFonts w:hint="eastAsia" w:ascii="宋体" w:hAnsi="宋体" w:eastAsia="宋体" w:cs="宋体"/>
          <w:color w:val="auto"/>
          <w:sz w:val="28"/>
          <w:szCs w:val="28"/>
          <w:highlight w:val="none"/>
          <w:lang w:val="en-US" w:eastAsia="zh-CN"/>
        </w:rPr>
        <w:t>万元</w:t>
      </w:r>
      <w:r>
        <w:rPr>
          <w:rFonts w:hint="eastAsia" w:ascii="宋体" w:hAnsi="宋体" w:eastAsia="宋体" w:cs="宋体"/>
          <w:color w:val="auto"/>
          <w:sz w:val="28"/>
          <w:szCs w:val="28"/>
          <w:highlight w:val="none"/>
        </w:rPr>
        <w:t>，投标报价超过最高限价按无效标处理。</w:t>
      </w:r>
    </w:p>
    <w:p w14:paraId="5429E73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采购需求：具体需求详见本项目磋商文件第三部分。</w:t>
      </w:r>
    </w:p>
    <w:p w14:paraId="3DBE8AF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合同履行期限：签订合同后</w:t>
      </w:r>
      <w:r>
        <w:rPr>
          <w:rFonts w:hint="eastAsia" w:ascii="宋体" w:hAnsi="宋体" w:cs="宋体"/>
          <w:color w:val="auto"/>
          <w:sz w:val="28"/>
          <w:szCs w:val="28"/>
          <w:highlight w:val="none"/>
          <w:lang w:val="en-US" w:eastAsia="zh-CN"/>
        </w:rPr>
        <w:t>35</w:t>
      </w:r>
      <w:r>
        <w:rPr>
          <w:rFonts w:hint="eastAsia" w:ascii="宋体" w:hAnsi="宋体" w:eastAsia="宋体" w:cs="宋体"/>
          <w:color w:val="auto"/>
          <w:sz w:val="28"/>
          <w:szCs w:val="28"/>
          <w:highlight w:val="none"/>
        </w:rPr>
        <w:t>天内完工并通过验收，具体由采购方安排。</w:t>
      </w:r>
    </w:p>
    <w:p w14:paraId="69A8F60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本项目是否接受联合体投标：否。</w:t>
      </w:r>
    </w:p>
    <w:p w14:paraId="2C772060">
      <w:pPr>
        <w:adjustRightInd w:val="0"/>
        <w:snapToGrid w:val="0"/>
        <w:spacing w:line="460" w:lineRule="exact"/>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二、供应商的资格要求：</w:t>
      </w:r>
    </w:p>
    <w:p w14:paraId="2DDD0752">
      <w:pPr>
        <w:adjustRightInd w:val="0"/>
        <w:snapToGrid w:val="0"/>
        <w:spacing w:line="46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1.具有独立承担民事责任的能力；具有良好的商业信誉和健全的财务会计制度；具有履行合同所必需的设备和专业</w:t>
      </w:r>
      <w:r>
        <w:rPr>
          <w:rFonts w:hint="eastAsia" w:ascii="宋体" w:hAnsi="宋体" w:eastAsia="宋体" w:cs="宋体"/>
          <w:color w:val="auto"/>
          <w:sz w:val="28"/>
          <w:szCs w:val="28"/>
          <w:highlight w:val="none"/>
          <w:lang w:val="zh-CN"/>
        </w:rPr>
        <w:t>技术能力；</w:t>
      </w:r>
      <w:r>
        <w:rPr>
          <w:rFonts w:hint="eastAsia" w:ascii="宋体" w:hAnsi="宋体" w:eastAsia="宋体" w:cs="宋体"/>
          <w:color w:val="auto"/>
          <w:sz w:val="28"/>
          <w:szCs w:val="28"/>
          <w:highlight w:val="none"/>
        </w:rPr>
        <w:t>具</w:t>
      </w:r>
      <w:r>
        <w:rPr>
          <w:rFonts w:hint="eastAsia" w:ascii="宋体" w:hAnsi="宋体" w:eastAsia="宋体" w:cs="宋体"/>
          <w:color w:val="auto"/>
          <w:sz w:val="28"/>
          <w:szCs w:val="28"/>
          <w:highlight w:val="none"/>
          <w:lang w:val="zh-CN"/>
        </w:rPr>
        <w:t>有依法缴纳税收和社会保障资金的良好记录；参加本次采购活动前三年内，在经营活动中没有重大违法记录；</w:t>
      </w:r>
    </w:p>
    <w:p w14:paraId="3DBDF386">
      <w:pPr>
        <w:adjustRightInd w:val="0"/>
        <w:snapToGrid w:val="0"/>
        <w:spacing w:line="460" w:lineRule="exact"/>
        <w:ind w:firstLine="560" w:firstLineChars="200"/>
        <w:outlineLvl w:val="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auto"/>
          <w:sz w:val="28"/>
          <w:szCs w:val="28"/>
          <w:highlight w:val="none"/>
          <w:lang w:eastAsia="zh-CN"/>
        </w:rPr>
        <w:t>；</w:t>
      </w:r>
    </w:p>
    <w:p w14:paraId="7162C507">
      <w:pPr>
        <w:adjustRightInd w:val="0"/>
        <w:snapToGrid w:val="0"/>
        <w:spacing w:line="46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3.提供具有有效的营业执照</w:t>
      </w:r>
      <w:r>
        <w:rPr>
          <w:rFonts w:hint="eastAsia" w:ascii="宋体" w:hAnsi="宋体" w:eastAsia="宋体" w:cs="宋体"/>
          <w:color w:val="auto"/>
          <w:sz w:val="28"/>
          <w:szCs w:val="28"/>
          <w:highlight w:val="none"/>
        </w:rPr>
        <w:t>；</w:t>
      </w:r>
    </w:p>
    <w:p w14:paraId="27900193">
      <w:pPr>
        <w:adjustRightInd w:val="0"/>
        <w:snapToGrid w:val="0"/>
        <w:spacing w:line="46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3.磋商响应供应商具有建筑工程施工总承包叁级及以上资质或建筑装修装饰工程专业承包贰级及以上资质（须在有效期内），具备安全生产条件，并取得安全生产许可证</w:t>
      </w:r>
      <w:r>
        <w:rPr>
          <w:rFonts w:hint="eastAsia" w:ascii="宋体" w:hAnsi="宋体" w:eastAsia="宋体" w:cs="宋体"/>
          <w:color w:val="auto"/>
          <w:sz w:val="28"/>
          <w:szCs w:val="28"/>
          <w:highlight w:val="none"/>
          <w:lang w:val="en-US" w:eastAsia="zh-CN"/>
        </w:rPr>
        <w:t>；</w:t>
      </w:r>
    </w:p>
    <w:p w14:paraId="4F0CAF6E">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项目负责人为建筑工程专业二级及以上注册建造师执业资格且具有安全生产考核合格证（B证），投标供应商应为其缴纳</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rPr>
        <w:t>社保</w:t>
      </w:r>
      <w:r>
        <w:rPr>
          <w:rFonts w:hint="eastAsia" w:ascii="宋体" w:hAnsi="宋体" w:cs="宋体"/>
          <w:color w:val="auto"/>
          <w:sz w:val="28"/>
          <w:szCs w:val="28"/>
          <w:highlight w:val="none"/>
          <w:lang w:val="en-US" w:eastAsia="zh-CN"/>
        </w:rPr>
        <w:t>证明</w:t>
      </w:r>
      <w:r>
        <w:rPr>
          <w:rFonts w:hint="eastAsia" w:ascii="宋体" w:hAnsi="宋体" w:eastAsia="宋体" w:cs="宋体"/>
          <w:color w:val="auto"/>
          <w:sz w:val="28"/>
          <w:szCs w:val="28"/>
          <w:highlight w:val="none"/>
        </w:rPr>
        <w:t>（2025年1月1日</w:t>
      </w:r>
      <w:r>
        <w:rPr>
          <w:rFonts w:hint="eastAsia" w:ascii="宋体" w:hAnsi="宋体" w:cs="宋体"/>
          <w:color w:val="auto"/>
          <w:sz w:val="28"/>
          <w:szCs w:val="28"/>
          <w:highlight w:val="none"/>
          <w:lang w:val="en-US" w:eastAsia="zh-CN"/>
        </w:rPr>
        <w:t>以来任意一个月</w:t>
      </w:r>
      <w:r>
        <w:rPr>
          <w:rFonts w:hint="eastAsia" w:ascii="宋体" w:hAnsi="宋体" w:eastAsia="宋体" w:cs="宋体"/>
          <w:color w:val="auto"/>
          <w:sz w:val="28"/>
          <w:szCs w:val="28"/>
          <w:highlight w:val="none"/>
        </w:rPr>
        <w:t>）。</w:t>
      </w:r>
    </w:p>
    <w:p w14:paraId="26EFF051">
      <w:pPr>
        <w:adjustRightInd w:val="0"/>
        <w:snapToGrid w:val="0"/>
        <w:spacing w:line="46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700D1159">
      <w:pPr>
        <w:adjustRightInd w:val="0"/>
        <w:snapToGrid w:val="0"/>
        <w:spacing w:line="460" w:lineRule="exact"/>
        <w:ind w:firstLine="560" w:firstLineChars="200"/>
        <w:outlineLvl w:val="1"/>
        <w:rPr>
          <w:rFonts w:hint="eastAsia" w:ascii="宋体" w:hAnsi="宋体" w:eastAsia="宋体" w:cs="宋体"/>
          <w:color w:val="auto"/>
          <w:sz w:val="28"/>
          <w:szCs w:val="28"/>
          <w:highlight w:val="none"/>
          <w:lang w:val="en-US" w:eastAsia="zh-CN"/>
        </w:rPr>
      </w:pPr>
      <w:bookmarkStart w:id="0" w:name="OLE_LINK3"/>
      <w:bookmarkStart w:id="1" w:name="OLE_LINK2"/>
      <w:r>
        <w:rPr>
          <w:rFonts w:hint="eastAsia" w:ascii="宋体" w:hAnsi="宋体" w:eastAsia="宋体" w:cs="宋体"/>
          <w:color w:val="auto"/>
          <w:sz w:val="28"/>
          <w:szCs w:val="28"/>
          <w:highlight w:val="none"/>
          <w:lang w:val="en-US" w:eastAsia="zh-CN"/>
        </w:rPr>
        <w:t>5.</w:t>
      </w:r>
      <w:bookmarkEnd w:id="0"/>
      <w:bookmarkEnd w:id="1"/>
      <w:r>
        <w:rPr>
          <w:rFonts w:hint="eastAsia" w:ascii="宋体" w:hAnsi="宋体" w:eastAsia="宋体" w:cs="宋体"/>
          <w:color w:val="auto"/>
          <w:sz w:val="28"/>
          <w:szCs w:val="28"/>
          <w:highlight w:val="none"/>
        </w:rPr>
        <w:t>落实政府采购政策需满足的资格要求：</w:t>
      </w:r>
      <w:r>
        <w:rPr>
          <w:rFonts w:hint="eastAsia" w:ascii="宋体" w:hAnsi="宋体" w:eastAsia="宋体" w:cs="宋体"/>
          <w:color w:val="auto"/>
          <w:sz w:val="28"/>
          <w:szCs w:val="28"/>
          <w:highlight w:val="none"/>
          <w:u w:val="single"/>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5F23EA69">
      <w:pPr>
        <w:adjustRightInd w:val="0"/>
        <w:snapToGrid w:val="0"/>
        <w:spacing w:line="460" w:lineRule="exact"/>
        <w:ind w:firstLine="560" w:firstLineChars="200"/>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未被“信用中国”网站、“中国政府采购网”列入失信被执行人、重大税收违法案件当事人名单、政府采购严重违法失信行为记录</w:t>
      </w:r>
      <w:r>
        <w:rPr>
          <w:rFonts w:hint="eastAsia" w:ascii="宋体" w:hAnsi="宋体" w:eastAsia="宋体" w:cs="宋体"/>
          <w:color w:val="auto"/>
          <w:sz w:val="28"/>
          <w:szCs w:val="28"/>
          <w:highlight w:val="none"/>
          <w:u w:val="single"/>
        </w:rPr>
        <w:t xml:space="preserve">； </w:t>
      </w:r>
    </w:p>
    <w:p w14:paraId="3C8FDE8F">
      <w:pPr>
        <w:adjustRightInd w:val="0"/>
        <w:snapToGrid w:val="0"/>
        <w:spacing w:line="46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名单</w:t>
      </w:r>
      <w:r>
        <w:rPr>
          <w:rFonts w:hint="eastAsia" w:ascii="宋体" w:hAnsi="宋体" w:eastAsia="宋体" w:cs="宋体"/>
          <w:color w:val="auto"/>
          <w:sz w:val="28"/>
          <w:szCs w:val="28"/>
          <w:highlight w:val="none"/>
          <w:lang w:val="en-US" w:eastAsia="zh-CN"/>
        </w:rPr>
        <w:t>单位负责人为同一人或者存在直接控股、管理关系的不同供应商，不得参加同一合同项下的采购活动</w:t>
      </w:r>
      <w:r>
        <w:rPr>
          <w:rFonts w:hint="eastAsia" w:ascii="宋体" w:hAnsi="宋体" w:eastAsia="宋体" w:cs="宋体"/>
          <w:color w:val="auto"/>
          <w:sz w:val="28"/>
          <w:szCs w:val="28"/>
          <w:highlight w:val="none"/>
        </w:rPr>
        <w:t>；</w:t>
      </w:r>
    </w:p>
    <w:p w14:paraId="1EBA0A6B">
      <w:pPr>
        <w:adjustRightInd w:val="0"/>
        <w:snapToGrid w:val="0"/>
        <w:spacing w:line="46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.法律、行政法规规定的其他条件。</w:t>
      </w:r>
    </w:p>
    <w:p w14:paraId="0483A470">
      <w:pPr>
        <w:adjustRightInd w:val="0"/>
        <w:snapToGrid w:val="0"/>
        <w:spacing w:line="460" w:lineRule="exact"/>
        <w:ind w:firstLine="562" w:firstLineChars="200"/>
        <w:outlineLvl w:val="1"/>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val="en-US" w:eastAsia="zh-CN"/>
        </w:rPr>
        <w:t>采购文件获取</w:t>
      </w:r>
    </w:p>
    <w:p w14:paraId="44D7B43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1.时间：自磋商文件公告发布之日起5个工作日</w:t>
      </w:r>
    </w:p>
    <w:p w14:paraId="292EFC6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2.地点：江苏商贸职业学院网（http://www.jsbc.edu.cn/）</w:t>
      </w:r>
    </w:p>
    <w:p w14:paraId="09462AF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3.获取方式：网站附件自行下载</w:t>
      </w:r>
    </w:p>
    <w:p w14:paraId="28194F6C">
      <w:pPr>
        <w:adjustRightInd w:val="0"/>
        <w:snapToGrid w:val="0"/>
        <w:spacing w:line="460" w:lineRule="exact"/>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四、提交响应文件截止时间、磋商时间和地点</w:t>
      </w:r>
    </w:p>
    <w:p w14:paraId="57E38A8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2025年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17</w:t>
      </w:r>
      <w:r>
        <w:rPr>
          <w:rFonts w:hint="eastAsia" w:ascii="宋体" w:hAnsi="宋体" w:eastAsia="宋体" w:cs="宋体"/>
          <w:color w:val="auto"/>
          <w:sz w:val="28"/>
          <w:szCs w:val="28"/>
          <w:highlight w:val="none"/>
        </w:rPr>
        <w:t>日14点00分（北京时间），逾时，采购人将拒绝接受磋商响应文件。</w:t>
      </w:r>
    </w:p>
    <w:p w14:paraId="4D87544E">
      <w:pPr>
        <w:adjustRightInd w:val="0"/>
        <w:snapToGrid w:val="0"/>
        <w:spacing w:line="460" w:lineRule="exact"/>
        <w:ind w:firstLine="560" w:firstLineChars="200"/>
        <w:outlineLvl w:val="1"/>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开标地点：江苏省南通市江通路48号，江苏商贸职业学院资产管理处（西大门南侧）办公室，如有变动另行通知。</w:t>
      </w:r>
    </w:p>
    <w:p w14:paraId="69128977">
      <w:pPr>
        <w:adjustRightInd w:val="0"/>
        <w:snapToGrid w:val="0"/>
        <w:spacing w:line="460" w:lineRule="exact"/>
        <w:ind w:firstLine="560" w:firstLineChars="200"/>
        <w:outlineLvl w:val="1"/>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评审地点：江苏商贸职业学院基建会议室，如有变动另行通知。</w:t>
      </w:r>
      <w:r>
        <w:rPr>
          <w:rFonts w:hint="eastAsia" w:ascii="宋体" w:hAnsi="宋体" w:eastAsia="宋体" w:cs="宋体"/>
          <w:b/>
          <w:color w:val="auto"/>
          <w:sz w:val="28"/>
          <w:szCs w:val="28"/>
          <w:highlight w:val="none"/>
        </w:rPr>
        <w:t>五、公告期限</w:t>
      </w:r>
    </w:p>
    <w:p w14:paraId="6CBF49B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826DDC8">
      <w:pPr>
        <w:adjustRightInd w:val="0"/>
        <w:snapToGrid w:val="0"/>
        <w:spacing w:line="460" w:lineRule="exact"/>
        <w:ind w:firstLine="562" w:firstLineChars="200"/>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六、其他补充事宜</w:t>
      </w:r>
    </w:p>
    <w:p w14:paraId="198F4D4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1.投标保证金：免收</w:t>
      </w:r>
    </w:p>
    <w:p w14:paraId="30D11A1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2.项目磋商活动模式：见面磋商模式，供应商在江苏省南通市江通路48号，江苏商贸职业学院资产管理处（西大门南侧）办公室参加磋商活动。</w:t>
      </w:r>
    </w:p>
    <w:p w14:paraId="3C47557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w:t>
      </w:r>
      <w:r>
        <w:rPr>
          <w:rFonts w:hint="eastAsia" w:ascii="宋体" w:hAnsi="宋体" w:eastAsia="宋体" w:cs="宋体"/>
          <w:color w:val="auto"/>
          <w:sz w:val="28"/>
          <w:szCs w:val="28"/>
          <w:highlight w:val="none"/>
          <w:lang w:val="en-US" w:eastAsia="zh-CN"/>
        </w:rPr>
        <w:t>答辩</w:t>
      </w:r>
      <w:r>
        <w:rPr>
          <w:rFonts w:hint="eastAsia" w:ascii="宋体" w:hAnsi="宋体" w:eastAsia="宋体" w:cs="宋体"/>
          <w:color w:val="auto"/>
          <w:sz w:val="28"/>
          <w:szCs w:val="28"/>
          <w:highlight w:val="none"/>
        </w:rPr>
        <w:t>、样品：</w:t>
      </w:r>
      <w:r>
        <w:rPr>
          <w:rFonts w:hint="eastAsia" w:ascii="宋体" w:hAnsi="宋体" w:eastAsia="宋体" w:cs="宋体"/>
          <w:color w:val="auto"/>
          <w:sz w:val="28"/>
          <w:szCs w:val="28"/>
          <w:highlight w:val="none"/>
          <w:lang w:val="en-US" w:eastAsia="zh-CN"/>
        </w:rPr>
        <w:t>详见文件</w:t>
      </w:r>
      <w:r>
        <w:rPr>
          <w:rFonts w:hint="eastAsia" w:ascii="宋体" w:hAnsi="宋体" w:eastAsia="宋体" w:cs="宋体"/>
          <w:color w:val="auto"/>
          <w:sz w:val="28"/>
          <w:szCs w:val="28"/>
          <w:highlight w:val="none"/>
        </w:rPr>
        <w:t>。</w:t>
      </w:r>
    </w:p>
    <w:p w14:paraId="6EDD99E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hint="eastAsia" w:ascii="宋体" w:hAnsi="宋体" w:eastAsia="宋体" w:cs="宋体"/>
          <w:b/>
          <w:color w:val="auto"/>
          <w:spacing w:val="7"/>
          <w:kern w:val="0"/>
          <w:sz w:val="28"/>
          <w:szCs w:val="28"/>
          <w:highlight w:val="none"/>
        </w:rPr>
      </w:pPr>
      <w:r>
        <w:rPr>
          <w:rFonts w:hint="eastAsia" w:ascii="宋体" w:hAnsi="宋体" w:eastAsia="宋体" w:cs="宋体"/>
          <w:b/>
          <w:color w:val="auto"/>
          <w:spacing w:val="7"/>
          <w:kern w:val="0"/>
          <w:sz w:val="28"/>
          <w:szCs w:val="28"/>
          <w:highlight w:val="none"/>
        </w:rPr>
        <w:t>七、凡对本次采购提出询问，请按以下方式联系。</w:t>
      </w:r>
    </w:p>
    <w:p w14:paraId="1326CB32">
      <w:pPr>
        <w:tabs>
          <w:tab w:val="left" w:pos="360"/>
        </w:tabs>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1.采购单位：江苏商贸职业学院</w:t>
      </w:r>
    </w:p>
    <w:p w14:paraId="5A2EDA9A">
      <w:pPr>
        <w:tabs>
          <w:tab w:val="left" w:pos="360"/>
        </w:tabs>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地址：江苏省南通市崇川区江通路48号</w:t>
      </w:r>
    </w:p>
    <w:p w14:paraId="5AA3CE45">
      <w:pPr>
        <w:tabs>
          <w:tab w:val="left" w:pos="360"/>
        </w:tabs>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采购单位联系人：</w:t>
      </w:r>
    </w:p>
    <w:p w14:paraId="47E2BD01">
      <w:pPr>
        <w:snapToGrid w:val="0"/>
        <w:spacing w:line="46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施老师 （人文与旅游学院）         联系电话：13951318199</w:t>
      </w:r>
    </w:p>
    <w:p w14:paraId="7F272E8A">
      <w:pPr>
        <w:snapToGrid w:val="0"/>
        <w:spacing w:line="46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杨老师 （资产管理处）             联系电话：0513-85679264</w:t>
      </w:r>
    </w:p>
    <w:p w14:paraId="158B9D8F">
      <w:pPr>
        <w:tabs>
          <w:tab w:val="left" w:pos="360"/>
        </w:tabs>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联系邮箱：jssyzcglc@jsbc.edu.cn</w:t>
      </w:r>
    </w:p>
    <w:p w14:paraId="251BF6C6">
      <w:pPr>
        <w:tabs>
          <w:tab w:val="left" w:pos="360"/>
        </w:tabs>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2.监督、投诉联系方式</w:t>
      </w:r>
    </w:p>
    <w:p w14:paraId="578A4DB5">
      <w:pPr>
        <w:tabs>
          <w:tab w:val="left" w:pos="360"/>
        </w:tabs>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电话：0513-85679216，联系邮箱：jssyjjjc@163.com</w:t>
      </w:r>
    </w:p>
    <w:p w14:paraId="16A630F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.采购代理机构信息</w:t>
      </w:r>
    </w:p>
    <w:p w14:paraId="28F3E23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名称：江苏中润工程建设咨询有限公司</w:t>
      </w:r>
    </w:p>
    <w:p w14:paraId="0ED1120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地址：南通市崇川路58号南通产业技术研究院9号楼1004室</w:t>
      </w:r>
    </w:p>
    <w:p w14:paraId="253F7526">
      <w:pPr>
        <w:adjustRightInd w:val="0"/>
        <w:snapToGrid w:val="0"/>
        <w:spacing w:line="460" w:lineRule="exact"/>
        <w:ind w:firstLine="560" w:firstLineChars="200"/>
        <w:rPr>
          <w:rFonts w:hint="eastAsia" w:ascii="宋体" w:hAnsi="宋体" w:eastAsia="宋体" w:cs="宋体"/>
          <w:bCs/>
          <w:color w:val="auto"/>
          <w:sz w:val="36"/>
          <w:szCs w:val="36"/>
          <w:highlight w:val="none"/>
        </w:rPr>
      </w:pPr>
      <w:r>
        <w:rPr>
          <w:rFonts w:hint="eastAsia" w:ascii="宋体" w:hAnsi="宋体" w:eastAsia="宋体" w:cs="宋体"/>
          <w:color w:val="auto"/>
          <w:sz w:val="28"/>
          <w:szCs w:val="28"/>
          <w:highlight w:val="none"/>
        </w:rPr>
        <w:t>联系方式：王  工  13906272111</w:t>
      </w:r>
    </w:p>
    <w:p w14:paraId="721C34BE">
      <w:pPr>
        <w:adjustRightInd w:val="0"/>
        <w:snapToGrid w:val="0"/>
        <w:spacing w:line="360" w:lineRule="auto"/>
        <w:jc w:val="center"/>
        <w:outlineLvl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Cs/>
          <w:color w:val="auto"/>
          <w:sz w:val="36"/>
          <w:szCs w:val="36"/>
          <w:highlight w:val="none"/>
        </w:rPr>
        <w:t>第二部分 磋商须知</w:t>
      </w:r>
    </w:p>
    <w:p w14:paraId="64CE3916">
      <w:pPr>
        <w:keepNext/>
        <w:keepLines/>
        <w:adjustRightInd w:val="0"/>
        <w:snapToGrid w:val="0"/>
        <w:spacing w:line="460" w:lineRule="exact"/>
        <w:ind w:firstLine="562" w:firstLineChars="200"/>
        <w:outlineLvl w:val="1"/>
        <w:rPr>
          <w:rFonts w:hint="eastAsia" w:ascii="宋体" w:hAnsi="宋体" w:eastAsia="宋体" w:cs="宋体"/>
          <w:b/>
          <w:bCs/>
          <w:color w:val="auto"/>
          <w:kern w:val="0"/>
          <w:sz w:val="28"/>
          <w:szCs w:val="28"/>
          <w:highlight w:val="none"/>
        </w:rPr>
      </w:pPr>
      <w:bookmarkStart w:id="2" w:name="_Toc20823275"/>
      <w:bookmarkStart w:id="3" w:name="_Toc16938519"/>
      <w:bookmarkStart w:id="4" w:name="_Toc120614214"/>
      <w:bookmarkStart w:id="5" w:name="_Toc513029203"/>
      <w:r>
        <w:rPr>
          <w:rFonts w:hint="eastAsia" w:ascii="宋体" w:hAnsi="宋体" w:eastAsia="宋体" w:cs="宋体"/>
          <w:b/>
          <w:bCs/>
          <w:color w:val="auto"/>
          <w:kern w:val="0"/>
          <w:sz w:val="28"/>
          <w:szCs w:val="28"/>
          <w:highlight w:val="none"/>
        </w:rPr>
        <w:t>一、总则</w:t>
      </w:r>
      <w:bookmarkEnd w:id="2"/>
      <w:bookmarkEnd w:id="3"/>
      <w:bookmarkEnd w:id="4"/>
      <w:bookmarkEnd w:id="5"/>
    </w:p>
    <w:p w14:paraId="79929857">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6" w:name="_Hlt16619475"/>
      <w:bookmarkEnd w:id="6"/>
      <w:bookmarkStart w:id="7" w:name="_Toc458694821"/>
      <w:bookmarkStart w:id="8" w:name="_Toc20823276"/>
      <w:bookmarkStart w:id="9" w:name="_Toc513029204"/>
      <w:bookmarkStart w:id="10" w:name="_Toc16938520"/>
      <w:r>
        <w:rPr>
          <w:rFonts w:hint="eastAsia" w:ascii="宋体" w:hAnsi="宋体" w:eastAsia="宋体" w:cs="宋体"/>
          <w:color w:val="auto"/>
          <w:kern w:val="0"/>
          <w:sz w:val="28"/>
          <w:szCs w:val="28"/>
          <w:highlight w:val="none"/>
        </w:rPr>
        <w:t>1</w:t>
      </w:r>
      <w:bookmarkEnd w:id="7"/>
      <w:r>
        <w:rPr>
          <w:rFonts w:hint="eastAsia" w:ascii="宋体" w:hAnsi="宋体" w:eastAsia="宋体" w:cs="宋体"/>
          <w:color w:val="auto"/>
          <w:kern w:val="0"/>
          <w:sz w:val="28"/>
          <w:szCs w:val="28"/>
          <w:highlight w:val="none"/>
        </w:rPr>
        <w:t>.采购方式</w:t>
      </w:r>
      <w:bookmarkEnd w:id="8"/>
      <w:bookmarkEnd w:id="9"/>
      <w:bookmarkEnd w:id="10"/>
    </w:p>
    <w:p w14:paraId="7EA96C8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本次采取磋商方式，本磋商文件仅适用于磋商公告中所述项目。</w:t>
      </w:r>
    </w:p>
    <w:p w14:paraId="4F0147E3">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11" w:name="_Toc513029205"/>
      <w:bookmarkStart w:id="12" w:name="_Toc20823277"/>
      <w:bookmarkStart w:id="13" w:name="_Toc16938521"/>
      <w:r>
        <w:rPr>
          <w:rFonts w:hint="eastAsia" w:ascii="宋体" w:hAnsi="宋体" w:eastAsia="宋体" w:cs="宋体"/>
          <w:color w:val="auto"/>
          <w:kern w:val="0"/>
          <w:sz w:val="28"/>
          <w:szCs w:val="28"/>
          <w:highlight w:val="none"/>
        </w:rPr>
        <w:t>2.合格的</w:t>
      </w:r>
      <w:bookmarkEnd w:id="11"/>
      <w:bookmarkEnd w:id="12"/>
      <w:bookmarkEnd w:id="13"/>
      <w:r>
        <w:rPr>
          <w:rFonts w:hint="eastAsia" w:ascii="宋体" w:hAnsi="宋体" w:eastAsia="宋体" w:cs="宋体"/>
          <w:color w:val="auto"/>
          <w:kern w:val="0"/>
          <w:sz w:val="28"/>
          <w:szCs w:val="28"/>
          <w:highlight w:val="none"/>
        </w:rPr>
        <w:t>供应商</w:t>
      </w:r>
    </w:p>
    <w:p w14:paraId="0DDAD78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2.1满足磋商公告中供应商的资格要求的规定。</w:t>
      </w:r>
    </w:p>
    <w:p w14:paraId="6A32201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65930D0F">
      <w:pPr>
        <w:keepNext/>
        <w:adjustRightInd w:val="0"/>
        <w:snapToGrid w:val="0"/>
        <w:spacing w:line="460" w:lineRule="exact"/>
        <w:ind w:firstLine="562" w:firstLineChars="200"/>
        <w:rPr>
          <w:rFonts w:hint="eastAsia" w:ascii="宋体" w:hAnsi="宋体" w:eastAsia="宋体" w:cs="宋体"/>
          <w:b/>
          <w:bCs/>
          <w:color w:val="auto"/>
          <w:kern w:val="0"/>
          <w:sz w:val="28"/>
          <w:szCs w:val="28"/>
          <w:highlight w:val="none"/>
        </w:rPr>
      </w:pPr>
      <w:bookmarkStart w:id="14" w:name="_Toc20823278"/>
      <w:bookmarkStart w:id="15" w:name="_Toc16938522"/>
      <w:bookmarkStart w:id="16" w:name="_Toc513029206"/>
      <w:r>
        <w:rPr>
          <w:rFonts w:hint="eastAsia" w:ascii="宋体" w:hAnsi="宋体" w:eastAsia="宋体" w:cs="宋体"/>
          <w:b/>
          <w:bCs/>
          <w:color w:val="auto"/>
          <w:kern w:val="0"/>
          <w:sz w:val="28"/>
          <w:szCs w:val="28"/>
          <w:highlight w:val="none"/>
        </w:rPr>
        <w:t>采购项目磋商开始后，不再接受供应商对采购文件（含更正通告等）内容的异议或质询（质疑）。</w:t>
      </w:r>
    </w:p>
    <w:p w14:paraId="71CC8A11">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 w:val="28"/>
          <w:szCs w:val="28"/>
          <w:highlight w:val="none"/>
        </w:rPr>
        <w:t>3.适用法律</w:t>
      </w:r>
      <w:bookmarkEnd w:id="14"/>
      <w:bookmarkEnd w:id="15"/>
      <w:bookmarkEnd w:id="16"/>
    </w:p>
    <w:p w14:paraId="3A4C7F9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 本次采购及由此产生的合同受中华人民共和国有关的法律法规制约和保护。</w:t>
      </w:r>
    </w:p>
    <w:p w14:paraId="0A06CCB2">
      <w:pPr>
        <w:keepNext/>
        <w:adjustRightInd w:val="0"/>
        <w:snapToGrid w:val="0"/>
        <w:spacing w:line="460" w:lineRule="exact"/>
        <w:ind w:firstLine="560" w:firstLineChars="200"/>
        <w:rPr>
          <w:rFonts w:hint="eastAsia" w:ascii="宋体" w:hAnsi="宋体" w:eastAsia="宋体" w:cs="宋体"/>
          <w:color w:val="auto"/>
          <w:kern w:val="0"/>
          <w:sz w:val="28"/>
          <w:szCs w:val="28"/>
          <w:highlight w:val="none"/>
        </w:rPr>
      </w:pPr>
      <w:bookmarkStart w:id="17" w:name="_Toc16938523"/>
      <w:bookmarkStart w:id="18" w:name="_Toc20823279"/>
      <w:bookmarkStart w:id="19" w:name="_Toc462564067"/>
      <w:bookmarkStart w:id="20" w:name="_Toc513029207"/>
      <w:r>
        <w:rPr>
          <w:rFonts w:hint="eastAsia" w:ascii="宋体" w:hAnsi="宋体" w:eastAsia="宋体" w:cs="宋体"/>
          <w:color w:val="auto"/>
          <w:kern w:val="0"/>
          <w:sz w:val="28"/>
          <w:szCs w:val="28"/>
          <w:highlight w:val="none"/>
        </w:rPr>
        <w:t>4.磋商费用</w:t>
      </w:r>
      <w:bookmarkEnd w:id="17"/>
      <w:bookmarkEnd w:id="18"/>
      <w:bookmarkEnd w:id="19"/>
      <w:bookmarkEnd w:id="20"/>
    </w:p>
    <w:p w14:paraId="2CD334F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供应商应自行承担所有与参加磋商有关的费用，无论磋商过程中的做法和结果如何，江苏中润工程建设咨询有限公司（以下简称采购代理机构）在任何情况下均无义务和责任承担这些费用。</w:t>
      </w:r>
    </w:p>
    <w:p w14:paraId="751F6A2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4.2本项目招标代理费收取标准以中标价为基准，乘以招标代理收费费率，由成交供应商支付，投标供应商综合考虑在报价内（不单列）。</w:t>
      </w:r>
    </w:p>
    <w:p w14:paraId="11FD843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本项目招标代理收费费率标准：</w:t>
      </w:r>
    </w:p>
    <w:tbl>
      <w:tblPr>
        <w:tblStyle w:val="2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977"/>
        <w:gridCol w:w="2794"/>
      </w:tblGrid>
      <w:tr w14:paraId="17A5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11F6435E">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532" w:type="pct"/>
            <w:vMerge w:val="restart"/>
            <w:tcBorders>
              <w:top w:val="single" w:color="auto" w:sz="4" w:space="0"/>
              <w:left w:val="single" w:color="auto" w:sz="4" w:space="0"/>
              <w:right w:val="single" w:color="auto" w:sz="4" w:space="0"/>
            </w:tcBorders>
            <w:vAlign w:val="center"/>
          </w:tcPr>
          <w:p w14:paraId="5FEF522F">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FDE3F7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收费标准 </w:t>
            </w:r>
          </w:p>
        </w:tc>
      </w:tr>
      <w:tr w14:paraId="4BA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5AC9F4B4">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c>
          <w:tcPr>
            <w:tcW w:w="2532" w:type="pct"/>
            <w:vMerge w:val="continue"/>
            <w:tcBorders>
              <w:left w:val="single" w:color="auto" w:sz="4" w:space="0"/>
              <w:bottom w:val="single" w:color="auto" w:sz="4" w:space="0"/>
              <w:right w:val="single" w:color="auto" w:sz="4" w:space="0"/>
            </w:tcBorders>
            <w:vAlign w:val="center"/>
          </w:tcPr>
          <w:p w14:paraId="67B2372C">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3DB1621D">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p>
        </w:tc>
      </w:tr>
      <w:tr w14:paraId="06A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C3118F7">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32" w:type="pct"/>
            <w:tcBorders>
              <w:top w:val="single" w:color="auto" w:sz="4" w:space="0"/>
              <w:left w:val="single" w:color="auto" w:sz="4" w:space="0"/>
              <w:bottom w:val="single" w:color="auto" w:sz="4" w:space="0"/>
              <w:right w:val="single" w:color="auto" w:sz="4" w:space="0"/>
            </w:tcBorders>
            <w:vAlign w:val="center"/>
          </w:tcPr>
          <w:p w14:paraId="18004150">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1B03BE8B">
            <w:pPr>
              <w:keepNext w:val="0"/>
              <w:keepLines w:val="0"/>
              <w:widowControl/>
              <w:suppressLineNumbers w:val="0"/>
              <w:adjustRightInd w:val="0"/>
              <w:snapToGrid w:val="0"/>
              <w:spacing w:before="0" w:beforeAutospacing="0" w:after="0" w:afterAutospacing="0" w:line="46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2000.00元</w:t>
            </w:r>
          </w:p>
        </w:tc>
      </w:tr>
    </w:tbl>
    <w:p w14:paraId="4AC7245B">
      <w:pPr>
        <w:keepNext/>
        <w:adjustRightInd w:val="0"/>
        <w:snapToGrid w:val="0"/>
        <w:spacing w:line="460" w:lineRule="exact"/>
        <w:ind w:firstLine="560" w:firstLineChars="200"/>
        <w:outlineLvl w:val="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4.3本项目标底编制费按苏价服（2014）383号文标准的50%计取（不足1000元的按1000元计取），由成交供应商支付，需综合考虑在报价内（不单列）。</w:t>
      </w:r>
    </w:p>
    <w:p w14:paraId="43221650">
      <w:pPr>
        <w:adjustRightInd w:val="0"/>
        <w:snapToGrid w:val="0"/>
        <w:spacing w:line="460" w:lineRule="exact"/>
        <w:ind w:firstLine="560" w:firstLineChars="200"/>
        <w:rPr>
          <w:rFonts w:hint="eastAsia" w:ascii="宋体" w:hAnsi="宋体" w:eastAsia="宋体" w:cs="宋体"/>
          <w:color w:val="auto"/>
          <w:sz w:val="28"/>
          <w:szCs w:val="28"/>
          <w:highlight w:val="none"/>
        </w:rPr>
      </w:pPr>
    </w:p>
    <w:p w14:paraId="359ACE7A">
      <w:pPr>
        <w:keepNext/>
        <w:adjustRightInd w:val="0"/>
        <w:snapToGrid w:val="0"/>
        <w:spacing w:line="460" w:lineRule="exact"/>
        <w:ind w:firstLine="560" w:firstLineChars="200"/>
        <w:outlineLvl w:val="3"/>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代理费、标底编制费由成交供应商在开标现场定标后支付给代理机构，如因成交供应商原因导致本项目流标或改变中标结果或其被取消中标资格的，费用不予退还。</w:t>
      </w:r>
    </w:p>
    <w:p w14:paraId="3E600F0D">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 w:val="28"/>
          <w:szCs w:val="28"/>
          <w:highlight w:val="none"/>
        </w:rPr>
        <w:t>5.磋商文件的约束力</w:t>
      </w:r>
    </w:p>
    <w:p w14:paraId="76555F2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5.1</w:t>
      </w:r>
      <w:r>
        <w:rPr>
          <w:rFonts w:hint="eastAsia" w:ascii="宋体" w:hAnsi="宋体" w:eastAsia="宋体" w:cs="宋体"/>
          <w:color w:val="auto"/>
          <w:sz w:val="28"/>
          <w:szCs w:val="28"/>
          <w:highlight w:val="none"/>
        </w:rPr>
        <w:t xml:space="preserve"> 供应商一旦参加本项目采购活动，即被认为接受了本磋商文件的规定和约束。</w:t>
      </w:r>
    </w:p>
    <w:p w14:paraId="34989817">
      <w:pPr>
        <w:keepNext/>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6.磋商文件的解释</w:t>
      </w:r>
    </w:p>
    <w:p w14:paraId="5838757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w:t>
      </w:r>
      <w:r>
        <w:rPr>
          <w:rFonts w:hint="eastAsia" w:ascii="宋体" w:hAnsi="宋体" w:eastAsia="宋体" w:cs="宋体"/>
          <w:color w:val="auto"/>
          <w:sz w:val="28"/>
          <w:szCs w:val="28"/>
          <w:highlight w:val="none"/>
        </w:rPr>
        <w:t>磋商文件需求部分（供应商资格要求、项目需求、商务技术评分标准）由采购人解释，其它部分由采购代理机构解释。</w:t>
      </w:r>
    </w:p>
    <w:p w14:paraId="58FB7F56">
      <w:pPr>
        <w:keepNext/>
        <w:keepLines/>
        <w:adjustRightInd w:val="0"/>
        <w:snapToGrid w:val="0"/>
        <w:spacing w:line="460" w:lineRule="exact"/>
        <w:ind w:firstLine="562" w:firstLineChars="200"/>
        <w:outlineLvl w:val="1"/>
        <w:rPr>
          <w:rFonts w:hint="eastAsia" w:ascii="宋体" w:hAnsi="宋体" w:eastAsia="宋体" w:cs="宋体"/>
          <w:b/>
          <w:bCs/>
          <w:color w:val="auto"/>
          <w:kern w:val="0"/>
          <w:sz w:val="28"/>
          <w:szCs w:val="28"/>
          <w:highlight w:val="none"/>
        </w:rPr>
      </w:pPr>
      <w:bookmarkStart w:id="21" w:name="_Toc120614215"/>
      <w:bookmarkStart w:id="22" w:name="_Toc20823281"/>
      <w:bookmarkStart w:id="23" w:name="_Toc513029209"/>
      <w:bookmarkStart w:id="24" w:name="_Toc16938525"/>
      <w:r>
        <w:rPr>
          <w:rFonts w:hint="eastAsia" w:ascii="宋体" w:hAnsi="宋体" w:eastAsia="宋体" w:cs="宋体"/>
          <w:b/>
          <w:bCs/>
          <w:color w:val="auto"/>
          <w:kern w:val="0"/>
          <w:sz w:val="28"/>
          <w:szCs w:val="28"/>
          <w:highlight w:val="none"/>
        </w:rPr>
        <w:t>二、磋商文件</w:t>
      </w:r>
      <w:bookmarkEnd w:id="21"/>
      <w:bookmarkEnd w:id="22"/>
      <w:bookmarkEnd w:id="23"/>
      <w:bookmarkEnd w:id="24"/>
    </w:p>
    <w:p w14:paraId="48577EF3">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25" w:name="_Toc513029210"/>
      <w:bookmarkStart w:id="26" w:name="_Toc20823282"/>
      <w:bookmarkStart w:id="27" w:name="_Toc16938526"/>
      <w:r>
        <w:rPr>
          <w:rFonts w:hint="eastAsia" w:ascii="宋体" w:hAnsi="宋体" w:eastAsia="宋体" w:cs="宋体"/>
          <w:color w:val="auto"/>
          <w:kern w:val="0"/>
          <w:sz w:val="28"/>
          <w:szCs w:val="28"/>
          <w:highlight w:val="none"/>
        </w:rPr>
        <w:t>1.磋商文件构成</w:t>
      </w:r>
      <w:bookmarkEnd w:id="25"/>
      <w:bookmarkEnd w:id="26"/>
      <w:bookmarkEnd w:id="27"/>
    </w:p>
    <w:p w14:paraId="756AB92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w:t>
      </w:r>
      <w:r>
        <w:rPr>
          <w:rFonts w:hint="eastAsia" w:ascii="宋体" w:hAnsi="宋体" w:eastAsia="宋体" w:cs="宋体"/>
          <w:color w:val="auto"/>
          <w:sz w:val="28"/>
          <w:szCs w:val="28"/>
          <w:highlight w:val="none"/>
        </w:rPr>
        <w:t xml:space="preserve"> 磋商文件由以下部分组成：</w:t>
      </w:r>
    </w:p>
    <w:p w14:paraId="3D72250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（1）磋商公告</w:t>
      </w:r>
    </w:p>
    <w:p w14:paraId="3C8EADA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（2）磋商须知</w:t>
      </w:r>
    </w:p>
    <w:p w14:paraId="5425C90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13E3073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（4）评审方法和评审标准</w:t>
      </w:r>
    </w:p>
    <w:p w14:paraId="59AC78E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（5）响应文件组成</w:t>
      </w:r>
    </w:p>
    <w:p w14:paraId="117CD9E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（6）附件</w:t>
      </w:r>
    </w:p>
    <w:p w14:paraId="1591F3E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请仔细检查磋商文件是否齐全，如有缺漏请立即与采购代理机构联系解决。</w:t>
      </w:r>
    </w:p>
    <w:p w14:paraId="577323E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012C1AD">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28" w:name="_Toc20823283"/>
      <w:bookmarkStart w:id="29" w:name="_Toc16938527"/>
      <w:bookmarkStart w:id="30" w:name="_Toc513029211"/>
      <w:bookmarkStart w:id="31" w:name="_Toc462564070"/>
      <w:r>
        <w:rPr>
          <w:rFonts w:hint="eastAsia" w:ascii="宋体" w:hAnsi="宋体" w:eastAsia="宋体" w:cs="宋体"/>
          <w:color w:val="auto"/>
          <w:kern w:val="0"/>
          <w:sz w:val="28"/>
          <w:szCs w:val="28"/>
          <w:highlight w:val="none"/>
        </w:rPr>
        <w:t>2.磋商文件的澄清</w:t>
      </w:r>
      <w:bookmarkEnd w:id="28"/>
      <w:bookmarkEnd w:id="29"/>
      <w:bookmarkEnd w:id="30"/>
      <w:bookmarkEnd w:id="31"/>
    </w:p>
    <w:p w14:paraId="7053AD7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2.1</w:t>
      </w:r>
      <w:r>
        <w:rPr>
          <w:rFonts w:hint="eastAsia" w:ascii="宋体" w:hAnsi="宋体" w:eastAsia="宋体" w:cs="宋体"/>
          <w:color w:val="auto"/>
          <w:sz w:val="28"/>
          <w:szCs w:val="28"/>
          <w:highlight w:val="none"/>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4189AE2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2.2采购人视情组织答疑会</w:t>
      </w:r>
    </w:p>
    <w:p w14:paraId="54DE4371">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32" w:name="_Toc20823284"/>
      <w:bookmarkStart w:id="33" w:name="_Toc16938528"/>
      <w:bookmarkStart w:id="34" w:name="_Toc462564071"/>
      <w:bookmarkStart w:id="35" w:name="_Toc513029212"/>
      <w:r>
        <w:rPr>
          <w:rFonts w:hint="eastAsia" w:ascii="宋体" w:hAnsi="宋体" w:eastAsia="宋体" w:cs="宋体"/>
          <w:color w:val="auto"/>
          <w:kern w:val="0"/>
          <w:sz w:val="28"/>
          <w:szCs w:val="28"/>
          <w:highlight w:val="none"/>
        </w:rPr>
        <w:t>3.磋商文件的修改</w:t>
      </w:r>
      <w:bookmarkEnd w:id="32"/>
      <w:bookmarkEnd w:id="33"/>
      <w:bookmarkEnd w:id="34"/>
      <w:bookmarkEnd w:id="35"/>
    </w:p>
    <w:p w14:paraId="3671D96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 xml:space="preserve"> 在响应文件提交截止时间前，采购代理机构可以对磋商文件进行修改。</w:t>
      </w:r>
    </w:p>
    <w:p w14:paraId="2394A3C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3.2 </w:t>
      </w:r>
      <w:r>
        <w:rPr>
          <w:rFonts w:hint="eastAsia" w:ascii="宋体" w:hAnsi="宋体" w:eastAsia="宋体" w:cs="宋体"/>
          <w:color w:val="auto"/>
          <w:sz w:val="28"/>
          <w:szCs w:val="28"/>
          <w:highlight w:val="none"/>
        </w:rPr>
        <w:t>采购代理机构有权按照法定的要求推迟响应文件提交截止日期和磋商日期。</w:t>
      </w:r>
    </w:p>
    <w:p w14:paraId="7E0AB8D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3.3 </w:t>
      </w:r>
      <w:r>
        <w:rPr>
          <w:rFonts w:hint="eastAsia" w:ascii="宋体" w:hAnsi="宋体" w:eastAsia="宋体" w:cs="宋体"/>
          <w:color w:val="auto"/>
          <w:sz w:val="28"/>
          <w:szCs w:val="28"/>
          <w:highlight w:val="none"/>
        </w:rPr>
        <w:t>磋商文件的修改将在</w:t>
      </w:r>
      <w:r>
        <w:rPr>
          <w:rFonts w:hint="eastAsia" w:ascii="宋体" w:hAnsi="宋体" w:eastAsia="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网站公布，补充文件将作为磋商文件的组成部分，并对供应商具有约束力。</w:t>
      </w:r>
    </w:p>
    <w:p w14:paraId="686F08D0">
      <w:pPr>
        <w:keepNext/>
        <w:keepLines/>
        <w:adjustRightInd w:val="0"/>
        <w:snapToGrid w:val="0"/>
        <w:spacing w:line="460" w:lineRule="exact"/>
        <w:ind w:firstLine="562" w:firstLineChars="200"/>
        <w:outlineLvl w:val="1"/>
        <w:rPr>
          <w:rFonts w:hint="eastAsia" w:ascii="宋体" w:hAnsi="宋体" w:eastAsia="宋体" w:cs="宋体"/>
          <w:b/>
          <w:bCs/>
          <w:color w:val="auto"/>
          <w:kern w:val="0"/>
          <w:sz w:val="28"/>
          <w:szCs w:val="28"/>
          <w:highlight w:val="none"/>
        </w:rPr>
      </w:pPr>
      <w:bookmarkStart w:id="36" w:name="_Toc513029213"/>
      <w:bookmarkStart w:id="37" w:name="_Toc20823285"/>
      <w:bookmarkStart w:id="38" w:name="_Toc16938529"/>
      <w:bookmarkStart w:id="39" w:name="_Toc462564072"/>
      <w:bookmarkStart w:id="40" w:name="_Toc120614216"/>
      <w:r>
        <w:rPr>
          <w:rFonts w:hint="eastAsia" w:ascii="宋体" w:hAnsi="宋体" w:eastAsia="宋体" w:cs="宋体"/>
          <w:b/>
          <w:bCs/>
          <w:color w:val="auto"/>
          <w:kern w:val="0"/>
          <w:sz w:val="28"/>
          <w:szCs w:val="28"/>
          <w:highlight w:val="none"/>
        </w:rPr>
        <w:t>三、响应文件的编制</w:t>
      </w:r>
      <w:bookmarkEnd w:id="36"/>
      <w:bookmarkEnd w:id="37"/>
      <w:bookmarkEnd w:id="38"/>
      <w:bookmarkEnd w:id="39"/>
      <w:bookmarkEnd w:id="40"/>
    </w:p>
    <w:p w14:paraId="362E80B0">
      <w:pPr>
        <w:keepNext/>
        <w:adjustRightInd w:val="0"/>
        <w:snapToGrid w:val="0"/>
        <w:spacing w:line="460" w:lineRule="exact"/>
        <w:ind w:firstLine="560" w:firstLineChars="200"/>
        <w:rPr>
          <w:rFonts w:hint="eastAsia" w:ascii="宋体" w:hAnsi="宋体" w:eastAsia="宋体" w:cs="宋体"/>
          <w:bCs/>
          <w:color w:val="auto"/>
          <w:kern w:val="0"/>
          <w:sz w:val="28"/>
          <w:szCs w:val="28"/>
          <w:highlight w:val="none"/>
        </w:rPr>
      </w:pPr>
      <w:bookmarkStart w:id="41" w:name="_Toc513029214"/>
      <w:bookmarkStart w:id="42" w:name="_Toc20823286"/>
      <w:bookmarkStart w:id="43" w:name="_Toc462564073"/>
      <w:bookmarkStart w:id="44" w:name="_Toc16938530"/>
      <w:r>
        <w:rPr>
          <w:rFonts w:hint="eastAsia" w:ascii="宋体" w:hAnsi="宋体" w:eastAsia="宋体" w:cs="宋体"/>
          <w:color w:val="auto"/>
          <w:kern w:val="0"/>
          <w:sz w:val="28"/>
          <w:szCs w:val="28"/>
          <w:highlight w:val="none"/>
        </w:rPr>
        <w:t>1.响应文件的语言及度量衡单位</w:t>
      </w:r>
      <w:bookmarkEnd w:id="41"/>
      <w:bookmarkEnd w:id="42"/>
      <w:bookmarkEnd w:id="43"/>
      <w:bookmarkEnd w:id="44"/>
    </w:p>
    <w:p w14:paraId="5A6A2A1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w:t>
      </w:r>
      <w:r>
        <w:rPr>
          <w:rFonts w:hint="eastAsia" w:ascii="宋体" w:hAnsi="宋体" w:eastAsia="宋体" w:cs="宋体"/>
          <w:color w:val="auto"/>
          <w:sz w:val="28"/>
          <w:szCs w:val="28"/>
          <w:highlight w:val="none"/>
        </w:rPr>
        <w:t>供应商提交的响应文件以及供应商与采购代理机构及采购人就有关磋商的所有来往通知、函件和文件均应使用</w:t>
      </w:r>
      <w:r>
        <w:rPr>
          <w:rFonts w:hint="eastAsia" w:ascii="宋体" w:hAnsi="宋体" w:eastAsia="宋体" w:cs="宋体"/>
          <w:bCs/>
          <w:color w:val="auto"/>
          <w:sz w:val="28"/>
          <w:szCs w:val="28"/>
          <w:highlight w:val="none"/>
        </w:rPr>
        <w:t>简体中文</w:t>
      </w:r>
      <w:r>
        <w:rPr>
          <w:rFonts w:hint="eastAsia" w:ascii="宋体" w:hAnsi="宋体" w:eastAsia="宋体" w:cs="宋体"/>
          <w:color w:val="auto"/>
          <w:sz w:val="28"/>
          <w:szCs w:val="28"/>
          <w:highlight w:val="none"/>
        </w:rPr>
        <w:t>。</w:t>
      </w:r>
    </w:p>
    <w:p w14:paraId="5E83CA3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 xml:space="preserve"> 除技术性能另有规定外，响应文件所使用的度量衡单位，均须采用国家法定计量单位。</w:t>
      </w:r>
    </w:p>
    <w:p w14:paraId="1D18C6F1">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45" w:name="_Toc20823287"/>
      <w:bookmarkStart w:id="46" w:name="_Toc513029215"/>
      <w:bookmarkStart w:id="47" w:name="_Toc16938531"/>
      <w:bookmarkStart w:id="48" w:name="_Toc462564074"/>
      <w:r>
        <w:rPr>
          <w:rFonts w:hint="eastAsia" w:ascii="宋体" w:hAnsi="宋体" w:eastAsia="宋体" w:cs="宋体"/>
          <w:color w:val="auto"/>
          <w:kern w:val="0"/>
          <w:sz w:val="28"/>
          <w:szCs w:val="28"/>
          <w:highlight w:val="none"/>
        </w:rPr>
        <w:t>2.响应文件构成</w:t>
      </w:r>
      <w:bookmarkEnd w:id="45"/>
      <w:bookmarkEnd w:id="46"/>
      <w:bookmarkEnd w:id="47"/>
      <w:bookmarkEnd w:id="48"/>
    </w:p>
    <w:p w14:paraId="771645E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2.1</w:t>
      </w:r>
      <w:r>
        <w:rPr>
          <w:rFonts w:hint="eastAsia" w:ascii="宋体" w:hAnsi="宋体" w:eastAsia="宋体" w:cs="宋体"/>
          <w:color w:val="auto"/>
          <w:sz w:val="28"/>
          <w:szCs w:val="28"/>
          <w:highlight w:val="none"/>
        </w:rPr>
        <w:t xml:space="preserve"> 供应商编写的响应文件应包括资格审查文件、商务技术文件、价格文件。供应商按“第五部分 响应文件组成”要求编写响应文件。</w:t>
      </w:r>
    </w:p>
    <w:p w14:paraId="008A854D">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49" w:name="_Hlt26670360"/>
      <w:bookmarkEnd w:id="49"/>
      <w:bookmarkStart w:id="50" w:name="_Hlt26954838"/>
      <w:bookmarkEnd w:id="50"/>
      <w:bookmarkStart w:id="51" w:name="_Hlt26668975"/>
      <w:bookmarkEnd w:id="51"/>
      <w:bookmarkStart w:id="52" w:name="_Toc49090511"/>
      <w:bookmarkStart w:id="53" w:name="_Toc14577360"/>
      <w:r>
        <w:rPr>
          <w:rFonts w:hint="eastAsia" w:ascii="宋体" w:hAnsi="宋体" w:eastAsia="宋体" w:cs="宋体"/>
          <w:color w:val="auto"/>
          <w:kern w:val="0"/>
          <w:sz w:val="28"/>
          <w:szCs w:val="28"/>
          <w:highlight w:val="none"/>
        </w:rPr>
        <w:t>3.</w:t>
      </w:r>
      <w:bookmarkEnd w:id="52"/>
      <w:bookmarkEnd w:id="53"/>
      <w:r>
        <w:rPr>
          <w:rFonts w:hint="eastAsia" w:ascii="宋体" w:hAnsi="宋体" w:eastAsia="宋体" w:cs="宋体"/>
          <w:color w:val="auto"/>
          <w:kern w:val="0"/>
          <w:sz w:val="28"/>
          <w:szCs w:val="28"/>
          <w:highlight w:val="none"/>
        </w:rPr>
        <w:t>磋商响应有效期</w:t>
      </w:r>
    </w:p>
    <w:p w14:paraId="31E48D2D">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3.1磋商响应有效期为采购代理机构规定的响应文件</w:t>
      </w:r>
      <w:r>
        <w:rPr>
          <w:rFonts w:hint="eastAsia" w:ascii="宋体" w:hAnsi="宋体" w:eastAsia="宋体" w:cs="宋体"/>
          <w:color w:val="auto"/>
          <w:sz w:val="28"/>
          <w:szCs w:val="28"/>
          <w:highlight w:val="none"/>
        </w:rPr>
        <w:t>提交</w:t>
      </w:r>
      <w:r>
        <w:rPr>
          <w:rFonts w:hint="eastAsia" w:ascii="宋体" w:hAnsi="宋体" w:eastAsia="宋体" w:cs="宋体"/>
          <w:bCs/>
          <w:color w:val="auto"/>
          <w:sz w:val="28"/>
          <w:szCs w:val="28"/>
          <w:highlight w:val="none"/>
        </w:rPr>
        <w:t>截止时间后</w:t>
      </w:r>
      <w:r>
        <w:rPr>
          <w:rFonts w:hint="eastAsia" w:ascii="宋体" w:hAnsi="宋体" w:eastAsia="宋体" w:cs="宋体"/>
          <w:b/>
          <w:color w:val="auto"/>
          <w:sz w:val="28"/>
          <w:szCs w:val="28"/>
          <w:highlight w:val="none"/>
          <w:u w:val="single"/>
        </w:rPr>
        <w:t>六十（60）天</w:t>
      </w:r>
      <w:r>
        <w:rPr>
          <w:rFonts w:hint="eastAsia" w:ascii="宋体" w:hAnsi="宋体" w:eastAsia="宋体" w:cs="宋体"/>
          <w:bCs/>
          <w:color w:val="auto"/>
          <w:sz w:val="28"/>
          <w:szCs w:val="28"/>
          <w:highlight w:val="none"/>
        </w:rPr>
        <w:t>。磋商响应有效期比规定短的将被视为非实质性响应而予以拒绝。</w:t>
      </w:r>
    </w:p>
    <w:p w14:paraId="67CC310E">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 w:val="28"/>
          <w:szCs w:val="28"/>
          <w:highlight w:val="none"/>
        </w:rPr>
        <w:t>4. 磋商响应有效期的延长</w:t>
      </w:r>
    </w:p>
    <w:p w14:paraId="08CB7608">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eastAsia="宋体" w:cs="宋体"/>
          <w:color w:val="auto"/>
          <w:sz w:val="28"/>
          <w:szCs w:val="28"/>
          <w:highlight w:val="none"/>
        </w:rPr>
        <w:t>受磋商响应有效期约束的所有权利与义务均延长至新的有效期</w:t>
      </w:r>
      <w:r>
        <w:rPr>
          <w:rFonts w:hint="eastAsia" w:ascii="宋体" w:hAnsi="宋体" w:eastAsia="宋体" w:cs="宋体"/>
          <w:bCs/>
          <w:color w:val="auto"/>
          <w:sz w:val="28"/>
          <w:szCs w:val="28"/>
          <w:highlight w:val="none"/>
        </w:rPr>
        <w:t>。</w:t>
      </w:r>
    </w:p>
    <w:p w14:paraId="4BF99B39">
      <w:pPr>
        <w:keepNext/>
        <w:keepLines/>
        <w:adjustRightInd w:val="0"/>
        <w:snapToGrid w:val="0"/>
        <w:spacing w:line="460" w:lineRule="exact"/>
        <w:ind w:firstLine="562" w:firstLineChars="200"/>
        <w:outlineLvl w:val="1"/>
        <w:rPr>
          <w:rFonts w:hint="eastAsia" w:ascii="宋体" w:hAnsi="宋体" w:eastAsia="宋体" w:cs="宋体"/>
          <w:b/>
          <w:bCs/>
          <w:color w:val="auto"/>
          <w:kern w:val="0"/>
          <w:sz w:val="28"/>
          <w:szCs w:val="28"/>
          <w:highlight w:val="none"/>
        </w:rPr>
      </w:pPr>
      <w:bookmarkStart w:id="54" w:name="_Hlt26954739"/>
      <w:bookmarkEnd w:id="54"/>
      <w:bookmarkStart w:id="55" w:name="_Hlt26954852"/>
      <w:bookmarkEnd w:id="55"/>
      <w:bookmarkStart w:id="56" w:name="_Toc20823296"/>
      <w:bookmarkStart w:id="57" w:name="_Toc16938540"/>
      <w:bookmarkStart w:id="58" w:name="_Toc120614217"/>
      <w:bookmarkStart w:id="59" w:name="_Toc513029224"/>
      <w:r>
        <w:rPr>
          <w:rFonts w:hint="eastAsia" w:ascii="宋体" w:hAnsi="宋体" w:eastAsia="宋体" w:cs="宋体"/>
          <w:b/>
          <w:bCs/>
          <w:color w:val="auto"/>
          <w:kern w:val="0"/>
          <w:sz w:val="28"/>
          <w:szCs w:val="28"/>
          <w:highlight w:val="none"/>
        </w:rPr>
        <w:t>四、响应文件的提交</w:t>
      </w:r>
      <w:bookmarkEnd w:id="56"/>
      <w:bookmarkEnd w:id="57"/>
      <w:bookmarkEnd w:id="58"/>
      <w:bookmarkEnd w:id="59"/>
    </w:p>
    <w:p w14:paraId="06063D9B">
      <w:pPr>
        <w:adjustRightInd w:val="0"/>
        <w:snapToGrid w:val="0"/>
        <w:spacing w:line="460" w:lineRule="exact"/>
        <w:ind w:firstLine="560" w:firstLineChars="200"/>
        <w:rPr>
          <w:rFonts w:hint="eastAsia" w:ascii="宋体" w:hAnsi="宋体" w:eastAsia="宋体" w:cs="宋体"/>
          <w:color w:val="auto"/>
          <w:kern w:val="0"/>
          <w:sz w:val="28"/>
          <w:szCs w:val="28"/>
          <w:highlight w:val="none"/>
        </w:rPr>
      </w:pPr>
      <w:bookmarkStart w:id="60" w:name="_Toc513029226"/>
      <w:bookmarkStart w:id="61" w:name="_Toc16938542"/>
      <w:bookmarkStart w:id="62" w:name="_Toc20823298"/>
      <w:r>
        <w:rPr>
          <w:rFonts w:hint="eastAsia" w:ascii="宋体" w:hAnsi="宋体" w:eastAsia="宋体" w:cs="宋体"/>
          <w:color w:val="auto"/>
          <w:kern w:val="0"/>
          <w:sz w:val="28"/>
          <w:szCs w:val="28"/>
          <w:highlight w:val="none"/>
        </w:rPr>
        <w:t>1.响应文件的提交</w:t>
      </w:r>
    </w:p>
    <w:p w14:paraId="464B9DAB">
      <w:pPr>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098B6D40">
      <w:pPr>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 w:val="28"/>
          <w:szCs w:val="28"/>
          <w:highlight w:val="none"/>
        </w:rPr>
        <w:t>1.2纸质响应文件须提供“正本一份、副本</w:t>
      </w:r>
      <w:r>
        <w:rPr>
          <w:rFonts w:hint="eastAsia" w:ascii="宋体" w:hAnsi="宋体" w:eastAsia="宋体" w:cs="宋体"/>
          <w:color w:val="auto"/>
          <w:kern w:val="0"/>
          <w:sz w:val="28"/>
          <w:szCs w:val="28"/>
          <w:highlight w:val="none"/>
          <w:lang w:val="en-US" w:eastAsia="zh-CN"/>
        </w:rPr>
        <w:t>两</w:t>
      </w:r>
      <w:r>
        <w:rPr>
          <w:rFonts w:hint="eastAsia" w:ascii="宋体" w:hAnsi="宋体" w:eastAsia="宋体" w:cs="宋体"/>
          <w:color w:val="auto"/>
          <w:kern w:val="0"/>
          <w:sz w:val="28"/>
          <w:szCs w:val="28"/>
          <w:highlight w:val="none"/>
        </w:rPr>
        <w:t>份”，可以合并在一个密封袋或密封箱内提交,也可以分别密封提交；如有A3大小的图纸类，可单独密封。密封完好以不泄露投标文件内容为主要判断依据</w:t>
      </w:r>
      <w:r>
        <w:rPr>
          <w:rFonts w:hint="eastAsia" w:ascii="宋体" w:hAnsi="宋体" w:eastAsia="宋体" w:cs="宋体"/>
          <w:b/>
          <w:bCs/>
          <w:color w:val="auto"/>
          <w:kern w:val="0"/>
          <w:sz w:val="28"/>
          <w:szCs w:val="28"/>
          <w:highlight w:val="none"/>
        </w:rPr>
        <w:t>（是否严格按照采购文件装袋提交不作为无效标判定依据）。</w:t>
      </w:r>
    </w:p>
    <w:p w14:paraId="55AF014B">
      <w:pPr>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1.3纸质响应文件须采用A4纸（图纸等除外）打印并由法定代表人或授权人签字并加盖单位印章。文件内容中不得行间插字、涂改、增删；如修补错漏处，须由响应文件签署人签字并加盖公章。</w:t>
      </w:r>
    </w:p>
    <w:p w14:paraId="1891B355">
      <w:pPr>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1.4提交电子响应文件一份，电子响应文件的内容为磋商响应文件（含资格审查文件、商务技术文件、价格文件）的打印盖章或电子签章后的扫描件，采取U盘方式单独密封提交。</w:t>
      </w:r>
    </w:p>
    <w:p w14:paraId="737FB2CD">
      <w:pPr>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1.5递交时间：供应商须在规定的响应文件接收截止时间前送达指定地点。供应商提交磋商文件，即视为已响应参加磋商活动。</w:t>
      </w:r>
    </w:p>
    <w:p w14:paraId="21D176E8">
      <w:pPr>
        <w:adjustRightInd w:val="0"/>
        <w:snapToGrid w:val="0"/>
        <w:spacing w:line="460" w:lineRule="exact"/>
        <w:ind w:firstLine="560" w:firstLineChars="200"/>
        <w:rPr>
          <w:rFonts w:hint="eastAsia" w:ascii="宋体" w:hAnsi="宋体" w:eastAsia="宋体" w:cs="宋体"/>
          <w:b/>
          <w:bCs w:val="0"/>
          <w:color w:val="auto"/>
          <w:sz w:val="28"/>
          <w:szCs w:val="28"/>
          <w:highlight w:val="none"/>
        </w:rPr>
      </w:pPr>
      <w:r>
        <w:rPr>
          <w:rFonts w:hint="eastAsia" w:ascii="宋体" w:hAnsi="宋体" w:eastAsia="宋体" w:cs="宋体"/>
          <w:color w:val="auto"/>
          <w:kern w:val="0"/>
          <w:sz w:val="28"/>
          <w:szCs w:val="28"/>
          <w:highlight w:val="none"/>
        </w:rPr>
        <w:t>友情提醒：</w:t>
      </w:r>
      <w:r>
        <w:rPr>
          <w:rFonts w:hint="eastAsia" w:ascii="宋体" w:hAnsi="宋体" w:cs="宋体"/>
          <w:color w:val="auto"/>
          <w:kern w:val="0"/>
          <w:sz w:val="28"/>
          <w:szCs w:val="28"/>
          <w:highlight w:val="none"/>
          <w:lang w:val="en-US" w:eastAsia="zh-CN"/>
        </w:rPr>
        <w:t>①</w:t>
      </w:r>
      <w:r>
        <w:rPr>
          <w:rFonts w:hint="eastAsia" w:ascii="宋体" w:hAnsi="宋体" w:eastAsia="宋体" w:cs="宋体"/>
          <w:color w:val="auto"/>
          <w:kern w:val="0"/>
          <w:sz w:val="28"/>
          <w:szCs w:val="28"/>
          <w:highlight w:val="none"/>
        </w:rPr>
        <w:t>代理机构将拒绝接收未按照磋商文件要求密封的响应文件，拒绝接收在响应文件接收截止时间后递交的响应文件。</w:t>
      </w:r>
      <w:r>
        <w:rPr>
          <w:rFonts w:hint="eastAsia" w:ascii="宋体" w:hAnsi="宋体" w:cs="宋体"/>
          <w:b/>
          <w:bCs w:val="0"/>
          <w:color w:val="auto"/>
          <w:sz w:val="28"/>
          <w:szCs w:val="28"/>
          <w:highlight w:val="none"/>
          <w:lang w:val="en-US" w:eastAsia="zh-CN"/>
        </w:rPr>
        <w:t>②</w:t>
      </w:r>
      <w:r>
        <w:rPr>
          <w:rFonts w:hint="eastAsia" w:ascii="宋体" w:hAnsi="宋体" w:eastAsia="宋体" w:cs="宋体"/>
          <w:b/>
          <w:bCs w:val="0"/>
          <w:color w:val="auto"/>
          <w:sz w:val="28"/>
          <w:szCs w:val="28"/>
          <w:highlight w:val="none"/>
        </w:rPr>
        <w:t>采购人、采购代理机构对投标（响应）文件的格式、形式要求，结合财政部《关于促进政府采购公平竞争优化营商环境的通知》（财库〔2019〕38 号）相关规定实施。</w:t>
      </w:r>
    </w:p>
    <w:p w14:paraId="76FCDFC1">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2.响应文件截止日期</w:t>
      </w:r>
      <w:bookmarkEnd w:id="60"/>
      <w:bookmarkEnd w:id="61"/>
      <w:bookmarkEnd w:id="62"/>
    </w:p>
    <w:p w14:paraId="54003DA3">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2.1 供应商提交响应文件的时间不得迟于磋商公告中规定的响应文件提交截止时间。</w:t>
      </w:r>
    </w:p>
    <w:p w14:paraId="524723C1">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供应商应充分考虑到交通路况、停车等风险因素，如因供应商自身原因造成的磋商响应文件提交不成功由供应商自行承担全部责任。</w:t>
      </w:r>
    </w:p>
    <w:p w14:paraId="341AA663">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2.2</w:t>
      </w:r>
      <w:r>
        <w:rPr>
          <w:rFonts w:hint="eastAsia" w:ascii="宋体" w:hAnsi="宋体" w:eastAsia="宋体" w:cs="宋体"/>
          <w:bCs/>
          <w:color w:val="auto"/>
          <w:sz w:val="28"/>
          <w:szCs w:val="28"/>
          <w:highlight w:val="none"/>
        </w:rPr>
        <w:t xml:space="preserve"> 采购代理机构可以按照规定，通过修改响应文件酌情延长响应文件提交截止日期，在此情况下，供应商的所有权利和义务以及供应商受制的截止日期均应以延长后新的截止日期为准。</w:t>
      </w:r>
    </w:p>
    <w:p w14:paraId="27308D6D">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63" w:name="_Toc513029227"/>
      <w:bookmarkStart w:id="64" w:name="_Toc16938543"/>
      <w:bookmarkStart w:id="65" w:name="_Toc20823299"/>
      <w:r>
        <w:rPr>
          <w:rFonts w:hint="eastAsia" w:ascii="宋体" w:hAnsi="宋体" w:eastAsia="宋体" w:cs="宋体"/>
          <w:color w:val="auto"/>
          <w:kern w:val="0"/>
          <w:sz w:val="28"/>
          <w:szCs w:val="28"/>
          <w:highlight w:val="none"/>
        </w:rPr>
        <w:t>3.响应文件</w:t>
      </w:r>
      <w:bookmarkEnd w:id="63"/>
      <w:bookmarkEnd w:id="64"/>
      <w:bookmarkEnd w:id="65"/>
      <w:r>
        <w:rPr>
          <w:rFonts w:hint="eastAsia" w:ascii="宋体" w:hAnsi="宋体" w:eastAsia="宋体" w:cs="宋体"/>
          <w:color w:val="auto"/>
          <w:kern w:val="0"/>
          <w:sz w:val="28"/>
          <w:szCs w:val="28"/>
          <w:highlight w:val="none"/>
        </w:rPr>
        <w:t>的拒收</w:t>
      </w:r>
    </w:p>
    <w:p w14:paraId="33EE771C">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3.1 采购代理机构拒绝接收在其规定的响应文件提交截止时间后提交的任何响应文件。</w:t>
      </w:r>
    </w:p>
    <w:p w14:paraId="540437CB">
      <w:pPr>
        <w:keepNext/>
        <w:adjustRightInd w:val="0"/>
        <w:snapToGrid w:val="0"/>
        <w:spacing w:line="460" w:lineRule="exact"/>
        <w:ind w:firstLine="560" w:firstLineChars="200"/>
        <w:rPr>
          <w:rFonts w:hint="eastAsia" w:ascii="宋体" w:hAnsi="宋体" w:eastAsia="宋体" w:cs="宋体"/>
          <w:b/>
          <w:bCs/>
          <w:color w:val="auto"/>
          <w:kern w:val="0"/>
          <w:sz w:val="28"/>
          <w:szCs w:val="28"/>
          <w:highlight w:val="none"/>
        </w:rPr>
      </w:pPr>
      <w:bookmarkStart w:id="66" w:name="_Toc16938544"/>
      <w:bookmarkStart w:id="67" w:name="_Toc513029228"/>
      <w:bookmarkStart w:id="68" w:name="_Toc20823300"/>
      <w:r>
        <w:rPr>
          <w:rFonts w:hint="eastAsia" w:ascii="宋体" w:hAnsi="宋体" w:eastAsia="宋体" w:cs="宋体"/>
          <w:color w:val="auto"/>
          <w:kern w:val="0"/>
          <w:sz w:val="28"/>
          <w:szCs w:val="28"/>
          <w:highlight w:val="none"/>
        </w:rPr>
        <w:t>4. 响应文件的撤回和修改</w:t>
      </w:r>
      <w:bookmarkEnd w:id="66"/>
      <w:bookmarkEnd w:id="67"/>
      <w:bookmarkEnd w:id="68"/>
    </w:p>
    <w:p w14:paraId="2B44696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响应文件的撤回</w:t>
      </w:r>
    </w:p>
    <w:p w14:paraId="5B54DC8E">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 响应文件的撤回</w:t>
      </w:r>
    </w:p>
    <w:p w14:paraId="5007D89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供应商可在响应文件提交截止时间前，书面撤回其磋商响应文件。</w:t>
      </w:r>
    </w:p>
    <w:p w14:paraId="4498776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 供应商撤回磋商响应文件，则认为其不再参与本项目磋商活动。</w:t>
      </w:r>
    </w:p>
    <w:p w14:paraId="42B191B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 响应文件的修改</w:t>
      </w:r>
    </w:p>
    <w:p w14:paraId="5CB20A50">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在响应文件提交截止时间之后，供应商不得再对其提交的响应文件进行修改。</w:t>
      </w:r>
    </w:p>
    <w:p w14:paraId="1632B287">
      <w:pPr>
        <w:keepNext/>
        <w:keepLines/>
        <w:adjustRightInd w:val="0"/>
        <w:snapToGrid w:val="0"/>
        <w:spacing w:line="460" w:lineRule="exact"/>
        <w:ind w:firstLine="562" w:firstLineChars="200"/>
        <w:outlineLvl w:val="1"/>
        <w:rPr>
          <w:rFonts w:hint="eastAsia" w:ascii="宋体" w:hAnsi="宋体" w:eastAsia="宋体" w:cs="宋体"/>
          <w:b/>
          <w:bCs/>
          <w:color w:val="auto"/>
          <w:kern w:val="0"/>
          <w:sz w:val="28"/>
          <w:szCs w:val="28"/>
          <w:highlight w:val="none"/>
        </w:rPr>
      </w:pPr>
      <w:bookmarkStart w:id="69" w:name="_Toc16938545"/>
      <w:bookmarkStart w:id="70" w:name="_Toc513029229"/>
      <w:bookmarkStart w:id="71" w:name="_Toc20823301"/>
      <w:bookmarkStart w:id="72" w:name="_Toc120614218"/>
      <w:r>
        <w:rPr>
          <w:rFonts w:hint="eastAsia" w:ascii="宋体" w:hAnsi="宋体" w:eastAsia="宋体" w:cs="宋体"/>
          <w:b/>
          <w:bCs/>
          <w:color w:val="auto"/>
          <w:kern w:val="0"/>
          <w:sz w:val="28"/>
          <w:szCs w:val="28"/>
          <w:highlight w:val="none"/>
        </w:rPr>
        <w:t>五</w:t>
      </w:r>
      <w:bookmarkEnd w:id="69"/>
      <w:bookmarkEnd w:id="70"/>
      <w:bookmarkEnd w:id="71"/>
      <w:bookmarkEnd w:id="72"/>
      <w:bookmarkStart w:id="73" w:name="_Toc16938546"/>
      <w:bookmarkStart w:id="74" w:name="_Toc513029230"/>
      <w:bookmarkStart w:id="75" w:name="_Toc20823302"/>
      <w:r>
        <w:rPr>
          <w:rFonts w:hint="eastAsia" w:ascii="宋体" w:hAnsi="宋体" w:eastAsia="宋体" w:cs="宋体"/>
          <w:b/>
          <w:bCs/>
          <w:color w:val="auto"/>
          <w:kern w:val="0"/>
          <w:sz w:val="28"/>
          <w:szCs w:val="28"/>
          <w:highlight w:val="none"/>
        </w:rPr>
        <w:t>、磋商与评审</w:t>
      </w:r>
    </w:p>
    <w:p w14:paraId="76EB63CF">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1.磋商仪式</w:t>
      </w:r>
    </w:p>
    <w:p w14:paraId="32B762C6">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1.1采购代理机构将在磋商公告中规定的时间和地点组织磋商开始仪式。供应商应当在磋商公告中规定的时间和地点参加磋商活动。</w:t>
      </w:r>
    </w:p>
    <w:p w14:paraId="5489240B">
      <w:pPr>
        <w:adjustRightInd w:val="0"/>
        <w:snapToGrid w:val="0"/>
        <w:spacing w:line="46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1.2 磋商活动的文件密封性检查工作</w:t>
      </w:r>
      <w:r>
        <w:rPr>
          <w:rFonts w:hint="eastAsia" w:ascii="宋体" w:hAnsi="宋体" w:eastAsia="宋体" w:cs="宋体"/>
          <w:color w:val="auto"/>
          <w:sz w:val="28"/>
          <w:szCs w:val="28"/>
          <w:highlight w:val="none"/>
        </w:rPr>
        <w:t>由采购代理机构组织。</w:t>
      </w:r>
    </w:p>
    <w:p w14:paraId="1F0D4A5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1.3供应商在磋商过程中涉及到的磋商文件密封性检查、磋商结果确认等工作，按照采购代理机构指引进行。</w:t>
      </w:r>
    </w:p>
    <w:p w14:paraId="56D0EFB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2.磋商小组</w:t>
      </w:r>
    </w:p>
    <w:p w14:paraId="5435F7B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2.1磋商开始仪式结束后，采购代理机构将立即组织磋商小组进行评审。</w:t>
      </w:r>
    </w:p>
    <w:p w14:paraId="43F829F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64A6D81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2.3超过公开招标限额标准的项目，磋商小组应当由5人以上单数组成。</w:t>
      </w:r>
    </w:p>
    <w:p w14:paraId="41C611C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采用磋商的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1C8467B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2.5磋商小组独立工作，负责评审所有响应文件并确定成交候选人。</w:t>
      </w:r>
    </w:p>
    <w:p w14:paraId="1A66427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 磋商评审过程的保密与公正</w:t>
      </w:r>
    </w:p>
    <w:p w14:paraId="608376DD">
      <w:pPr>
        <w:tabs>
          <w:tab w:val="left" w:pos="900"/>
        </w:tabs>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3.1磋商小组、采购人和采购代理机构工作人员、相关监督人员等与评审工作有关的人员，对评审情况以及在评审过程中获悉的国家秘密、商业秘密负有保密责任。</w:t>
      </w:r>
    </w:p>
    <w:p w14:paraId="61B58FF3">
      <w:pPr>
        <w:tabs>
          <w:tab w:val="left" w:pos="900"/>
        </w:tabs>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3.2在磋商评审过程中，磋商供应商不得以任何行为影响磋商评审过程，否则其响应文件将被作为无效响应文件。</w:t>
      </w:r>
    </w:p>
    <w:p w14:paraId="5FDB10A6">
      <w:pPr>
        <w:tabs>
          <w:tab w:val="left" w:pos="900"/>
        </w:tabs>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7B8327E">
      <w:pPr>
        <w:tabs>
          <w:tab w:val="left" w:pos="900"/>
        </w:tabs>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3.4</w:t>
      </w:r>
      <w:r>
        <w:rPr>
          <w:rFonts w:hint="eastAsia" w:ascii="宋体" w:hAnsi="宋体" w:eastAsia="宋体" w:cs="宋体"/>
          <w:bCs/>
          <w:color w:val="auto"/>
          <w:sz w:val="28"/>
          <w:szCs w:val="28"/>
          <w:highlight w:val="none"/>
        </w:rPr>
        <w:t>评审开始后，直至向成交供应商授予合同时止，凡是与审查、澄清、评价和比较响应的有关资料以及授标建议等，采购人、磋商小组、采购代理机构均不得向供应商或与评标无关的其他人员透露。</w:t>
      </w:r>
    </w:p>
    <w:p w14:paraId="55173DD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3.5在评审期间，采购代理机构将设专门人员与供应商联系。</w:t>
      </w:r>
    </w:p>
    <w:p w14:paraId="2DB2E44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3.6采购代理机构和评审小组不向未成交的供应商解释未成交原因，也不公布评审过程中的相关细节。</w:t>
      </w:r>
    </w:p>
    <w:p w14:paraId="19FAA9EF">
      <w:pPr>
        <w:tabs>
          <w:tab w:val="left" w:pos="900"/>
        </w:tabs>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4.评审过程的澄清</w:t>
      </w:r>
    </w:p>
    <w:p w14:paraId="39CB293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4.1评审期间，为有助于对响应文件的审查、评价和比较，磋商小组有权要求响应人对其响应文件进行澄清，但并非对每个供应商都作澄清要求。</w:t>
      </w:r>
    </w:p>
    <w:p w14:paraId="1E013FC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4.2接到磋商小组澄清要求的供应商应按磋商小组规定的时间和格式做出澄清，澄清的内容作为响应文件的补充部分，但实质性的内容不得做任何更改。</w:t>
      </w:r>
    </w:p>
    <w:p w14:paraId="5BE8B2DD">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4.3 接到磋商小组澄清要求的供应商如未按规定做出澄清，其风</w:t>
      </w:r>
      <w:r>
        <w:rPr>
          <w:rFonts w:hint="eastAsia" w:ascii="宋体" w:hAnsi="宋体" w:eastAsia="宋体" w:cs="宋体"/>
          <w:bCs/>
          <w:color w:val="auto"/>
          <w:sz w:val="28"/>
          <w:szCs w:val="28"/>
          <w:highlight w:val="none"/>
        </w:rPr>
        <w:t>险由供应商自行承担。</w:t>
      </w:r>
    </w:p>
    <w:p w14:paraId="63FCE8FD">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5.对响应文件的初审</w:t>
      </w:r>
    </w:p>
    <w:p w14:paraId="78E81061">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5.1响应文件初审分为资格性审查和符合性审查。</w:t>
      </w:r>
    </w:p>
    <w:p w14:paraId="526121C5">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5.1.1资格性检查：依据法律法规和磋商文件的规定，由采购人对响应文件中的资格审查文件进行审查。</w:t>
      </w:r>
    </w:p>
    <w:p w14:paraId="4C412BBA">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5.1.2符合性审查：依据磋商文件的规定，由磋商小组从响应文件的有效性、完整性和对磋商文件的响应程度进行审查，以确定是否对磋商文件的实质性要求作出响应。</w:t>
      </w:r>
    </w:p>
    <w:p w14:paraId="70CCD0B7">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5.1.3未通过资格审查或符合性审查的供应商人，采购代理机构将告知未通过资格审查或符合性审查的原因，并记录存档。</w:t>
      </w:r>
    </w:p>
    <w:p w14:paraId="2AF1422D">
      <w:pPr>
        <w:tabs>
          <w:tab w:val="left" w:pos="900"/>
        </w:tabs>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1B36624F">
      <w:pPr>
        <w:tabs>
          <w:tab w:val="left" w:pos="900"/>
        </w:tabs>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DC05F3">
      <w:pPr>
        <w:tabs>
          <w:tab w:val="left" w:pos="900"/>
        </w:tabs>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5.3如果响应文件实质上没有响应磋商文件的要求，磋商小组将予以拒绝，供应商不得通过修改或撤销不合要求的偏离或保留而使其响应文件成为实质性响应的文件。</w:t>
      </w:r>
    </w:p>
    <w:p w14:paraId="0A17E42F">
      <w:pPr>
        <w:tabs>
          <w:tab w:val="left" w:pos="900"/>
        </w:tabs>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5.4磋商小组将对确定为实质性响应的文件进行进一步审核，看其是否有计算上或累加上的算术错误，修正错误的原则如下：</w:t>
      </w:r>
    </w:p>
    <w:p w14:paraId="3D77D135">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（1）响应文件中</w:t>
      </w:r>
      <w:r>
        <w:rPr>
          <w:rFonts w:hint="eastAsia" w:ascii="宋体" w:hAnsi="宋体" w:eastAsia="宋体" w:cs="宋体"/>
          <w:color w:val="auto"/>
          <w:kern w:val="0"/>
          <w:sz w:val="28"/>
          <w:szCs w:val="28"/>
          <w:highlight w:val="none"/>
        </w:rPr>
        <w:t>报价总表</w:t>
      </w:r>
      <w:r>
        <w:rPr>
          <w:rFonts w:hint="eastAsia" w:ascii="宋体" w:hAnsi="宋体" w:eastAsia="宋体" w:cs="宋体"/>
          <w:bCs/>
          <w:color w:val="auto"/>
          <w:sz w:val="28"/>
          <w:szCs w:val="28"/>
          <w:highlight w:val="none"/>
        </w:rPr>
        <w:t>内容与响应文件中相应内容不一致的，以</w:t>
      </w:r>
      <w:r>
        <w:rPr>
          <w:rFonts w:hint="eastAsia" w:ascii="宋体" w:hAnsi="宋体" w:eastAsia="宋体" w:cs="宋体"/>
          <w:color w:val="auto"/>
          <w:kern w:val="0"/>
          <w:sz w:val="28"/>
          <w:szCs w:val="28"/>
          <w:highlight w:val="none"/>
        </w:rPr>
        <w:t>报价总表</w:t>
      </w:r>
      <w:r>
        <w:rPr>
          <w:rFonts w:hint="eastAsia" w:ascii="宋体" w:hAnsi="宋体" w:eastAsia="宋体" w:cs="宋体"/>
          <w:bCs/>
          <w:color w:val="auto"/>
          <w:sz w:val="28"/>
          <w:szCs w:val="28"/>
          <w:highlight w:val="none"/>
        </w:rPr>
        <w:t>为准。</w:t>
      </w:r>
    </w:p>
    <w:p w14:paraId="78801776">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（2）大写金额和小写金额不一致的，以大写金额为准。</w:t>
      </w:r>
    </w:p>
    <w:p w14:paraId="30A906BD">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（3）单价金额小数点或者百分比有明显错位的，以</w:t>
      </w:r>
      <w:r>
        <w:rPr>
          <w:rFonts w:hint="eastAsia" w:ascii="宋体" w:hAnsi="宋体" w:eastAsia="宋体" w:cs="宋体"/>
          <w:color w:val="auto"/>
          <w:kern w:val="0"/>
          <w:sz w:val="28"/>
          <w:szCs w:val="28"/>
          <w:highlight w:val="none"/>
        </w:rPr>
        <w:t>报价总表</w:t>
      </w:r>
      <w:r>
        <w:rPr>
          <w:rFonts w:hint="eastAsia" w:ascii="宋体" w:hAnsi="宋体" w:eastAsia="宋体" w:cs="宋体"/>
          <w:bCs/>
          <w:color w:val="auto"/>
          <w:sz w:val="28"/>
          <w:szCs w:val="28"/>
          <w:highlight w:val="none"/>
        </w:rPr>
        <w:t>的总价为准，并修改单价。</w:t>
      </w:r>
    </w:p>
    <w:p w14:paraId="3146CABC">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（4）总价金额与按单价汇总金额不一致的，以单价金额计算结果为准。</w:t>
      </w:r>
    </w:p>
    <w:p w14:paraId="2BEB0D94">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同时出现两种以上错误的，按照前款规定的顺序修正。</w:t>
      </w:r>
    </w:p>
    <w:p w14:paraId="21ACFD8E">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bCs/>
          <w:color w:val="auto"/>
          <w:sz w:val="28"/>
          <w:szCs w:val="28"/>
          <w:highlight w:val="none"/>
        </w:rPr>
        <w:t>.5磋商小组将按上述修正错误的方法调整响应文件中的报价，并告知供应商，调整后的价格应对供应商具有约束力。如果供应商不接受修正后的价格，则其磋商活动将被拒绝。</w:t>
      </w:r>
    </w:p>
    <w:p w14:paraId="730BDBCD">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5.6异常低价审查</w:t>
      </w:r>
    </w:p>
    <w:p w14:paraId="4A96AFB5">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5.6.1</w:t>
      </w:r>
      <w:r>
        <w:rPr>
          <w:rFonts w:hint="eastAsia" w:ascii="宋体" w:hAnsi="宋体" w:eastAsia="宋体" w:cs="宋体"/>
          <w:bCs/>
          <w:color w:val="auto"/>
          <w:sz w:val="28"/>
          <w:szCs w:val="28"/>
          <w:highlight w:val="none"/>
        </w:rPr>
        <w:t>根据省财政厅《关于推动解决政府采购异常低价问题相关工作的通知》（苏财购〔2025〕62号）要求，评审过程中出现下列情形之一的，评审委员会应当启动异常低价投标（响应）审查程序：</w:t>
      </w:r>
    </w:p>
    <w:p w14:paraId="011C9FCB">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（1）投标(响应)报价低于采购项目预算50%的，即投标(响应)报价&lt;采购项目预算×50%;</w:t>
      </w:r>
    </w:p>
    <w:p w14:paraId="47C6B5D0">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（2）投标(响应)报价低于采购项目最高限价45%的，即投标(响应)报价&lt;采购项目最高限价×45%;</w:t>
      </w:r>
    </w:p>
    <w:p w14:paraId="577E96B9">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（3）评审委员会认定的供应商报价过低、有可能影响产品质量或者不能诚信履约的其他情形。</w:t>
      </w:r>
    </w:p>
    <w:p w14:paraId="3708AF03">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5.6.2</w:t>
      </w:r>
      <w:r>
        <w:rPr>
          <w:rFonts w:hint="eastAsia" w:ascii="宋体" w:hAnsi="宋体" w:eastAsia="宋体" w:cs="宋体"/>
          <w:bCs/>
          <w:color w:val="auto"/>
          <w:sz w:val="28"/>
          <w:szCs w:val="28"/>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18FFF4">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5.7</w:t>
      </w:r>
      <w:r>
        <w:rPr>
          <w:rFonts w:hint="eastAsia" w:ascii="宋体" w:hAnsi="宋体" w:eastAsia="宋体" w:cs="宋体"/>
          <w:bCs/>
          <w:color w:val="auto"/>
          <w:sz w:val="28"/>
          <w:szCs w:val="28"/>
          <w:highlight w:val="none"/>
        </w:rPr>
        <w:t>磋商小组将允许修正响应文件中不构成重大偏离的、微小的、非正规的、不一致的或不规则的地方，但这些修改不能影响任何供应商相应的名次排列。</w:t>
      </w:r>
    </w:p>
    <w:p w14:paraId="2FDF33D9">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lang w:val="en-US" w:eastAsia="zh-CN"/>
        </w:rPr>
        <w:t>8</w:t>
      </w:r>
      <w:r>
        <w:rPr>
          <w:rFonts w:hint="eastAsia" w:ascii="宋体" w:hAnsi="宋体" w:eastAsia="宋体" w:cs="宋体"/>
          <w:color w:val="auto"/>
          <w:sz w:val="28"/>
          <w:szCs w:val="28"/>
          <w:highlight w:val="none"/>
        </w:rPr>
        <w:t>供应商在评审全过程中应保持通讯畅通，并安排专人与采购代理机构及磋商小组联系（适用于不见面磋商模式）。</w:t>
      </w:r>
    </w:p>
    <w:p w14:paraId="13DE5F6E">
      <w:pPr>
        <w:tabs>
          <w:tab w:val="left" w:pos="6555"/>
          <w:tab w:val="right" w:pos="8306"/>
        </w:tabs>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6.被认定为未实质性响应磋商文件的响应文件的情形。</w:t>
      </w:r>
    </w:p>
    <w:p w14:paraId="4D7979B6">
      <w:pPr>
        <w:tabs>
          <w:tab w:val="left" w:pos="6555"/>
          <w:tab w:val="right" w:pos="8306"/>
        </w:tabs>
        <w:adjustRightInd w:val="0"/>
        <w:snapToGrid w:val="0"/>
        <w:spacing w:line="46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t>6.1出现下列情形之一的，作无效响应处理。</w:t>
      </w:r>
      <w:r>
        <w:rPr>
          <w:rFonts w:hint="eastAsia" w:ascii="宋体" w:hAnsi="宋体" w:eastAsia="宋体" w:cs="宋体"/>
          <w:bCs/>
          <w:color w:val="auto"/>
          <w:sz w:val="28"/>
          <w:szCs w:val="28"/>
          <w:highlight w:val="none"/>
        </w:rPr>
        <w:tab/>
      </w:r>
      <w:r>
        <w:rPr>
          <w:rFonts w:hint="eastAsia" w:ascii="宋体" w:hAnsi="宋体" w:eastAsia="宋体" w:cs="宋体"/>
          <w:b/>
          <w:color w:val="auto"/>
          <w:sz w:val="28"/>
          <w:szCs w:val="28"/>
          <w:highlight w:val="none"/>
        </w:rPr>
        <w:tab/>
      </w:r>
    </w:p>
    <w:p w14:paraId="032A2415">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6.1.1供应商在规定的时间内未成功提交磋商响应文件的。</w:t>
      </w:r>
    </w:p>
    <w:p w14:paraId="7293850C">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6.1.2未完整提交响应文件的。</w:t>
      </w:r>
    </w:p>
    <w:p w14:paraId="028E877D">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6.1.3同一供应商提交两个（含两个）以上不同的响应报价的。</w:t>
      </w:r>
    </w:p>
    <w:p w14:paraId="59C8EB69">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6.1.4不具备磋商文件中规定的资格要求的。 </w:t>
      </w:r>
    </w:p>
    <w:p w14:paraId="07DE169B">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6.1.5响应报价超过了采购预算或最高限价的。 </w:t>
      </w:r>
    </w:p>
    <w:p w14:paraId="31C3E390">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6.1.6未通过符合性检查的。</w:t>
      </w:r>
    </w:p>
    <w:p w14:paraId="51F26789">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6.1.7不符合法律、法规和磋商文件中规定的其他实质性要求的。</w:t>
      </w:r>
    </w:p>
    <w:p w14:paraId="3F740B2D">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F7E664C">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6.1.9 响应文件含有采购人不能接受的附加条件的。</w:t>
      </w:r>
    </w:p>
    <w:p w14:paraId="52C42F9F">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59B46EBE">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6BA9F9D">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6.1.12响应文件未按照采购文件要求盖章、密封的。</w:t>
      </w:r>
    </w:p>
    <w:p w14:paraId="766C2A11">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6.1.13供应商的商务技术部分得分相差悬殊，评标委员会认为得分畸低者没有实质性响应的。</w:t>
      </w:r>
    </w:p>
    <w:p w14:paraId="2F5A63B2">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6.1.14其他法律、法规及本磋商文件规定的属无效响应的情形。</w:t>
      </w:r>
    </w:p>
    <w:p w14:paraId="7B0071FC">
      <w:pPr>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6.1.1</w:t>
      </w:r>
      <w:r>
        <w:rPr>
          <w:rFonts w:hint="eastAsia" w:ascii="宋体" w:hAnsi="宋体" w:eastAsia="宋体" w:cs="宋体"/>
          <w:bCs/>
          <w:color w:val="auto"/>
          <w:sz w:val="28"/>
          <w:szCs w:val="28"/>
          <w:highlight w:val="none"/>
          <w:lang w:val="en-US" w:eastAsia="zh-CN"/>
        </w:rPr>
        <w:t>5</w:t>
      </w:r>
      <w:r>
        <w:rPr>
          <w:rFonts w:hint="eastAsia" w:ascii="宋体" w:hAnsi="宋体" w:eastAsia="宋体" w:cs="宋体"/>
          <w:color w:val="auto"/>
          <w:sz w:val="28"/>
          <w:szCs w:val="28"/>
          <w:highlight w:val="none"/>
        </w:rPr>
        <w:t>与采购文件规定的暂估价、暂列金额及甲供材料价格不一致的；</w:t>
      </w:r>
    </w:p>
    <w:p w14:paraId="16CBF8F7">
      <w:pPr>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color w:val="auto"/>
          <w:sz w:val="28"/>
          <w:szCs w:val="28"/>
          <w:highlight w:val="none"/>
        </w:rPr>
        <w:t>与采购文件明确列出的不可竞争费用项目或费率或计算基础不一致的；</w:t>
      </w:r>
    </w:p>
    <w:p w14:paraId="452185DB">
      <w:pPr>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6.1.1</w:t>
      </w:r>
      <w:r>
        <w:rPr>
          <w:rFonts w:hint="eastAsia" w:ascii="宋体" w:hAnsi="宋体" w:eastAsia="宋体" w:cs="宋体"/>
          <w:bCs/>
          <w:color w:val="auto"/>
          <w:sz w:val="28"/>
          <w:szCs w:val="28"/>
          <w:highlight w:val="none"/>
          <w:lang w:val="en-US" w:eastAsia="zh-CN"/>
        </w:rPr>
        <w:t>7</w:t>
      </w:r>
      <w:r>
        <w:rPr>
          <w:rFonts w:hint="eastAsia" w:ascii="宋体" w:hAnsi="宋体" w:eastAsia="宋体" w:cs="宋体"/>
          <w:color w:val="auto"/>
          <w:sz w:val="28"/>
          <w:szCs w:val="28"/>
          <w:highlight w:val="none"/>
        </w:rPr>
        <w:t>与采购文件提供的工程量清单中的项目编码、项目名称、项目特征、计量单位、工程量不一致的；</w:t>
      </w:r>
    </w:p>
    <w:p w14:paraId="308BDA5F">
      <w:pPr>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6.1.1</w:t>
      </w:r>
      <w:r>
        <w:rPr>
          <w:rFonts w:hint="eastAsia" w:ascii="宋体" w:hAnsi="宋体" w:eastAsia="宋体" w:cs="宋体"/>
          <w:bCs/>
          <w:color w:val="auto"/>
          <w:sz w:val="28"/>
          <w:szCs w:val="28"/>
          <w:highlight w:val="none"/>
          <w:lang w:val="en-US" w:eastAsia="zh-CN"/>
        </w:rPr>
        <w:t>8</w:t>
      </w:r>
      <w:r>
        <w:rPr>
          <w:rFonts w:hint="eastAsia" w:ascii="宋体" w:hAnsi="宋体" w:eastAsia="宋体" w:cs="宋体"/>
          <w:color w:val="auto"/>
          <w:sz w:val="28"/>
          <w:szCs w:val="28"/>
          <w:highlight w:val="none"/>
        </w:rPr>
        <w:t>组成联合体投标的，磋商响应文件未附联合体各方共同投标协议的；</w:t>
      </w:r>
    </w:p>
    <w:p w14:paraId="05F28A56">
      <w:pPr>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6.1.1</w:t>
      </w:r>
      <w:r>
        <w:rPr>
          <w:rFonts w:hint="eastAsia" w:ascii="宋体" w:hAnsi="宋体" w:eastAsia="宋体" w:cs="宋体"/>
          <w:bCs/>
          <w:color w:val="auto"/>
          <w:sz w:val="28"/>
          <w:szCs w:val="28"/>
          <w:highlight w:val="none"/>
          <w:lang w:val="en-US" w:eastAsia="zh-CN"/>
        </w:rPr>
        <w:t>9</w:t>
      </w:r>
      <w:r>
        <w:rPr>
          <w:rFonts w:hint="eastAsia" w:ascii="宋体" w:hAnsi="宋体" w:eastAsia="宋体" w:cs="宋体"/>
          <w:color w:val="auto"/>
          <w:sz w:val="28"/>
          <w:szCs w:val="28"/>
          <w:highlight w:val="none"/>
        </w:rPr>
        <w:t>在同一招标项目中，联合体成员以自己名义单独投标或者参加其他联合体投标的；</w:t>
      </w:r>
    </w:p>
    <w:p w14:paraId="0D2591F2">
      <w:pPr>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w:t>
      </w:r>
      <w:r>
        <w:rPr>
          <w:rFonts w:hint="eastAsia" w:ascii="宋体" w:hAnsi="宋体" w:eastAsia="宋体" w:cs="宋体"/>
          <w:bCs/>
          <w:color w:val="auto"/>
          <w:sz w:val="28"/>
          <w:szCs w:val="28"/>
          <w:highlight w:val="none"/>
          <w:lang w:val="en-US" w:eastAsia="zh-CN"/>
        </w:rPr>
        <w:t>20</w:t>
      </w:r>
      <w:r>
        <w:rPr>
          <w:rFonts w:hint="eastAsia" w:ascii="宋体" w:hAnsi="宋体" w:eastAsia="宋体" w:cs="宋体"/>
          <w:color w:val="auto"/>
          <w:sz w:val="28"/>
          <w:szCs w:val="28"/>
          <w:highlight w:val="none"/>
        </w:rPr>
        <w:t>采用暗标方式的技术标中，有不符合采购文件有关暗标要求的；</w:t>
      </w:r>
    </w:p>
    <w:p w14:paraId="38FFD833">
      <w:pPr>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6.1.</w:t>
      </w:r>
      <w:r>
        <w:rPr>
          <w:rFonts w:hint="eastAsia" w:ascii="宋体" w:hAnsi="宋体" w:eastAsia="宋体" w:cs="宋体"/>
          <w:bCs/>
          <w:color w:val="auto"/>
          <w:sz w:val="28"/>
          <w:szCs w:val="28"/>
          <w:highlight w:val="none"/>
          <w:lang w:val="en-US" w:eastAsia="zh-CN"/>
        </w:rPr>
        <w:t>2</w:t>
      </w:r>
      <w:r>
        <w:rPr>
          <w:rFonts w:hint="eastAsia" w:ascii="宋体" w:hAnsi="宋体" w:cs="宋体"/>
          <w:bCs/>
          <w:color w:val="auto"/>
          <w:sz w:val="28"/>
          <w:szCs w:val="28"/>
          <w:highlight w:val="none"/>
          <w:lang w:val="en-US" w:eastAsia="zh-CN"/>
        </w:rPr>
        <w:t>1</w:t>
      </w:r>
      <w:r>
        <w:rPr>
          <w:rFonts w:hint="eastAsia" w:ascii="宋体" w:hAnsi="宋体" w:eastAsia="宋体" w:cs="宋体"/>
          <w:bCs/>
          <w:color w:val="auto"/>
          <w:sz w:val="28"/>
          <w:szCs w:val="28"/>
          <w:highlight w:val="none"/>
          <w:lang w:val="en-US" w:eastAsia="zh-CN"/>
        </w:rPr>
        <w:t>启动异常低价响应审查后，供应商不提供书面说明、证明材料，或者提供的书面说明、证明材料不能证明其报价合理性的。</w:t>
      </w:r>
    </w:p>
    <w:p w14:paraId="1603FB28">
      <w:pPr>
        <w:pageBreakBefore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6.1.</w:t>
      </w:r>
      <w:r>
        <w:rPr>
          <w:rFonts w:hint="eastAsia" w:ascii="宋体" w:hAnsi="宋体" w:eastAsia="宋体" w:cs="宋体"/>
          <w:bCs/>
          <w:color w:val="auto"/>
          <w:sz w:val="28"/>
          <w:szCs w:val="28"/>
          <w:highlight w:val="none"/>
          <w:lang w:val="en-US" w:eastAsia="zh-CN"/>
        </w:rPr>
        <w:t>2</w:t>
      </w:r>
      <w:r>
        <w:rPr>
          <w:rFonts w:hint="eastAsia" w:ascii="宋体" w:hAnsi="宋体" w:cs="宋体"/>
          <w:bCs/>
          <w:color w:val="auto"/>
          <w:sz w:val="28"/>
          <w:szCs w:val="28"/>
          <w:highlight w:val="none"/>
          <w:lang w:val="en-US" w:eastAsia="zh-CN"/>
        </w:rPr>
        <w:t>2</w:t>
      </w:r>
      <w:r>
        <w:rPr>
          <w:rFonts w:hint="eastAsia" w:ascii="宋体" w:hAnsi="宋体" w:eastAsia="宋体" w:cs="宋体"/>
          <w:bCs/>
          <w:color w:val="auto"/>
          <w:sz w:val="28"/>
          <w:szCs w:val="28"/>
          <w:highlight w:val="none"/>
        </w:rPr>
        <w:t>其他法律、法规及本招标文件规定的属无效投标的情形。</w:t>
      </w:r>
    </w:p>
    <w:p w14:paraId="531F9C1E">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6.2出现下列情形之一的，磋商失败。</w:t>
      </w:r>
    </w:p>
    <w:p w14:paraId="5FC5CE52">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6.2.1符合条件的供应商或者对磋商文件作实质响应的供应商不足3家的（市场竞争不充分的科研项目，以及需要扶持的科技成果转化项目可以是2家）；</w:t>
      </w:r>
    </w:p>
    <w:p w14:paraId="0471E17A">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6.2.2出现影响采购公正的违法违规行为的；</w:t>
      </w:r>
    </w:p>
    <w:p w14:paraId="257BFC54">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6.2.3因重大变故，采购任务取消的。</w:t>
      </w:r>
    </w:p>
    <w:p w14:paraId="3BBAD79F">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6.2.4磋商小组认定磋商文件存在歧义、重大缺陷导致评审工作无法进行。</w:t>
      </w:r>
    </w:p>
    <w:p w14:paraId="6F401CCC">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6.2.5 因系统故障原因造成磋商无法继续进行的</w:t>
      </w:r>
      <w:r>
        <w:rPr>
          <w:rFonts w:hint="eastAsia" w:ascii="宋体" w:hAnsi="宋体" w:eastAsia="宋体" w:cs="宋体"/>
          <w:color w:val="auto"/>
          <w:sz w:val="28"/>
          <w:szCs w:val="28"/>
          <w:highlight w:val="none"/>
        </w:rPr>
        <w:t>（适用于不见面磋商模式）</w:t>
      </w:r>
      <w:r>
        <w:rPr>
          <w:rFonts w:hint="eastAsia" w:ascii="宋体" w:hAnsi="宋体" w:eastAsia="宋体" w:cs="宋体"/>
          <w:bCs/>
          <w:color w:val="auto"/>
          <w:sz w:val="28"/>
          <w:szCs w:val="28"/>
          <w:highlight w:val="none"/>
        </w:rPr>
        <w:t>。</w:t>
      </w:r>
    </w:p>
    <w:p w14:paraId="2866AF29">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6.3 响应</w:t>
      </w:r>
      <w:r>
        <w:rPr>
          <w:rFonts w:hint="eastAsia" w:ascii="宋体" w:hAnsi="宋体" w:eastAsia="宋体" w:cs="宋体"/>
          <w:color w:val="auto"/>
          <w:sz w:val="28"/>
          <w:szCs w:val="28"/>
          <w:highlight w:val="none"/>
        </w:rPr>
        <w:t>文件提交</w:t>
      </w:r>
      <w:r>
        <w:rPr>
          <w:rFonts w:hint="eastAsia" w:ascii="宋体" w:hAnsi="宋体" w:eastAsia="宋体" w:cs="宋体"/>
          <w:bCs/>
          <w:color w:val="auto"/>
          <w:sz w:val="28"/>
          <w:szCs w:val="28"/>
          <w:highlight w:val="none"/>
        </w:rPr>
        <w:t>截止时间结束后参加磋商的供应商不足三家的处理：</w:t>
      </w:r>
    </w:p>
    <w:p w14:paraId="14A4DE86">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6.3.1如出现响应</w:t>
      </w:r>
      <w:r>
        <w:rPr>
          <w:rFonts w:hint="eastAsia" w:ascii="宋体" w:hAnsi="宋体" w:eastAsia="宋体" w:cs="宋体"/>
          <w:color w:val="auto"/>
          <w:sz w:val="28"/>
          <w:szCs w:val="28"/>
          <w:highlight w:val="none"/>
        </w:rPr>
        <w:t>文件提交</w:t>
      </w:r>
      <w:r>
        <w:rPr>
          <w:rFonts w:hint="eastAsia" w:ascii="宋体" w:hAnsi="宋体" w:eastAsia="宋体" w:cs="宋体"/>
          <w:bCs/>
          <w:color w:val="auto"/>
          <w:sz w:val="28"/>
          <w:szCs w:val="28"/>
          <w:highlight w:val="none"/>
        </w:rPr>
        <w:t>截止时间结束后参加磋商的供应商或者在评审期间对磋商文件做出实质响应的供应商不足三家情况，除采购任务取消情形外，按照以下方式处理：</w:t>
      </w:r>
    </w:p>
    <w:p w14:paraId="2BC93E32">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1.采购文件存在不合理条款或者招标程序不符合规定的，采购人、采购代理机构改正后依法重新招标采购；</w:t>
      </w:r>
    </w:p>
    <w:p w14:paraId="52D2EE73">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2采购文件没有不合理条款、采购程序符合规定，需要采用其他采购人式采购的，采购人应当依法报采购监管部门批准。</w:t>
      </w:r>
    </w:p>
    <w:bookmarkEnd w:id="73"/>
    <w:bookmarkEnd w:id="74"/>
    <w:bookmarkEnd w:id="75"/>
    <w:p w14:paraId="63468069">
      <w:pPr>
        <w:keepNext/>
        <w:keepLines/>
        <w:adjustRightInd w:val="0"/>
        <w:snapToGrid w:val="0"/>
        <w:spacing w:line="460" w:lineRule="exact"/>
        <w:ind w:firstLine="562" w:firstLineChars="200"/>
        <w:outlineLvl w:val="1"/>
        <w:rPr>
          <w:rFonts w:hint="eastAsia" w:ascii="宋体" w:hAnsi="宋体" w:eastAsia="宋体" w:cs="宋体"/>
          <w:b/>
          <w:bCs/>
          <w:color w:val="auto"/>
          <w:kern w:val="0"/>
          <w:sz w:val="28"/>
          <w:szCs w:val="28"/>
          <w:highlight w:val="none"/>
        </w:rPr>
      </w:pPr>
      <w:bookmarkStart w:id="76" w:name="_Toc120614219"/>
      <w:r>
        <w:rPr>
          <w:rFonts w:hint="eastAsia" w:ascii="宋体" w:hAnsi="宋体" w:eastAsia="宋体" w:cs="宋体"/>
          <w:b/>
          <w:bCs/>
          <w:color w:val="auto"/>
          <w:kern w:val="0"/>
          <w:sz w:val="28"/>
          <w:szCs w:val="28"/>
          <w:highlight w:val="none"/>
        </w:rPr>
        <w:t>六</w:t>
      </w:r>
      <w:bookmarkEnd w:id="76"/>
      <w:r>
        <w:rPr>
          <w:rFonts w:hint="eastAsia" w:ascii="宋体" w:hAnsi="宋体" w:eastAsia="宋体" w:cs="宋体"/>
          <w:b/>
          <w:bCs/>
          <w:color w:val="auto"/>
          <w:kern w:val="0"/>
          <w:sz w:val="28"/>
          <w:szCs w:val="28"/>
          <w:highlight w:val="none"/>
        </w:rPr>
        <w:t>、成交</w:t>
      </w:r>
    </w:p>
    <w:p w14:paraId="5A7A1AAE">
      <w:pPr>
        <w:keepNext/>
        <w:adjustRightInd w:val="0"/>
        <w:snapToGrid w:val="0"/>
        <w:spacing w:line="460" w:lineRule="exact"/>
        <w:ind w:firstLine="560" w:firstLineChars="200"/>
        <w:rPr>
          <w:rFonts w:hint="eastAsia" w:ascii="宋体" w:hAnsi="宋体" w:eastAsia="宋体" w:cs="宋体"/>
          <w:b/>
          <w:color w:val="auto"/>
          <w:kern w:val="0"/>
          <w:sz w:val="28"/>
          <w:szCs w:val="28"/>
          <w:highlight w:val="none"/>
        </w:rPr>
      </w:pPr>
      <w:bookmarkStart w:id="77" w:name="_Toc20823310"/>
      <w:bookmarkStart w:id="78" w:name="_Toc16938554"/>
      <w:r>
        <w:rPr>
          <w:rFonts w:hint="eastAsia" w:ascii="宋体" w:hAnsi="宋体" w:eastAsia="宋体" w:cs="宋体"/>
          <w:color w:val="auto"/>
          <w:kern w:val="0"/>
          <w:sz w:val="28"/>
          <w:szCs w:val="28"/>
          <w:highlight w:val="none"/>
        </w:rPr>
        <w:t>1.确定</w:t>
      </w:r>
      <w:bookmarkEnd w:id="77"/>
      <w:bookmarkEnd w:id="78"/>
      <w:r>
        <w:rPr>
          <w:rFonts w:hint="eastAsia" w:ascii="宋体" w:hAnsi="宋体" w:eastAsia="宋体" w:cs="宋体"/>
          <w:color w:val="auto"/>
          <w:kern w:val="0"/>
          <w:sz w:val="28"/>
          <w:szCs w:val="28"/>
          <w:highlight w:val="none"/>
        </w:rPr>
        <w:t>成交单位</w:t>
      </w:r>
    </w:p>
    <w:p w14:paraId="55D4A577">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1.1成交候选供应商的选取原则和数量见磋商文件第四部分规定。 </w:t>
      </w:r>
    </w:p>
    <w:p w14:paraId="6DF8BD83">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采购人授权磋商小组在成交候选供应商中直接确定成交供应商。</w:t>
      </w:r>
    </w:p>
    <w:p w14:paraId="7DC3C13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 xml:space="preserve">1.3 </w:t>
      </w:r>
      <w:r>
        <w:rPr>
          <w:rFonts w:hint="eastAsia" w:ascii="宋体" w:hAnsi="宋体" w:eastAsia="宋体" w:cs="宋体"/>
          <w:color w:val="auto"/>
          <w:sz w:val="28"/>
          <w:szCs w:val="28"/>
          <w:highlight w:val="none"/>
        </w:rPr>
        <w:t>采购代理机构将在“</w:t>
      </w:r>
      <w:r>
        <w:rPr>
          <w:rFonts w:hint="eastAsia" w:ascii="宋体" w:hAnsi="宋体" w:eastAsia="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网站”发布成交结果公告，公告期限为1个工作日。</w:t>
      </w:r>
    </w:p>
    <w:p w14:paraId="1F71D2D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1.4若有充分证据证明，成交供应商出现下列情况之一的，一经查实，将被取消成交资格：</w:t>
      </w:r>
    </w:p>
    <w:p w14:paraId="2B26C27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1.4.1提供虚假材料谋取成交的。</w:t>
      </w:r>
    </w:p>
    <w:p w14:paraId="36F669F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1.4.2向采购人、采购代理机构行贿或者评审专家提供其他不正当利益的。</w:t>
      </w:r>
    </w:p>
    <w:p w14:paraId="482B68C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1.4.3恶意竞争，最终总报价明显低于其自身合理成本且又无法提供证明的。</w:t>
      </w:r>
    </w:p>
    <w:p w14:paraId="2805827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1.4.4属于本文件规定的无效条件，但在评审过程中又未被磋商小组发现的。</w:t>
      </w:r>
    </w:p>
    <w:p w14:paraId="6F58BD8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1.4.5与采购人或者其他供应商恶意串通的。</w:t>
      </w:r>
    </w:p>
    <w:p w14:paraId="280A18F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1.4.6采取不正当手段诋毁、排挤其他供应商的。</w:t>
      </w:r>
    </w:p>
    <w:p w14:paraId="70C9E17D">
      <w:pPr>
        <w:adjustRightInd w:val="0"/>
        <w:snapToGrid w:val="0"/>
        <w:spacing w:line="460" w:lineRule="exact"/>
        <w:ind w:firstLine="560" w:firstLineChars="200"/>
        <w:rPr>
          <w:rFonts w:hint="eastAsia" w:ascii="宋体" w:hAnsi="宋体" w:eastAsia="宋体" w:cs="宋体"/>
          <w:color w:val="auto"/>
          <w:sz w:val="28"/>
          <w:szCs w:val="28"/>
          <w:highlight w:val="none"/>
        </w:rPr>
      </w:pPr>
      <w:bookmarkStart w:id="79" w:name="_Toc200451960"/>
      <w:r>
        <w:rPr>
          <w:rFonts w:hint="eastAsia" w:ascii="宋体" w:hAnsi="宋体" w:eastAsia="宋体" w:cs="宋体"/>
          <w:color w:val="auto"/>
          <w:sz w:val="28"/>
          <w:szCs w:val="28"/>
          <w:highlight w:val="none"/>
        </w:rPr>
        <w:t>1.5.</w:t>
      </w:r>
      <w:r>
        <w:rPr>
          <w:rFonts w:hint="eastAsia" w:ascii="宋体" w:hAnsi="宋体" w:eastAsia="宋体" w:cs="宋体"/>
          <w:color w:val="auto"/>
          <w:kern w:val="0"/>
          <w:sz w:val="28"/>
          <w:szCs w:val="28"/>
          <w:highlight w:val="none"/>
        </w:rPr>
        <w:t>有下列情形之一的，视为供应商串通参与磋商，响应无效：</w:t>
      </w:r>
    </w:p>
    <w:p w14:paraId="698544F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1.5.1不同供应商的响应文件由同一单位或者个人编制；</w:t>
      </w:r>
    </w:p>
    <w:p w14:paraId="5B0A13B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1.5.2不同供应商委托同一单位或者个人办理磋商事宜；</w:t>
      </w:r>
    </w:p>
    <w:p w14:paraId="3682BD3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1.5.3不同供应商的响应文件载明的项目管理成员或者联系人员为同一人；</w:t>
      </w:r>
    </w:p>
    <w:p w14:paraId="54B2E01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1.5.4不同供应商的响应文件异常一致或者响应报价呈规律性差异。</w:t>
      </w:r>
    </w:p>
    <w:p w14:paraId="0DB2F630">
      <w:pPr>
        <w:keepNext/>
        <w:adjustRightInd w:val="0"/>
        <w:snapToGrid w:val="0"/>
        <w:spacing w:line="460" w:lineRule="exact"/>
        <w:ind w:firstLine="560" w:firstLineChars="200"/>
        <w:rPr>
          <w:rFonts w:hint="eastAsia" w:ascii="宋体" w:hAnsi="宋体" w:eastAsia="宋体" w:cs="宋体"/>
          <w:b/>
          <w:color w:val="auto"/>
          <w:kern w:val="0"/>
          <w:sz w:val="28"/>
          <w:szCs w:val="28"/>
          <w:highlight w:val="none"/>
        </w:rPr>
      </w:pPr>
      <w:r>
        <w:rPr>
          <w:rFonts w:hint="eastAsia" w:ascii="宋体" w:hAnsi="宋体" w:eastAsia="宋体" w:cs="宋体"/>
          <w:color w:val="auto"/>
          <w:kern w:val="0"/>
          <w:sz w:val="28"/>
          <w:szCs w:val="28"/>
          <w:highlight w:val="none"/>
        </w:rPr>
        <w:t>2.质疑处理</w:t>
      </w:r>
      <w:bookmarkEnd w:id="79"/>
    </w:p>
    <w:p w14:paraId="427E3E2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提出质疑的供应商应当是参与所质疑项目采购活动的供应商。潜在供应商依法获取其可质疑的磋商文件的，可以对磋商文件提出质疑。</w:t>
      </w:r>
    </w:p>
    <w:p w14:paraId="32A8638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C1B5AF6">
      <w:pPr>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2.2.1</w:t>
      </w:r>
      <w:r>
        <w:rPr>
          <w:rFonts w:hint="eastAsia" w:ascii="宋体" w:hAnsi="宋体" w:eastAsia="宋体" w:cs="宋体"/>
          <w:color w:val="auto"/>
          <w:kern w:val="0"/>
          <w:sz w:val="28"/>
          <w:szCs w:val="28"/>
          <w:highlight w:val="none"/>
        </w:rPr>
        <w:t>对可以质疑的磋商文件提出质疑的，为收到磋商文件之日或者磋商文件公告期限届满之日；</w:t>
      </w:r>
    </w:p>
    <w:p w14:paraId="06FB5D08">
      <w:pPr>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2.2.2</w:t>
      </w:r>
      <w:r>
        <w:rPr>
          <w:rFonts w:hint="eastAsia" w:ascii="宋体" w:hAnsi="宋体" w:eastAsia="宋体" w:cs="宋体"/>
          <w:color w:val="auto"/>
          <w:kern w:val="0"/>
          <w:sz w:val="28"/>
          <w:szCs w:val="28"/>
          <w:highlight w:val="none"/>
        </w:rPr>
        <w:t>对采购过程提出质疑的，为各采购程序环节结束之日；</w:t>
      </w:r>
    </w:p>
    <w:p w14:paraId="6BAC6B37">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4BFE00CD">
      <w:pPr>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2.2.3</w:t>
      </w:r>
      <w:r>
        <w:rPr>
          <w:rFonts w:hint="eastAsia" w:ascii="宋体" w:hAnsi="宋体" w:eastAsia="宋体" w:cs="宋体"/>
          <w:color w:val="auto"/>
          <w:kern w:val="0"/>
          <w:sz w:val="28"/>
          <w:szCs w:val="28"/>
          <w:highlight w:val="none"/>
        </w:rPr>
        <w:t>对成交结果提出质疑的，为成交结果公告期限届满之日。</w:t>
      </w:r>
    </w:p>
    <w:p w14:paraId="60FC0091">
      <w:pPr>
        <w:adjustRightInd w:val="0"/>
        <w:snapToGrid w:val="0"/>
        <w:spacing w:line="46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0730B97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066D5BCF">
      <w:pPr>
        <w:adjustRightInd w:val="0"/>
        <w:snapToGrid w:val="0"/>
        <w:spacing w:line="46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17C4311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供应商提起质疑采取书面形式，可以现场送达，也可以邮寄。</w:t>
      </w:r>
    </w:p>
    <w:p w14:paraId="54EC2EC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采购人质疑接收人及联系方式，见磋商文件第一部分。</w:t>
      </w:r>
    </w:p>
    <w:p w14:paraId="28FF30B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23E0EDD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2.5.1 内容不符合《政府采购质疑和投诉办法》第十二条规定的质疑。</w:t>
      </w:r>
    </w:p>
    <w:p w14:paraId="19E5AA9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2.5.2 超出法定期限的质疑。</w:t>
      </w:r>
    </w:p>
    <w:p w14:paraId="1C389F0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2.5.3 未参加磋商活动的供应商或在磋商活动中自身权益未受到损害的供应商所提出的质疑。</w:t>
      </w:r>
    </w:p>
    <w:p w14:paraId="3D8CC4E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2.5.4供应商组成联合体参加磋商，联合体中任何一方或多方未按要求签字、盖章、加盖公章的质疑。</w:t>
      </w:r>
    </w:p>
    <w:p w14:paraId="7B8DFD0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644E96EA">
      <w:pPr>
        <w:keepNext/>
        <w:adjustRightInd w:val="0"/>
        <w:snapToGrid w:val="0"/>
        <w:spacing w:line="460" w:lineRule="exact"/>
        <w:ind w:firstLine="560" w:firstLineChars="200"/>
        <w:rPr>
          <w:rFonts w:hint="eastAsia" w:ascii="宋体" w:hAnsi="宋体" w:eastAsia="宋体" w:cs="宋体"/>
          <w:b/>
          <w:color w:val="auto"/>
          <w:kern w:val="0"/>
          <w:sz w:val="28"/>
          <w:szCs w:val="28"/>
          <w:highlight w:val="none"/>
        </w:rPr>
      </w:pPr>
      <w:r>
        <w:rPr>
          <w:rFonts w:hint="eastAsia" w:ascii="宋体" w:hAnsi="宋体" w:eastAsia="宋体" w:cs="宋体"/>
          <w:color w:val="auto"/>
          <w:kern w:val="0"/>
          <w:sz w:val="28"/>
          <w:szCs w:val="28"/>
          <w:highlight w:val="none"/>
        </w:rPr>
        <w:t>3．成交通知书</w:t>
      </w:r>
    </w:p>
    <w:p w14:paraId="618B2A7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3.l</w:t>
      </w:r>
      <w:r>
        <w:rPr>
          <w:rFonts w:hint="eastAsia" w:ascii="宋体" w:hAnsi="宋体" w:eastAsia="宋体" w:cs="宋体"/>
          <w:b/>
          <w:color w:val="auto"/>
          <w:sz w:val="28"/>
          <w:szCs w:val="28"/>
          <w:highlight w:val="none"/>
        </w:rPr>
        <w:t xml:space="preserve"> </w:t>
      </w:r>
      <w:r>
        <w:rPr>
          <w:rFonts w:hint="eastAsia" w:ascii="宋体" w:hAnsi="宋体" w:eastAsia="宋体" w:cs="宋体"/>
          <w:color w:val="auto"/>
          <w:sz w:val="28"/>
          <w:szCs w:val="28"/>
          <w:highlight w:val="none"/>
        </w:rPr>
        <w:t>成交结果确定后，采购人将向成交供应商发出成交通知书。成交供应商应在成交结果公告期满后5个工作日内到采购代理机构办理领取成交通知书手续，否则，由此产生的后果供应商自负。</w:t>
      </w:r>
    </w:p>
    <w:p w14:paraId="204716B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14:paraId="6B2D0D3B">
      <w:pPr>
        <w:keepNext/>
        <w:keepLines/>
        <w:adjustRightInd w:val="0"/>
        <w:snapToGrid w:val="0"/>
        <w:spacing w:line="460" w:lineRule="exact"/>
        <w:ind w:firstLine="562" w:firstLineChars="200"/>
        <w:outlineLvl w:val="1"/>
        <w:rPr>
          <w:rFonts w:hint="eastAsia" w:ascii="宋体" w:hAnsi="宋体" w:eastAsia="宋体" w:cs="宋体"/>
          <w:b/>
          <w:bCs/>
          <w:color w:val="auto"/>
          <w:kern w:val="0"/>
          <w:sz w:val="28"/>
          <w:szCs w:val="28"/>
          <w:highlight w:val="none"/>
        </w:rPr>
      </w:pPr>
      <w:bookmarkStart w:id="80" w:name="_Toc120614220"/>
      <w:bookmarkStart w:id="81" w:name="_Toc513029236"/>
      <w:bookmarkStart w:id="82" w:name="_Toc20823308"/>
      <w:bookmarkStart w:id="83" w:name="_Toc16938552"/>
      <w:r>
        <w:rPr>
          <w:rFonts w:hint="eastAsia" w:ascii="宋体" w:hAnsi="宋体" w:eastAsia="宋体" w:cs="宋体"/>
          <w:b/>
          <w:bCs/>
          <w:color w:val="auto"/>
          <w:kern w:val="0"/>
          <w:sz w:val="28"/>
          <w:szCs w:val="28"/>
          <w:highlight w:val="none"/>
        </w:rPr>
        <w:t>七、授予合同</w:t>
      </w:r>
      <w:bookmarkEnd w:id="80"/>
    </w:p>
    <w:bookmarkEnd w:id="81"/>
    <w:bookmarkEnd w:id="82"/>
    <w:bookmarkEnd w:id="83"/>
    <w:p w14:paraId="57D92E3B">
      <w:pPr>
        <w:keepNext/>
        <w:adjustRightInd w:val="0"/>
        <w:snapToGrid w:val="0"/>
        <w:spacing w:line="460" w:lineRule="exact"/>
        <w:ind w:firstLine="560" w:firstLineChars="200"/>
        <w:rPr>
          <w:rFonts w:hint="eastAsia" w:ascii="宋体" w:hAnsi="宋体" w:eastAsia="宋体" w:cs="宋体"/>
          <w:b/>
          <w:color w:val="auto"/>
          <w:kern w:val="0"/>
          <w:sz w:val="28"/>
          <w:szCs w:val="28"/>
          <w:highlight w:val="none"/>
        </w:rPr>
      </w:pPr>
      <w:bookmarkStart w:id="84" w:name="_Toc16938553"/>
      <w:bookmarkStart w:id="85" w:name="_Toc20823309"/>
      <w:bookmarkStart w:id="86" w:name="_Toc513029237"/>
      <w:r>
        <w:rPr>
          <w:rFonts w:hint="eastAsia" w:ascii="宋体" w:hAnsi="宋体" w:eastAsia="宋体" w:cs="宋体"/>
          <w:color w:val="auto"/>
          <w:kern w:val="0"/>
          <w:sz w:val="28"/>
          <w:szCs w:val="28"/>
          <w:highlight w:val="none"/>
        </w:rPr>
        <w:t>1.签订合同</w:t>
      </w:r>
    </w:p>
    <w:p w14:paraId="5D5B39E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.l成交供应商应当在成交通知书发出之日起</w:t>
      </w:r>
      <w:r>
        <w:rPr>
          <w:rFonts w:hint="eastAsia" w:ascii="宋体" w:hAnsi="宋体" w:eastAsia="宋体" w:cs="宋体"/>
          <w:color w:val="auto"/>
          <w:sz w:val="28"/>
          <w:szCs w:val="28"/>
          <w:highlight w:val="none"/>
          <w:lang w:val="en-US" w:eastAsia="zh-CN"/>
        </w:rPr>
        <w:t>三十</w:t>
      </w:r>
      <w:r>
        <w:rPr>
          <w:rFonts w:hint="eastAsia" w:ascii="宋体" w:hAnsi="宋体" w:eastAsia="宋体" w:cs="宋体"/>
          <w:color w:val="auto"/>
          <w:sz w:val="28"/>
          <w:szCs w:val="28"/>
          <w:highlight w:val="none"/>
        </w:rPr>
        <w:t>日内，按照磋商文件确定的事项与采购人签订采购合同。</w:t>
      </w:r>
    </w:p>
    <w:p w14:paraId="7B35B3C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1.2磋商文件、成交供应商的响应文件及磋商过程中有关澄清、承诺文件均应作为合同附件。</w:t>
      </w:r>
    </w:p>
    <w:p w14:paraId="47D3B33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3770606F">
      <w:pPr>
        <w:keepNext/>
        <w:adjustRightInd w:val="0"/>
        <w:snapToGrid w:val="0"/>
        <w:spacing w:line="460" w:lineRule="exact"/>
        <w:ind w:firstLine="560" w:firstLineChars="200"/>
        <w:rPr>
          <w:rFonts w:hint="eastAsia" w:ascii="宋体" w:hAnsi="宋体" w:eastAsia="宋体" w:cs="宋体"/>
          <w:b/>
          <w:color w:val="auto"/>
          <w:kern w:val="0"/>
          <w:sz w:val="28"/>
          <w:szCs w:val="28"/>
          <w:highlight w:val="none"/>
        </w:rPr>
      </w:pPr>
      <w:r>
        <w:rPr>
          <w:rFonts w:hint="eastAsia" w:ascii="宋体" w:hAnsi="宋体" w:eastAsia="宋体" w:cs="宋体"/>
          <w:color w:val="auto"/>
          <w:kern w:val="0"/>
          <w:sz w:val="28"/>
          <w:szCs w:val="28"/>
          <w:highlight w:val="none"/>
        </w:rPr>
        <w:t>2.服务的追加、减少和添购。</w:t>
      </w:r>
    </w:p>
    <w:p w14:paraId="1E22A29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2.1合同履行中，采购人需追加与合同标的相同的服务的，在不改变合同其他条款的前提下，可以与成交供应商协商签订补充合同，但所有补充合同的采购金额不超过原合同金额10%。</w:t>
      </w:r>
    </w:p>
    <w:p w14:paraId="6464D735">
      <w:pPr>
        <w:keepNext/>
        <w:adjustRightInd w:val="0"/>
        <w:snapToGrid w:val="0"/>
        <w:spacing w:line="460" w:lineRule="exact"/>
        <w:ind w:firstLine="560" w:firstLineChars="200"/>
        <w:rPr>
          <w:rFonts w:hint="eastAsia" w:ascii="宋体" w:hAnsi="宋体" w:eastAsia="宋体" w:cs="宋体"/>
          <w:bCs/>
          <w:color w:val="auto"/>
          <w:sz w:val="36"/>
          <w:szCs w:val="36"/>
          <w:highlight w:val="none"/>
        </w:rPr>
      </w:pPr>
      <w:r>
        <w:rPr>
          <w:rFonts w:hint="eastAsia" w:ascii="宋体" w:hAnsi="宋体" w:eastAsia="宋体" w:cs="宋体"/>
          <w:color w:val="auto"/>
          <w:sz w:val="28"/>
          <w:szCs w:val="28"/>
          <w:highlight w:val="none"/>
        </w:rPr>
        <w:t>2.2采购结束后，采购人若由于各种客观原因，必须对采购项目所牵涉的服务进行适当的减少时，在双方协商一致的前提下，可以按照采购时的价格水平做相应的调减，并据此签订补充合同。</w:t>
      </w:r>
      <w:bookmarkEnd w:id="84"/>
      <w:bookmarkEnd w:id="85"/>
      <w:bookmarkEnd w:id="86"/>
    </w:p>
    <w:p w14:paraId="3231AFB1">
      <w:pPr>
        <w:adjustRightInd w:val="0"/>
        <w:snapToGrid w:val="0"/>
        <w:spacing w:line="36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Cs/>
          <w:color w:val="auto"/>
          <w:sz w:val="36"/>
          <w:szCs w:val="36"/>
          <w:highlight w:val="none"/>
        </w:rPr>
        <w:t>第三部分 项目需求</w:t>
      </w:r>
    </w:p>
    <w:p w14:paraId="2DDBEA71">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D348ECF">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一、采购标的需实现的功能或者目标，以及为落实政府采购政策需满足的要求；</w:t>
      </w:r>
    </w:p>
    <w:p w14:paraId="05ECA5D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实施江苏商贸职业学院交通乘务实训中心装饰装修工程，满足学院技能培训、展示和课程教学需要。</w:t>
      </w:r>
    </w:p>
    <w:p w14:paraId="249DFA85">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二、采购标的需执行的国家相关标准、行业标准、地方标准或者其他标准、规范；</w:t>
      </w:r>
    </w:p>
    <w:p w14:paraId="429EC3F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按国家现行相关法律法规和行业标准执行。</w:t>
      </w:r>
    </w:p>
    <w:p w14:paraId="3A3BA08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（一）工程采用的计价规范</w:t>
      </w:r>
    </w:p>
    <w:p w14:paraId="397DBB4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1.《建筑工程工程量清单计价规范》GB50500-2013及配套的工程量清单计算规范</w:t>
      </w:r>
    </w:p>
    <w:p w14:paraId="7A63E11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2.《江苏省建设工程工程量清单计价项目指引》（2014年） </w:t>
      </w:r>
    </w:p>
    <w:p w14:paraId="5B57093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3.《江苏省建筑与装饰工程计价定额》（2014年） </w:t>
      </w:r>
    </w:p>
    <w:p w14:paraId="30E031A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4.《江苏省安装工程计价定额》（2014年） </w:t>
      </w:r>
    </w:p>
    <w:p w14:paraId="49DAC61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5.《江苏省建设工程费用定额》（2014年）</w:t>
      </w:r>
    </w:p>
    <w:p w14:paraId="6DE8B2A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6.《江苏省市政工程计价表》（2014年）</w:t>
      </w:r>
    </w:p>
    <w:p w14:paraId="1167AD2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7《省住房城乡建设厅关于建筑业实施营改增后江苏省建设工程计价依据调整的通知》（苏建价〔2016〕154号）</w:t>
      </w:r>
    </w:p>
    <w:p w14:paraId="51DEFD9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8.其它相应的补充规定和项目所在地现行的有关文件</w:t>
      </w:r>
    </w:p>
    <w:p w14:paraId="116EFCA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（二）本工程采用的技术规范</w:t>
      </w:r>
    </w:p>
    <w:p w14:paraId="064A989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1.国标相关规范。</w:t>
      </w:r>
    </w:p>
    <w:p w14:paraId="77DF647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2.其它应执行的相关工程施工、检测、验收的相关规范。                  </w:t>
      </w:r>
    </w:p>
    <w:p w14:paraId="502B6BC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72027A2C">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三、采购标的需满足的质量、安全、技术规格、物理特性等要求；</w:t>
      </w:r>
    </w:p>
    <w:p w14:paraId="5185974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符合国家现行相关法律法规和行业标准，以及本项目采购文件要求。</w:t>
      </w:r>
    </w:p>
    <w:p w14:paraId="0EEF1115">
      <w:pPr>
        <w:adjustRightInd w:val="0"/>
        <w:snapToGrid w:val="0"/>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重要提醒：本实训中心为高仿真模拟机场地面和空中服务场景，地面瓷砖平整度要求较高，颜色为浅灰色。吊顶使用的乳胶漆为亮光漆。</w:t>
      </w:r>
    </w:p>
    <w:p w14:paraId="12AC0C7C">
      <w:pPr>
        <w:adjustRightInd w:val="0"/>
        <w:snapToGrid w:val="0"/>
        <w:spacing w:line="46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四、采购标的的数量、采购项目交付或者实施的时间和地点；</w:t>
      </w:r>
    </w:p>
    <w:p w14:paraId="56BD26A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1.采购需求清单：详见附件（工程量清单）。</w:t>
      </w:r>
    </w:p>
    <w:p w14:paraId="613AA09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2.采购项目实施时间：</w:t>
      </w:r>
      <w:bookmarkStart w:id="87" w:name="OLE_LINK1"/>
      <w:r>
        <w:rPr>
          <w:rFonts w:hint="eastAsia" w:ascii="宋体" w:hAnsi="宋体" w:eastAsia="宋体" w:cs="宋体"/>
          <w:color w:val="auto"/>
          <w:sz w:val="28"/>
          <w:szCs w:val="28"/>
          <w:highlight w:val="none"/>
        </w:rPr>
        <w:t>签订合同后</w:t>
      </w:r>
      <w:r>
        <w:rPr>
          <w:rFonts w:hint="eastAsia" w:ascii="宋体" w:hAnsi="宋体" w:cs="宋体"/>
          <w:color w:val="auto"/>
          <w:sz w:val="28"/>
          <w:szCs w:val="28"/>
          <w:highlight w:val="none"/>
          <w:lang w:val="en-US" w:eastAsia="zh-CN"/>
        </w:rPr>
        <w:t>35</w:t>
      </w:r>
      <w:r>
        <w:rPr>
          <w:rFonts w:hint="eastAsia" w:ascii="宋体" w:hAnsi="宋体" w:eastAsia="宋体" w:cs="宋体"/>
          <w:color w:val="auto"/>
          <w:sz w:val="28"/>
          <w:szCs w:val="28"/>
          <w:highlight w:val="none"/>
        </w:rPr>
        <w:t>天内完工并通过验收</w:t>
      </w:r>
      <w:bookmarkEnd w:id="87"/>
      <w:r>
        <w:rPr>
          <w:rFonts w:hint="eastAsia" w:ascii="宋体" w:hAnsi="宋体" w:eastAsia="宋体" w:cs="宋体"/>
          <w:color w:val="auto"/>
          <w:sz w:val="28"/>
          <w:szCs w:val="28"/>
          <w:highlight w:val="none"/>
        </w:rPr>
        <w:t>，具体由采购方安排。</w:t>
      </w:r>
    </w:p>
    <w:p w14:paraId="200EE2F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3.质量标准：合格。</w:t>
      </w:r>
    </w:p>
    <w:p w14:paraId="3A90888F">
      <w:pPr>
        <w:adjustRightInd w:val="0"/>
        <w:snapToGrid w:val="0"/>
        <w:spacing w:line="46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4.采购项目实施地点：江苏商贸职业学院内。</w:t>
      </w:r>
    </w:p>
    <w:p w14:paraId="16FE3AD3">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五、采购标的需满足的服务标准、期限、效率等要求；</w:t>
      </w:r>
    </w:p>
    <w:p w14:paraId="086C6BC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本项目保修期满足不同专业最低要求，详见合同附件《保修书》。</w:t>
      </w:r>
    </w:p>
    <w:p w14:paraId="04896D8B">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六、采购标的的验收标准；</w:t>
      </w:r>
    </w:p>
    <w:p w14:paraId="3A35B4A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采购人按合同约定积极配合成交供应商履约，约定需要验收的阶段，采购人及时组织相关专业技术人员验收，并出具验收报告。</w:t>
      </w:r>
    </w:p>
    <w:p w14:paraId="7189A69F">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七、采购标的的其他技术、服务等要求；</w:t>
      </w:r>
    </w:p>
    <w:p w14:paraId="338B425A">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（一）响应报价</w:t>
      </w:r>
    </w:p>
    <w:p w14:paraId="58DC443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1.响应报价的范围</w:t>
      </w:r>
    </w:p>
    <w:p w14:paraId="3F39079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报价应包括采购文件所确定的采购范围内相应工程量清、图纸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22F3856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后附的工程量清单标明的工程量清单表是磋商响应供应商响应报价的共同基础。采购人提供的工程量清单，磋商响应供应商应结合采购文件、合同条款、商务技术响应文件准和要求与图纸一起阅读理解，除设计变更外，采购人在工程量清单中未列明或项目特征描述不全，但磋商响应供应商为满足采购人和设计图纸的要求而必须完成的工作，磋商响应供应商应计入工程量清单相应子目中，工程结算时采购人不为此类项目另外支付。</w:t>
      </w:r>
    </w:p>
    <w:p w14:paraId="17C9FAD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2.响应报价的计价依据</w:t>
      </w:r>
    </w:p>
    <w:p w14:paraId="76C439E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6459D58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磋商响应供应商应按本企业定额计价，若无本企业定额，则可按照《建设工程工程量清单计价规范》（GB50500-2013）、《通用安装工程工程量计算规范》（GB50856-2013）、《江苏省建筑与装饰工程计价定额》2014年版、《江苏省建设工程费用定额》2014年版、《江苏省安装工程计价定额》（2014年）、《江苏省市政工程计价表》（2014年）；《省住房城乡建设厅关于发布建设工程人工工资指导价的通知》（苏建价函〔2025〕</w:t>
      </w:r>
      <w:r>
        <w:rPr>
          <w:rFonts w:hint="eastAsia" w:ascii="宋体" w:hAnsi="宋体" w:cs="宋体"/>
          <w:color w:val="auto"/>
          <w:sz w:val="28"/>
          <w:szCs w:val="28"/>
          <w:highlight w:val="none"/>
          <w:lang w:eastAsia="zh-CN"/>
        </w:rPr>
        <w:t>273号文</w:t>
      </w:r>
      <w:r>
        <w:rPr>
          <w:rFonts w:hint="eastAsia" w:ascii="宋体" w:hAnsi="宋体" w:eastAsia="宋体" w:cs="宋体"/>
          <w:color w:val="auto"/>
          <w:sz w:val="28"/>
          <w:szCs w:val="28"/>
          <w:highlight w:val="none"/>
        </w:rPr>
        <w:t>）；材料价格参照2025年第</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期南通市工程造价信息中的指导价及市场价；《关于取消建设工程建筑安全监督管理费的通知》（通建价[2012]8号）；本工程采用一般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14:paraId="1A1A0585">
      <w:pPr>
        <w:adjustRightInd w:val="0"/>
        <w:snapToGrid w:val="0"/>
        <w:spacing w:line="460" w:lineRule="exact"/>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★可以套用以上定额计价组价的工程量清单，不得简单采取独立费报价方式。</w:t>
      </w:r>
    </w:p>
    <w:p w14:paraId="5C46C7E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3.响应报价方式：</w:t>
      </w:r>
    </w:p>
    <w:p w14:paraId="0C6E27D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3.1本工程项目采用 3.1.1 方式。</w:t>
      </w:r>
    </w:p>
    <w:p w14:paraId="3986DD53">
      <w:pPr>
        <w:adjustRightInd w:val="0"/>
        <w:snapToGrid w:val="0"/>
        <w:spacing w:line="460" w:lineRule="exact"/>
        <w:ind w:firstLine="560" w:firstLineChars="200"/>
        <w:rPr>
          <w:rFonts w:hint="eastAsia" w:ascii="宋体" w:hAnsi="宋体" w:eastAsia="宋体" w:cs="宋体"/>
          <w:b/>
          <w:color w:val="auto"/>
          <w:sz w:val="28"/>
          <w:szCs w:val="28"/>
          <w:highlight w:val="none"/>
          <w:u w:val="single"/>
        </w:rPr>
      </w:pPr>
      <w:r>
        <w:rPr>
          <w:rFonts w:hint="eastAsia" w:ascii="宋体" w:hAnsi="宋体" w:eastAsia="宋体" w:cs="宋体"/>
          <w:color w:val="auto"/>
          <w:sz w:val="28"/>
          <w:szCs w:val="28"/>
          <w:highlight w:val="none"/>
        </w:rPr>
        <w:t>3.1.1综合单价报价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r>
        <w:rPr>
          <w:rFonts w:hint="eastAsia" w:ascii="宋体" w:hAnsi="宋体" w:eastAsia="宋体" w:cs="宋体"/>
          <w:b/>
          <w:color w:val="auto"/>
          <w:sz w:val="28"/>
          <w:szCs w:val="28"/>
          <w:highlight w:val="none"/>
          <w:u w:val="single"/>
        </w:rPr>
        <w:t>工程结算综合单价为首次报价时的综合单价*（最终报价总价/首次报价总价），注：最终报价总价及首次报价总价均需扣除暂列金、暂估价及其相应的规费、税金。</w:t>
      </w:r>
    </w:p>
    <w:p w14:paraId="66F29D5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3.1.2固定总价报价方式。磋商响应供应商报价时应充分理解招标的要求以及设计方案的可行性、进行充分的现场勘查、并核查招标控制价编制文件的正确性，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072292B9">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4.响应报价编制要求</w:t>
      </w:r>
    </w:p>
    <w:p w14:paraId="2C48783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4.1采用工程量清单计价方式，磋商响应供应商不得采用总价让利或以总价百分比让利等办法进行响应报价。</w:t>
      </w:r>
    </w:p>
    <w:p w14:paraId="37303E6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4.2除磋商响应供应商自行补充的措施项目外，响应报价的项目编码、项目名称、计量单位、工程量必须与采购人提供的一致。</w:t>
      </w:r>
    </w:p>
    <w:p w14:paraId="1DEB380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4.3工程量清单中磋商响应供应商没有填入单价或价格的子目，其费用视为已分摊在工程量清单中其他子目的单价或价格之中。</w:t>
      </w:r>
    </w:p>
    <w:p w14:paraId="4522D4A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4.4响应报价应根据采购文件中的工程量清单和有关要求、施工现场实际情况及拟定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组织施工。</w:t>
      </w:r>
    </w:p>
    <w:p w14:paraId="2D515C1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4.5 磋商响应供应商不得擅自改动采购人提供的工程量清单上的内容。若对提供的工程量清单内容有疑义，请将书面疑问材料在规定的时间和方法向采购人提出，其中清单内容的书面疑问材料经采购人组织核实确认后提供最终工程量清单，磋商响应供应商在响应报价时，不得增减清单工程量。</w:t>
      </w:r>
    </w:p>
    <w:p w14:paraId="2CDABE2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30589A9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4.7不可竞争费按以下费率计取：（%）</w:t>
      </w:r>
    </w:p>
    <w:tbl>
      <w:tblPr>
        <w:tblStyle w:val="29"/>
        <w:tblW w:w="4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29"/>
        <w:gridCol w:w="1979"/>
        <w:gridCol w:w="1170"/>
        <w:gridCol w:w="1097"/>
        <w:gridCol w:w="935"/>
      </w:tblGrid>
      <w:tr w14:paraId="2A34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81" w:type="pct"/>
            <w:vAlign w:val="center"/>
          </w:tcPr>
          <w:p w14:paraId="2F635B9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66" w:type="pct"/>
            <w:vAlign w:val="center"/>
          </w:tcPr>
          <w:p w14:paraId="2228E4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费用类别</w:t>
            </w:r>
          </w:p>
        </w:tc>
        <w:tc>
          <w:tcPr>
            <w:tcW w:w="1394" w:type="pct"/>
            <w:vAlign w:val="center"/>
          </w:tcPr>
          <w:p w14:paraId="5D4EC36B">
            <w:pPr>
              <w:ind w:firstLine="120" w:firstLine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费用名称</w:t>
            </w:r>
          </w:p>
        </w:tc>
        <w:tc>
          <w:tcPr>
            <w:tcW w:w="824" w:type="pct"/>
            <w:vAlign w:val="center"/>
          </w:tcPr>
          <w:p w14:paraId="7E2E585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计费基数</w:t>
            </w:r>
          </w:p>
        </w:tc>
        <w:tc>
          <w:tcPr>
            <w:tcW w:w="773" w:type="pct"/>
            <w:vAlign w:val="center"/>
          </w:tcPr>
          <w:p w14:paraId="7DBA7E23">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装饰</w:t>
            </w:r>
          </w:p>
          <w:p w14:paraId="67A28C9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59" w:type="pct"/>
            <w:vAlign w:val="center"/>
          </w:tcPr>
          <w:p w14:paraId="0273B5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安装（%）</w:t>
            </w:r>
          </w:p>
        </w:tc>
      </w:tr>
      <w:tr w14:paraId="4A70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pct"/>
            <w:vAlign w:val="center"/>
          </w:tcPr>
          <w:p w14:paraId="67B156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66" w:type="pct"/>
            <w:vMerge w:val="restart"/>
            <w:vAlign w:val="center"/>
          </w:tcPr>
          <w:p w14:paraId="757329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 费</w:t>
            </w:r>
          </w:p>
        </w:tc>
        <w:tc>
          <w:tcPr>
            <w:tcW w:w="1394" w:type="pct"/>
            <w:vAlign w:val="center"/>
          </w:tcPr>
          <w:p w14:paraId="708F989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环境保护税</w:t>
            </w:r>
          </w:p>
        </w:tc>
        <w:tc>
          <w:tcPr>
            <w:tcW w:w="824" w:type="pct"/>
            <w:vAlign w:val="center"/>
          </w:tcPr>
          <w:p w14:paraId="22974D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1097" w:type="dxa"/>
            <w:vAlign w:val="center"/>
          </w:tcPr>
          <w:p w14:paraId="0283C41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59" w:type="pct"/>
            <w:vAlign w:val="center"/>
          </w:tcPr>
          <w:p w14:paraId="1915512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7BD6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pct"/>
            <w:vAlign w:val="center"/>
          </w:tcPr>
          <w:p w14:paraId="54CE15D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66" w:type="pct"/>
            <w:vMerge w:val="continue"/>
            <w:vAlign w:val="center"/>
          </w:tcPr>
          <w:p w14:paraId="638FBE33">
            <w:pPr>
              <w:ind w:firstLine="480"/>
              <w:jc w:val="center"/>
              <w:rPr>
                <w:rFonts w:hint="eastAsia" w:ascii="宋体" w:hAnsi="宋体" w:eastAsia="宋体" w:cs="宋体"/>
                <w:color w:val="auto"/>
                <w:sz w:val="24"/>
                <w:highlight w:val="none"/>
              </w:rPr>
            </w:pPr>
          </w:p>
        </w:tc>
        <w:tc>
          <w:tcPr>
            <w:tcW w:w="1394" w:type="pct"/>
            <w:vAlign w:val="center"/>
          </w:tcPr>
          <w:p w14:paraId="45B8822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社会保障费</w:t>
            </w:r>
          </w:p>
        </w:tc>
        <w:tc>
          <w:tcPr>
            <w:tcW w:w="824" w:type="pct"/>
            <w:vAlign w:val="center"/>
          </w:tcPr>
          <w:p w14:paraId="36FD839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1097" w:type="dxa"/>
            <w:vAlign w:val="center"/>
          </w:tcPr>
          <w:p w14:paraId="259DAEA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2.40</w:t>
            </w:r>
          </w:p>
        </w:tc>
        <w:tc>
          <w:tcPr>
            <w:tcW w:w="659" w:type="pct"/>
            <w:vAlign w:val="center"/>
          </w:tcPr>
          <w:p w14:paraId="311F90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2.40</w:t>
            </w:r>
          </w:p>
        </w:tc>
      </w:tr>
      <w:tr w14:paraId="12C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81" w:type="pct"/>
            <w:vAlign w:val="center"/>
          </w:tcPr>
          <w:p w14:paraId="44DDA30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66" w:type="pct"/>
            <w:vMerge w:val="continue"/>
            <w:vAlign w:val="center"/>
          </w:tcPr>
          <w:p w14:paraId="6F6302A5">
            <w:pPr>
              <w:ind w:firstLine="480"/>
              <w:jc w:val="center"/>
              <w:rPr>
                <w:rFonts w:hint="eastAsia" w:ascii="宋体" w:hAnsi="宋体" w:eastAsia="宋体" w:cs="宋体"/>
                <w:color w:val="auto"/>
                <w:sz w:val="24"/>
                <w:highlight w:val="none"/>
              </w:rPr>
            </w:pPr>
          </w:p>
        </w:tc>
        <w:tc>
          <w:tcPr>
            <w:tcW w:w="1394" w:type="pct"/>
            <w:vAlign w:val="center"/>
          </w:tcPr>
          <w:p w14:paraId="15A14B9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住房公积金</w:t>
            </w:r>
          </w:p>
        </w:tc>
        <w:tc>
          <w:tcPr>
            <w:tcW w:w="824" w:type="pct"/>
            <w:vAlign w:val="center"/>
          </w:tcPr>
          <w:p w14:paraId="6B8AFEE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1097" w:type="dxa"/>
            <w:vAlign w:val="center"/>
          </w:tcPr>
          <w:p w14:paraId="734ACD1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0.42</w:t>
            </w:r>
          </w:p>
        </w:tc>
        <w:tc>
          <w:tcPr>
            <w:tcW w:w="659" w:type="pct"/>
            <w:vAlign w:val="center"/>
          </w:tcPr>
          <w:p w14:paraId="6077895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0.42</w:t>
            </w:r>
          </w:p>
        </w:tc>
      </w:tr>
      <w:tr w14:paraId="721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81" w:type="pct"/>
            <w:vAlign w:val="center"/>
          </w:tcPr>
          <w:p w14:paraId="2E1DDA2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66" w:type="pct"/>
            <w:vMerge w:val="restart"/>
            <w:vAlign w:val="center"/>
          </w:tcPr>
          <w:p w14:paraId="00ACE2D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现场安全文明施工措施费</w:t>
            </w:r>
          </w:p>
        </w:tc>
        <w:tc>
          <w:tcPr>
            <w:tcW w:w="1394" w:type="pct"/>
            <w:vAlign w:val="center"/>
          </w:tcPr>
          <w:p w14:paraId="31CCDA2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基本费</w:t>
            </w:r>
          </w:p>
        </w:tc>
        <w:tc>
          <w:tcPr>
            <w:tcW w:w="824" w:type="pct"/>
            <w:vAlign w:val="center"/>
          </w:tcPr>
          <w:p w14:paraId="6D23B30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1097" w:type="dxa"/>
            <w:vAlign w:val="center"/>
          </w:tcPr>
          <w:p w14:paraId="3E8F05E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0</w:t>
            </w:r>
          </w:p>
        </w:tc>
        <w:tc>
          <w:tcPr>
            <w:tcW w:w="659" w:type="pct"/>
            <w:vAlign w:val="center"/>
          </w:tcPr>
          <w:p w14:paraId="034C5CA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1.50</w:t>
            </w:r>
          </w:p>
        </w:tc>
      </w:tr>
      <w:tr w14:paraId="6883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04C3080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66" w:type="pct"/>
            <w:vMerge w:val="continue"/>
            <w:vAlign w:val="center"/>
          </w:tcPr>
          <w:p w14:paraId="033B960B">
            <w:pPr>
              <w:ind w:firstLine="480"/>
              <w:jc w:val="center"/>
              <w:rPr>
                <w:rFonts w:hint="eastAsia" w:ascii="宋体" w:hAnsi="宋体" w:eastAsia="宋体" w:cs="宋体"/>
                <w:color w:val="auto"/>
                <w:sz w:val="24"/>
                <w:highlight w:val="none"/>
              </w:rPr>
            </w:pPr>
          </w:p>
        </w:tc>
        <w:tc>
          <w:tcPr>
            <w:tcW w:w="1394" w:type="pct"/>
            <w:vAlign w:val="center"/>
          </w:tcPr>
          <w:p w14:paraId="2D58D63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扬尘污染防治增加费</w:t>
            </w:r>
          </w:p>
        </w:tc>
        <w:tc>
          <w:tcPr>
            <w:tcW w:w="824" w:type="pct"/>
            <w:vAlign w:val="center"/>
          </w:tcPr>
          <w:p w14:paraId="57630C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1097" w:type="dxa"/>
            <w:vAlign w:val="center"/>
          </w:tcPr>
          <w:p w14:paraId="263BB9D9">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0.2</w:t>
            </w:r>
            <w:r>
              <w:rPr>
                <w:rFonts w:hint="eastAsia" w:ascii="宋体" w:hAnsi="宋体" w:cs="宋体"/>
                <w:color w:val="auto"/>
                <w:sz w:val="24"/>
                <w:highlight w:val="none"/>
                <w:lang w:val="en-US" w:eastAsia="zh-CN"/>
              </w:rPr>
              <w:t>2</w:t>
            </w:r>
          </w:p>
        </w:tc>
        <w:tc>
          <w:tcPr>
            <w:tcW w:w="659" w:type="pct"/>
            <w:vAlign w:val="center"/>
          </w:tcPr>
          <w:p w14:paraId="2E49ED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0.21</w:t>
            </w:r>
          </w:p>
        </w:tc>
      </w:tr>
      <w:tr w14:paraId="315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1" w:type="pct"/>
            <w:vAlign w:val="center"/>
          </w:tcPr>
          <w:p w14:paraId="0F3793D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66" w:type="pct"/>
            <w:vMerge w:val="continue"/>
            <w:vAlign w:val="center"/>
          </w:tcPr>
          <w:p w14:paraId="2F373FC3">
            <w:pPr>
              <w:ind w:firstLine="480"/>
              <w:jc w:val="center"/>
              <w:rPr>
                <w:rFonts w:hint="eastAsia" w:ascii="宋体" w:hAnsi="宋体" w:eastAsia="宋体" w:cs="宋体"/>
                <w:color w:val="auto"/>
                <w:sz w:val="24"/>
                <w:highlight w:val="none"/>
              </w:rPr>
            </w:pPr>
          </w:p>
        </w:tc>
        <w:tc>
          <w:tcPr>
            <w:tcW w:w="1394" w:type="pct"/>
            <w:vAlign w:val="center"/>
          </w:tcPr>
          <w:p w14:paraId="3267DE0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标准化增加费</w:t>
            </w:r>
          </w:p>
        </w:tc>
        <w:tc>
          <w:tcPr>
            <w:tcW w:w="824" w:type="pct"/>
            <w:vAlign w:val="center"/>
          </w:tcPr>
          <w:p w14:paraId="0FDB89B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1097" w:type="dxa"/>
            <w:vAlign w:val="center"/>
          </w:tcPr>
          <w:p w14:paraId="23E90C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659" w:type="pct"/>
            <w:vAlign w:val="center"/>
          </w:tcPr>
          <w:p w14:paraId="75B623E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26FC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1" w:type="pct"/>
            <w:vAlign w:val="center"/>
          </w:tcPr>
          <w:p w14:paraId="784545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66" w:type="pct"/>
            <w:vAlign w:val="center"/>
          </w:tcPr>
          <w:p w14:paraId="70F53C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  金</w:t>
            </w:r>
          </w:p>
        </w:tc>
        <w:tc>
          <w:tcPr>
            <w:tcW w:w="1394" w:type="pct"/>
            <w:vAlign w:val="center"/>
          </w:tcPr>
          <w:p w14:paraId="731AC02E">
            <w:pPr>
              <w:ind w:left="182" w:hanging="182" w:hangingChars="7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   金</w:t>
            </w:r>
          </w:p>
        </w:tc>
        <w:tc>
          <w:tcPr>
            <w:tcW w:w="824" w:type="pct"/>
            <w:vAlign w:val="center"/>
          </w:tcPr>
          <w:p w14:paraId="280ECD5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除税造价</w:t>
            </w:r>
          </w:p>
        </w:tc>
        <w:tc>
          <w:tcPr>
            <w:tcW w:w="1097" w:type="dxa"/>
            <w:vAlign w:val="center"/>
          </w:tcPr>
          <w:p w14:paraId="6326B37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9.00</w:t>
            </w:r>
          </w:p>
        </w:tc>
        <w:tc>
          <w:tcPr>
            <w:tcW w:w="659" w:type="pct"/>
            <w:vAlign w:val="center"/>
          </w:tcPr>
          <w:p w14:paraId="6358C2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9.00</w:t>
            </w:r>
          </w:p>
        </w:tc>
      </w:tr>
    </w:tbl>
    <w:p w14:paraId="647CED9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注：1）计算基础：A为分部分项工程费，B为措施项目清单费用，B1为单价措施项目费，C其它项目费，D为除税工程设备费。</w:t>
      </w:r>
    </w:p>
    <w:p w14:paraId="78CADE62">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 现场安全文明施工措施费率为暂定、最终以南通市建设工程造价管理处核定为准，否则在总价中扣除。</w:t>
      </w:r>
    </w:p>
    <w:p w14:paraId="390D455A">
      <w:pPr>
        <w:adjustRightInd w:val="0"/>
        <w:snapToGrid w:val="0"/>
        <w:spacing w:line="460" w:lineRule="exact"/>
        <w:ind w:firstLine="560" w:firstLineChars="200"/>
        <w:rPr>
          <w:rFonts w:hint="eastAsia" w:ascii="宋体" w:hAnsi="宋体" w:eastAsia="宋体" w:cs="宋体"/>
          <w:color w:val="auto"/>
          <w:sz w:val="22"/>
          <w:szCs w:val="28"/>
          <w:highlight w:val="none"/>
        </w:rPr>
      </w:pPr>
      <w:r>
        <w:rPr>
          <w:rFonts w:hint="eastAsia" w:ascii="宋体" w:hAnsi="宋体" w:eastAsia="宋体" w:cs="宋体"/>
          <w:color w:val="auto"/>
          <w:sz w:val="28"/>
          <w:szCs w:val="28"/>
          <w:highlight w:val="none"/>
        </w:rPr>
        <w:t>3）本工程暂列金</w:t>
      </w:r>
      <w:r>
        <w:rPr>
          <w:rFonts w:hint="eastAsia" w:ascii="宋体" w:hAnsi="宋体" w:eastAsia="宋体" w:cs="宋体"/>
          <w:b w:val="0"/>
          <w:bCs w:val="0"/>
          <w:color w:val="auto"/>
          <w:sz w:val="28"/>
          <w:szCs w:val="28"/>
          <w:highlight w:val="none"/>
          <w:u w:val="single"/>
        </w:rPr>
        <w:t>：0万元</w:t>
      </w:r>
      <w:r>
        <w:rPr>
          <w:rFonts w:hint="eastAsia" w:ascii="宋体" w:hAnsi="宋体" w:eastAsia="宋体" w:cs="宋体"/>
          <w:b/>
          <w:bCs/>
          <w:color w:val="auto"/>
          <w:sz w:val="28"/>
          <w:szCs w:val="28"/>
          <w:highlight w:val="none"/>
          <w:u w:val="single"/>
        </w:rPr>
        <w:t>。</w:t>
      </w:r>
    </w:p>
    <w:p w14:paraId="008A905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4）其他取费：详见工程量清单</w:t>
      </w:r>
    </w:p>
    <w:p w14:paraId="7B10817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注：具体取费及费率以工程量清单为准。</w:t>
      </w:r>
    </w:p>
    <w:p w14:paraId="1071B59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4.8磋商响应供应商应认真踏勘施工现场，考虑因各种困难因素，所发生的一切费用由磋商响应供应商自行考虑，并在响应报价中予以体现，以后不得以此为由提出额外增加费用的要求。水、电接驳，按采购人指定地点，定量表记、接至施工现场管线（电缆）由磋商响应供应商自行考虑，费用包含在响应报价中。现场自来水及电源接入点现场具体位置由磋商响应供应商现场踏勘。</w:t>
      </w:r>
    </w:p>
    <w:p w14:paraId="3828192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4.9因施工场地狭小、周边老旧建筑保护等发生的一切费用由各磋商响应供应商自行考虑，所有费用包含在响应报价中，竣工结算时一律不作调整。</w:t>
      </w:r>
    </w:p>
    <w:p w14:paraId="0E509CB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4.10临时设施费、赶工措施费、夜间施工费 、冬雨季施工费、已完工程及设备保护费由各磋商响应供应商自行报价，该类措施项目费一次性包定，结算时一律不作调整。</w:t>
      </w:r>
    </w:p>
    <w:p w14:paraId="5519016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4.11本工程垂直运输及安装脚手架由响应供应商自行考虑，并计入报价，结算时一律不做调整。</w:t>
      </w:r>
    </w:p>
    <w:p w14:paraId="09CD52F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444F7B3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4.13承包人应独立、有效地做好该工程周边的有关群众工作，并充分考虑工程实施范围内外的单位、个人和其他可能出现阻挠施工的情况，若发生的机械台班停置费、二次机械进退场费、人员窝工、处理周边群众纠纷等费用和损失，由磋商响应供应商自行考虑，并列入响应报价，工程竣工结算时不作调整。</w:t>
      </w:r>
    </w:p>
    <w:p w14:paraId="5A12AA5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4.14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0D4B0A7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48F7418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4.16在实际施工中，发包人可以无条件要求施工单位更换不符合要求的产品，由承包人无条件退货，如因使用不符合国家标准及各项指标的材料，由此引起的相关费用由承包人承担，结算时一律不作调整。</w:t>
      </w:r>
    </w:p>
    <w:p w14:paraId="586F4D7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4.17若磋商响应供应商在响应报价时擅自改变采购文件及清单内容，评审时未被发现，实际施工时均按采购文件及清单内容执行，结算时不予调整。</w:t>
      </w:r>
    </w:p>
    <w:p w14:paraId="262E476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4.18磋商响应供应商确定响应报价，同时应考虑合同中包含的风险、责任等各项费用。</w:t>
      </w:r>
    </w:p>
    <w:p w14:paraId="69930F1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4.19磋商响应供应商工地踏勘应充分了解工地位置情况，道路、储存空间、装卸限制及任何其它足以影响报价的情况，任何忽视或误解工地情况而导致的索赔及工期延长申请将不被批准。</w:t>
      </w:r>
    </w:p>
    <w:p w14:paraId="3C2FC601">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4.20成交单位不得拒绝完成采购人在施工地点范围内变更或要求增加和减少的工程内容。</w:t>
      </w:r>
    </w:p>
    <w:p w14:paraId="7430424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4.21报价书中的工程数量乘以综合单价必须等于合价。</w:t>
      </w:r>
    </w:p>
    <w:p w14:paraId="5F23ABE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4.22投标确定响应报价时应考虑施工过程中运出的建筑垃圾等必须运出施工现场范围以外，否则，除须接受相关部门的处罚外，发现一次发包人将视情节严重向承包人收取履约保证金的10-20%，并有权要求其重新清运出。清运前承包人必须向发包人指明堆放地点(该地点必须符合建筑垃圾(渣土)管理中心要求)，建筑垃圾(渣土)管理中心收取的建筑垃圾处置费由磋商响应供应商考虑在报价中，结算时不予调整。</w:t>
      </w:r>
    </w:p>
    <w:p w14:paraId="16B364AE">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1AAF3A6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4.24 本工程所有乙供材料均由承包人在确保质量的前提下自行采购，材料价格按照中档及以上的质量自行市场询价并进行报价。发包人结合近几年南通市区其他院校类似项目改造情况和总体效果，对材料的使用有择优及认定权（如发包人对承包人采购的材料认定为不合格的，承包人必须重新采购，直至合格为止），施工时承包人需提供样品供采购人选择，涉及到的价格不再调整。</w:t>
      </w:r>
    </w:p>
    <w:p w14:paraId="171E41D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可结合上述要求，对本项目施工现场进行实地勘察，并对近年来本校及南通市区其他院校类似项目改造情况进行实地调研，选择质量优秀、改造施工效果好、相关建设单位及主管部门认可度高的施工材料响应本次投标。</w:t>
      </w:r>
    </w:p>
    <w:p w14:paraId="69572B5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4.25施工期间和竣工移交时的保洁工作及费用，磋商响应供应商在报价时须综合考虑在响应报价中，结算时不做调整。</w:t>
      </w:r>
    </w:p>
    <w:p w14:paraId="1AFD25F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4.26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1485503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4.27建设区域内的临时房屋及地面拆除残值由供应商自行考虑，费用含在报价内，施工过程中，拆除部分残值归承包人所有。</w:t>
      </w:r>
    </w:p>
    <w:p w14:paraId="7414A18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4.28其他未尽事宜在书面答疑中明确。</w:t>
      </w:r>
    </w:p>
    <w:p w14:paraId="4E4208B8">
      <w:pPr>
        <w:widowControl/>
        <w:spacing w:line="460" w:lineRule="exact"/>
        <w:ind w:firstLine="562" w:firstLineChars="200"/>
        <w:contextualSpacing/>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八、付款方式</w:t>
      </w:r>
    </w:p>
    <w:p w14:paraId="488E7ABE">
      <w:pPr>
        <w:widowControl/>
        <w:spacing w:line="460" w:lineRule="exact"/>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项目实施完成、经采购人组织竣工验收后付至合同价70%，同时无息退还履约保证金；审计结束付至审计价的95%。验收合格满</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年后无质量问题的，支付剩余款项（审计金额的5%）。</w:t>
      </w:r>
    </w:p>
    <w:p w14:paraId="45EEAFFB">
      <w:pPr>
        <w:pStyle w:val="26"/>
        <w:shd w:val="clear" w:color="auto" w:fill="FFFFFF"/>
        <w:spacing w:before="0" w:beforeAutospacing="0" w:after="0" w:afterAutospacing="0" w:line="460" w:lineRule="exact"/>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sz w:val="28"/>
          <w:szCs w:val="28"/>
          <w:highlight w:val="none"/>
        </w:rPr>
        <w:t>每次支付工程款前，承包人必须开具符合税务部门规定的正式发票。承包人未提供符合要求的发票的，发包人有权拒绝付款。</w:t>
      </w:r>
    </w:p>
    <w:p w14:paraId="75E46CBE">
      <w:pPr>
        <w:pStyle w:val="26"/>
        <w:shd w:val="clear" w:color="auto" w:fill="FFFFFF"/>
        <w:spacing w:before="0" w:beforeAutospacing="0" w:after="0" w:afterAutospacing="0" w:line="460" w:lineRule="exact"/>
        <w:ind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九、履约保证金：</w:t>
      </w:r>
    </w:p>
    <w:p w14:paraId="7FBB1575">
      <w:pPr>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中标后的履约保证金为项目中标价的10%，成交供应商的履约保证金须在中标通知书发出之日起至合同签订前汇入采购人单位账户（应当以数字人民币、支票、汇票或者金融机构、担保机构出具的保函等形式提交），成交供应商凭中标通知书与采购人签订合同。超期或未有协商，则视为自动放弃中标资格。</w:t>
      </w:r>
    </w:p>
    <w:p w14:paraId="6692B62C">
      <w:pPr>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2.成交供应商全部履约合同义务，经采购人验收合格无质量、进度等问题的，采购人在验收合格后一次性退还履约保证金（保函除外），采购人若逾期退还履约保证金的，按照逾期部分的每日0.05%支付违约金；</w:t>
      </w:r>
    </w:p>
    <w:p w14:paraId="7B201907">
      <w:pPr>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3.发生以下情况的，履约保证金不予退还或部分退还：</w:t>
      </w:r>
    </w:p>
    <w:p w14:paraId="6ABE8EAA">
      <w:pPr>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a.签订合同后，成交供应商不履行合同义务的，采购单位有权全额扣除履约保证金，全额不予退还，同时采购单位亦有权终止合同，成交供应商还须承担相应的法律赔偿责任。</w:t>
      </w:r>
    </w:p>
    <w:p w14:paraId="6159CED2">
      <w:pPr>
        <w:spacing w:line="4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b.成交供应商在履约过程中发生违约行为，给采购人造成损失的，采购人有权在成交供应商缴纳的履约保证金中予以扣款，以弥补采购人经济损失，不足的部分成交供应商另外补齐。</w:t>
      </w:r>
    </w:p>
    <w:p w14:paraId="709BDFBD">
      <w:pPr>
        <w:spacing w:line="460" w:lineRule="exact"/>
        <w:ind w:firstLine="568" w:firstLineChars="20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十、磋商项目涉及到的现场勘察</w:t>
      </w:r>
    </w:p>
    <w:p w14:paraId="24B00320">
      <w:pPr>
        <w:pStyle w:val="26"/>
        <w:shd w:val="clear" w:color="auto" w:fill="FFFFFF"/>
        <w:spacing w:before="0" w:beforeAutospacing="0" w:after="0" w:afterAutospacing="0" w:line="460" w:lineRule="exact"/>
        <w:ind w:firstLine="560" w:firstLineChars="200"/>
        <w:jc w:val="both"/>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1.磋商文件所提供的项目相关数据仅做参考，根据自身需要，</w:t>
      </w:r>
      <w:r>
        <w:rPr>
          <w:rFonts w:hint="eastAsia" w:ascii="宋体" w:hAnsi="宋体" w:eastAsia="宋体" w:cs="宋体"/>
          <w:b/>
          <w:color w:val="auto"/>
          <w:sz w:val="28"/>
          <w:szCs w:val="28"/>
          <w:highlight w:val="none"/>
        </w:rPr>
        <w:t>供应商可在磋商文件递交之日前对有关现场和周围环境进行勘察，以获取编制响应文件和签署合同所需的信息。勘察现场所发生的费用由供应商自己承担。</w:t>
      </w:r>
    </w:p>
    <w:p w14:paraId="03D92FA3">
      <w:pPr>
        <w:pStyle w:val="26"/>
        <w:shd w:val="clear" w:color="auto" w:fill="FFFFFF"/>
        <w:spacing w:before="0" w:beforeAutospacing="0" w:after="0" w:afterAutospacing="0" w:line="46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2.采购人向供应商提供的有关现场的资料和数据，是采购人现有的并认为能使供应商可利用的资料。采购人对供应商由此而做出的推论、理解和结论概不负责。</w:t>
      </w:r>
    </w:p>
    <w:p w14:paraId="2A43865B">
      <w:pPr>
        <w:pStyle w:val="26"/>
        <w:shd w:val="clear" w:color="auto" w:fill="FFFFFF"/>
        <w:spacing w:before="0" w:beforeAutospacing="0" w:after="0" w:afterAutospacing="0" w:line="46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3.经采购人允许，供应商可为勘察目的进入采购人的项目现场，但供应商不得因此使采购人承担有关的责任和蒙受损失。供应商应承担勘察现场的责任和风险。</w:t>
      </w:r>
    </w:p>
    <w:p w14:paraId="4A044190">
      <w:pPr>
        <w:pStyle w:val="26"/>
        <w:shd w:val="clear" w:color="auto" w:fill="FFFFFF"/>
        <w:spacing w:before="0" w:beforeAutospacing="0" w:after="0" w:afterAutospacing="0" w:line="46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614BB8B8">
      <w:pPr>
        <w:pStyle w:val="26"/>
        <w:shd w:val="clear" w:color="auto" w:fill="FFFFFF"/>
        <w:spacing w:before="0" w:beforeAutospacing="0" w:after="0" w:afterAutospacing="0" w:line="460" w:lineRule="exact"/>
        <w:ind w:firstLine="560" w:firstLineChars="200"/>
        <w:jc w:val="both"/>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rPr>
        <w:t>5.现场实地勘察时需携带营业执照副本原件及复印件、法定代表人的委托书、被委托人身份证原件及复印件至江苏商贸职业学院勘察（联系人：章老师，联系电话：0513-85679235），截止时间开标时间前一日，勘察时间：工作日上午8：30--11：30，下午2：00-5：00。</w:t>
      </w:r>
    </w:p>
    <w:p w14:paraId="65108D6E">
      <w:pPr>
        <w:ind w:firstLine="562" w:firstLineChars="200"/>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十一、样品</w:t>
      </w:r>
    </w:p>
    <w:p w14:paraId="6391D4E5">
      <w:pPr>
        <w:spacing w:line="460" w:lineRule="exact"/>
        <w:ind w:firstLine="560" w:firstLineChars="200"/>
        <w:rPr>
          <w:rFonts w:hint="eastAsia" w:ascii="宋体" w:hAnsi="宋体" w:cs="宋体"/>
          <w:color w:val="auto"/>
          <w:sz w:val="28"/>
          <w:szCs w:val="28"/>
          <w:highlight w:val="none"/>
        </w:rPr>
      </w:pPr>
      <w:r>
        <w:rPr>
          <w:rStyle w:val="130"/>
          <w:rFonts w:hint="default"/>
          <w:b w:val="0"/>
          <w:bCs w:val="0"/>
          <w:color w:val="auto"/>
          <w:sz w:val="28"/>
          <w:szCs w:val="28"/>
          <w:highlight w:val="none"/>
        </w:rPr>
        <w:t>1.响应供应商提供以下样品：</w:t>
      </w:r>
      <w:r>
        <w:rPr>
          <w:rFonts w:hint="eastAsia" w:ascii="宋体" w:hAnsi="宋体" w:cs="宋体"/>
          <w:color w:val="auto"/>
          <w:sz w:val="28"/>
          <w:szCs w:val="28"/>
          <w:highlight w:val="none"/>
          <w:lang w:val="en-US" w:eastAsia="zh-CN"/>
        </w:rPr>
        <w:t>地砖2块</w:t>
      </w:r>
      <w:r>
        <w:rPr>
          <w:rFonts w:hint="eastAsia" w:ascii="宋体" w:hAnsi="宋体" w:cs="宋体"/>
          <w:color w:val="auto"/>
          <w:sz w:val="28"/>
          <w:szCs w:val="28"/>
          <w:highlight w:val="none"/>
        </w:rPr>
        <w:t>；</w:t>
      </w:r>
    </w:p>
    <w:p w14:paraId="35B6647A">
      <w:pPr>
        <w:snapToGrid w:val="0"/>
        <w:spacing w:line="460" w:lineRule="exact"/>
        <w:ind w:firstLine="560" w:firstLineChars="200"/>
        <w:contextualSpacing/>
        <w:rPr>
          <w:rFonts w:hint="eastAsia" w:ascii="宋体" w:hAnsi="宋体" w:cs="宋体"/>
          <w:color w:val="auto"/>
          <w:sz w:val="28"/>
          <w:szCs w:val="28"/>
          <w:highlight w:val="none"/>
        </w:rPr>
      </w:pPr>
      <w:r>
        <w:rPr>
          <w:rFonts w:hint="eastAsia" w:ascii="宋体" w:hAnsi="宋体" w:cs="宋体"/>
          <w:color w:val="auto"/>
          <w:sz w:val="28"/>
          <w:szCs w:val="28"/>
          <w:highlight w:val="none"/>
        </w:rPr>
        <w:t>2.样品需密封提交，</w:t>
      </w:r>
      <w:r>
        <w:rPr>
          <w:rFonts w:hint="eastAsia" w:ascii="宋体" w:hAnsi="宋体" w:cs="宋体"/>
          <w:color w:val="auto"/>
          <w:sz w:val="28"/>
          <w:szCs w:val="28"/>
          <w:highlight w:val="none"/>
          <w:lang w:val="en-US" w:eastAsia="zh-CN"/>
        </w:rPr>
        <w:t>评审</w:t>
      </w:r>
      <w:r>
        <w:rPr>
          <w:rFonts w:hint="eastAsia" w:ascii="宋体" w:hAnsi="宋体" w:cs="宋体"/>
          <w:color w:val="auto"/>
          <w:sz w:val="28"/>
          <w:szCs w:val="28"/>
          <w:highlight w:val="none"/>
        </w:rPr>
        <w:t>结束后，供应商（成交供应商除外）应将样品及时撤离，否则，样品发生任何损坏、丢失由投供应商自行承担，所有供应商自行承担相关样品制作、运输等费用。成交人的样品由采购人封存。</w:t>
      </w:r>
    </w:p>
    <w:p w14:paraId="6438290C">
      <w:pPr>
        <w:snapToGrid w:val="0"/>
        <w:spacing w:line="460" w:lineRule="exact"/>
        <w:ind w:firstLine="560" w:firstLineChars="200"/>
        <w:contextualSpacing/>
        <w:rPr>
          <w:rFonts w:hint="eastAsia" w:ascii="宋体" w:hAnsi="宋体" w:cs="宋体"/>
          <w:color w:val="auto"/>
          <w:sz w:val="28"/>
          <w:szCs w:val="28"/>
          <w:highlight w:val="none"/>
        </w:rPr>
      </w:pPr>
      <w:r>
        <w:rPr>
          <w:rFonts w:hint="eastAsia" w:ascii="宋体" w:hAnsi="宋体" w:cs="宋体"/>
          <w:color w:val="auto"/>
          <w:sz w:val="28"/>
          <w:szCs w:val="28"/>
          <w:highlight w:val="none"/>
        </w:rPr>
        <w:t>3.样品递交时间、地点、联系人</w:t>
      </w:r>
    </w:p>
    <w:p w14:paraId="2CCD4C6C">
      <w:pPr>
        <w:spacing w:line="4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样品需同响应文件于响应文件提交截止时间之前一同递交至</w:t>
      </w:r>
      <w:r>
        <w:rPr>
          <w:rFonts w:hint="eastAsia" w:ascii="宋体" w:hAnsi="宋体" w:cs="宋体"/>
          <w:b/>
          <w:bCs/>
          <w:color w:val="auto"/>
          <w:sz w:val="28"/>
          <w:szCs w:val="28"/>
          <w:highlight w:val="none"/>
          <w:u w:val="single"/>
          <w:lang w:val="zh-CN"/>
        </w:rPr>
        <w:t>江苏省南通市江通路48号，江苏商贸职业学院资产管理处（西大门南侧）办公室，</w:t>
      </w:r>
      <w:r>
        <w:rPr>
          <w:rFonts w:hint="eastAsia" w:ascii="宋体" w:hAnsi="宋体" w:cs="宋体"/>
          <w:color w:val="auto"/>
          <w:sz w:val="28"/>
          <w:szCs w:val="28"/>
          <w:highlight w:val="none"/>
          <w:lang w:val="zh-CN"/>
        </w:rPr>
        <w:t>由</w:t>
      </w:r>
      <w:r>
        <w:rPr>
          <w:rFonts w:hint="eastAsia" w:ascii="宋体" w:hAnsi="宋体" w:cs="宋体"/>
          <w:color w:val="auto"/>
          <w:sz w:val="28"/>
          <w:szCs w:val="28"/>
          <w:highlight w:val="none"/>
        </w:rPr>
        <w:t>采购代理机构签收。</w:t>
      </w:r>
    </w:p>
    <w:p w14:paraId="07331B5C">
      <w:pPr>
        <w:rPr>
          <w:rFonts w:hint="eastAsia" w:ascii="宋体" w:hAnsi="宋体" w:eastAsia="宋体" w:cs="宋体"/>
          <w:b/>
          <w:bCs/>
          <w:color w:val="auto"/>
          <w:kern w:val="0"/>
          <w:sz w:val="28"/>
          <w:szCs w:val="28"/>
          <w:highlight w:val="none"/>
        </w:rPr>
      </w:pPr>
    </w:p>
    <w:p w14:paraId="30B5FE3B">
      <w:pPr>
        <w:ind w:firstLine="562"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十</w:t>
      </w:r>
      <w:r>
        <w:rPr>
          <w:rFonts w:hint="eastAsia" w:ascii="宋体" w:hAnsi="宋体" w:cs="宋体"/>
          <w:b/>
          <w:bCs/>
          <w:color w:val="auto"/>
          <w:kern w:val="0"/>
          <w:sz w:val="28"/>
          <w:szCs w:val="28"/>
          <w:highlight w:val="none"/>
          <w:lang w:val="en-US" w:eastAsia="zh-CN"/>
        </w:rPr>
        <w:t>二</w:t>
      </w:r>
      <w:r>
        <w:rPr>
          <w:rFonts w:hint="eastAsia" w:ascii="宋体" w:hAnsi="宋体" w:eastAsia="宋体" w:cs="宋体"/>
          <w:b/>
          <w:bCs/>
          <w:color w:val="auto"/>
          <w:kern w:val="0"/>
          <w:sz w:val="28"/>
          <w:szCs w:val="28"/>
          <w:highlight w:val="none"/>
        </w:rPr>
        <w:t>、合同样本</w:t>
      </w:r>
    </w:p>
    <w:p w14:paraId="1771DCE9">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spacing w:val="60"/>
          <w:sz w:val="32"/>
          <w:szCs w:val="32"/>
          <w:highlight w:val="none"/>
        </w:rPr>
        <w:t>建设工程施工合同</w:t>
      </w:r>
    </w:p>
    <w:p w14:paraId="45AA45DF">
      <w:pPr>
        <w:pStyle w:val="126"/>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8"/>
          <w:szCs w:val="28"/>
          <w:highlight w:val="none"/>
        </w:rPr>
        <w:t>第一部分 合同协议书</w:t>
      </w:r>
    </w:p>
    <w:p w14:paraId="7F7A423F">
      <w:pPr>
        <w:spacing w:line="460" w:lineRule="exact"/>
        <w:contextualSpacing/>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发包人（全称）：</w:t>
      </w:r>
      <w:r>
        <w:rPr>
          <w:rFonts w:hint="eastAsia" w:ascii="宋体" w:hAnsi="宋体" w:eastAsia="宋体" w:cs="宋体"/>
          <w:b/>
          <w:color w:val="auto"/>
          <w:sz w:val="24"/>
          <w:highlight w:val="none"/>
          <w:u w:val="single"/>
        </w:rPr>
        <w:t xml:space="preserve">                                        </w:t>
      </w:r>
    </w:p>
    <w:p w14:paraId="2D2C0FA1">
      <w:pPr>
        <w:spacing w:line="460" w:lineRule="exact"/>
        <w:contextualSpacing/>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承包人（全称）：</w:t>
      </w:r>
      <w:r>
        <w:rPr>
          <w:rFonts w:hint="eastAsia" w:ascii="宋体" w:hAnsi="宋体" w:eastAsia="宋体" w:cs="宋体"/>
          <w:b/>
          <w:color w:val="auto"/>
          <w:sz w:val="24"/>
          <w:highlight w:val="none"/>
          <w:u w:val="single"/>
        </w:rPr>
        <w:t xml:space="preserve">                                        </w:t>
      </w:r>
    </w:p>
    <w:p w14:paraId="7D83F6DB">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根据《中华人民共和国民法典》、《中华人民共和国建筑法》及有关法律规定，遵循平等、自愿、公平和诚实信用的原则，双方就</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施工及有关事项协商一致，共同达成如下协议：</w:t>
      </w:r>
    </w:p>
    <w:p w14:paraId="36F80B70">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88" w:name="_Toc351203481"/>
      <w:r>
        <w:rPr>
          <w:rFonts w:hint="eastAsia" w:ascii="宋体" w:hAnsi="宋体" w:eastAsia="宋体" w:cs="宋体"/>
          <w:color w:val="auto"/>
          <w:sz w:val="24"/>
          <w:szCs w:val="24"/>
          <w:highlight w:val="none"/>
        </w:rPr>
        <w:t>一、工程概况</w:t>
      </w:r>
      <w:bookmarkEnd w:id="88"/>
    </w:p>
    <w:p w14:paraId="1261D6E8">
      <w:pPr>
        <w:spacing w:line="460" w:lineRule="exact"/>
        <w:ind w:firstLine="470" w:firstLineChars="196"/>
        <w:contextualSpacing/>
        <w:rPr>
          <w:rFonts w:hint="eastAsia" w:ascii="宋体" w:hAnsi="宋体" w:eastAsia="宋体" w:cs="宋体"/>
          <w:color w:val="auto"/>
          <w:sz w:val="24"/>
          <w:highlight w:val="none"/>
        </w:rPr>
      </w:pPr>
      <w:r>
        <w:rPr>
          <w:rFonts w:hint="eastAsia" w:ascii="宋体" w:hAnsi="宋体" w:eastAsia="宋体" w:cs="宋体"/>
          <w:bCs/>
          <w:color w:val="auto"/>
          <w:sz w:val="24"/>
          <w:highlight w:val="none"/>
        </w:rPr>
        <w:t>1.工程名称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A08CD5A">
      <w:pPr>
        <w:spacing w:line="460" w:lineRule="exact"/>
        <w:ind w:firstLine="470" w:firstLineChars="196"/>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2.工程地点：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0FD1C43">
      <w:pPr>
        <w:spacing w:line="460" w:lineRule="exact"/>
        <w:ind w:firstLine="470" w:firstLineChars="196"/>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3.工程立项批准文号：</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w:t>
      </w:r>
    </w:p>
    <w:p w14:paraId="49168991">
      <w:pPr>
        <w:spacing w:line="460" w:lineRule="exact"/>
        <w:ind w:firstLine="470" w:firstLineChars="196"/>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4.资金来源：</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w:t>
      </w:r>
    </w:p>
    <w:p w14:paraId="20ECBEA5">
      <w:pPr>
        <w:spacing w:line="460" w:lineRule="exact"/>
        <w:ind w:firstLine="470" w:firstLineChars="196"/>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5.工程内容：</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w:t>
      </w:r>
    </w:p>
    <w:p w14:paraId="0DC0B7BD">
      <w:pPr>
        <w:spacing w:line="460" w:lineRule="exact"/>
        <w:ind w:firstLine="470" w:firstLineChars="196"/>
        <w:contextualSpacing/>
        <w:rPr>
          <w:rFonts w:hint="eastAsia" w:ascii="宋体" w:hAnsi="宋体" w:eastAsia="宋体" w:cs="宋体"/>
          <w:bCs/>
          <w:color w:val="auto"/>
          <w:sz w:val="24"/>
          <w:highlight w:val="none"/>
        </w:rPr>
      </w:pPr>
      <w:r>
        <w:rPr>
          <w:rFonts w:hint="eastAsia" w:ascii="宋体" w:hAnsi="宋体" w:eastAsia="宋体" w:cs="宋体"/>
          <w:color w:val="auto"/>
          <w:sz w:val="24"/>
          <w:highlight w:val="none"/>
        </w:rPr>
        <w:t>群体工程应附《承包人承揽工程项目一览表》（附件1）。</w:t>
      </w:r>
    </w:p>
    <w:p w14:paraId="1465D01E">
      <w:pPr>
        <w:spacing w:line="460" w:lineRule="exact"/>
        <w:ind w:firstLine="470" w:firstLineChars="196"/>
        <w:contextualSpacing/>
        <w:rPr>
          <w:rFonts w:hint="eastAsia" w:ascii="宋体" w:hAnsi="宋体" w:eastAsia="宋体" w:cs="宋体"/>
          <w:color w:val="auto"/>
          <w:sz w:val="24"/>
          <w:highlight w:val="none"/>
        </w:rPr>
      </w:pPr>
      <w:r>
        <w:rPr>
          <w:rFonts w:hint="eastAsia" w:ascii="宋体" w:hAnsi="宋体" w:eastAsia="宋体" w:cs="宋体"/>
          <w:bCs/>
          <w:color w:val="auto"/>
          <w:sz w:val="24"/>
          <w:highlight w:val="none"/>
        </w:rPr>
        <w:t>6.工程承包范围：</w:t>
      </w:r>
      <w:r>
        <w:rPr>
          <w:rFonts w:hint="eastAsia" w:ascii="宋体" w:hAnsi="宋体" w:eastAsia="宋体" w:cs="宋体"/>
          <w:color w:val="auto"/>
          <w:sz w:val="24"/>
          <w:highlight w:val="none"/>
          <w:u w:val="single"/>
        </w:rPr>
        <w:t xml:space="preserve">            </w:t>
      </w:r>
    </w:p>
    <w:p w14:paraId="18029860">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89" w:name="_Toc351203482"/>
      <w:r>
        <w:rPr>
          <w:rFonts w:hint="eastAsia" w:ascii="宋体" w:hAnsi="宋体" w:eastAsia="宋体" w:cs="宋体"/>
          <w:color w:val="auto"/>
          <w:sz w:val="24"/>
          <w:szCs w:val="24"/>
          <w:highlight w:val="none"/>
        </w:rPr>
        <w:t>二、合同工期</w:t>
      </w:r>
      <w:bookmarkEnd w:id="89"/>
    </w:p>
    <w:p w14:paraId="2FA54F72">
      <w:pPr>
        <w:spacing w:line="460" w:lineRule="exact"/>
        <w:ind w:firstLine="45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计划开工日期：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日。计划竣工日期：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52B3865">
      <w:pPr>
        <w:spacing w:line="460" w:lineRule="exact"/>
        <w:ind w:firstLine="45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工期总日历天数：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天。工期总日历天数与根据前述计划开竣工日期计算的工期天数不一致的，以工期总日历天数为准。</w:t>
      </w:r>
    </w:p>
    <w:p w14:paraId="7DA1A721">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0" w:name="_Toc351203483"/>
      <w:r>
        <w:rPr>
          <w:rFonts w:hint="eastAsia" w:ascii="宋体" w:hAnsi="宋体" w:eastAsia="宋体" w:cs="宋体"/>
          <w:color w:val="auto"/>
          <w:sz w:val="24"/>
          <w:szCs w:val="24"/>
          <w:highlight w:val="none"/>
        </w:rPr>
        <w:t>三、质量标准</w:t>
      </w:r>
      <w:bookmarkEnd w:id="90"/>
    </w:p>
    <w:p w14:paraId="36435FBD">
      <w:pPr>
        <w:spacing w:line="460" w:lineRule="exact"/>
        <w:ind w:firstLine="45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工程质量符合</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合格工程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619A10B">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1" w:name="_Toc351203484"/>
      <w:r>
        <w:rPr>
          <w:rFonts w:hint="eastAsia" w:ascii="宋体" w:hAnsi="宋体" w:eastAsia="宋体" w:cs="宋体"/>
          <w:color w:val="auto"/>
          <w:sz w:val="24"/>
          <w:szCs w:val="24"/>
          <w:highlight w:val="none"/>
        </w:rPr>
        <w:t>四、签约合同价与合同价格形式</w:t>
      </w:r>
      <w:bookmarkEnd w:id="9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p>
    <w:p w14:paraId="36B9E717">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1.签约合同价为：人民币（大写）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50ED9724">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2.合同价格形式：</w:t>
      </w:r>
      <w:r>
        <w:rPr>
          <w:rFonts w:hint="eastAsia" w:ascii="宋体" w:hAnsi="宋体" w:eastAsia="宋体" w:cs="宋体"/>
          <w:b/>
          <w:color w:val="auto"/>
          <w:sz w:val="24"/>
          <w:highlight w:val="none"/>
          <w:u w:val="single"/>
        </w:rPr>
        <w:t>固定单价合同</w:t>
      </w:r>
      <w:r>
        <w:rPr>
          <w:rFonts w:hint="eastAsia" w:ascii="宋体" w:hAnsi="宋体" w:eastAsia="宋体" w:cs="宋体"/>
          <w:color w:val="auto"/>
          <w:sz w:val="24"/>
          <w:highlight w:val="none"/>
        </w:rPr>
        <w:t>。</w:t>
      </w:r>
    </w:p>
    <w:p w14:paraId="3D9FD797">
      <w:pPr>
        <w:pStyle w:val="6"/>
        <w:spacing w:line="46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w:t>
      </w:r>
      <w:bookmarkStart w:id="92" w:name="_Toc351203485"/>
      <w:r>
        <w:rPr>
          <w:rFonts w:hint="eastAsia" w:ascii="宋体" w:hAnsi="宋体" w:eastAsia="宋体" w:cs="宋体"/>
          <w:color w:val="auto"/>
          <w:sz w:val="24"/>
          <w:szCs w:val="24"/>
          <w:highlight w:val="none"/>
        </w:rPr>
        <w:t>五、</w:t>
      </w:r>
      <w:bookmarkEnd w:id="92"/>
      <w:r>
        <w:rPr>
          <w:rFonts w:hint="eastAsia" w:ascii="宋体" w:hAnsi="宋体" w:eastAsia="宋体" w:cs="宋体"/>
          <w:color w:val="auto"/>
          <w:sz w:val="24"/>
          <w:szCs w:val="24"/>
          <w:highlight w:val="none"/>
        </w:rPr>
        <w:t>项目经理：</w:t>
      </w:r>
      <w:r>
        <w:rPr>
          <w:rFonts w:hint="eastAsia" w:ascii="宋体" w:hAnsi="宋体" w:eastAsia="宋体" w:cs="宋体"/>
          <w:color w:val="auto"/>
          <w:sz w:val="24"/>
          <w:highlight w:val="none"/>
        </w:rPr>
        <w:t>承包人项目经理：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BF02E3">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3" w:name="_Toc351203486"/>
      <w:r>
        <w:rPr>
          <w:rFonts w:hint="eastAsia" w:ascii="宋体" w:hAnsi="宋体" w:eastAsia="宋体" w:cs="宋体"/>
          <w:color w:val="auto"/>
          <w:sz w:val="24"/>
          <w:szCs w:val="24"/>
          <w:highlight w:val="none"/>
        </w:rPr>
        <w:t>六、合同文件构成</w:t>
      </w:r>
      <w:bookmarkEnd w:id="93"/>
    </w:p>
    <w:p w14:paraId="63D70BD2">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本协议书与下列文件一起构成合同文件：</w:t>
      </w:r>
    </w:p>
    <w:p w14:paraId="50DBCA77">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（1）成交通知书；</w:t>
      </w:r>
    </w:p>
    <w:p w14:paraId="2B7FB68B">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（2）响应函及其附录； </w:t>
      </w:r>
    </w:p>
    <w:p w14:paraId="37C1F16C">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（3）专用合同条款及其附件；</w:t>
      </w:r>
    </w:p>
    <w:p w14:paraId="608E91A8">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（4）通用合同条款；</w:t>
      </w:r>
    </w:p>
    <w:p w14:paraId="2418689E">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（5）技术标准和要求；</w:t>
      </w:r>
    </w:p>
    <w:p w14:paraId="30E03B39">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（6）图纸；</w:t>
      </w:r>
    </w:p>
    <w:p w14:paraId="7ED78411">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（7）已标价工程量清单或预算书；</w:t>
      </w:r>
    </w:p>
    <w:p w14:paraId="770268A4">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（8）其他合同文件。</w:t>
      </w:r>
    </w:p>
    <w:p w14:paraId="2DDB7B3F">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w:t>
      </w:r>
    </w:p>
    <w:p w14:paraId="71D77CE8">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上述各项合同文件包括合同当事人就该项合同文件所作出的补充和修改，属于同一类内容的文件，应以最新签署的为准。专用合同条款及其附件须经合同当事人签字或盖章。</w:t>
      </w:r>
    </w:p>
    <w:p w14:paraId="5E2DE622">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4" w:name="_Toc351203487"/>
      <w:r>
        <w:rPr>
          <w:rFonts w:hint="eastAsia" w:ascii="宋体" w:hAnsi="宋体" w:eastAsia="宋体" w:cs="宋体"/>
          <w:color w:val="auto"/>
          <w:sz w:val="24"/>
          <w:szCs w:val="24"/>
          <w:highlight w:val="none"/>
        </w:rPr>
        <w:t>七、承诺</w:t>
      </w:r>
      <w:bookmarkEnd w:id="94"/>
    </w:p>
    <w:p w14:paraId="33E0F105">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1.发包人承诺按照法律规定履行项目审批手续、筹集工程建设资金并按照合同约定的期限和方式支付合同价款。</w:t>
      </w:r>
    </w:p>
    <w:p w14:paraId="57D962E0">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4E0F8CA6">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3.发包人和承包人通过采购形式签订合同的，双方理解并承诺不再就同一工程另行签订与合同实质性内容相背离的协议。</w:t>
      </w:r>
    </w:p>
    <w:p w14:paraId="1E303BFB">
      <w:pPr>
        <w:spacing w:line="460" w:lineRule="exact"/>
        <w:contextualSpacing/>
        <w:rPr>
          <w:rFonts w:hint="eastAsia" w:ascii="宋体" w:hAnsi="宋体" w:eastAsia="宋体" w:cs="宋体"/>
          <w:bCs/>
          <w:color w:val="auto"/>
          <w:sz w:val="24"/>
          <w:highlight w:val="none"/>
        </w:rPr>
      </w:pPr>
      <w:bookmarkStart w:id="95" w:name="_Toc351203488"/>
      <w:r>
        <w:rPr>
          <w:rFonts w:hint="eastAsia" w:ascii="宋体" w:hAnsi="宋体" w:eastAsia="宋体" w:cs="宋体"/>
          <w:b/>
          <w:color w:val="auto"/>
          <w:sz w:val="24"/>
          <w:highlight w:val="none"/>
        </w:rPr>
        <w:t xml:space="preserve">    八、词语含义</w:t>
      </w:r>
      <w:bookmarkEnd w:id="95"/>
    </w:p>
    <w:p w14:paraId="76D132FF">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本协议书中词语含义与第二部分通用合同条款中赋予的含义相同。</w:t>
      </w:r>
    </w:p>
    <w:p w14:paraId="2B7CBE3E">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6" w:name="_Toc351203489"/>
      <w:r>
        <w:rPr>
          <w:rFonts w:hint="eastAsia" w:ascii="宋体" w:hAnsi="宋体" w:eastAsia="宋体" w:cs="宋体"/>
          <w:color w:val="auto"/>
          <w:sz w:val="24"/>
          <w:szCs w:val="24"/>
          <w:highlight w:val="none"/>
        </w:rPr>
        <w:t>九、签订时间</w:t>
      </w:r>
      <w:bookmarkEnd w:id="96"/>
    </w:p>
    <w:p w14:paraId="6373400B">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日签订。</w:t>
      </w:r>
    </w:p>
    <w:p w14:paraId="0443BB9F">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7" w:name="_Toc351203490"/>
      <w:r>
        <w:rPr>
          <w:rFonts w:hint="eastAsia" w:ascii="宋体" w:hAnsi="宋体" w:eastAsia="宋体" w:cs="宋体"/>
          <w:color w:val="auto"/>
          <w:sz w:val="24"/>
          <w:szCs w:val="24"/>
          <w:highlight w:val="none"/>
        </w:rPr>
        <w:t>十、签订地点</w:t>
      </w:r>
      <w:bookmarkEnd w:id="97"/>
    </w:p>
    <w:p w14:paraId="69321F52">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本合同在</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签订。</w:t>
      </w:r>
    </w:p>
    <w:p w14:paraId="79DDC221">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8" w:name="_Toc351203491"/>
      <w:r>
        <w:rPr>
          <w:rFonts w:hint="eastAsia" w:ascii="宋体" w:hAnsi="宋体" w:eastAsia="宋体" w:cs="宋体"/>
          <w:color w:val="auto"/>
          <w:sz w:val="24"/>
          <w:szCs w:val="24"/>
          <w:highlight w:val="none"/>
        </w:rPr>
        <w:t>十一、补充协议</w:t>
      </w:r>
      <w:bookmarkEnd w:id="98"/>
    </w:p>
    <w:p w14:paraId="634C06CC">
      <w:pPr>
        <w:spacing w:line="460" w:lineRule="exact"/>
        <w:ind w:firstLine="480" w:firstLineChars="200"/>
        <w:contextualSpacing/>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合同未尽事宜，合同当事人另行签订补充协议，补充协议是合同的组成部分。</w:t>
      </w:r>
    </w:p>
    <w:p w14:paraId="5BCE7F3F">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99" w:name="_Toc351203492"/>
      <w:r>
        <w:rPr>
          <w:rFonts w:hint="eastAsia" w:ascii="宋体" w:hAnsi="宋体" w:eastAsia="宋体" w:cs="宋体"/>
          <w:color w:val="auto"/>
          <w:sz w:val="24"/>
          <w:szCs w:val="24"/>
          <w:highlight w:val="none"/>
        </w:rPr>
        <w:t>十二、合同生效</w:t>
      </w:r>
      <w:bookmarkEnd w:id="99"/>
    </w:p>
    <w:p w14:paraId="32839544">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本合同自</w:t>
      </w:r>
      <w:r>
        <w:rPr>
          <w:rFonts w:hint="eastAsia" w:ascii="宋体" w:hAnsi="宋体" w:eastAsia="宋体" w:cs="宋体"/>
          <w:b/>
          <w:bCs/>
          <w:color w:val="auto"/>
          <w:sz w:val="24"/>
          <w:highlight w:val="none"/>
          <w:u w:val="single"/>
        </w:rPr>
        <w:t>发承包双方签字盖章之日起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生效。</w:t>
      </w:r>
    </w:p>
    <w:p w14:paraId="63A9744F">
      <w:pPr>
        <w:pStyle w:val="6"/>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00" w:name="_Toc351203493"/>
      <w:r>
        <w:rPr>
          <w:rFonts w:hint="eastAsia" w:ascii="宋体" w:hAnsi="宋体" w:eastAsia="宋体" w:cs="宋体"/>
          <w:color w:val="auto"/>
          <w:sz w:val="24"/>
          <w:szCs w:val="24"/>
          <w:highlight w:val="none"/>
        </w:rPr>
        <w:t>十三、合同份数</w:t>
      </w:r>
      <w:bookmarkEnd w:id="100"/>
    </w:p>
    <w:p w14:paraId="48593343">
      <w:pPr>
        <w:spacing w:line="460" w:lineRule="exact"/>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本合同一式</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份，均具有同等法律效力，发包人执</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份，承包人执</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份。</w:t>
      </w:r>
    </w:p>
    <w:p w14:paraId="2077767F">
      <w:pPr>
        <w:spacing w:line="460" w:lineRule="exact"/>
        <w:contextualSpacing/>
        <w:rPr>
          <w:rFonts w:hint="eastAsia" w:ascii="宋体" w:hAnsi="宋体" w:eastAsia="宋体" w:cs="宋体"/>
          <w:color w:val="auto"/>
          <w:sz w:val="24"/>
          <w:highlight w:val="none"/>
        </w:rPr>
      </w:pPr>
    </w:p>
    <w:p w14:paraId="5A9E947E">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  (公章)                   承包人：  (公章)</w:t>
      </w:r>
    </w:p>
    <w:p w14:paraId="251C9024">
      <w:pPr>
        <w:spacing w:line="460" w:lineRule="exact"/>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AD54459">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         法定代表人或其委托代理人：</w:t>
      </w:r>
    </w:p>
    <w:p w14:paraId="381349EA">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（签字）                          （签字）</w:t>
      </w:r>
    </w:p>
    <w:p w14:paraId="6FE59229">
      <w:pPr>
        <w:spacing w:line="460" w:lineRule="exact"/>
        <w:contextualSpacing/>
        <w:rPr>
          <w:rFonts w:hint="eastAsia" w:ascii="宋体" w:hAnsi="宋体" w:eastAsia="宋体" w:cs="宋体"/>
          <w:color w:val="auto"/>
          <w:sz w:val="24"/>
          <w:highlight w:val="none"/>
          <w:u w:val="single"/>
        </w:rPr>
      </w:pPr>
    </w:p>
    <w:p w14:paraId="0EF9729A">
      <w:pPr>
        <w:tabs>
          <w:tab w:val="left" w:pos="4410"/>
        </w:tabs>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组织机构代码：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组织机构代码：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F894FAA">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地  址：</w:t>
      </w:r>
      <w:r>
        <w:rPr>
          <w:rFonts w:hint="eastAsia" w:ascii="宋体" w:hAnsi="宋体" w:eastAsia="宋体" w:cs="宋体"/>
          <w:color w:val="auto"/>
          <w:sz w:val="24"/>
          <w:highlight w:val="none"/>
          <w:u w:val="single"/>
        </w:rPr>
        <w:t xml:space="preserve">                      </w:t>
      </w:r>
    </w:p>
    <w:p w14:paraId="5DBFCD0E">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邮政编码：</w:t>
      </w:r>
      <w:r>
        <w:rPr>
          <w:rFonts w:hint="eastAsia" w:ascii="宋体" w:hAnsi="宋体" w:eastAsia="宋体" w:cs="宋体"/>
          <w:color w:val="auto"/>
          <w:sz w:val="24"/>
          <w:highlight w:val="none"/>
          <w:u w:val="single"/>
        </w:rPr>
        <w:t xml:space="preserve">                   </w:t>
      </w:r>
    </w:p>
    <w:p w14:paraId="54875C3A">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p>
    <w:p w14:paraId="25322D63">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p>
    <w:p w14:paraId="2A9540ED">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  话：</w:t>
      </w:r>
      <w:r>
        <w:rPr>
          <w:rFonts w:hint="eastAsia" w:ascii="宋体" w:hAnsi="宋体" w:eastAsia="宋体" w:cs="宋体"/>
          <w:color w:val="auto"/>
          <w:sz w:val="24"/>
          <w:highlight w:val="none"/>
          <w:u w:val="single"/>
        </w:rPr>
        <w:t xml:space="preserve">                     </w:t>
      </w:r>
    </w:p>
    <w:p w14:paraId="2450D9AA">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  真：</w:t>
      </w:r>
      <w:r>
        <w:rPr>
          <w:rFonts w:hint="eastAsia" w:ascii="宋体" w:hAnsi="宋体" w:eastAsia="宋体" w:cs="宋体"/>
          <w:color w:val="auto"/>
          <w:sz w:val="24"/>
          <w:highlight w:val="none"/>
          <w:u w:val="single"/>
        </w:rPr>
        <w:t xml:space="preserve">                     </w:t>
      </w:r>
    </w:p>
    <w:p w14:paraId="67E8AF90">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电子信箱：</w:t>
      </w:r>
      <w:r>
        <w:rPr>
          <w:rFonts w:hint="eastAsia" w:ascii="宋体" w:hAnsi="宋体" w:eastAsia="宋体" w:cs="宋体"/>
          <w:color w:val="auto"/>
          <w:sz w:val="24"/>
          <w:highlight w:val="none"/>
          <w:u w:val="single"/>
        </w:rPr>
        <w:t xml:space="preserve">                   </w:t>
      </w:r>
    </w:p>
    <w:p w14:paraId="558F5986">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开户银行：</w:t>
      </w:r>
      <w:r>
        <w:rPr>
          <w:rFonts w:hint="eastAsia" w:ascii="宋体" w:hAnsi="宋体" w:eastAsia="宋体" w:cs="宋体"/>
          <w:color w:val="auto"/>
          <w:sz w:val="24"/>
          <w:highlight w:val="none"/>
          <w:u w:val="single"/>
        </w:rPr>
        <w:t xml:space="preserve">                   </w:t>
      </w:r>
    </w:p>
    <w:p w14:paraId="2DE1B343">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账  号：</w:t>
      </w:r>
      <w:r>
        <w:rPr>
          <w:rFonts w:hint="eastAsia" w:ascii="宋体" w:hAnsi="宋体" w:eastAsia="宋体" w:cs="宋体"/>
          <w:color w:val="auto"/>
          <w:sz w:val="24"/>
          <w:highlight w:val="none"/>
          <w:u w:val="single"/>
        </w:rPr>
        <w:t xml:space="preserve">                     </w:t>
      </w:r>
    </w:p>
    <w:p w14:paraId="0F7AFB5C">
      <w:pPr>
        <w:spacing w:line="500" w:lineRule="exact"/>
        <w:contextualSpacing/>
        <w:rPr>
          <w:rFonts w:hint="eastAsia" w:ascii="宋体" w:hAnsi="宋体" w:eastAsia="宋体" w:cs="宋体"/>
          <w:b/>
          <w:bCs/>
          <w:color w:val="auto"/>
          <w:sz w:val="24"/>
          <w:highlight w:val="none"/>
        </w:rPr>
      </w:pPr>
    </w:p>
    <w:p w14:paraId="58DF8191">
      <w:pPr>
        <w:spacing w:line="500" w:lineRule="exact"/>
        <w:contextualSpacing/>
        <w:rPr>
          <w:rFonts w:hint="eastAsia" w:ascii="宋体" w:hAnsi="宋体" w:eastAsia="宋体" w:cs="宋体"/>
          <w:b/>
          <w:bCs/>
          <w:color w:val="auto"/>
          <w:sz w:val="24"/>
          <w:highlight w:val="none"/>
        </w:rPr>
      </w:pPr>
    </w:p>
    <w:p w14:paraId="59943F2E">
      <w:pPr>
        <w:spacing w:line="500" w:lineRule="exact"/>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第二部分　通用条款(略)</w:t>
      </w:r>
    </w:p>
    <w:p w14:paraId="5D8273F6">
      <w:pPr>
        <w:spacing w:line="500" w:lineRule="exact"/>
        <w:contextualSpacing/>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具体详见(GF-2013-0201)</w:t>
      </w:r>
    </w:p>
    <w:p w14:paraId="22BB611F">
      <w:pPr>
        <w:spacing w:line="500" w:lineRule="exact"/>
        <w:contextualSpacing/>
        <w:jc w:val="center"/>
        <w:rPr>
          <w:rFonts w:hint="eastAsia" w:ascii="宋体" w:hAnsi="宋体" w:eastAsia="宋体" w:cs="宋体"/>
          <w:b/>
          <w:bCs/>
          <w:color w:val="auto"/>
          <w:sz w:val="24"/>
          <w:highlight w:val="none"/>
        </w:rPr>
      </w:pPr>
    </w:p>
    <w:p w14:paraId="783ACE41">
      <w:pPr>
        <w:spacing w:line="500" w:lineRule="exact"/>
        <w:contextualSpacing/>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第三部分 专用合同条款</w:t>
      </w:r>
    </w:p>
    <w:p w14:paraId="6160E579">
      <w:pPr>
        <w:pStyle w:val="6"/>
        <w:keepNext w:val="0"/>
        <w:spacing w:line="4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一般约定</w:t>
      </w:r>
    </w:p>
    <w:p w14:paraId="3F423539">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 词语定义</w:t>
      </w:r>
    </w:p>
    <w:p w14:paraId="1C6126D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1.1.1合同</w:t>
      </w:r>
    </w:p>
    <w:p w14:paraId="0BFA4C14">
      <w:pPr>
        <w:spacing w:line="460" w:lineRule="exact"/>
        <w:ind w:firstLine="480" w:firstLineChars="200"/>
        <w:contextualSpacing/>
        <w:rPr>
          <w:rFonts w:hint="eastAsia" w:ascii="宋体" w:hAnsi="宋体" w:eastAsia="宋体" w:cs="宋体"/>
          <w:b/>
          <w:bCs/>
          <w:color w:val="auto"/>
          <w:sz w:val="24"/>
          <w:highlight w:val="none"/>
          <w:u w:val="single"/>
          <w:lang w:eastAsia="zh-TW"/>
        </w:rPr>
      </w:pPr>
      <w:r>
        <w:rPr>
          <w:rFonts w:hint="eastAsia" w:ascii="宋体" w:hAnsi="宋体" w:eastAsia="宋体" w:cs="宋体"/>
          <w:color w:val="auto"/>
          <w:sz w:val="24"/>
          <w:highlight w:val="none"/>
        </w:rPr>
        <w:t>1.1.1.1其他合同文件包括：</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eastAsia="zh-TW"/>
        </w:rPr>
        <w:t>合同履行过程中双方法人代表或项目负责人书面确认的对合同内容有实质性影响的会议纪要、签证、设计变更等资料。</w:t>
      </w:r>
    </w:p>
    <w:p w14:paraId="4E571A3B">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1.1.2 合同当事人及其他相关方</w:t>
      </w:r>
    </w:p>
    <w:p w14:paraId="3F115079">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1.1.2.1监理人：</w:t>
      </w:r>
    </w:p>
    <w:p w14:paraId="1987DF4B">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D2153F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F4D12C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58F0A695">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614C2DA9">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58E6FB64">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1.1.2.2 设计人：</w:t>
      </w:r>
    </w:p>
    <w:p w14:paraId="68900781">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262CAB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6A323F67">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3BDAB525">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D8A4B54">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2CF5192C">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1.1.3 工程和设备</w:t>
      </w:r>
    </w:p>
    <w:p w14:paraId="1137C587">
      <w:pPr>
        <w:spacing w:line="460" w:lineRule="exact"/>
        <w:ind w:firstLine="480" w:firstLineChars="200"/>
        <w:contextualSpacing/>
        <w:rPr>
          <w:rFonts w:hint="eastAsia" w:ascii="宋体" w:hAnsi="宋体" w:eastAsia="宋体" w:cs="宋体"/>
          <w:b/>
          <w:bCs/>
          <w:color w:val="auto"/>
          <w:sz w:val="24"/>
          <w:highlight w:val="none"/>
          <w:u w:val="single"/>
          <w:lang w:eastAsia="zh-TW"/>
        </w:rPr>
      </w:pPr>
      <w:r>
        <w:rPr>
          <w:rFonts w:hint="eastAsia" w:ascii="宋体" w:hAnsi="宋体" w:eastAsia="宋体" w:cs="宋体"/>
          <w:color w:val="auto"/>
          <w:sz w:val="24"/>
          <w:highlight w:val="none"/>
        </w:rPr>
        <w:t>1.1.3.1 作为施工现场组成部分的其他场所包括：</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lang w:eastAsia="zh-TW"/>
        </w:rPr>
        <w:t xml:space="preserve">施工所需的水电，由发包人配合承包人办理，双方协商解决 </w:t>
      </w:r>
    </w:p>
    <w:p w14:paraId="56C3B52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1.3法律 </w:t>
      </w:r>
    </w:p>
    <w:p w14:paraId="68004511">
      <w:pPr>
        <w:adjustRightInd w:val="0"/>
        <w:spacing w:line="460" w:lineRule="exact"/>
        <w:ind w:firstLine="58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适用于合同的其他规范性文件：</w:t>
      </w:r>
      <w:r>
        <w:rPr>
          <w:rFonts w:hint="eastAsia" w:ascii="宋体" w:hAnsi="宋体" w:eastAsia="宋体" w:cs="宋体"/>
          <w:b/>
          <w:bCs/>
          <w:color w:val="auto"/>
          <w:sz w:val="24"/>
          <w:highlight w:val="none"/>
          <w:u w:val="single"/>
          <w:lang w:eastAsia="zh-TW"/>
        </w:rPr>
        <w:t>《中华人民共和国建筑法》、</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eastAsia="zh-TW"/>
        </w:rPr>
        <w:t>中华人民共和国</w:t>
      </w:r>
      <w:r>
        <w:rPr>
          <w:rFonts w:hint="eastAsia" w:ascii="宋体" w:hAnsi="宋体" w:eastAsia="宋体" w:cs="宋体"/>
          <w:b/>
          <w:bCs/>
          <w:color w:val="auto"/>
          <w:sz w:val="24"/>
          <w:highlight w:val="none"/>
          <w:u w:val="single"/>
        </w:rPr>
        <w:t>民法典</w:t>
      </w:r>
      <w:r>
        <w:rPr>
          <w:rFonts w:hint="eastAsia" w:ascii="宋体" w:hAnsi="宋体" w:eastAsia="宋体" w:cs="宋体"/>
          <w:b/>
          <w:bCs/>
          <w:color w:val="auto"/>
          <w:sz w:val="24"/>
          <w:highlight w:val="none"/>
          <w:u w:val="single"/>
          <w:lang w:eastAsia="zh-TW"/>
        </w:rPr>
        <w:t>》、</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eastAsia="zh-TW"/>
        </w:rPr>
        <w:t>中华人民共和国</w:t>
      </w:r>
      <w:r>
        <w:rPr>
          <w:rFonts w:hint="eastAsia" w:ascii="宋体" w:hAnsi="宋体" w:eastAsia="宋体" w:cs="宋体"/>
          <w:b/>
          <w:bCs/>
          <w:color w:val="auto"/>
          <w:sz w:val="24"/>
          <w:highlight w:val="none"/>
          <w:u w:val="single"/>
        </w:rPr>
        <w:t>政府采购</w:t>
      </w:r>
      <w:r>
        <w:rPr>
          <w:rFonts w:hint="eastAsia" w:ascii="宋体" w:hAnsi="宋体" w:eastAsia="宋体" w:cs="宋体"/>
          <w:b/>
          <w:bCs/>
          <w:color w:val="auto"/>
          <w:sz w:val="24"/>
          <w:highlight w:val="none"/>
          <w:u w:val="single"/>
          <w:lang w:eastAsia="zh-TW"/>
        </w:rPr>
        <w:t>法》、七部委第</w:t>
      </w:r>
      <w:r>
        <w:rPr>
          <w:rFonts w:hint="eastAsia" w:ascii="宋体" w:hAnsi="宋体" w:eastAsia="宋体" w:cs="宋体"/>
          <w:b/>
          <w:bCs/>
          <w:color w:val="auto"/>
          <w:sz w:val="24"/>
          <w:highlight w:val="none"/>
          <w:u w:val="single"/>
        </w:rPr>
        <w:t xml:space="preserve"> 12 </w:t>
      </w:r>
      <w:r>
        <w:rPr>
          <w:rFonts w:hint="eastAsia" w:ascii="宋体" w:hAnsi="宋体" w:eastAsia="宋体" w:cs="宋体"/>
          <w:b/>
          <w:bCs/>
          <w:color w:val="auto"/>
          <w:sz w:val="24"/>
          <w:highlight w:val="none"/>
          <w:u w:val="single"/>
          <w:lang w:eastAsia="zh-TW"/>
        </w:rPr>
        <w:t>号令《</w:t>
      </w:r>
      <w:r>
        <w:rPr>
          <w:rFonts w:hint="eastAsia" w:ascii="宋体" w:hAnsi="宋体" w:eastAsia="宋体" w:cs="宋体"/>
          <w:b/>
          <w:bCs/>
          <w:color w:val="auto"/>
          <w:sz w:val="24"/>
          <w:highlight w:val="none"/>
          <w:u w:val="single"/>
        </w:rPr>
        <w:t>磋商小组</w:t>
      </w:r>
      <w:r>
        <w:rPr>
          <w:rFonts w:hint="eastAsia" w:ascii="宋体" w:hAnsi="宋体" w:eastAsia="宋体" w:cs="宋体"/>
          <w:b/>
          <w:bCs/>
          <w:color w:val="auto"/>
          <w:sz w:val="24"/>
          <w:highlight w:val="none"/>
          <w:u w:val="single"/>
          <w:lang w:eastAsia="zh-TW"/>
        </w:rPr>
        <w:t>和评标方法暂行规定》</w:t>
      </w:r>
      <w:r>
        <w:rPr>
          <w:rFonts w:hint="eastAsia" w:ascii="宋体" w:hAnsi="宋体" w:eastAsia="宋体" w:cs="宋体"/>
          <w:b/>
          <w:bCs/>
          <w:color w:val="auto"/>
          <w:sz w:val="24"/>
          <w:highlight w:val="none"/>
          <w:u w:val="single"/>
        </w:rPr>
        <w:t>等</w:t>
      </w:r>
      <w:r>
        <w:rPr>
          <w:rFonts w:hint="eastAsia" w:ascii="宋体" w:hAnsi="宋体" w:eastAsia="宋体" w:cs="宋体"/>
          <w:b/>
          <w:bCs/>
          <w:color w:val="auto"/>
          <w:sz w:val="24"/>
          <w:highlight w:val="none"/>
          <w:u w:val="single"/>
          <w:lang w:eastAsia="zh-TW"/>
        </w:rPr>
        <w:t>。</w:t>
      </w:r>
    </w:p>
    <w:p w14:paraId="0930A4B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1.4 标准和规范</w:t>
      </w:r>
    </w:p>
    <w:p w14:paraId="15C43F7A">
      <w:pPr>
        <w:spacing w:line="460" w:lineRule="exact"/>
        <w:ind w:firstLine="480" w:firstLineChars="200"/>
        <w:contextualSpacing/>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1.4.1适用于工程的标准规范包括：</w:t>
      </w:r>
      <w:r>
        <w:rPr>
          <w:rFonts w:hint="eastAsia" w:ascii="宋体" w:hAnsi="宋体" w:eastAsia="宋体" w:cs="宋体"/>
          <w:b/>
          <w:bCs/>
          <w:color w:val="auto"/>
          <w:sz w:val="24"/>
          <w:highlight w:val="none"/>
          <w:u w:val="single"/>
        </w:rPr>
        <w:t>中华人民共和国建设部颁发的有关标准、规范、强制性条款及省、市有关规定；建筑安装工程施工质量验收规范以及相关各专业施工质量验收规范。当标准互相矛盾时，以最新的为准。</w:t>
      </w:r>
    </w:p>
    <w:p w14:paraId="5671A248">
      <w:pPr>
        <w:spacing w:line="460" w:lineRule="exact"/>
        <w:ind w:firstLine="480" w:firstLineChars="200"/>
        <w:contextualSpacing/>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 发包人提供国外标准、规范的名称：</w:t>
      </w:r>
      <w:r>
        <w:rPr>
          <w:rFonts w:hint="eastAsia" w:ascii="宋体" w:hAnsi="宋体" w:eastAsia="宋体" w:cs="宋体"/>
          <w:color w:val="auto"/>
          <w:kern w:val="0"/>
          <w:sz w:val="24"/>
          <w:highlight w:val="none"/>
          <w:u w:val="single"/>
        </w:rPr>
        <w:t>无</w:t>
      </w:r>
      <w:r>
        <w:rPr>
          <w:rFonts w:hint="eastAsia" w:ascii="宋体" w:hAnsi="宋体" w:eastAsia="宋体" w:cs="宋体"/>
          <w:color w:val="auto"/>
          <w:kern w:val="0"/>
          <w:sz w:val="24"/>
          <w:highlight w:val="none"/>
        </w:rPr>
        <w:t>；</w:t>
      </w:r>
    </w:p>
    <w:p w14:paraId="431B5B2C">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1.4.3发包人对工程的技术标准和功能要求的特殊要求：</w:t>
      </w:r>
      <w:r>
        <w:rPr>
          <w:rFonts w:hint="eastAsia" w:ascii="宋体" w:hAnsi="宋体" w:eastAsia="宋体" w:cs="宋体"/>
          <w:color w:val="auto"/>
          <w:sz w:val="24"/>
          <w:highlight w:val="none"/>
          <w:u w:val="single"/>
        </w:rPr>
        <w:t>无</w:t>
      </w:r>
      <w:r>
        <w:rPr>
          <w:rFonts w:hint="eastAsia" w:ascii="宋体" w:hAnsi="宋体" w:eastAsia="宋体" w:cs="宋体"/>
          <w:color w:val="auto"/>
          <w:sz w:val="24"/>
          <w:highlight w:val="none"/>
        </w:rPr>
        <w:t>。</w:t>
      </w:r>
    </w:p>
    <w:p w14:paraId="668B5A12">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1.5 合同文件的优先顺序</w:t>
      </w:r>
    </w:p>
    <w:p w14:paraId="7E1BA2A9">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合同文件组成及优先顺序为：</w:t>
      </w:r>
      <w:r>
        <w:rPr>
          <w:rFonts w:hint="eastAsia" w:ascii="宋体" w:hAnsi="宋体" w:eastAsia="宋体" w:cs="宋体"/>
          <w:b/>
          <w:color w:val="auto"/>
          <w:sz w:val="24"/>
          <w:highlight w:val="none"/>
          <w:u w:val="single"/>
          <w:lang w:eastAsia="zh-TW"/>
        </w:rPr>
        <w:t>（1）合同协议书；（2）</w:t>
      </w:r>
      <w:r>
        <w:rPr>
          <w:rFonts w:hint="eastAsia" w:ascii="宋体" w:hAnsi="宋体" w:eastAsia="宋体" w:cs="宋体"/>
          <w:b/>
          <w:color w:val="auto"/>
          <w:sz w:val="24"/>
          <w:highlight w:val="none"/>
          <w:u w:val="single"/>
        </w:rPr>
        <w:t>成交</w:t>
      </w:r>
      <w:r>
        <w:rPr>
          <w:rFonts w:hint="eastAsia" w:ascii="宋体" w:hAnsi="宋体" w:eastAsia="宋体" w:cs="宋体"/>
          <w:b/>
          <w:color w:val="auto"/>
          <w:sz w:val="24"/>
          <w:highlight w:val="none"/>
          <w:u w:val="single"/>
          <w:lang w:eastAsia="zh-TW"/>
        </w:rPr>
        <w:t>通知书；（3）</w:t>
      </w:r>
      <w:r>
        <w:rPr>
          <w:rFonts w:hint="eastAsia" w:ascii="宋体" w:hAnsi="宋体" w:eastAsia="宋体" w:cs="宋体"/>
          <w:b/>
          <w:color w:val="auto"/>
          <w:sz w:val="24"/>
          <w:highlight w:val="none"/>
          <w:u w:val="single"/>
        </w:rPr>
        <w:t>采购文件</w:t>
      </w:r>
      <w:r>
        <w:rPr>
          <w:rFonts w:hint="eastAsia" w:ascii="宋体" w:hAnsi="宋体" w:eastAsia="宋体" w:cs="宋体"/>
          <w:b/>
          <w:color w:val="auto"/>
          <w:sz w:val="24"/>
          <w:highlight w:val="none"/>
          <w:u w:val="single"/>
          <w:lang w:eastAsia="zh-TW"/>
        </w:rPr>
        <w:t>及答疑（含工程量清单）；（4）</w:t>
      </w:r>
      <w:r>
        <w:rPr>
          <w:rFonts w:hint="eastAsia" w:ascii="宋体" w:hAnsi="宋体" w:eastAsia="宋体" w:cs="宋体"/>
          <w:b/>
          <w:color w:val="auto"/>
          <w:sz w:val="24"/>
          <w:highlight w:val="none"/>
          <w:u w:val="single"/>
        </w:rPr>
        <w:t>响应文件</w:t>
      </w:r>
      <w:r>
        <w:rPr>
          <w:rFonts w:hint="eastAsia" w:ascii="宋体" w:hAnsi="宋体" w:eastAsia="宋体" w:cs="宋体"/>
          <w:b/>
          <w:color w:val="auto"/>
          <w:sz w:val="24"/>
          <w:highlight w:val="none"/>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eastAsia" w:ascii="宋体" w:hAnsi="宋体" w:eastAsia="宋体" w:cs="宋体"/>
          <w:b/>
          <w:color w:val="auto"/>
          <w:sz w:val="24"/>
          <w:highlight w:val="none"/>
          <w:u w:val="single"/>
        </w:rPr>
        <w:t>本工程《</w:t>
      </w:r>
      <w:r>
        <w:rPr>
          <w:rFonts w:hint="eastAsia" w:ascii="宋体" w:hAnsi="宋体" w:eastAsia="宋体" w:cs="宋体"/>
          <w:b/>
          <w:color w:val="auto"/>
          <w:sz w:val="24"/>
          <w:highlight w:val="none"/>
          <w:u w:val="single"/>
          <w:lang w:eastAsia="zh-TW"/>
        </w:rPr>
        <w:t>委托监理合同</w:t>
      </w:r>
      <w:r>
        <w:rPr>
          <w:rFonts w:hint="eastAsia"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eastAsia="zh-TW"/>
        </w:rPr>
        <w:t>。</w:t>
      </w:r>
    </w:p>
    <w:p w14:paraId="5029D8F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1.6 图纸和承包人文件</w:t>
      </w:r>
      <w:r>
        <w:rPr>
          <w:rFonts w:hint="eastAsia" w:ascii="宋体" w:hAnsi="宋体" w:eastAsia="宋体" w:cs="宋体"/>
          <w:color w:val="auto"/>
          <w:sz w:val="24"/>
          <w:highlight w:val="none"/>
        </w:rPr>
        <w:tab/>
      </w:r>
    </w:p>
    <w:p w14:paraId="109585DC">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1.6.1 图纸的提供</w:t>
      </w:r>
    </w:p>
    <w:p w14:paraId="6AA65394">
      <w:pPr>
        <w:spacing w:line="460" w:lineRule="exact"/>
        <w:ind w:firstLine="480" w:firstLineChars="200"/>
        <w:contextualSpacing/>
        <w:rPr>
          <w:rFonts w:hint="eastAsia" w:ascii="宋体" w:hAnsi="宋体" w:eastAsia="宋体" w:cs="宋体"/>
          <w:b/>
          <w:color w:val="auto"/>
          <w:sz w:val="24"/>
          <w:highlight w:val="none"/>
          <w:u w:val="single"/>
          <w:lang w:eastAsia="zh-TW"/>
        </w:rPr>
      </w:pPr>
      <w:r>
        <w:rPr>
          <w:rFonts w:hint="eastAsia" w:ascii="宋体" w:hAnsi="宋体" w:eastAsia="宋体" w:cs="宋体"/>
          <w:color w:val="auto"/>
          <w:sz w:val="24"/>
          <w:highlight w:val="none"/>
        </w:rPr>
        <w:t>发包人向承包人提供图纸的期限：</w:t>
      </w:r>
    </w:p>
    <w:p w14:paraId="650C5E58">
      <w:pPr>
        <w:spacing w:line="460" w:lineRule="exact"/>
        <w:ind w:firstLine="480" w:firstLineChars="2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发包人向承包人提供图纸的数量：</w:t>
      </w:r>
      <w:r>
        <w:rPr>
          <w:rFonts w:hint="eastAsia" w:ascii="宋体" w:hAnsi="宋体" w:eastAsia="宋体" w:cs="宋体"/>
          <w:b/>
          <w:color w:val="auto"/>
          <w:sz w:val="24"/>
          <w:highlight w:val="none"/>
          <w:u w:val="single"/>
          <w:lang w:eastAsia="zh-TW"/>
        </w:rPr>
        <w:t>　</w:t>
      </w:r>
      <w:r>
        <w:rPr>
          <w:rFonts w:hint="eastAsia" w:ascii="宋体" w:hAnsi="宋体" w:eastAsia="宋体" w:cs="宋体"/>
          <w:b/>
          <w:color w:val="auto"/>
          <w:sz w:val="24"/>
          <w:highlight w:val="none"/>
          <w:u w:val="single"/>
        </w:rPr>
        <w:t>无 ，</w:t>
      </w:r>
      <w:r>
        <w:rPr>
          <w:rFonts w:hint="eastAsia" w:ascii="宋体" w:hAnsi="宋体" w:eastAsia="宋体" w:cs="宋体"/>
          <w:color w:val="auto"/>
          <w:sz w:val="24"/>
          <w:highlight w:val="none"/>
        </w:rPr>
        <w:t>发包人向承包人提供图纸的内容：</w:t>
      </w:r>
      <w:r>
        <w:rPr>
          <w:rFonts w:hint="eastAsia" w:ascii="宋体" w:hAnsi="宋体" w:eastAsia="宋体" w:cs="宋体"/>
          <w:color w:val="auto"/>
          <w:sz w:val="24"/>
          <w:highlight w:val="none"/>
          <w:u w:val="single"/>
        </w:rPr>
        <w:t>无</w:t>
      </w:r>
      <w:r>
        <w:rPr>
          <w:rFonts w:hint="eastAsia" w:ascii="宋体" w:hAnsi="宋体" w:eastAsia="宋体" w:cs="宋体"/>
          <w:b/>
          <w:color w:val="auto"/>
          <w:sz w:val="24"/>
          <w:highlight w:val="none"/>
          <w:u w:val="single"/>
          <w:lang w:eastAsia="zh-TW"/>
        </w:rPr>
        <w:t>。</w:t>
      </w:r>
    </w:p>
    <w:p w14:paraId="3CF8935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1.6.2承包人文件</w:t>
      </w:r>
    </w:p>
    <w:p w14:paraId="0B8A98D9">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需要由承包人提供的文件、期限、数量及形式：</w:t>
      </w:r>
      <w:r>
        <w:rPr>
          <w:rFonts w:hint="eastAsia" w:ascii="宋体" w:hAnsi="宋体" w:eastAsia="宋体" w:cs="宋体"/>
          <w:b/>
          <w:color w:val="auto"/>
          <w:sz w:val="24"/>
          <w:highlight w:val="none"/>
          <w:u w:val="single"/>
          <w:lang w:eastAsia="zh-TW"/>
        </w:rPr>
        <w:t>由双方另行确定；</w:t>
      </w:r>
    </w:p>
    <w:p w14:paraId="3746327C">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发包人审批承包人文件的期限：</w:t>
      </w:r>
      <w:r>
        <w:rPr>
          <w:rFonts w:hint="eastAsia" w:ascii="宋体" w:hAnsi="宋体" w:eastAsia="宋体" w:cs="宋体"/>
          <w:b/>
          <w:color w:val="auto"/>
          <w:sz w:val="24"/>
          <w:highlight w:val="none"/>
          <w:u w:val="single"/>
          <w:lang w:eastAsia="zh-TW"/>
        </w:rPr>
        <w:t>双方另行确定。</w:t>
      </w:r>
    </w:p>
    <w:p w14:paraId="2885C271">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1.6.3 现场图纸准备</w:t>
      </w:r>
    </w:p>
    <w:p w14:paraId="390637C0">
      <w:pPr>
        <w:spacing w:line="460" w:lineRule="exact"/>
        <w:ind w:firstLine="480" w:firstLineChars="200"/>
        <w:contextualSpacing/>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关于现场图纸准备的约定：</w:t>
      </w:r>
      <w:r>
        <w:rPr>
          <w:rFonts w:hint="eastAsia" w:ascii="宋体" w:hAnsi="宋体" w:eastAsia="宋体" w:cs="宋体"/>
          <w:color w:val="auto"/>
          <w:sz w:val="24"/>
          <w:highlight w:val="none"/>
          <w:u w:val="single"/>
        </w:rPr>
        <w:t>无</w:t>
      </w:r>
      <w:r>
        <w:rPr>
          <w:rFonts w:hint="eastAsia" w:ascii="宋体" w:hAnsi="宋体" w:eastAsia="宋体" w:cs="宋体"/>
          <w:b/>
          <w:color w:val="auto"/>
          <w:sz w:val="24"/>
          <w:highlight w:val="none"/>
          <w:u w:val="single"/>
          <w:lang w:eastAsia="zh-TW"/>
        </w:rPr>
        <w:t>。</w:t>
      </w:r>
    </w:p>
    <w:p w14:paraId="79DF984F">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1.7 联络</w:t>
      </w:r>
    </w:p>
    <w:p w14:paraId="02BAC151">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1.7.1发包人和承包人应当在</w:t>
      </w:r>
      <w:r>
        <w:rPr>
          <w:rFonts w:hint="eastAsia"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lang w:eastAsia="zh-TW"/>
        </w:rPr>
        <w:t xml:space="preserve">   7  </w:t>
      </w:r>
      <w:r>
        <w:rPr>
          <w:rFonts w:hint="eastAsia" w:ascii="宋体" w:hAnsi="宋体" w:eastAsia="宋体" w:cs="宋体"/>
          <w:color w:val="auto"/>
          <w:sz w:val="24"/>
          <w:highlight w:val="none"/>
        </w:rPr>
        <w:t>天内将与合同有关的通知、批准、证明、证书、指示、指令、要求、请求、同意、意见、确定和决定等书面函件送达对方当事人。</w:t>
      </w:r>
    </w:p>
    <w:p w14:paraId="78C9B8A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1.7.2 发包人接收文件的地点：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；发包人指定的接收人为：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800D4FA">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承包人接收文件的地点：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；承包人指定的接收人为：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12A33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监理人接收文件的地点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；监理人指定的接收人为：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4245FC4">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1.10 交通运输</w:t>
      </w:r>
    </w:p>
    <w:p w14:paraId="3EB1CEF2">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1.10.1 出入现场的权利</w:t>
      </w:r>
    </w:p>
    <w:p w14:paraId="4030D7A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关于出入现场的权利的约定：</w:t>
      </w:r>
      <w:r>
        <w:rPr>
          <w:rFonts w:hint="eastAsia" w:ascii="宋体" w:hAnsi="宋体" w:eastAsia="宋体" w:cs="宋体"/>
          <w:b/>
          <w:color w:val="auto"/>
          <w:sz w:val="24"/>
          <w:highlight w:val="none"/>
          <w:u w:val="single"/>
          <w:lang w:eastAsia="zh-TW"/>
        </w:rPr>
        <w:t>按本合同通用条款执行</w:t>
      </w:r>
      <w:r>
        <w:rPr>
          <w:rFonts w:hint="eastAsia" w:ascii="宋体" w:hAnsi="宋体" w:eastAsia="宋体" w:cs="宋体"/>
          <w:b/>
          <w:color w:val="auto"/>
          <w:sz w:val="24"/>
          <w:highlight w:val="none"/>
          <w:u w:val="single"/>
        </w:rPr>
        <w:t>。</w:t>
      </w:r>
    </w:p>
    <w:p w14:paraId="7063E9F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1.10.2场内交通</w:t>
      </w:r>
    </w:p>
    <w:p w14:paraId="50DD653F">
      <w:pPr>
        <w:spacing w:line="460" w:lineRule="exact"/>
        <w:ind w:firstLine="480" w:firstLineChars="200"/>
        <w:contextualSpacing/>
        <w:rPr>
          <w:rFonts w:hint="eastAsia" w:ascii="宋体" w:hAnsi="宋体" w:eastAsia="宋体" w:cs="宋体"/>
          <w:b/>
          <w:color w:val="auto"/>
          <w:sz w:val="24"/>
          <w:highlight w:val="none"/>
          <w:u w:val="single"/>
          <w:lang w:eastAsia="zh-TW"/>
        </w:rPr>
      </w:pPr>
      <w:r>
        <w:rPr>
          <w:rFonts w:hint="eastAsia" w:ascii="宋体" w:hAnsi="宋体" w:eastAsia="宋体" w:cs="宋体"/>
          <w:color w:val="auto"/>
          <w:sz w:val="24"/>
          <w:highlight w:val="none"/>
        </w:rPr>
        <w:t>关于场外交通和场内交通的边界的约定：</w:t>
      </w:r>
      <w:r>
        <w:rPr>
          <w:rFonts w:hint="eastAsia" w:ascii="宋体" w:hAnsi="宋体" w:eastAsia="宋体" w:cs="宋体"/>
          <w:b/>
          <w:color w:val="auto"/>
          <w:sz w:val="24"/>
          <w:highlight w:val="none"/>
          <w:u w:val="single"/>
          <w:lang w:eastAsia="zh-TW"/>
        </w:rPr>
        <w:t>以本工程</w:t>
      </w:r>
      <w:r>
        <w:rPr>
          <w:rFonts w:hint="eastAsia" w:ascii="宋体" w:hAnsi="宋体" w:eastAsia="宋体" w:cs="宋体"/>
          <w:b/>
          <w:color w:val="auto"/>
          <w:sz w:val="24"/>
          <w:highlight w:val="none"/>
          <w:u w:val="single"/>
        </w:rPr>
        <w:t>校园外</w:t>
      </w:r>
      <w:r>
        <w:rPr>
          <w:rFonts w:hint="eastAsia" w:ascii="宋体" w:hAnsi="宋体" w:eastAsia="宋体" w:cs="宋体"/>
          <w:b/>
          <w:color w:val="auto"/>
          <w:sz w:val="24"/>
          <w:highlight w:val="none"/>
          <w:u w:val="single"/>
          <w:lang w:eastAsia="zh-TW"/>
        </w:rPr>
        <w:t>围墙为界 。</w:t>
      </w:r>
    </w:p>
    <w:p w14:paraId="37454DD9">
      <w:pPr>
        <w:spacing w:line="460" w:lineRule="exact"/>
        <w:ind w:firstLine="480" w:firstLineChars="200"/>
        <w:contextualSpacing/>
        <w:rPr>
          <w:rFonts w:hint="eastAsia" w:ascii="宋体" w:hAnsi="宋体" w:eastAsia="宋体" w:cs="宋体"/>
          <w:b/>
          <w:color w:val="auto"/>
          <w:sz w:val="24"/>
          <w:highlight w:val="none"/>
          <w:u w:val="single"/>
          <w:lang w:eastAsia="zh-TW"/>
        </w:rPr>
      </w:pPr>
      <w:r>
        <w:rPr>
          <w:rFonts w:hint="eastAsia" w:ascii="宋体" w:hAnsi="宋体" w:eastAsia="宋体" w:cs="宋体"/>
          <w:color w:val="auto"/>
          <w:sz w:val="24"/>
          <w:highlight w:val="none"/>
        </w:rPr>
        <w:t>关于发包人向承包人免费提供满足工程施工需要的场内道路和交通设施的约定：</w:t>
      </w:r>
      <w:r>
        <w:rPr>
          <w:rFonts w:hint="eastAsia" w:ascii="宋体" w:hAnsi="宋体" w:eastAsia="宋体" w:cs="宋体"/>
          <w:b/>
          <w:color w:val="auto"/>
          <w:sz w:val="24"/>
          <w:highlight w:val="none"/>
          <w:u w:val="single"/>
          <w:lang w:eastAsia="zh-TW"/>
        </w:rPr>
        <w:t>现状，未具备部分由承包人自行负责，费用已包含在合同价款内</w:t>
      </w:r>
      <w:r>
        <w:rPr>
          <w:rFonts w:hint="eastAsia"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eastAsia="zh-TW"/>
        </w:rPr>
        <w:t xml:space="preserve"> </w:t>
      </w:r>
    </w:p>
    <w:p w14:paraId="5E4884BB">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1.10.3超大件和超重件的运输</w:t>
      </w:r>
    </w:p>
    <w:p w14:paraId="6D96B35F">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运输超大件或超重件所需的道路和桥梁临时加固改造费用和其他有关费用由</w:t>
      </w:r>
      <w:r>
        <w:rPr>
          <w:rFonts w:hint="eastAsia" w:ascii="宋体" w:hAnsi="宋体" w:eastAsia="宋体" w:cs="宋体"/>
          <w:b/>
          <w:color w:val="auto"/>
          <w:sz w:val="24"/>
          <w:highlight w:val="none"/>
          <w:u w:val="single"/>
          <w:lang w:eastAsia="zh-TW"/>
        </w:rPr>
        <w:t xml:space="preserve">  </w:t>
      </w:r>
      <w:r>
        <w:rPr>
          <w:rFonts w:hint="eastAsia" w:ascii="宋体" w:hAnsi="宋体" w:eastAsia="宋体" w:cs="宋体"/>
          <w:b/>
          <w:color w:val="auto"/>
          <w:sz w:val="24"/>
          <w:highlight w:val="none"/>
          <w:u w:val="single"/>
        </w:rPr>
        <w:t>承包人</w:t>
      </w:r>
      <w:r>
        <w:rPr>
          <w:rFonts w:hint="eastAsia" w:ascii="宋体" w:hAnsi="宋体" w:eastAsia="宋体" w:cs="宋体"/>
          <w:b/>
          <w:color w:val="auto"/>
          <w:sz w:val="24"/>
          <w:highlight w:val="none"/>
          <w:u w:val="single"/>
          <w:lang w:eastAsia="zh-TW"/>
        </w:rPr>
        <w:t xml:space="preserve">  </w:t>
      </w:r>
      <w:r>
        <w:rPr>
          <w:rFonts w:hint="eastAsia" w:ascii="宋体" w:hAnsi="宋体" w:eastAsia="宋体" w:cs="宋体"/>
          <w:color w:val="auto"/>
          <w:sz w:val="24"/>
          <w:highlight w:val="none"/>
        </w:rPr>
        <w:t>承担。</w:t>
      </w:r>
    </w:p>
    <w:p w14:paraId="08D3F501">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1.11 知识产权</w:t>
      </w:r>
    </w:p>
    <w:p w14:paraId="6FCDC71A">
      <w:pPr>
        <w:spacing w:line="460" w:lineRule="exact"/>
        <w:ind w:firstLine="480" w:firstLineChars="200"/>
        <w:contextualSpacing/>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color w:val="auto"/>
          <w:sz w:val="24"/>
          <w:highlight w:val="none"/>
          <w:u w:val="single"/>
        </w:rPr>
        <w:t xml:space="preserve">      </w:t>
      </w:r>
    </w:p>
    <w:p w14:paraId="513C51C9">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关于发包人提供的上述文件的使用限制的要求：</w:t>
      </w:r>
      <w:r>
        <w:rPr>
          <w:rFonts w:hint="eastAsia" w:ascii="宋体" w:hAnsi="宋体" w:eastAsia="宋体" w:cs="宋体"/>
          <w:b/>
          <w:color w:val="auto"/>
          <w:sz w:val="24"/>
          <w:highlight w:val="none"/>
          <w:u w:val="single"/>
          <w:lang w:eastAsia="zh-TW"/>
        </w:rPr>
        <w:t>按通用条款执行。</w:t>
      </w:r>
    </w:p>
    <w:p w14:paraId="0CC3A40D">
      <w:pPr>
        <w:spacing w:line="460" w:lineRule="exact"/>
        <w:ind w:firstLine="480" w:firstLineChars="200"/>
        <w:contextualSpacing/>
        <w:rPr>
          <w:rFonts w:hint="eastAsia" w:ascii="宋体" w:hAnsi="宋体" w:eastAsia="宋体" w:cs="宋体"/>
          <w:b/>
          <w:color w:val="auto"/>
          <w:sz w:val="24"/>
          <w:highlight w:val="none"/>
          <w:u w:val="single"/>
          <w:lang w:eastAsia="zh-TW"/>
        </w:rPr>
      </w:pPr>
      <w:r>
        <w:rPr>
          <w:rFonts w:hint="eastAsia" w:ascii="宋体" w:hAnsi="宋体" w:eastAsia="宋体" w:cs="宋体"/>
          <w:color w:val="auto"/>
          <w:sz w:val="24"/>
          <w:highlight w:val="none"/>
        </w:rPr>
        <w:t>1.11.2 关于承包人为实施工程所编制文件的著作权的归属：</w:t>
      </w:r>
      <w:r>
        <w:rPr>
          <w:rFonts w:hint="eastAsia" w:ascii="宋体" w:hAnsi="宋体" w:eastAsia="宋体" w:cs="宋体"/>
          <w:b/>
          <w:color w:val="auto"/>
          <w:sz w:val="24"/>
          <w:highlight w:val="none"/>
          <w:u w:val="single"/>
          <w:lang w:eastAsia="zh-TW"/>
        </w:rPr>
        <w:t>按通用条款执行。</w:t>
      </w:r>
    </w:p>
    <w:p w14:paraId="567AD322">
      <w:pPr>
        <w:spacing w:line="460" w:lineRule="exact"/>
        <w:ind w:firstLine="480" w:firstLineChars="200"/>
        <w:contextualSpacing/>
        <w:rPr>
          <w:rFonts w:hint="eastAsia" w:ascii="宋体" w:hAnsi="宋体" w:eastAsia="宋体" w:cs="宋体"/>
          <w:b/>
          <w:color w:val="auto"/>
          <w:sz w:val="24"/>
          <w:highlight w:val="none"/>
          <w:u w:val="single"/>
          <w:lang w:eastAsia="zh-TW"/>
        </w:rPr>
      </w:pPr>
      <w:r>
        <w:rPr>
          <w:rFonts w:hint="eastAsia" w:ascii="宋体" w:hAnsi="宋体" w:eastAsia="宋体" w:cs="宋体"/>
          <w:color w:val="auto"/>
          <w:sz w:val="24"/>
          <w:highlight w:val="none"/>
        </w:rPr>
        <w:t>关于承包人提供的上述文件的使用限制的要求：</w:t>
      </w:r>
      <w:r>
        <w:rPr>
          <w:rFonts w:hint="eastAsia" w:ascii="宋体" w:hAnsi="宋体" w:eastAsia="宋体" w:cs="宋体"/>
          <w:b/>
          <w:color w:val="auto"/>
          <w:sz w:val="24"/>
          <w:highlight w:val="none"/>
          <w:u w:val="single"/>
          <w:lang w:eastAsia="zh-TW"/>
        </w:rPr>
        <w:t>按通用条款执行。</w:t>
      </w:r>
    </w:p>
    <w:p w14:paraId="1D33B4BC">
      <w:pPr>
        <w:spacing w:line="460" w:lineRule="exact"/>
        <w:ind w:firstLine="480" w:firstLineChars="200"/>
        <w:contextualSpacing/>
        <w:rPr>
          <w:rFonts w:hint="eastAsia" w:ascii="宋体" w:hAnsi="宋体" w:eastAsia="宋体" w:cs="宋体"/>
          <w:b/>
          <w:color w:val="auto"/>
          <w:sz w:val="24"/>
          <w:highlight w:val="none"/>
          <w:u w:val="single"/>
          <w:lang w:eastAsia="zh-TW"/>
        </w:rPr>
      </w:pPr>
      <w:r>
        <w:rPr>
          <w:rFonts w:hint="eastAsia" w:ascii="宋体" w:hAnsi="宋体" w:eastAsia="宋体" w:cs="宋体"/>
          <w:color w:val="auto"/>
          <w:sz w:val="24"/>
          <w:highlight w:val="none"/>
        </w:rPr>
        <w:t>1.11.3 承包人在施工过程中所采用的专利、专有技术、技术秘密的使用费的承担方式：</w:t>
      </w:r>
      <w:r>
        <w:rPr>
          <w:rFonts w:hint="eastAsia" w:ascii="宋体" w:hAnsi="宋体" w:eastAsia="宋体" w:cs="宋体"/>
          <w:b/>
          <w:color w:val="auto"/>
          <w:sz w:val="24"/>
          <w:highlight w:val="none"/>
          <w:u w:val="single"/>
          <w:lang w:eastAsia="zh-TW"/>
        </w:rPr>
        <w:t>已含在合同价中。</w:t>
      </w:r>
    </w:p>
    <w:p w14:paraId="09057A25">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1.12工程量清单错误的修正</w:t>
      </w:r>
    </w:p>
    <w:p w14:paraId="44370A5C">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出现工程量清单错误时，是否调整合同价格</w:t>
      </w:r>
      <w:r>
        <w:rPr>
          <w:rFonts w:hint="eastAsia" w:ascii="宋体" w:hAnsi="宋体" w:eastAsia="宋体" w:cs="宋体"/>
          <w:b/>
          <w:color w:val="auto"/>
          <w:sz w:val="24"/>
          <w:highlight w:val="none"/>
          <w:u w:val="single"/>
          <w:lang w:eastAsia="zh-TW"/>
        </w:rPr>
        <w:t xml:space="preserve">：  按通用条款   </w:t>
      </w:r>
      <w:r>
        <w:rPr>
          <w:rFonts w:hint="eastAsia" w:ascii="宋体" w:hAnsi="宋体" w:eastAsia="宋体" w:cs="宋体"/>
          <w:color w:val="auto"/>
          <w:sz w:val="24"/>
          <w:highlight w:val="none"/>
        </w:rPr>
        <w:t>。</w:t>
      </w:r>
    </w:p>
    <w:p w14:paraId="6F340569">
      <w:pPr>
        <w:spacing w:line="460" w:lineRule="exact"/>
        <w:ind w:firstLine="480" w:firstLineChars="200"/>
        <w:contextualSpacing/>
        <w:rPr>
          <w:rFonts w:hint="eastAsia" w:ascii="宋体" w:hAnsi="宋体" w:eastAsia="宋体" w:cs="宋体"/>
          <w:b/>
          <w:color w:val="auto"/>
          <w:sz w:val="24"/>
          <w:highlight w:val="none"/>
          <w:u w:val="single"/>
          <w:lang w:eastAsia="zh-TW"/>
        </w:rPr>
      </w:pPr>
      <w:r>
        <w:rPr>
          <w:rFonts w:hint="eastAsia" w:ascii="宋体" w:hAnsi="宋体" w:eastAsia="宋体" w:cs="宋体"/>
          <w:color w:val="auto"/>
          <w:sz w:val="24"/>
          <w:highlight w:val="none"/>
        </w:rPr>
        <w:t>允许调整合同价格的工程量偏差范围：</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TW"/>
        </w:rPr>
        <w:t xml:space="preserve">   </w:t>
      </w:r>
    </w:p>
    <w:p w14:paraId="2CC24077">
      <w:pPr>
        <w:pStyle w:val="6"/>
        <w:keepNext w:val="0"/>
        <w:spacing w:line="460" w:lineRule="exact"/>
        <w:ind w:firstLine="240" w:firstLine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w:t>
      </w:r>
    </w:p>
    <w:p w14:paraId="13E71E17">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2.1发包人代表</w:t>
      </w:r>
    </w:p>
    <w:p w14:paraId="4E91FCA7">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发包人代表：</w:t>
      </w:r>
    </w:p>
    <w:p w14:paraId="37AF06A1">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42B6C7D5">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4D651FEA">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110E4D4C">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435A6B">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86351E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3E1A300D">
      <w:pPr>
        <w:spacing w:line="460" w:lineRule="exact"/>
        <w:ind w:firstLine="480" w:firstLineChars="2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发包人对发包人代表的授权范围如下：</w:t>
      </w:r>
      <w:r>
        <w:rPr>
          <w:rFonts w:hint="eastAsia" w:ascii="宋体" w:hAnsi="宋体" w:eastAsia="宋体" w:cs="宋体"/>
          <w:color w:val="auto"/>
          <w:sz w:val="24"/>
          <w:highlight w:val="none"/>
          <w:u w:val="single"/>
        </w:rPr>
        <w:t>　　</w:t>
      </w:r>
      <w:r>
        <w:rPr>
          <w:rFonts w:hint="eastAsia" w:ascii="宋体" w:hAnsi="宋体" w:eastAsia="宋体" w:cs="宋体"/>
          <w:b/>
          <w:bCs/>
          <w:color w:val="auto"/>
          <w:sz w:val="24"/>
          <w:highlight w:val="none"/>
          <w:u w:val="single"/>
          <w:lang w:eastAsia="zh-TW"/>
        </w:rPr>
        <w:t>代表发包方行使本合同约定的发包方的权力和监理人需要取得发包人批准的权力。</w:t>
      </w:r>
      <w:r>
        <w:rPr>
          <w:rFonts w:hint="eastAsia" w:ascii="宋体" w:hAnsi="宋体" w:eastAsia="宋体" w:cs="宋体"/>
          <w:b/>
          <w:bCs/>
          <w:color w:val="auto"/>
          <w:sz w:val="24"/>
          <w:highlight w:val="none"/>
          <w:u w:val="single"/>
        </w:rPr>
        <w:t>处理与协调工程施工中的重大问题及外部工作联系等事宜。</w:t>
      </w:r>
    </w:p>
    <w:p w14:paraId="031B8135">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2.4 施工现场、施工条件和基础资料的提供</w:t>
      </w:r>
    </w:p>
    <w:p w14:paraId="48A00E30">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2.4.1 提供施工现场</w:t>
      </w:r>
    </w:p>
    <w:p w14:paraId="5C27127E">
      <w:pPr>
        <w:spacing w:line="460" w:lineRule="exact"/>
        <w:ind w:firstLine="480" w:firstLineChars="200"/>
        <w:contextualSpacing/>
        <w:jc w:val="left"/>
        <w:rPr>
          <w:rFonts w:hint="eastAsia" w:ascii="宋体" w:hAnsi="宋体" w:eastAsia="宋体" w:cs="宋体"/>
          <w:b/>
          <w:bCs/>
          <w:color w:val="auto"/>
          <w:sz w:val="24"/>
          <w:highlight w:val="none"/>
          <w:u w:val="single"/>
          <w:lang w:eastAsia="zh-TW"/>
        </w:rPr>
      </w:pPr>
      <w:r>
        <w:rPr>
          <w:rFonts w:hint="eastAsia" w:ascii="宋体" w:hAnsi="宋体" w:eastAsia="宋体" w:cs="宋体"/>
          <w:color w:val="auto"/>
          <w:sz w:val="24"/>
          <w:highlight w:val="none"/>
        </w:rPr>
        <w:t>关于发包人移交施工现场的期限要求：</w:t>
      </w:r>
      <w:r>
        <w:rPr>
          <w:rFonts w:hint="eastAsia" w:ascii="宋体" w:hAnsi="宋体" w:eastAsia="宋体" w:cs="宋体"/>
          <w:color w:val="auto"/>
          <w:sz w:val="24"/>
          <w:highlight w:val="none"/>
          <w:u w:val="single"/>
        </w:rPr>
        <w:t>　　</w:t>
      </w:r>
      <w:r>
        <w:rPr>
          <w:rFonts w:hint="eastAsia" w:ascii="宋体" w:hAnsi="宋体" w:eastAsia="宋体" w:cs="宋体"/>
          <w:b/>
          <w:bCs/>
          <w:color w:val="auto"/>
          <w:sz w:val="24"/>
          <w:highlight w:val="none"/>
          <w:u w:val="single"/>
          <w:lang w:eastAsia="zh-TW"/>
        </w:rPr>
        <w:t>开工前</w:t>
      </w:r>
      <w:r>
        <w:rPr>
          <w:rFonts w:hint="eastAsia" w:ascii="宋体" w:hAnsi="宋体" w:eastAsia="宋体" w:cs="宋体"/>
          <w:b/>
          <w:bCs/>
          <w:color w:val="auto"/>
          <w:sz w:val="24"/>
          <w:highlight w:val="none"/>
          <w:u w:val="single"/>
        </w:rPr>
        <w:t>五天</w:t>
      </w:r>
      <w:r>
        <w:rPr>
          <w:rFonts w:hint="eastAsia" w:ascii="宋体" w:hAnsi="宋体" w:eastAsia="宋体" w:cs="宋体"/>
          <w:b/>
          <w:bCs/>
          <w:color w:val="auto"/>
          <w:sz w:val="24"/>
          <w:highlight w:val="none"/>
          <w:u w:val="single"/>
          <w:lang w:eastAsia="zh-TW"/>
        </w:rPr>
        <w:t>业主现场交验　　 。</w:t>
      </w:r>
    </w:p>
    <w:p w14:paraId="5DA00E9C">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2.4.2 提供施工条件</w:t>
      </w:r>
    </w:p>
    <w:p w14:paraId="41B0860F">
      <w:pPr>
        <w:adjustRightInd w:val="0"/>
        <w:spacing w:line="460" w:lineRule="exact"/>
        <w:ind w:firstLine="480" w:firstLineChars="200"/>
        <w:contextualSpacing/>
        <w:jc w:val="left"/>
        <w:rPr>
          <w:rFonts w:hint="eastAsia" w:ascii="宋体" w:hAnsi="宋体" w:eastAsia="宋体" w:cs="宋体"/>
          <w:b/>
          <w:bCs/>
          <w:color w:val="auto"/>
          <w:sz w:val="24"/>
          <w:highlight w:val="none"/>
          <w:u w:val="single"/>
          <w:lang w:eastAsia="zh-TW"/>
        </w:rPr>
      </w:pPr>
      <w:r>
        <w:rPr>
          <w:rFonts w:hint="eastAsia" w:ascii="宋体" w:hAnsi="宋体" w:eastAsia="宋体" w:cs="宋体"/>
          <w:color w:val="auto"/>
          <w:sz w:val="24"/>
          <w:highlight w:val="none"/>
        </w:rPr>
        <w:t>关于发包人应负责提供施工所需要的条件，包括：</w:t>
      </w:r>
      <w:r>
        <w:rPr>
          <w:rFonts w:hint="eastAsia" w:ascii="宋体" w:hAnsi="宋体" w:eastAsia="宋体" w:cs="宋体"/>
          <w:b/>
          <w:bCs/>
          <w:color w:val="auto"/>
          <w:sz w:val="24"/>
          <w:highlight w:val="none"/>
          <w:u w:val="single"/>
          <w:lang w:eastAsia="zh-TW"/>
        </w:rPr>
        <w:t xml:space="preserve"> (1) 施工场地具备施工条件的要求及完成的时间 : 已经具备施工条件。</w:t>
      </w:r>
    </w:p>
    <w:p w14:paraId="3B1A660A">
      <w:pPr>
        <w:adjustRightInd w:val="0"/>
        <w:spacing w:line="460" w:lineRule="exact"/>
        <w:ind w:firstLine="482" w:firstLineChars="200"/>
        <w:contextualSpacing/>
        <w:jc w:val="left"/>
        <w:rPr>
          <w:rFonts w:hint="eastAsia" w:ascii="宋体" w:hAnsi="宋体" w:eastAsia="宋体" w:cs="宋体"/>
          <w:b/>
          <w:bCs/>
          <w:color w:val="auto"/>
          <w:sz w:val="24"/>
          <w:highlight w:val="none"/>
          <w:u w:val="single"/>
          <w:lang w:eastAsia="zh-TW"/>
        </w:rPr>
      </w:pPr>
      <w:r>
        <w:rPr>
          <w:rFonts w:hint="eastAsia" w:ascii="宋体" w:hAnsi="宋体" w:eastAsia="宋体" w:cs="宋体"/>
          <w:b/>
          <w:bCs/>
          <w:color w:val="auto"/>
          <w:sz w:val="24"/>
          <w:highlight w:val="none"/>
          <w:u w:val="single"/>
          <w:lang w:eastAsia="zh-TW"/>
        </w:rPr>
        <w:t>(2) 水电线路按现有条件，其余接入的事项及费用由施工单位承担。</w:t>
      </w:r>
    </w:p>
    <w:p w14:paraId="04DB4DA5">
      <w:pPr>
        <w:adjustRightInd w:val="0"/>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TW"/>
        </w:rPr>
        <w:t>发包人委托承包人办理的工作</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u w:val="single"/>
        </w:rPr>
        <w:t xml:space="preserve">   视具体情况协商处理。</w:t>
      </w:r>
    </w:p>
    <w:p w14:paraId="00454032">
      <w:pPr>
        <w:pStyle w:val="6"/>
        <w:keepNext w:val="0"/>
        <w:spacing w:line="4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承包人</w:t>
      </w:r>
    </w:p>
    <w:p w14:paraId="376FC15A">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3.1 承包人的一般义务</w:t>
      </w:r>
    </w:p>
    <w:p w14:paraId="3AE90854">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3.1.1</w:t>
      </w:r>
      <w:r>
        <w:rPr>
          <w:rFonts w:hint="eastAsia" w:ascii="宋体" w:hAnsi="宋体" w:eastAsia="宋体" w:cs="宋体"/>
          <w:color w:val="auto"/>
          <w:sz w:val="24"/>
          <w:highlight w:val="none"/>
        </w:rPr>
        <w:t>承包人提交的竣工资料的内容：</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按照省、市及行业规定  </w:t>
      </w:r>
      <w:r>
        <w:rPr>
          <w:rFonts w:hint="eastAsia" w:ascii="宋体" w:hAnsi="宋体" w:eastAsia="宋体" w:cs="宋体"/>
          <w:color w:val="auto"/>
          <w:sz w:val="24"/>
          <w:highlight w:val="none"/>
        </w:rPr>
        <w:t>。</w:t>
      </w:r>
    </w:p>
    <w:p w14:paraId="5667157C">
      <w:pPr>
        <w:adjustRightInd w:val="0"/>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承包人需要提交的竣工资料套数：</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提供叁套完整</w:t>
      </w:r>
      <w:r>
        <w:rPr>
          <w:rFonts w:hint="eastAsia" w:ascii="宋体" w:hAnsi="宋体" w:eastAsia="宋体" w:cs="宋体"/>
          <w:b/>
          <w:bCs/>
          <w:color w:val="auto"/>
          <w:sz w:val="24"/>
          <w:highlight w:val="none"/>
          <w:u w:val="single"/>
          <w:lang w:eastAsia="zh-TW"/>
        </w:rPr>
        <w:t>的竣工图和竣工结算及其他资料。</w:t>
      </w:r>
      <w:r>
        <w:rPr>
          <w:rFonts w:hint="eastAsia" w:ascii="宋体" w:hAnsi="宋体" w:eastAsia="宋体" w:cs="宋体"/>
          <w:color w:val="auto"/>
          <w:sz w:val="24"/>
          <w:highlight w:val="none"/>
          <w:u w:val="single"/>
          <w:lang w:eastAsia="zh-TW"/>
        </w:rPr>
        <w:t xml:space="preserve"> </w:t>
      </w:r>
    </w:p>
    <w:p w14:paraId="577ADF3A">
      <w:pPr>
        <w:spacing w:line="46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承包人提交的竣工资料的费用承担：</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由承包人承担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D6A7FC3">
      <w:pPr>
        <w:spacing w:line="46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承包人提交的竣工资料移交时间：</w:t>
      </w:r>
      <w:r>
        <w:rPr>
          <w:rFonts w:hint="eastAsia" w:ascii="宋体" w:hAnsi="宋体" w:eastAsia="宋体" w:cs="宋体"/>
          <w:b/>
          <w:bCs/>
          <w:color w:val="auto"/>
          <w:sz w:val="24"/>
          <w:highlight w:val="none"/>
          <w:u w:val="single"/>
          <w:lang w:eastAsia="zh-TW"/>
        </w:rPr>
        <w:t>工程竣工后</w:t>
      </w:r>
      <w:r>
        <w:rPr>
          <w:rFonts w:hint="eastAsia" w:ascii="宋体" w:hAnsi="宋体" w:eastAsia="宋体" w:cs="宋体"/>
          <w:b/>
          <w:bCs/>
          <w:color w:val="auto"/>
          <w:sz w:val="24"/>
          <w:highlight w:val="none"/>
          <w:u w:val="single"/>
        </w:rPr>
        <w:t>一个月内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A64CFAC">
      <w:pPr>
        <w:spacing w:line="460" w:lineRule="exact"/>
        <w:ind w:firstLine="480" w:firstLineChars="200"/>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承包人提交的竣工资料形式要求：</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p>
    <w:p w14:paraId="67D8F259">
      <w:pPr>
        <w:adjustRightInd w:val="0"/>
        <w:spacing w:line="460" w:lineRule="exact"/>
        <w:ind w:firstLine="540" w:firstLineChars="225"/>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3.1.2承包人应履行的其他义务：</w:t>
      </w:r>
    </w:p>
    <w:p w14:paraId="2CADDB84">
      <w:pPr>
        <w:adjustRightInd w:val="0"/>
        <w:spacing w:line="460" w:lineRule="exact"/>
        <w:ind w:firstLine="540" w:firstLineChars="225"/>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需由设计资质等级和业务范围允许的承包人完成的设计文件提交时间: </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 xml:space="preserve">   </w:t>
      </w:r>
    </w:p>
    <w:p w14:paraId="762A951B">
      <w:pPr>
        <w:adjustRightInd w:val="0"/>
        <w:spacing w:line="460" w:lineRule="exact"/>
        <w:ind w:firstLine="540" w:firstLineChars="225"/>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(2) 应提供计划、报表的名称及完成时间：</w:t>
      </w:r>
      <w:r>
        <w:rPr>
          <w:rFonts w:hint="eastAsia" w:ascii="宋体" w:hAnsi="宋体" w:eastAsia="宋体" w:cs="宋体"/>
          <w:b/>
          <w:bCs/>
          <w:color w:val="auto"/>
          <w:sz w:val="24"/>
          <w:highlight w:val="none"/>
          <w:u w:val="single"/>
          <w:lang w:eastAsia="zh-TW"/>
        </w:rPr>
        <w:t xml:space="preserve"> </w:t>
      </w:r>
      <w:r>
        <w:rPr>
          <w:rFonts w:hint="eastAsia" w:ascii="宋体" w:hAnsi="宋体" w:eastAsia="宋体" w:cs="宋体"/>
          <w:b/>
          <w:bCs/>
          <w:color w:val="auto"/>
          <w:sz w:val="24"/>
          <w:highlight w:val="none"/>
          <w:u w:val="single"/>
        </w:rPr>
        <w:t xml:space="preserve">        </w:t>
      </w:r>
    </w:p>
    <w:p w14:paraId="39AC206F">
      <w:pPr>
        <w:adjustRightInd w:val="0"/>
        <w:spacing w:line="460" w:lineRule="exact"/>
        <w:ind w:firstLine="480" w:firstLineChars="200"/>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 xml:space="preserve">(3) 承担施工安全保卫工作及非夜间施工照明的责任和要求: </w:t>
      </w:r>
      <w:r>
        <w:rPr>
          <w:rFonts w:hint="eastAsia" w:ascii="宋体" w:hAnsi="宋体" w:eastAsia="宋体" w:cs="宋体"/>
          <w:b/>
          <w:bCs/>
          <w:color w:val="auto"/>
          <w:sz w:val="24"/>
          <w:highlight w:val="none"/>
          <w:u w:val="single"/>
        </w:rPr>
        <w:t>提供和维修非夜间施工使用的照明、围栏设施，并负责安全保卫。</w:t>
      </w:r>
    </w:p>
    <w:p w14:paraId="45C0A549">
      <w:pPr>
        <w:spacing w:line="460" w:lineRule="exact"/>
        <w:ind w:firstLine="432" w:firstLineChars="18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向发包人提供的办公和生活房屋及设施的要求:</w:t>
      </w:r>
      <w:r>
        <w:rPr>
          <w:rFonts w:hint="eastAsia" w:ascii="宋体" w:hAnsi="宋体" w:eastAsia="宋体" w:cs="宋体"/>
          <w:b/>
          <w:bCs/>
          <w:color w:val="auto"/>
          <w:sz w:val="24"/>
          <w:highlight w:val="none"/>
          <w:u w:val="single"/>
        </w:rPr>
        <w:t xml:space="preserve"> 无   。</w:t>
      </w:r>
    </w:p>
    <w:p w14:paraId="4E376D40">
      <w:pPr>
        <w:adjustRightInd w:val="0"/>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 需承包人办理的有关施工场地交通、环卫和施工噪音管理等手续:</w:t>
      </w:r>
      <w:r>
        <w:rPr>
          <w:rFonts w:hint="eastAsia" w:ascii="宋体" w:hAnsi="宋体" w:eastAsia="宋体" w:cs="宋体"/>
          <w:b/>
          <w:bCs/>
          <w:color w:val="auto"/>
          <w:sz w:val="24"/>
          <w:highlight w:val="none"/>
          <w:u w:val="single"/>
        </w:rPr>
        <w:t>遵守政府有关主管部门对施工场地交通、施工噪音、环境保护和安全生产等的管理规定，按规定办理有关手续，并以书面形式通知发包人。</w:t>
      </w:r>
    </w:p>
    <w:p w14:paraId="2020AE1A">
      <w:pPr>
        <w:spacing w:line="460" w:lineRule="exact"/>
        <w:ind w:firstLine="552" w:firstLineChars="230"/>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 xml:space="preserve"> (6) 已完工程成品保护的特殊要求及费用承担: </w:t>
      </w:r>
      <w:r>
        <w:rPr>
          <w:rFonts w:hint="eastAsia" w:ascii="宋体" w:hAnsi="宋体" w:eastAsia="宋体" w:cs="宋体"/>
          <w:b/>
          <w:bCs/>
          <w:color w:val="auto"/>
          <w:sz w:val="24"/>
          <w:highlight w:val="none"/>
          <w:u w:val="single"/>
        </w:rPr>
        <w:t>已竣工工程未交付发包人之前，负责已完成工程的保护工作，所需费用含在报价内</w:t>
      </w:r>
      <w:r>
        <w:rPr>
          <w:rFonts w:hint="eastAsia" w:ascii="宋体" w:hAnsi="宋体" w:eastAsia="宋体" w:cs="宋体"/>
          <w:b/>
          <w:bCs/>
          <w:color w:val="auto"/>
          <w:sz w:val="24"/>
          <w:highlight w:val="none"/>
          <w:u w:val="single"/>
          <w:lang w:eastAsia="zh-TW"/>
        </w:rPr>
        <w:t>。</w:t>
      </w:r>
    </w:p>
    <w:p w14:paraId="2EBFC9AB">
      <w:pPr>
        <w:adjustRightInd w:val="0"/>
        <w:spacing w:line="460" w:lineRule="exact"/>
        <w:ind w:firstLine="480" w:firstLineChars="200"/>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 xml:space="preserve">(7) 施工场地周围地下管线和邻近建筑物、构筑物（含文物保护建 筑）、古树名木的保护要求及费用承担: </w:t>
      </w:r>
      <w:r>
        <w:rPr>
          <w:rFonts w:hint="eastAsia" w:ascii="宋体" w:hAnsi="宋体" w:eastAsia="宋体" w:cs="宋体"/>
          <w:color w:val="auto"/>
          <w:sz w:val="24"/>
          <w:highlight w:val="none"/>
          <w:u w:val="single"/>
        </w:rPr>
        <w:t>无</w:t>
      </w:r>
      <w:r>
        <w:rPr>
          <w:rFonts w:hint="eastAsia" w:ascii="宋体" w:hAnsi="宋体" w:eastAsia="宋体" w:cs="宋体"/>
          <w:b/>
          <w:bCs/>
          <w:color w:val="auto"/>
          <w:sz w:val="24"/>
          <w:highlight w:val="none"/>
          <w:u w:val="single"/>
        </w:rPr>
        <w:t>。</w:t>
      </w:r>
    </w:p>
    <w:p w14:paraId="0E3BD2DF">
      <w:pPr>
        <w:tabs>
          <w:tab w:val="left" w:pos="532"/>
        </w:tabs>
        <w:adjustRightInd w:val="0"/>
        <w:spacing w:line="460" w:lineRule="exact"/>
        <w:ind w:firstLine="480" w:firstLineChars="200"/>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(8) 施工场地清洁卫生的要求:</w:t>
      </w: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u w:val="single"/>
        </w:rPr>
        <w:t xml:space="preserve">按南通市文明工地标准。  </w:t>
      </w:r>
    </w:p>
    <w:p w14:paraId="72F5A25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3.2 项目经理</w:t>
      </w:r>
    </w:p>
    <w:p w14:paraId="289A4E8F">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3.2.1 </w:t>
      </w:r>
      <w:r>
        <w:rPr>
          <w:rFonts w:hint="eastAsia" w:ascii="宋体" w:hAnsi="宋体" w:eastAsia="宋体" w:cs="宋体"/>
          <w:color w:val="auto"/>
          <w:sz w:val="24"/>
          <w:highlight w:val="none"/>
        </w:rPr>
        <w:t>项目经理：</w:t>
      </w:r>
    </w:p>
    <w:p w14:paraId="0D7B405F">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0BA0F960">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46906A9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建造师执业资格等级：</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49D83FD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建造师注册证书号：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11F86C87">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建造师执业印章号：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43A244B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安全生产考核合格证书号：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683735E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0680A52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2ACD75D9">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3149A157">
      <w:pPr>
        <w:spacing w:line="460" w:lineRule="exact"/>
        <w:ind w:firstLine="480" w:firstLineChars="200"/>
        <w:contextualSpacing/>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承包人对项目经理的授权范围如下：</w:t>
      </w:r>
      <w:r>
        <w:rPr>
          <w:rFonts w:hint="eastAsia" w:ascii="宋体" w:hAnsi="宋体" w:eastAsia="宋体" w:cs="宋体"/>
          <w:b/>
          <w:bCs/>
          <w:color w:val="auto"/>
          <w:sz w:val="24"/>
          <w:highlight w:val="none"/>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1E5F9374">
      <w:pPr>
        <w:spacing w:line="4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关于项目经理每月在施工现场的时间要求：</w:t>
      </w:r>
      <w:r>
        <w:rPr>
          <w:rFonts w:hint="eastAsia" w:ascii="宋体" w:hAnsi="宋体" w:eastAsia="宋体" w:cs="宋体"/>
          <w:color w:val="auto"/>
          <w:sz w:val="24"/>
          <w:highlight w:val="none"/>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37FBC7C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承包人未提交劳动合同，以及没有为项目经理缴纳社会保险证明的违约责任：</w:t>
      </w:r>
      <w:r>
        <w:rPr>
          <w:rFonts w:hint="eastAsia" w:ascii="宋体" w:hAnsi="宋体" w:eastAsia="宋体" w:cs="宋体"/>
          <w:color w:val="auto"/>
          <w:sz w:val="24"/>
          <w:highlight w:val="none"/>
          <w:u w:val="single"/>
        </w:rPr>
        <w:t xml:space="preserve">                                       </w:t>
      </w:r>
      <w:r>
        <w:rPr>
          <w:rFonts w:hint="eastAsia" w:ascii="宋体" w:hAnsi="宋体" w:eastAsia="宋体" w:cs="宋体"/>
          <w:color w:val="auto"/>
          <w:sz w:val="24"/>
          <w:highlight w:val="none"/>
        </w:rPr>
        <w:t>。</w:t>
      </w:r>
    </w:p>
    <w:p w14:paraId="555B456D">
      <w:pPr>
        <w:spacing w:line="4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项目经理未经批准，擅自离开施工现场的违约责任：</w:t>
      </w:r>
      <w:r>
        <w:rPr>
          <w:rFonts w:hint="eastAsia" w:ascii="宋体" w:hAnsi="宋体" w:eastAsia="宋体" w:cs="宋体"/>
          <w:color w:val="auto"/>
          <w:sz w:val="24"/>
          <w:highlight w:val="none"/>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3FF3ACAF">
      <w:pPr>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u w:val="single"/>
        </w:rPr>
        <w:t>3.2.3 承包人擅自更换项目经理的违约责任：承包人必须指派响应文件中承诺的项目负责人到施工现场负责施工管理，不得更换。若未经发包人批准，擅自更换项目负责人的，则向发包人支付违约金5万。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5083DBE2">
      <w:pPr>
        <w:spacing w:line="460" w:lineRule="exact"/>
        <w:ind w:firstLine="480" w:firstLineChars="200"/>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3.2.3 承包人擅自更换项目经理的违约责任：</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承包人施工期间不得随意变更项目负责人。如果出现特殊情况，确需更换的，应当经发包人同意，并提供必要的证明文件报招标投标行政监督部门备案。</w:t>
      </w:r>
    </w:p>
    <w:p w14:paraId="64655822">
      <w:pPr>
        <w:spacing w:line="460" w:lineRule="exact"/>
        <w:ind w:firstLine="6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3.2.4 承包人无正当理由拒绝更换项目经理的违约责任：</w:t>
      </w:r>
      <w:r>
        <w:rPr>
          <w:rFonts w:hint="eastAsia" w:ascii="宋体" w:hAnsi="宋体" w:eastAsia="宋体" w:cs="宋体"/>
          <w:b/>
          <w:color w:val="auto"/>
          <w:sz w:val="24"/>
          <w:highlight w:val="none"/>
          <w:u w:val="single"/>
        </w:rPr>
        <w:t>发包人有权书面通知承包人更换其认为不称职的项目经理，承包人无正当理由拒绝的</w:t>
      </w:r>
      <w:r>
        <w:rPr>
          <w:rFonts w:hint="eastAsia" w:ascii="宋体" w:hAnsi="宋体" w:eastAsia="宋体" w:cs="宋体"/>
          <w:b/>
          <w:bCs/>
          <w:color w:val="auto"/>
          <w:sz w:val="24"/>
          <w:highlight w:val="none"/>
          <w:u w:val="single"/>
        </w:rPr>
        <w:t xml:space="preserve"> ，在结算时发包人直接罚没履约保证金的20%，同时发包人有权终止合同，勒令承包人退场，已完成工程量不予结算，并由承包人承担由此发生的全部责任和损失。</w:t>
      </w:r>
    </w:p>
    <w:p w14:paraId="2167F50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3.3 承包人人员</w:t>
      </w:r>
    </w:p>
    <w:p w14:paraId="7DB4C9DA">
      <w:pPr>
        <w:spacing w:line="460" w:lineRule="exact"/>
        <w:ind w:firstLine="480" w:firstLineChars="200"/>
        <w:contextualSpacing/>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3.3.1 承包人提交项目管理机构及施工现场管理人员安排报告的期限：</w:t>
      </w:r>
      <w:r>
        <w:rPr>
          <w:rFonts w:hint="eastAsia" w:ascii="宋体" w:hAnsi="宋体" w:eastAsia="宋体" w:cs="宋体"/>
          <w:b/>
          <w:color w:val="auto"/>
          <w:sz w:val="24"/>
          <w:highlight w:val="none"/>
          <w:u w:val="single"/>
        </w:rPr>
        <w:t xml:space="preserve"> 合同签订时提供；</w:t>
      </w:r>
    </w:p>
    <w:p w14:paraId="63DFCDE5">
      <w:pPr>
        <w:spacing w:line="460" w:lineRule="exact"/>
        <w:ind w:firstLine="480" w:firstLineChars="200"/>
        <w:contextualSpacing/>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 xml:space="preserve">3.3.2 承包人无正当理由拒绝撤换主要施工管理人员的违约责任：  </w:t>
      </w:r>
      <w:r>
        <w:rPr>
          <w:rFonts w:hint="eastAsia" w:ascii="宋体" w:hAnsi="宋体" w:eastAsia="宋体" w:cs="宋体"/>
          <w:b/>
          <w:color w:val="auto"/>
          <w:sz w:val="24"/>
          <w:highlight w:val="none"/>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36FDD800">
      <w:pPr>
        <w:spacing w:line="460" w:lineRule="exact"/>
        <w:ind w:firstLine="480" w:firstLineChars="200"/>
        <w:contextualSpacing/>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3.3.3 承包人主要施工管理人员离开施工现场的批准要求：</w:t>
      </w:r>
      <w:r>
        <w:rPr>
          <w:rFonts w:hint="eastAsia" w:ascii="宋体" w:hAnsi="宋体" w:eastAsia="宋体" w:cs="宋体"/>
          <w:b/>
          <w:color w:val="auto"/>
          <w:sz w:val="24"/>
          <w:highlight w:val="none"/>
          <w:u w:val="single"/>
        </w:rPr>
        <w:t>项目部主要人员需要离开施工现场4小时以上的，由总监或发包人批准，经发包人认可后方可离开；</w:t>
      </w:r>
    </w:p>
    <w:p w14:paraId="7EB33324">
      <w:pPr>
        <w:spacing w:line="460" w:lineRule="exact"/>
        <w:ind w:firstLine="480" w:firstLineChars="200"/>
        <w:contextualSpacing/>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3.3.4承包人擅自更换主要施工管理人员的违约责任：</w:t>
      </w:r>
      <w:r>
        <w:rPr>
          <w:rFonts w:hint="eastAsia" w:ascii="宋体" w:hAnsi="宋体" w:eastAsia="宋体" w:cs="宋体"/>
          <w:b/>
          <w:color w:val="auto"/>
          <w:sz w:val="24"/>
          <w:highlight w:val="none"/>
          <w:u w:val="single"/>
        </w:rPr>
        <w:t>承包人必须指派响应文件中承诺的施工员、质检员、安全员到施工现场负责施工管理，不得更换。若未经发包人批准，擅自更换的，则按更换每人次扣违约金壹万元。</w:t>
      </w:r>
    </w:p>
    <w:p w14:paraId="46AC8A07">
      <w:pPr>
        <w:spacing w:line="460" w:lineRule="exact"/>
        <w:ind w:firstLine="480" w:firstLineChars="200"/>
        <w:contextualSpacing/>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承包人主要施工管理人员擅自离开施工现场的违约责任：</w:t>
      </w:r>
      <w:r>
        <w:rPr>
          <w:rFonts w:hint="eastAsia" w:ascii="宋体" w:hAnsi="宋体" w:eastAsia="宋体" w:cs="宋体"/>
          <w:b/>
          <w:color w:val="auto"/>
          <w:sz w:val="24"/>
          <w:highlight w:val="none"/>
          <w:u w:val="single"/>
        </w:rPr>
        <w:t xml:space="preserve">        </w:t>
      </w:r>
    </w:p>
    <w:p w14:paraId="7A27C20E">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3.5 分包</w:t>
      </w:r>
    </w:p>
    <w:p w14:paraId="015E62F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3.5.1 分包的一般约定</w:t>
      </w:r>
    </w:p>
    <w:p w14:paraId="4C4EE2D5">
      <w:pPr>
        <w:spacing w:line="460" w:lineRule="exact"/>
        <w:ind w:firstLine="457" w:firstLineChars="196"/>
        <w:contextualSpacing/>
        <w:jc w:val="left"/>
        <w:rPr>
          <w:rFonts w:hint="eastAsia" w:ascii="宋体" w:hAnsi="宋体" w:eastAsia="宋体" w:cs="宋体"/>
          <w:color w:val="auto"/>
          <w:sz w:val="24"/>
          <w:highlight w:val="none"/>
          <w:u w:val="single"/>
        </w:rPr>
      </w:pPr>
      <w:r>
        <w:rPr>
          <w:rFonts w:hint="eastAsia" w:ascii="宋体" w:hAnsi="宋体" w:eastAsia="宋体" w:cs="宋体"/>
          <w:b/>
          <w:bCs/>
          <w:color w:val="auto"/>
          <w:spacing w:val="-4"/>
          <w:sz w:val="24"/>
          <w:highlight w:val="none"/>
          <w:u w:val="single"/>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采购人保留项目变更或分包的权利。】</w:t>
      </w:r>
    </w:p>
    <w:p w14:paraId="27CD28B7">
      <w:pPr>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主体结构、关键性工作的范围：</w:t>
      </w:r>
      <w:r>
        <w:rPr>
          <w:rFonts w:hint="eastAsia" w:ascii="宋体" w:hAnsi="宋体" w:eastAsia="宋体" w:cs="宋体"/>
          <w:b/>
          <w:bCs/>
          <w:color w:val="auto"/>
          <w:sz w:val="24"/>
          <w:highlight w:val="none"/>
          <w:u w:val="single"/>
        </w:rPr>
        <w:t>依据国家及地方法律法规 、行业规定</w:t>
      </w:r>
      <w:r>
        <w:rPr>
          <w:rFonts w:hint="eastAsia" w:ascii="宋体" w:hAnsi="宋体" w:eastAsia="宋体" w:cs="宋体"/>
          <w:color w:val="auto"/>
          <w:sz w:val="24"/>
          <w:highlight w:val="none"/>
        </w:rPr>
        <w:t>。</w:t>
      </w:r>
    </w:p>
    <w:p w14:paraId="5BAB2631">
      <w:pPr>
        <w:spacing w:line="46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3.5.2分包的确定</w:t>
      </w:r>
    </w:p>
    <w:p w14:paraId="2CD59FE5">
      <w:pPr>
        <w:spacing w:line="460" w:lineRule="exact"/>
        <w:ind w:firstLine="460"/>
        <w:contextualSpacing/>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允许分包的专业工程包括：</w:t>
      </w:r>
      <w:r>
        <w:rPr>
          <w:rFonts w:hint="eastAsia" w:ascii="宋体" w:hAnsi="宋体" w:eastAsia="宋体" w:cs="宋体"/>
          <w:color w:val="auto"/>
          <w:sz w:val="24"/>
          <w:highlight w:val="none"/>
          <w:u w:val="single"/>
        </w:rPr>
        <w:t>　　</w:t>
      </w:r>
      <w:r>
        <w:rPr>
          <w:rFonts w:hint="eastAsia" w:ascii="宋体" w:hAnsi="宋体" w:eastAsia="宋体" w:cs="宋体"/>
          <w:b/>
          <w:bCs/>
          <w:color w:val="auto"/>
          <w:sz w:val="24"/>
          <w:highlight w:val="none"/>
          <w:u w:val="single"/>
        </w:rPr>
        <w:t xml:space="preserve">/ </w:t>
      </w:r>
    </w:p>
    <w:p w14:paraId="3EE097D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其他关于分包的约定：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确有必要分包的单项工程必须得到发包人和监理单位认可，并分包给具有相应施工资质的单位  </w:t>
      </w:r>
      <w:r>
        <w:rPr>
          <w:rFonts w:hint="eastAsia" w:ascii="宋体" w:hAnsi="宋体" w:eastAsia="宋体" w:cs="宋体"/>
          <w:color w:val="auto"/>
          <w:sz w:val="24"/>
          <w:highlight w:val="none"/>
        </w:rPr>
        <w:t>。</w:t>
      </w:r>
    </w:p>
    <w:p w14:paraId="25CDDE5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3.5.3 分包合同价款</w:t>
      </w:r>
    </w:p>
    <w:p w14:paraId="7CE9F0CA">
      <w:pPr>
        <w:spacing w:line="460" w:lineRule="exact"/>
        <w:ind w:firstLine="480" w:firstLineChars="200"/>
        <w:contextualSpacing/>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关于分包合同价款支付的约定：</w:t>
      </w:r>
      <w:r>
        <w:rPr>
          <w:rFonts w:hint="eastAsia" w:ascii="宋体" w:hAnsi="宋体" w:eastAsia="宋体" w:cs="宋体"/>
          <w:b/>
          <w:bCs/>
          <w:color w:val="auto"/>
          <w:sz w:val="24"/>
          <w:highlight w:val="none"/>
          <w:u w:val="single"/>
        </w:rPr>
        <w:t>双方协商解决，不得差于总包合同的付款方式     。</w:t>
      </w:r>
    </w:p>
    <w:p w14:paraId="2569381B">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3.5 工程照管与成品、半成品保护</w:t>
      </w:r>
    </w:p>
    <w:p w14:paraId="4F44BA06">
      <w:pPr>
        <w:spacing w:line="460" w:lineRule="exact"/>
        <w:ind w:firstLine="480" w:firstLineChars="200"/>
        <w:contextualSpacing/>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承包人负责照管工程及工程相关的材料、工程设备的起始时间：</w:t>
      </w:r>
      <w:r>
        <w:rPr>
          <w:rFonts w:hint="eastAsia" w:ascii="宋体" w:hAnsi="宋体" w:eastAsia="宋体" w:cs="宋体"/>
          <w:b/>
          <w:bCs/>
          <w:color w:val="auto"/>
          <w:sz w:val="24"/>
          <w:highlight w:val="none"/>
          <w:u w:val="single"/>
        </w:rPr>
        <w:t xml:space="preserve">由承包人负责照管并承担相关费用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F0400D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3.6履约担保</w:t>
      </w:r>
    </w:p>
    <w:p w14:paraId="37C36CA1">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承包人是否提供履约担保：</w:t>
      </w:r>
      <w:r>
        <w:rPr>
          <w:rFonts w:hint="eastAsia" w:ascii="宋体" w:hAnsi="宋体" w:eastAsia="宋体" w:cs="宋体"/>
          <w:b/>
          <w:bCs/>
          <w:color w:val="auto"/>
          <w:sz w:val="24"/>
          <w:highlight w:val="none"/>
          <w:u w:val="single"/>
        </w:rPr>
        <w:t xml:space="preserve">  提供   </w:t>
      </w:r>
      <w:r>
        <w:rPr>
          <w:rFonts w:hint="eastAsia" w:ascii="宋体" w:hAnsi="宋体" w:eastAsia="宋体" w:cs="宋体"/>
          <w:color w:val="auto"/>
          <w:sz w:val="24"/>
          <w:highlight w:val="none"/>
        </w:rPr>
        <w:t xml:space="preserve"> 。</w:t>
      </w:r>
    </w:p>
    <w:p w14:paraId="514E3D16">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承包人提供履约担保的形式、金额及期限的：</w:t>
      </w:r>
      <w:r>
        <w:rPr>
          <w:rFonts w:hint="eastAsia" w:ascii="宋体" w:hAnsi="宋体" w:eastAsia="宋体" w:cs="宋体"/>
          <w:b/>
          <w:bCs/>
          <w:color w:val="auto"/>
          <w:sz w:val="24"/>
          <w:highlight w:val="none"/>
          <w:u w:val="single"/>
        </w:rPr>
        <w:t xml:space="preserve"> 按采购文件要求的方式；承包人如不能履行本合同或履行不符合本合同约定的，按本合同约定以履约保证金向发包人支付违约金。保证金不足以支付违约金时，承包人还应按本合同约定向发包人承担违约责任。</w:t>
      </w:r>
    </w:p>
    <w:p w14:paraId="72B5D6B9">
      <w:pPr>
        <w:pStyle w:val="6"/>
        <w:keepNext w:val="0"/>
        <w:spacing w:line="460" w:lineRule="exact"/>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监理人</w:t>
      </w:r>
    </w:p>
    <w:p w14:paraId="4D653851">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4.1监理人的一般规定</w:t>
      </w:r>
    </w:p>
    <w:p w14:paraId="35A06F8B">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关于监理人的监理内容：</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依据监理合同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071356C">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关于监理人的监理权限：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依据监理合同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2D3BCC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关于监理人在施工现场的办公场所、生活场所的提供和费用承担的约定：</w:t>
      </w:r>
      <w:r>
        <w:rPr>
          <w:rFonts w:hint="eastAsia" w:ascii="宋体" w:hAnsi="宋体" w:eastAsia="宋体" w:cs="宋体"/>
          <w:b/>
          <w:bCs/>
          <w:color w:val="auto"/>
          <w:sz w:val="24"/>
          <w:highlight w:val="none"/>
          <w:u w:val="single"/>
        </w:rPr>
        <w:t xml:space="preserve">依据监理合同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ADEE72">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4.2 监理人员</w:t>
      </w:r>
    </w:p>
    <w:p w14:paraId="1EA03D6E">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总监理工程师：</w:t>
      </w:r>
    </w:p>
    <w:p w14:paraId="2897E97F">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6D722785">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CE88D7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监理工程师执业资格证书号：</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7377679A">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2F67F539">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34071E22">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4E74718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关于监理人的其他约定：</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p w14:paraId="47E8E9E2">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4.4 商定或确定</w:t>
      </w:r>
    </w:p>
    <w:p w14:paraId="026C30F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在发包人和承包人不能通过协商达成一致意见时，发包人授权监理人对以下事项进行确定：</w:t>
      </w:r>
    </w:p>
    <w:p w14:paraId="5BC8BFF6">
      <w:pPr>
        <w:autoSpaceDE w:val="0"/>
        <w:autoSpaceDN w:val="0"/>
        <w:adjustRightInd w:val="0"/>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1285DC1">
      <w:pPr>
        <w:pStyle w:val="6"/>
        <w:keepNext w:val="0"/>
        <w:spacing w:line="460" w:lineRule="exact"/>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工程质量</w:t>
      </w:r>
    </w:p>
    <w:p w14:paraId="4A90977E">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5.1 质量要求</w:t>
      </w:r>
    </w:p>
    <w:p w14:paraId="60EAA17B">
      <w:pPr>
        <w:pStyle w:val="11"/>
        <w:adjustRightInd w:val="0"/>
        <w:snapToGrid w:val="0"/>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（1）</w:t>
      </w:r>
      <w:r>
        <w:rPr>
          <w:rFonts w:hint="eastAsia" w:ascii="宋体" w:hAnsi="宋体" w:eastAsia="宋体" w:cs="宋体"/>
          <w:b/>
          <w:bCs/>
          <w:color w:val="auto"/>
          <w:sz w:val="24"/>
          <w:highlight w:val="none"/>
          <w:u w:val="single"/>
        </w:rPr>
        <w:t>承包人对承包范围内的全部工程的质量承担相应责任。</w:t>
      </w:r>
      <w:r>
        <w:rPr>
          <w:rFonts w:hint="eastAsia" w:ascii="宋体" w:hAnsi="宋体" w:eastAsia="宋体" w:cs="宋体"/>
          <w:b/>
          <w:color w:val="auto"/>
          <w:sz w:val="24"/>
          <w:highlight w:val="none"/>
          <w:u w:val="single"/>
        </w:rPr>
        <w:t>承包人必须严格按照施工图纸（地胶不在本次施工范围内）、工程技术要求及有关工程施工规范、规格和标准施工，并无条件的接受发包人委托的监理单位全方位、全过程的监督管理。</w:t>
      </w:r>
    </w:p>
    <w:p w14:paraId="08073E73">
      <w:pPr>
        <w:spacing w:line="360" w:lineRule="auto"/>
        <w:ind w:firstLine="482" w:firstLineChars="200"/>
        <w:jc w:val="left"/>
        <w:rPr>
          <w:rFonts w:hint="eastAsia" w:ascii="宋体" w:hAnsi="宋体" w:eastAsia="宋体" w:cs="宋体"/>
          <w:b/>
          <w:bCs/>
          <w:color w:val="auto"/>
          <w:kern w:val="0"/>
          <w:sz w:val="24"/>
          <w:highlight w:val="none"/>
          <w:u w:val="single"/>
        </w:rPr>
      </w:pPr>
      <w:r>
        <w:rPr>
          <w:rFonts w:hint="eastAsia" w:ascii="宋体" w:hAnsi="宋体" w:eastAsia="宋体" w:cs="宋体"/>
          <w:b/>
          <w:bCs/>
          <w:color w:val="auto"/>
          <w:kern w:val="0"/>
          <w:sz w:val="24"/>
          <w:highlight w:val="none"/>
          <w:u w:val="single"/>
        </w:rPr>
        <w:t>（2）无论监理工程师是否进行并通过了各项检验，均不解除承包人对自己承包的工程的质量所负责任。</w:t>
      </w:r>
    </w:p>
    <w:p w14:paraId="59EAB708">
      <w:pPr>
        <w:spacing w:line="360" w:lineRule="auto"/>
        <w:ind w:firstLine="482" w:firstLineChars="200"/>
        <w:jc w:val="left"/>
        <w:rPr>
          <w:rFonts w:hint="eastAsia" w:ascii="宋体" w:hAnsi="宋体" w:eastAsia="宋体" w:cs="宋体"/>
          <w:b/>
          <w:bCs/>
          <w:color w:val="auto"/>
          <w:kern w:val="0"/>
          <w:sz w:val="24"/>
          <w:highlight w:val="none"/>
          <w:u w:val="single"/>
        </w:rPr>
      </w:pPr>
      <w:r>
        <w:rPr>
          <w:rFonts w:hint="eastAsia" w:ascii="宋体" w:hAnsi="宋体" w:eastAsia="宋体" w:cs="宋体"/>
          <w:b/>
          <w:bCs/>
          <w:color w:val="auto"/>
          <w:kern w:val="0"/>
          <w:sz w:val="24"/>
          <w:highlight w:val="none"/>
          <w:u w:val="single"/>
        </w:rPr>
        <w:t>（3）无论工程材料设备是由承包人执行采购供应或是由发包人指定的材料设备供应商提供，均不解除承包人所负的工程全面质量责任，承包人应该对各种材料、设备按规范、规程进行检查，拒绝不符合要求的材料、设备用于工程。除非对发包人指定的材料设备承包人已在使用前及时书面提出理由并通知监理工程师该等材料设备不符合要求，否则无论何种原因，出现不合格材料、设备用于工程的情况，承包人均应承担应有的责任。</w:t>
      </w:r>
    </w:p>
    <w:p w14:paraId="1002110C">
      <w:pPr>
        <w:spacing w:line="460" w:lineRule="exact"/>
        <w:ind w:firstLine="600" w:firstLineChars="249"/>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（4）双方对质量评定意见不一致时，由工程质量监督部门进行质量评定。</w:t>
      </w:r>
    </w:p>
    <w:p w14:paraId="4437FC01">
      <w:pPr>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5.1.1 特殊质量标准和要求：</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合格</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D7050AB">
      <w:pPr>
        <w:spacing w:line="460" w:lineRule="exact"/>
        <w:ind w:firstLine="1080" w:firstLineChars="45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关于工程奖项的约定：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9DA208A">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5.3 隐蔽工程检查</w:t>
      </w:r>
    </w:p>
    <w:p w14:paraId="55554DAA">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5.3.1承包人提前通知监理人隐蔽工程检查的期限的约定：</w:t>
      </w:r>
      <w:r>
        <w:rPr>
          <w:rFonts w:hint="eastAsia" w:ascii="宋体" w:hAnsi="宋体" w:eastAsia="宋体" w:cs="宋体"/>
          <w:color w:val="auto"/>
          <w:sz w:val="24"/>
          <w:highlight w:val="none"/>
          <w:u w:val="single"/>
        </w:rPr>
        <w:t xml:space="preserve"> 提前48小时     </w:t>
      </w:r>
      <w:r>
        <w:rPr>
          <w:rFonts w:hint="eastAsia" w:ascii="宋体" w:hAnsi="宋体" w:eastAsia="宋体" w:cs="宋体"/>
          <w:color w:val="auto"/>
          <w:sz w:val="24"/>
          <w:highlight w:val="none"/>
        </w:rPr>
        <w:t>。</w:t>
      </w:r>
    </w:p>
    <w:p w14:paraId="4A0D14C3">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监理人不能按时进行检查时，应提前</w:t>
      </w:r>
      <w:r>
        <w:rPr>
          <w:rFonts w:hint="eastAsia" w:ascii="宋体" w:hAnsi="宋体" w:eastAsia="宋体" w:cs="宋体"/>
          <w:color w:val="auto"/>
          <w:sz w:val="24"/>
          <w:highlight w:val="none"/>
          <w:u w:val="single"/>
        </w:rPr>
        <w:t xml:space="preserve"> 24 </w:t>
      </w:r>
      <w:r>
        <w:rPr>
          <w:rFonts w:hint="eastAsia" w:ascii="宋体" w:hAnsi="宋体" w:eastAsia="宋体" w:cs="宋体"/>
          <w:color w:val="auto"/>
          <w:sz w:val="24"/>
          <w:highlight w:val="none"/>
        </w:rPr>
        <w:t>小时提交书面延期要求。</w:t>
      </w:r>
    </w:p>
    <w:p w14:paraId="512AB4E2">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 xml:space="preserve">  48  </w:t>
      </w:r>
      <w:r>
        <w:rPr>
          <w:rFonts w:hint="eastAsia" w:ascii="宋体" w:hAnsi="宋体" w:eastAsia="宋体" w:cs="宋体"/>
          <w:color w:val="auto"/>
          <w:sz w:val="24"/>
          <w:highlight w:val="none"/>
        </w:rPr>
        <w:t>小时。</w:t>
      </w:r>
    </w:p>
    <w:p w14:paraId="7883FD63">
      <w:pPr>
        <w:pStyle w:val="6"/>
        <w:keepNext w:val="0"/>
        <w:spacing w:line="4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安全文明施工与环境保护</w:t>
      </w:r>
    </w:p>
    <w:p w14:paraId="272F58AE">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6.1安全文明施工</w:t>
      </w:r>
    </w:p>
    <w:p w14:paraId="3A8F8A10">
      <w:pPr>
        <w:spacing w:line="460" w:lineRule="exact"/>
        <w:ind w:firstLine="597" w:firstLineChars="249"/>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6.1.1 项目安全生产的达标目标及相应事项的约定：</w:t>
      </w:r>
      <w:r>
        <w:rPr>
          <w:rFonts w:hint="eastAsia" w:ascii="宋体" w:hAnsi="宋体" w:eastAsia="宋体" w:cs="宋体"/>
          <w:b/>
          <w:bCs/>
          <w:color w:val="auto"/>
          <w:sz w:val="24"/>
          <w:highlight w:val="none"/>
          <w:u w:val="single"/>
        </w:rPr>
        <w:t>满足江苏省、南通市等安监部门安全文明生产的要求，做好安全技术教育及交底，落实所有安全技术措施和人身防护用品。</w:t>
      </w:r>
    </w:p>
    <w:p w14:paraId="34931FAA">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6.1.2 文明施工</w:t>
      </w:r>
    </w:p>
    <w:p w14:paraId="3F2AC24C">
      <w:pPr>
        <w:tabs>
          <w:tab w:val="left" w:pos="0"/>
          <w:tab w:val="left" w:pos="993"/>
          <w:tab w:val="left" w:pos="1134"/>
        </w:tabs>
        <w:adjustRightInd w:val="0"/>
        <w:spacing w:line="460" w:lineRule="exact"/>
        <w:ind w:firstLine="480" w:firstLineChars="200"/>
        <w:contextualSpacing/>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合同当事人对文明施工的要求：</w:t>
      </w:r>
      <w:r>
        <w:rPr>
          <w:rFonts w:hint="eastAsia" w:ascii="宋体" w:hAnsi="宋体" w:eastAsia="宋体" w:cs="宋体"/>
          <w:b/>
          <w:color w:val="auto"/>
          <w:sz w:val="24"/>
          <w:highlight w:val="none"/>
          <w:u w:val="single"/>
        </w:rPr>
        <w:t>承包人必须按照市级文明工地标准和要求。做好场地清理及相关工作。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出校外（运距自行考虑），将所有施工机械和设备从施工场地运走。上述费用包含在合同价中。未能达到上述要求发包人有权扣除承包人履约保证金的10%。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施工现场要设立标语、标牌，做到文明施工，树立企业形象，主动接受社会监督和有关部门的管理。</w:t>
      </w:r>
    </w:p>
    <w:p w14:paraId="13B23ED5">
      <w:pPr>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6.1.3 关于安全文明施工费支付比例和支付期限的约定：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与合同款（进度款）同期支付</w:t>
      </w:r>
      <w:r>
        <w:rPr>
          <w:rFonts w:hint="eastAsia" w:ascii="宋体" w:hAnsi="宋体" w:eastAsia="宋体" w:cs="宋体"/>
          <w:color w:val="auto"/>
          <w:sz w:val="24"/>
          <w:highlight w:val="none"/>
        </w:rPr>
        <w:t>。</w:t>
      </w:r>
    </w:p>
    <w:p w14:paraId="494972D5">
      <w:pPr>
        <w:pStyle w:val="6"/>
        <w:keepNext w:val="0"/>
        <w:spacing w:line="460" w:lineRule="exact"/>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工期和进度</w:t>
      </w:r>
    </w:p>
    <w:p w14:paraId="60606CE4">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7.1 施工组织设计：</w:t>
      </w:r>
    </w:p>
    <w:p w14:paraId="3F227825">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7.1.1 合同当事人约定的施工组织设计应包括的其他内容：</w:t>
      </w:r>
      <w:r>
        <w:rPr>
          <w:rFonts w:hint="eastAsia" w:ascii="宋体" w:hAnsi="宋体" w:eastAsia="宋体" w:cs="宋体"/>
          <w:color w:val="auto"/>
          <w:spacing w:val="-2"/>
          <w:sz w:val="24"/>
          <w:highlight w:val="none"/>
          <w:u w:val="single"/>
        </w:rPr>
        <w:t>承包人在开工前必须提交详细的施工组织设计，报发包人及总监审批，施工组织设计经发包人及监理认可后方可开工。施工组织设计将作为工程款支付的参考依据之一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000EBA3">
      <w:pPr>
        <w:autoSpaceDE w:val="0"/>
        <w:autoSpaceDN w:val="0"/>
        <w:adjustRightInd w:val="0"/>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7.1.2 </w:t>
      </w:r>
      <w:r>
        <w:rPr>
          <w:rFonts w:hint="eastAsia" w:ascii="宋体" w:hAnsi="宋体" w:eastAsia="宋体" w:cs="宋体"/>
          <w:color w:val="auto"/>
          <w:kern w:val="0"/>
          <w:sz w:val="24"/>
          <w:highlight w:val="none"/>
        </w:rPr>
        <w:t>施工组织设计的提交和修改</w:t>
      </w:r>
    </w:p>
    <w:p w14:paraId="5FE921A3">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承包人提交详细施工组织设计的期限的约定：</w:t>
      </w:r>
      <w:r>
        <w:rPr>
          <w:rFonts w:hint="eastAsia" w:ascii="宋体" w:hAnsi="宋体" w:eastAsia="宋体" w:cs="宋体"/>
          <w:color w:val="auto"/>
          <w:kern w:val="0"/>
          <w:sz w:val="24"/>
          <w:highlight w:val="none"/>
          <w:u w:val="single"/>
        </w:rPr>
        <w:t>开工前3天</w:t>
      </w:r>
      <w:r>
        <w:rPr>
          <w:rFonts w:hint="eastAsia" w:ascii="宋体" w:hAnsi="宋体" w:eastAsia="宋体" w:cs="宋体"/>
          <w:b/>
          <w:bCs/>
          <w:color w:val="auto"/>
          <w:sz w:val="24"/>
          <w:highlight w:val="none"/>
          <w:u w:val="single"/>
          <w:lang w:eastAsia="zh-TW"/>
        </w:rPr>
        <w:t>。</w:t>
      </w:r>
    </w:p>
    <w:p w14:paraId="78849D32">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发包人和监理人在收到详细的施工组织设计后确认或提出修改意见的期限：</w:t>
      </w:r>
      <w:r>
        <w:rPr>
          <w:rFonts w:hint="eastAsia" w:ascii="宋体" w:hAnsi="宋体" w:eastAsia="宋体" w:cs="宋体"/>
          <w:color w:val="auto"/>
          <w:sz w:val="24"/>
          <w:highlight w:val="none"/>
          <w:u w:val="single"/>
        </w:rPr>
        <w:t>收到后3天内</w:t>
      </w:r>
      <w:r>
        <w:rPr>
          <w:rFonts w:hint="eastAsia" w:ascii="宋体" w:hAnsi="宋体" w:eastAsia="宋体" w:cs="宋体"/>
          <w:b/>
          <w:bCs/>
          <w:color w:val="auto"/>
          <w:sz w:val="24"/>
          <w:highlight w:val="none"/>
          <w:u w:val="single"/>
        </w:rPr>
        <w:t>。</w:t>
      </w:r>
    </w:p>
    <w:p w14:paraId="083ABC2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7.2 施工进度计划</w:t>
      </w:r>
    </w:p>
    <w:p w14:paraId="7D8529A9">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7.2.2 施工进度计划的修订</w:t>
      </w:r>
    </w:p>
    <w:p w14:paraId="52A4AE4D">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承包人提供施工组织设计（施工方案）和进度计划的时间：</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收到后3天内</w:t>
      </w:r>
      <w:r>
        <w:rPr>
          <w:rFonts w:hint="eastAsia" w:ascii="宋体" w:hAnsi="宋体" w:eastAsia="宋体" w:cs="宋体"/>
          <w:color w:val="auto"/>
          <w:sz w:val="24"/>
          <w:highlight w:val="none"/>
        </w:rPr>
        <w:t>发包人和监理人在收到修订的施工进度计划后确认或提出修改意见的期限：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收到上述文件后3日内予以确认。</w:t>
      </w:r>
    </w:p>
    <w:p w14:paraId="73D02EC1">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7.3 开工</w:t>
      </w:r>
    </w:p>
    <w:p w14:paraId="7D05067F">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7.3.1 开工准备</w:t>
      </w:r>
    </w:p>
    <w:p w14:paraId="7DBCAE62">
      <w:pPr>
        <w:spacing w:line="460" w:lineRule="exact"/>
        <w:ind w:firstLine="645"/>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关于承包人提交</w:t>
      </w:r>
      <w:r>
        <w:rPr>
          <w:rFonts w:hint="eastAsia" w:ascii="宋体" w:hAnsi="宋体" w:eastAsia="宋体" w:cs="宋体"/>
          <w:color w:val="auto"/>
          <w:kern w:val="0"/>
          <w:sz w:val="24"/>
          <w:highlight w:val="none"/>
        </w:rPr>
        <w:t>工程开工报审表的期限：</w:t>
      </w:r>
      <w:r>
        <w:rPr>
          <w:rFonts w:hint="eastAsia" w:ascii="宋体" w:hAnsi="宋体" w:eastAsia="宋体" w:cs="宋体"/>
          <w:b/>
          <w:bCs/>
          <w:color w:val="auto"/>
          <w:sz w:val="24"/>
          <w:highlight w:val="none"/>
          <w:u w:val="single"/>
        </w:rPr>
        <w:t>本合同签订并生效后五日内</w:t>
      </w:r>
      <w:r>
        <w:rPr>
          <w:rFonts w:hint="eastAsia" w:ascii="宋体" w:hAnsi="宋体" w:eastAsia="宋体" w:cs="宋体"/>
          <w:color w:val="auto"/>
          <w:sz w:val="24"/>
          <w:highlight w:val="none"/>
        </w:rPr>
        <w:t>。</w:t>
      </w:r>
    </w:p>
    <w:p w14:paraId="70DFF4C6">
      <w:pPr>
        <w:spacing w:line="460" w:lineRule="exact"/>
        <w:ind w:firstLine="645"/>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关于发包人应完成的其他开工准备工作及期限：</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08F0EF32">
      <w:pPr>
        <w:adjustRightInd w:val="0"/>
        <w:spacing w:line="460" w:lineRule="exact"/>
        <w:ind w:firstLine="540" w:firstLineChars="225"/>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关于承包人应完成的其他开工准备工作及期限：</w:t>
      </w:r>
      <w:r>
        <w:rPr>
          <w:rFonts w:hint="eastAsia" w:ascii="宋体" w:hAnsi="宋体" w:eastAsia="宋体" w:cs="宋体"/>
          <w:b/>
          <w:bCs/>
          <w:color w:val="auto"/>
          <w:sz w:val="24"/>
          <w:highlight w:val="none"/>
          <w:u w:val="single"/>
        </w:rPr>
        <w:t xml:space="preserve">开工前5日依据磋商响应文件，结合施工现场情况，报施工总进度计划， </w:t>
      </w:r>
      <w:r>
        <w:rPr>
          <w:rFonts w:hint="eastAsia" w:ascii="宋体" w:hAnsi="宋体" w:eastAsia="宋体" w:cs="宋体"/>
          <w:b/>
          <w:bCs/>
          <w:color w:val="auto"/>
          <w:sz w:val="24"/>
          <w:highlight w:val="none"/>
          <w:u w:val="single"/>
          <w:lang w:eastAsia="zh-TW"/>
        </w:rPr>
        <w:t>每周四报周进度计划</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D4568C1">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7.3.2开工通知</w:t>
      </w:r>
    </w:p>
    <w:p w14:paraId="1417E5DB">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因发包人原因造成监理人未能在计划开工日期之日起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天内发出开工通知的，承包人有权提出价格调整要求，或者解除合同。</w:t>
      </w:r>
    </w:p>
    <w:p w14:paraId="69A4BE32">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7.4 测量放线</w:t>
      </w:r>
    </w:p>
    <w:p w14:paraId="217AA49F">
      <w:pPr>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7.4.1发包人通过监理人向承包人提供测量基准点、基准线和水准点及其书面资料的期限：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开工前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FAC097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7.5 工期延误</w:t>
      </w:r>
    </w:p>
    <w:p w14:paraId="596D0AC2">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7.5.1 因发包人原因导致工期延误</w:t>
      </w:r>
    </w:p>
    <w:p w14:paraId="10A35D6F">
      <w:pPr>
        <w:spacing w:line="460" w:lineRule="exact"/>
        <w:ind w:firstLine="240" w:firstLineChars="100"/>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（7）因发包人原因导致工期延误的其他情形：</w:t>
      </w:r>
      <w:r>
        <w:rPr>
          <w:rFonts w:hint="eastAsia" w:ascii="宋体" w:hAnsi="宋体" w:eastAsia="宋体" w:cs="宋体"/>
          <w:b/>
          <w:bCs/>
          <w:color w:val="auto"/>
          <w:sz w:val="24"/>
          <w:highlight w:val="none"/>
          <w:u w:val="single"/>
        </w:rPr>
        <w:t xml:space="preserve">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 </w:t>
      </w:r>
    </w:p>
    <w:p w14:paraId="5A81CEEB">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7.5.2 因承包人原因导致工期延误</w:t>
      </w:r>
    </w:p>
    <w:p w14:paraId="5115DF51">
      <w:pPr>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因承包人原因造成工期延误，逾期竣工违约金的计算方法为：</w:t>
      </w:r>
    </w:p>
    <w:p w14:paraId="0602F2E3">
      <w:pPr>
        <w:spacing w:line="460" w:lineRule="exact"/>
        <w:ind w:firstLine="482" w:firstLineChars="200"/>
        <w:contextualSpacing/>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实际开工时间以总监理工程师签发的开工令为准，竣工日期以竣工验收报告日期为准。</w:t>
      </w:r>
      <w:r>
        <w:rPr>
          <w:rFonts w:hint="eastAsia" w:ascii="宋体" w:hAnsi="宋体" w:eastAsia="宋体" w:cs="宋体"/>
          <w:b/>
          <w:color w:val="auto"/>
          <w:sz w:val="24"/>
          <w:highlight w:val="none"/>
          <w:u w:val="single"/>
        </w:rPr>
        <w:t>若</w:t>
      </w:r>
      <w:r>
        <w:rPr>
          <w:rFonts w:hint="eastAsia" w:ascii="宋体" w:hAnsi="宋体" w:eastAsia="宋体" w:cs="宋体"/>
          <w:b/>
          <w:bCs/>
          <w:color w:val="auto"/>
          <w:sz w:val="24"/>
          <w:highlight w:val="none"/>
          <w:u w:val="single"/>
        </w:rPr>
        <w:t>承包人未按期开工或因其他原因延误工期七天以内，则按延期每天扣违约金贰仟元；若超过七天，则从第七天起按延期每天扣违约金伍仟元；若超过十五天以上，</w:t>
      </w:r>
      <w:r>
        <w:rPr>
          <w:rFonts w:hint="eastAsia" w:ascii="宋体" w:hAnsi="宋体" w:eastAsia="宋体" w:cs="宋体"/>
          <w:b/>
          <w:color w:val="auto"/>
          <w:sz w:val="24"/>
          <w:highlight w:val="none"/>
          <w:u w:val="single"/>
        </w:rPr>
        <w:t>则罚没全额履约保证金的20%，并按延期1000元/天加罚，且</w:t>
      </w:r>
      <w:r>
        <w:rPr>
          <w:rFonts w:hint="eastAsia" w:ascii="宋体" w:hAnsi="宋体" w:eastAsia="宋体" w:cs="宋体"/>
          <w:b/>
          <w:bCs/>
          <w:color w:val="auto"/>
          <w:sz w:val="24"/>
          <w:highlight w:val="none"/>
          <w:u w:val="single"/>
        </w:rPr>
        <w:t xml:space="preserve">发包人有权终止合同。 </w:t>
      </w:r>
    </w:p>
    <w:p w14:paraId="319D4448">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因承包人原因造成工期延误，逾期竣工违约金的上限：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p>
    <w:p w14:paraId="5B3772F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7.6 不利物质条件</w:t>
      </w:r>
    </w:p>
    <w:p w14:paraId="2E335749">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不利物质条件的其他情形和有关约定：</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w:t>
      </w:r>
    </w:p>
    <w:p w14:paraId="0EE93B4F">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7.7异常恶劣的气候条件</w:t>
      </w:r>
    </w:p>
    <w:p w14:paraId="250F00A8">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发包人和承包人同意以下情形视为异常恶劣的气候条件：</w:t>
      </w:r>
    </w:p>
    <w:p w14:paraId="32F41E8A">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bCs/>
          <w:color w:val="auto"/>
          <w:sz w:val="24"/>
          <w:highlight w:val="none"/>
          <w:u w:val="single"/>
        </w:rPr>
        <w:t>双方另行约定</w:t>
      </w:r>
      <w:r>
        <w:rPr>
          <w:rFonts w:hint="eastAsia" w:ascii="宋体" w:hAnsi="宋体" w:eastAsia="宋体" w:cs="宋体"/>
          <w:color w:val="auto"/>
          <w:sz w:val="24"/>
          <w:highlight w:val="none"/>
        </w:rPr>
        <w:t>。</w:t>
      </w:r>
    </w:p>
    <w:p w14:paraId="3081B43E">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7.9 提前竣工的奖励   7.9.2提前竣工的奖励：</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BC2446">
      <w:pPr>
        <w:pStyle w:val="6"/>
        <w:keepNext w:val="0"/>
        <w:spacing w:line="460" w:lineRule="exact"/>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材料与设备</w:t>
      </w:r>
    </w:p>
    <w:p w14:paraId="074CD45A">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8.1承包人采购材料与工程设备</w:t>
      </w:r>
    </w:p>
    <w:p w14:paraId="266AB1A3">
      <w:pPr>
        <w:spacing w:line="460" w:lineRule="exact"/>
        <w:ind w:firstLine="482" w:firstLineChars="200"/>
        <w:contextualSpacing/>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本工程主要材料，承包人应按采购文件规定、设计文件、施工验收规范要求进行采购与保管。</w:t>
      </w:r>
    </w:p>
    <w:p w14:paraId="710CA130">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8.2材料与工程设备的保管与使用</w:t>
      </w:r>
    </w:p>
    <w:p w14:paraId="0F538236">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bookmarkStart w:id="101" w:name="_Toc292559878"/>
      <w:bookmarkStart w:id="102" w:name="_Toc292559373"/>
      <w:r>
        <w:rPr>
          <w:rFonts w:hint="eastAsia" w:ascii="宋体" w:hAnsi="宋体" w:eastAsia="宋体" w:cs="宋体"/>
          <w:color w:val="auto"/>
          <w:sz w:val="24"/>
          <w:highlight w:val="none"/>
        </w:rPr>
        <w:t>.2.1发包人供应的材料设备的保管费用的承担：</w:t>
      </w:r>
      <w:r>
        <w:rPr>
          <w:rFonts w:hint="eastAsia" w:ascii="宋体" w:hAnsi="宋体" w:eastAsia="宋体" w:cs="宋体"/>
          <w:b/>
          <w:color w:val="auto"/>
          <w:sz w:val="24"/>
          <w:highlight w:val="none"/>
          <w:u w:val="single"/>
        </w:rPr>
        <w:t xml:space="preserve">/。 </w:t>
      </w:r>
    </w:p>
    <w:bookmarkEnd w:id="101"/>
    <w:bookmarkEnd w:id="102"/>
    <w:p w14:paraId="12188B4C">
      <w:pPr>
        <w:spacing w:line="460" w:lineRule="exact"/>
        <w:ind w:firstLine="480" w:firstLineChars="200"/>
        <w:contextualSpacing/>
        <w:jc w:val="left"/>
        <w:rPr>
          <w:rFonts w:hint="eastAsia" w:ascii="宋体" w:hAnsi="宋体" w:eastAsia="宋体" w:cs="宋体"/>
          <w:b/>
          <w:color w:val="auto"/>
          <w:spacing w:val="-8"/>
          <w:sz w:val="24"/>
          <w:highlight w:val="none"/>
          <w:u w:val="single"/>
        </w:rPr>
      </w:pPr>
      <w:r>
        <w:rPr>
          <w:rFonts w:hint="eastAsia" w:ascii="宋体" w:hAnsi="宋体" w:eastAsia="宋体" w:cs="宋体"/>
          <w:color w:val="auto"/>
          <w:kern w:val="0"/>
          <w:sz w:val="24"/>
          <w:highlight w:val="none"/>
        </w:rPr>
        <w:t>承包人采购</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设备的保管与使用：（1）</w:t>
      </w:r>
      <w:r>
        <w:rPr>
          <w:rFonts w:hint="eastAsia" w:ascii="宋体" w:hAnsi="宋体" w:eastAsia="宋体" w:cs="宋体"/>
          <w:b/>
          <w:color w:val="auto"/>
          <w:spacing w:val="-8"/>
          <w:sz w:val="24"/>
          <w:highlight w:val="none"/>
          <w:u w:val="single"/>
        </w:rPr>
        <w:t>承包人自行采购的材料设备，在相关材料进场时必须得到发包人及监理单位的认可，否则不得进场使用。</w:t>
      </w:r>
    </w:p>
    <w:p w14:paraId="7FE2166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8.3 样品</w:t>
      </w:r>
    </w:p>
    <w:p w14:paraId="6AAA0C4B">
      <w:pPr>
        <w:autoSpaceDE w:val="0"/>
        <w:autoSpaceDN w:val="0"/>
        <w:adjustRightInd w:val="0"/>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8.3.1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样品的报送与封存</w:t>
      </w:r>
    </w:p>
    <w:p w14:paraId="28583EA0">
      <w:pPr>
        <w:pStyle w:val="127"/>
        <w:spacing w:line="360" w:lineRule="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需要承包人报送样品的材料或工程设备，样品的种类、名称、规格、数量要求：</w:t>
      </w:r>
      <w:r>
        <w:rPr>
          <w:rFonts w:hint="eastAsia" w:ascii="宋体" w:hAnsi="宋体" w:eastAsia="宋体" w:cs="宋体"/>
          <w:color w:val="auto"/>
          <w:szCs w:val="24"/>
          <w:highlight w:val="none"/>
          <w:u w:val="single"/>
        </w:rPr>
        <w:t xml:space="preserve"> 按管理部门要求和发包人需求确定。</w:t>
      </w:r>
    </w:p>
    <w:p w14:paraId="06127FFE">
      <w:pPr>
        <w:spacing w:line="360" w:lineRule="auto"/>
        <w:ind w:firstLine="470" w:firstLineChars="19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（1）凡是工程量清单中暂定单价的材料设备，承包人在采购前须提前一周将材料设备的品种、规格、颜色、质量、价格、样品报送监理和发包人，经监理和发包人书面确认后方可采购；</w:t>
      </w:r>
    </w:p>
    <w:p w14:paraId="50F5538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凡是招标文件中予以明确材料品牌范围、生产产家和规格型号的，承包人必须按招标文件规定之一品牌进行采购，采购前应提前一周将拟用品牌型号的书面材料报告及样品报送监理和发包人，经监理和发包人书面确认后方可采购。</w:t>
      </w:r>
    </w:p>
    <w:p w14:paraId="0155624B">
      <w:pPr>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3）本工程中未设暂估价、未提供参考品牌规格、型号、要求等承包人自行采购材料，承包人应考虑使用国产中档以下且符合国家标准的合格产品，采购前应提前一周将拟用品牌型号的书面材料报告及样品报送监理和发包人，经监理和发包人书面确认后方可采购。 </w:t>
      </w:r>
    </w:p>
    <w:p w14:paraId="260B612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发包人及监理对上述材料及用于本工程的所有材料有质量认定权（如发包人对承包人采购的材料认定为不合格的，承包人必须重新采购，直到合格为止），经总监人及发包人书面确认后，方可采购，涉及到的价格不再调整。</w:t>
      </w:r>
    </w:p>
    <w:p w14:paraId="469E631E">
      <w:pPr>
        <w:autoSpaceDE w:val="0"/>
        <w:autoSpaceDN w:val="0"/>
        <w:adjustRightInd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发包人和工程监理有权对承包人提供的材料和设备进行抽检，对不符合设计要求及验收规范的材料和设备，有权终止使用，发生的一切损失和费用由承包人承担。监理根据需要可在事前、事中、事后进行抽检，不论在哪个阶段查出问题，所造成的损失均由承包人负责。</w:t>
      </w:r>
    </w:p>
    <w:p w14:paraId="39AA26D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（6）主要材料设备进场时要有质保书或出厂合格证，并已进行有关必要的检验或试验；主要材料设备进场后须通知发包人及监理工程师验收并经书面确认后方可使用。</w:t>
      </w:r>
    </w:p>
    <w:p w14:paraId="2EE9BAC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7）在实际施工中，发包人可以无条件要求承包人更换不符合要求的产品和对同类材料进行更换颜色，购进的材料设备与提供的样品不一致时，由承包人无条件退货，因使用不符合国家标准及发包人未认可的材料，而引起的相关费用由承包人承担，结算时一律不作调整。若发包人、监理单位对某批材料持有异议时，承包人须无条件、积极主动地配合发包人、监理单位进行检测，发生的费用按相关规定执行。 </w:t>
      </w:r>
    </w:p>
    <w:p w14:paraId="02C85A65">
      <w:pPr>
        <w:autoSpaceDE w:val="0"/>
        <w:autoSpaceDN w:val="0"/>
        <w:adjustRightInd w:val="0"/>
        <w:spacing w:before="50"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若承包人不按上述有关条款采购材料，由承包人无条件退货，由此引起的一切责任与后果均由承包人承担，同时承包人应参照本合同第16.2条之约定，对发包人承担相应的违约责任。</w:t>
      </w:r>
    </w:p>
    <w:p w14:paraId="20537ED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（8）须发包人认质认价的材料，由承包人提前10天以上向发包人提出。</w:t>
      </w:r>
    </w:p>
    <w:p w14:paraId="0469EF6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8.4 施工设备和临时设施</w:t>
      </w:r>
    </w:p>
    <w:p w14:paraId="0440AD5B">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8.4.1 承包人提供的施工设备和临时设施</w:t>
      </w:r>
    </w:p>
    <w:p w14:paraId="4C59CB78">
      <w:pPr>
        <w:autoSpaceDE w:val="0"/>
        <w:autoSpaceDN w:val="0"/>
        <w:adjustRightInd w:val="0"/>
        <w:spacing w:line="460" w:lineRule="exact"/>
        <w:ind w:firstLine="480" w:firstLineChars="200"/>
        <w:contextualSpacing/>
        <w:jc w:val="left"/>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关于修建临时设施费用承担的约定：</w:t>
      </w:r>
      <w:r>
        <w:rPr>
          <w:rFonts w:hint="eastAsia" w:ascii="宋体" w:hAnsi="宋体" w:eastAsia="宋体" w:cs="宋体"/>
          <w:b/>
          <w:color w:val="auto"/>
          <w:sz w:val="24"/>
          <w:highlight w:val="none"/>
          <w:u w:val="single"/>
        </w:rPr>
        <w:t>由承包人自行考虑，费用包含在合同价款内。</w:t>
      </w:r>
    </w:p>
    <w:p w14:paraId="2DF70B7D">
      <w:pPr>
        <w:autoSpaceDE w:val="0"/>
        <w:autoSpaceDN w:val="0"/>
        <w:adjustRightInd w:val="0"/>
        <w:spacing w:line="460" w:lineRule="exact"/>
        <w:contextualSpacing/>
        <w:jc w:val="left"/>
        <w:rPr>
          <w:rFonts w:hint="eastAsia" w:ascii="宋体" w:hAnsi="宋体" w:eastAsia="宋体" w:cs="宋体"/>
          <w:b/>
          <w:color w:val="auto"/>
          <w:sz w:val="24"/>
          <w:highlight w:val="none"/>
          <w:u w:val="single"/>
        </w:rPr>
      </w:pPr>
      <w:r>
        <w:rPr>
          <w:rFonts w:hint="eastAsia" w:ascii="宋体" w:hAnsi="宋体" w:eastAsia="宋体" w:cs="宋体"/>
          <w:bCs/>
          <w:color w:val="auto"/>
          <w:sz w:val="24"/>
          <w:highlight w:val="none"/>
        </w:rPr>
        <w:t>9. 试验与检验</w:t>
      </w:r>
      <w:r>
        <w:rPr>
          <w:rFonts w:hint="eastAsia" w:ascii="宋体" w:hAnsi="宋体" w:eastAsia="宋体" w:cs="宋体"/>
          <w:b/>
          <w:color w:val="auto"/>
          <w:sz w:val="24"/>
          <w:highlight w:val="none"/>
          <w:u w:val="single"/>
        </w:rPr>
        <w:t>按本合同通用条款执行。</w:t>
      </w:r>
    </w:p>
    <w:p w14:paraId="1F1BEA25">
      <w:pPr>
        <w:pStyle w:val="6"/>
        <w:keepNext w:val="0"/>
        <w:spacing w:line="460" w:lineRule="exact"/>
        <w:contextualSpacing/>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变更</w:t>
      </w:r>
    </w:p>
    <w:p w14:paraId="7A809462">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10.1变更的范围</w:t>
      </w:r>
    </w:p>
    <w:p w14:paraId="6424BF65">
      <w:pPr>
        <w:tabs>
          <w:tab w:val="left" w:pos="820"/>
        </w:tabs>
        <w:spacing w:line="460" w:lineRule="exact"/>
        <w:ind w:firstLine="470" w:firstLineChars="196"/>
        <w:contextualSpacing/>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关于变更的范围的约定：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(1)发包人提供的工程量清单中的错、漏项;(2)经发包人认可的设计变更;(3)具有完备手续的现场签证;(4)经发包人认可的其它变更。</w:t>
      </w:r>
    </w:p>
    <w:p w14:paraId="11621BEA">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10.2变更程序</w:t>
      </w:r>
    </w:p>
    <w:p w14:paraId="6F2D144F">
      <w:pPr>
        <w:tabs>
          <w:tab w:val="left" w:pos="820"/>
        </w:tabs>
        <w:spacing w:line="460" w:lineRule="exact"/>
        <w:ind w:firstLine="472" w:firstLineChars="196"/>
        <w:contextualSpacing/>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705F33AA">
      <w:pPr>
        <w:tabs>
          <w:tab w:val="left" w:pos="820"/>
        </w:tabs>
        <w:spacing w:line="460" w:lineRule="exact"/>
        <w:ind w:firstLine="472" w:firstLineChars="196"/>
        <w:contextualSpacing/>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发包人有权在发出变更指令前要求承包人提交一份有关该项变更的建议书，承包人应在2个工作日内做出书面回应，并在建议书中说明该项变更可能对本工程造成的影响。</w:t>
      </w:r>
    </w:p>
    <w:p w14:paraId="50DFEAC6">
      <w:pPr>
        <w:tabs>
          <w:tab w:val="left" w:pos="820"/>
        </w:tabs>
        <w:spacing w:line="460" w:lineRule="exact"/>
        <w:ind w:firstLine="472" w:firstLineChars="196"/>
        <w:contextualSpacing/>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设计变更及工程签证必须经发包人委托的设计单位及发包人书面确认认可后方可生效。同时必须按发包人规定的流程单进行实施与执行。</w:t>
      </w:r>
    </w:p>
    <w:p w14:paraId="76720F9E">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10.3 变更估价</w:t>
      </w:r>
    </w:p>
    <w:p w14:paraId="19E580B2">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10.3.1 变更估价原则</w:t>
      </w:r>
    </w:p>
    <w:p w14:paraId="41065EBC">
      <w:pPr>
        <w:tabs>
          <w:tab w:val="left" w:pos="820"/>
        </w:tabs>
        <w:spacing w:line="460" w:lineRule="exact"/>
        <w:ind w:firstLine="470" w:firstLineChars="196"/>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关于变更估价的约定:</w:t>
      </w:r>
      <w:r>
        <w:rPr>
          <w:rFonts w:hint="eastAsia" w:ascii="宋体" w:hAnsi="宋体" w:eastAsia="宋体" w:cs="宋体"/>
          <w:color w:val="auto"/>
          <w:sz w:val="24"/>
          <w:highlight w:val="none"/>
          <w:u w:val="single"/>
        </w:rPr>
        <w:t xml:space="preserve"> </w:t>
      </w:r>
    </w:p>
    <w:p w14:paraId="7A094C7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工程量计量时，若发现工程量清单中出现的漏项或缺项部分按实结算，竣工结算的工程量按发承包双方在合同中约定应予计量且实际完成并验收合格的工程量和项目确定，完成发包人要求的合同以外的零星工作或发生非承包人责任事件的工程量按现场签证确定。</w:t>
      </w:r>
    </w:p>
    <w:p w14:paraId="163A9AF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（2）当工程因缺项、工程量计算偏差，以及工程变更等发包人原因引起工程量变化时，该项目的综合单价应按下列方式调整：</w:t>
      </w:r>
    </w:p>
    <w:p w14:paraId="46B2FA9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A、已标价工程量清单中有适用于变更工程项目的，应采用该项目的单价；但当工程变更导致该清单项目的工程数量发生变化，且工程量偏差超过15%时，该项目按以下规定调整：当工程量增加15% 以上时，则增加部分的工程量的综合单价应予调低；当工程量减少15% 以上时，则减少后剩余部分的工程量的综合单价应予调高。</w:t>
      </w:r>
    </w:p>
    <w:p w14:paraId="2214614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B、已标价工程量清单中没有适用但有类似于变更工程项目的，可在合理范围内参照类似项目的单价。</w:t>
      </w:r>
    </w:p>
    <w:p w14:paraId="0B3D632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C、已标价工程量清单中没有适用也没有类似于变更工程项目的，应由承包人根据变更工程资料、计量规则和计价办法、南通市建设工程造价管理处发布的信息价格和承包人报价浮动率[承包人报价浮动率c＝（1－中标价/招标控制价）×100%，中标价、招标控制价须扣除暂估价、暂列金额及相应的规费税金]提出变更工程项目的单价，并应报发包人确认后调整。</w:t>
      </w:r>
    </w:p>
    <w:p w14:paraId="0451968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D、已标价工程量清单中没有适用也没有类似于变更工程项目，且南通市建设工程造价管理处发布的信息价格缺价的，应由承包人根据变更工程资料、计量规则和计价办法和通过市场调查等取得有合法依据的市场价格提出变更工程项目的单价，并应报发包人确认后调整。</w:t>
      </w:r>
    </w:p>
    <w:p w14:paraId="0C456164">
      <w:pPr>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安全文明施工费应按照实际发生变化的措施项目依据招标文件且以最终核定的结果为准；采用单价计算的措施项目费，应按照实际发生变化的措施项目，按上述（2）的规定确定单价（招标文件另有约定按照投标报价一次性包定结算时不调整的项目除外）；按总价（或系数）计算的措施项目费，按照实际发生变化的措施项目调整，但应考虑承包人报价浮动因素，即调整金额按照实际金额乘以上述（2）的承包人报价浮动率计算。</w:t>
      </w:r>
    </w:p>
    <w:p w14:paraId="42008E6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10.4承包人的合理化建议</w:t>
      </w:r>
    </w:p>
    <w:p w14:paraId="728321E5">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监理人审查承包人合理化建议的期限：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3日内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4B6D7B">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发包人审批承包人合理化建议的期限：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7日内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CD037CF">
      <w:pPr>
        <w:pStyle w:val="128"/>
        <w:widowControl w:val="0"/>
        <w:spacing w:line="460" w:lineRule="exact"/>
        <w:ind w:firstLine="480"/>
        <w:contextualSpacing/>
        <w:rPr>
          <w:rFonts w:hint="eastAsia" w:ascii="宋体" w:hAnsi="宋体" w:eastAsia="宋体" w:cs="宋体"/>
          <w:b/>
          <w:bCs/>
          <w:color w:val="auto"/>
          <w:kern w:val="2"/>
          <w:sz w:val="24"/>
          <w:szCs w:val="24"/>
          <w:highlight w:val="none"/>
          <w:u w:val="singl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kern w:val="2"/>
          <w:sz w:val="24"/>
          <w:szCs w:val="24"/>
          <w:highlight w:val="none"/>
          <w:u w:val="single"/>
        </w:rPr>
        <w:t xml:space="preserve"> /。</w:t>
      </w:r>
    </w:p>
    <w:p w14:paraId="071A2875">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 暂估价</w:t>
      </w:r>
    </w:p>
    <w:p w14:paraId="444F88DF">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暂估价材料和工程设备的明细详见附件11：《</w:t>
      </w:r>
      <w:r>
        <w:rPr>
          <w:rFonts w:hint="eastAsia" w:ascii="宋体" w:hAnsi="宋体" w:eastAsia="宋体" w:cs="宋体"/>
          <w:color w:val="auto"/>
          <w:sz w:val="24"/>
          <w:highlight w:val="none"/>
        </w:rPr>
        <w:t>暂估价一览表》</w:t>
      </w:r>
      <w:r>
        <w:rPr>
          <w:rFonts w:hint="eastAsia" w:ascii="宋体" w:hAnsi="宋体" w:eastAsia="宋体" w:cs="宋体"/>
          <w:color w:val="auto"/>
          <w:kern w:val="0"/>
          <w:sz w:val="24"/>
          <w:highlight w:val="none"/>
        </w:rPr>
        <w:t>。</w:t>
      </w:r>
    </w:p>
    <w:p w14:paraId="23C14E09">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10.5.1 依法必须招标的暂估价项目</w:t>
      </w:r>
    </w:p>
    <w:p w14:paraId="0A41FCE7">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对于依法必须招标的暂估价项目的确认和批准采取第</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种方式确定。</w:t>
      </w:r>
    </w:p>
    <w:p w14:paraId="7505E832">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10.5.2 不属于依法必须招标的暂估价项目</w:t>
      </w:r>
    </w:p>
    <w:p w14:paraId="3B818484">
      <w:pPr>
        <w:spacing w:line="460" w:lineRule="exact"/>
        <w:ind w:firstLine="460"/>
        <w:contextualSpacing/>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对于不属于依法必须招标的暂估价项目的确认和批准采取第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种方式确定 </w:t>
      </w:r>
      <w:r>
        <w:rPr>
          <w:rFonts w:hint="eastAsia" w:ascii="宋体" w:hAnsi="宋体" w:eastAsia="宋体" w:cs="宋体"/>
          <w:color w:val="auto"/>
          <w:sz w:val="24"/>
          <w:highlight w:val="none"/>
          <w:u w:val="single"/>
        </w:rPr>
        <w:t xml:space="preserve">       </w:t>
      </w:r>
    </w:p>
    <w:p w14:paraId="2CFAFF0D">
      <w:pPr>
        <w:spacing w:line="460" w:lineRule="exact"/>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第3种方式：</w:t>
      </w:r>
      <w:r>
        <w:rPr>
          <w:rFonts w:hint="eastAsia" w:ascii="宋体" w:hAnsi="宋体" w:eastAsia="宋体" w:cs="宋体"/>
          <w:color w:val="auto"/>
          <w:kern w:val="0"/>
          <w:sz w:val="24"/>
          <w:highlight w:val="none"/>
        </w:rPr>
        <w:t>承包人直接实施的暂估价项目</w:t>
      </w:r>
      <w:r>
        <w:rPr>
          <w:rFonts w:hint="eastAsia" w:ascii="宋体" w:hAnsi="宋体" w:eastAsia="宋体" w:cs="宋体"/>
          <w:color w:val="auto"/>
          <w:sz w:val="24"/>
          <w:highlight w:val="none"/>
        </w:rPr>
        <w:t>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w:t>
      </w:r>
    </w:p>
    <w:p w14:paraId="1089B4DC">
      <w:pPr>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10.6 暂列金额</w:t>
      </w:r>
    </w:p>
    <w:p w14:paraId="3CAB98F3">
      <w:pPr>
        <w:autoSpaceDE w:val="0"/>
        <w:autoSpaceDN w:val="0"/>
        <w:adjustRightInd w:val="0"/>
        <w:spacing w:line="460" w:lineRule="exact"/>
        <w:ind w:firstLine="480" w:firstLineChars="200"/>
        <w:contextualSpacing/>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合同当事人关于暂列金额使用的约定：</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kern w:val="0"/>
          <w:sz w:val="24"/>
          <w:highlight w:val="none"/>
          <w:u w:val="single"/>
        </w:rPr>
        <w:t xml:space="preserve">  。</w:t>
      </w:r>
    </w:p>
    <w:p w14:paraId="0615711D">
      <w:pPr>
        <w:autoSpaceDE w:val="0"/>
        <w:autoSpaceDN w:val="0"/>
        <w:adjustRightInd w:val="0"/>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 价格调整</w:t>
      </w:r>
    </w:p>
    <w:p w14:paraId="5767C240">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 市场价格波动引起的调整</w:t>
      </w:r>
    </w:p>
    <w:p w14:paraId="788AA0E7">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市场价格波动是否调整合同价格的约定：</w:t>
      </w:r>
    </w:p>
    <w:p w14:paraId="510CD6F7">
      <w:pPr>
        <w:spacing w:line="460" w:lineRule="exact"/>
        <w:ind w:firstLine="466" w:firstLineChars="200"/>
        <w:contextualSpacing/>
        <w:jc w:val="left"/>
        <w:rPr>
          <w:rFonts w:hint="eastAsia" w:ascii="宋体" w:hAnsi="宋体" w:eastAsia="宋体" w:cs="宋体"/>
          <w:b/>
          <w:bCs/>
          <w:color w:val="auto"/>
          <w:spacing w:val="-4"/>
          <w:sz w:val="24"/>
          <w:highlight w:val="none"/>
        </w:rPr>
      </w:pPr>
      <w:r>
        <w:rPr>
          <w:rFonts w:hint="eastAsia" w:ascii="宋体" w:hAnsi="宋体" w:eastAsia="宋体" w:cs="宋体"/>
          <w:b/>
          <w:bCs/>
          <w:color w:val="auto"/>
          <w:spacing w:val="-4"/>
          <w:sz w:val="24"/>
          <w:highlight w:val="none"/>
          <w:u w:val="single"/>
        </w:rPr>
        <w:t>本工程建筑材料价格上涨或下降的，由承包人自行承担或收益。</w:t>
      </w:r>
    </w:p>
    <w:p w14:paraId="3D963875">
      <w:pPr>
        <w:pStyle w:val="6"/>
        <w:keepNext w:val="0"/>
        <w:spacing w:line="4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合同价格、计量与支付</w:t>
      </w:r>
    </w:p>
    <w:p w14:paraId="60C2ADB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12.1 合同价格形式：</w:t>
      </w:r>
    </w:p>
    <w:p w14:paraId="1949F36D">
      <w:pPr>
        <w:autoSpaceDE w:val="0"/>
        <w:autoSpaceDN w:val="0"/>
        <w:adjustRightInd w:val="0"/>
        <w:spacing w:line="460" w:lineRule="exact"/>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1.单价合同。</w:t>
      </w:r>
    </w:p>
    <w:p w14:paraId="5C9980B5">
      <w:pPr>
        <w:widowControl/>
        <w:snapToGrid w:val="0"/>
        <w:spacing w:line="4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综合单价包含的风险范围：</w:t>
      </w:r>
      <w:r>
        <w:rPr>
          <w:rFonts w:hint="eastAsia" w:ascii="宋体" w:hAnsi="宋体" w:eastAsia="宋体" w:cs="宋体"/>
          <w:color w:val="auto"/>
          <w:sz w:val="24"/>
          <w:highlight w:val="none"/>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7A5D1D0B">
      <w:pPr>
        <w:widowControl/>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风险费用的计算方法：</w:t>
      </w:r>
      <w:r>
        <w:rPr>
          <w:rFonts w:hint="eastAsia" w:ascii="宋体" w:hAnsi="宋体" w:eastAsia="宋体" w:cs="宋体"/>
          <w:b/>
          <w:color w:val="auto"/>
          <w:sz w:val="24"/>
          <w:highlight w:val="none"/>
          <w:u w:val="single"/>
        </w:rPr>
        <w:t>承包人在响应报价时已充分考虑在报价中，竣工结算时不做任何调整</w:t>
      </w:r>
      <w:r>
        <w:rPr>
          <w:rFonts w:hint="eastAsia" w:ascii="宋体" w:hAnsi="宋体" w:eastAsia="宋体" w:cs="宋体"/>
          <w:color w:val="auto"/>
          <w:sz w:val="24"/>
          <w:highlight w:val="none"/>
        </w:rPr>
        <w:t>。</w:t>
      </w:r>
    </w:p>
    <w:p w14:paraId="663A5C6A">
      <w:pPr>
        <w:widowControl/>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双方约定合同价款的其他调整因素：</w:t>
      </w:r>
      <w:r>
        <w:rPr>
          <w:rFonts w:hint="eastAsia" w:ascii="宋体" w:hAnsi="宋体" w:eastAsia="宋体" w:cs="宋体"/>
          <w:b/>
          <w:color w:val="auto"/>
          <w:sz w:val="24"/>
          <w:highlight w:val="none"/>
          <w:u w:val="single"/>
        </w:rPr>
        <w:t>（1）发包人要求并认可的设计变更；（2）发包方认可的签证及技术核定单</w:t>
      </w:r>
      <w:r>
        <w:rPr>
          <w:rFonts w:hint="eastAsia" w:ascii="宋体" w:hAnsi="宋体" w:eastAsia="宋体" w:cs="宋体"/>
          <w:b/>
          <w:color w:val="auto"/>
          <w:sz w:val="24"/>
          <w:highlight w:val="none"/>
        </w:rPr>
        <w:t>。</w:t>
      </w:r>
    </w:p>
    <w:p w14:paraId="19720496">
      <w:pPr>
        <w:widowControl/>
        <w:snapToGri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风险范围以外合同价格的调整方法： </w:t>
      </w:r>
    </w:p>
    <w:p w14:paraId="4BF60195">
      <w:pPr>
        <w:widowControl/>
        <w:snapToGrid w:val="0"/>
        <w:spacing w:line="46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 xml:space="preserve">①因非承包人原因引起原有的工程量清单项目的工程量增减，工程量按实调整，单价参照成交单价。 </w:t>
      </w:r>
    </w:p>
    <w:p w14:paraId="331800B6">
      <w:pPr>
        <w:widowControl/>
        <w:snapToGrid w:val="0"/>
        <w:spacing w:line="46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②综合单价如须调整，按以下办法执行：</w:t>
      </w:r>
    </w:p>
    <w:p w14:paraId="208BD855">
      <w:pPr>
        <w:widowControl/>
        <w:snapToGrid w:val="0"/>
        <w:spacing w:line="46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合同中已有适用于变更工程的价格，按合同已有的价格变更合同价款；</w:t>
      </w:r>
    </w:p>
    <w:p w14:paraId="17C2DB65">
      <w:pPr>
        <w:widowControl/>
        <w:snapToGrid w:val="0"/>
        <w:spacing w:line="46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合同中只有类似于变更工程的价格，可以参照类似价格变更合同价款；</w:t>
      </w:r>
    </w:p>
    <w:p w14:paraId="4B050CF7">
      <w:pPr>
        <w:widowControl/>
        <w:snapToGrid w:val="0"/>
        <w:spacing w:line="46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合同中没有类似于变更工程的价格，可以重新调整后的综合单价变更合同价款（即按招标控制价编制依据计价×（1-承包人报价浮动率），[报价浮动率＝（1－成交价/招标控制价）×100%，成交价、招标控制价须扣除暂估价、暂列金额及相应的规费税金]）；</w:t>
      </w:r>
    </w:p>
    <w:p w14:paraId="4E62C687">
      <w:pPr>
        <w:widowControl/>
        <w:tabs>
          <w:tab w:val="left" w:pos="0"/>
          <w:tab w:val="left" w:pos="993"/>
          <w:tab w:val="left" w:pos="1134"/>
        </w:tabs>
        <w:snapToGrid w:val="0"/>
        <w:spacing w:line="46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③因承包人原因引起的工期延误、工程重大变更或分部分项工程量增减，量价一律不调整，由承包人自行承担。</w:t>
      </w:r>
    </w:p>
    <w:p w14:paraId="266828F9">
      <w:pPr>
        <w:pStyle w:val="26"/>
        <w:widowControl w:val="0"/>
        <w:adjustRightInd w:val="0"/>
        <w:spacing w:before="0" w:beforeAutospacing="0" w:after="0" w:afterAutospacing="0" w:line="460" w:lineRule="exact"/>
        <w:ind w:firstLine="525"/>
        <w:contextualSpacing/>
        <w:jc w:val="both"/>
        <w:rPr>
          <w:rFonts w:hint="eastAsia" w:ascii="宋体" w:hAnsi="宋体" w:eastAsia="宋体" w:cs="宋体"/>
          <w:color w:val="auto"/>
          <w:highlight w:val="none"/>
        </w:rPr>
      </w:pPr>
      <w:r>
        <w:rPr>
          <w:rFonts w:hint="eastAsia" w:ascii="宋体" w:hAnsi="宋体" w:eastAsia="宋体" w:cs="宋体"/>
          <w:b/>
          <w:color w:val="auto"/>
          <w:highlight w:val="none"/>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51600674">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12.2 预付款</w:t>
      </w:r>
    </w:p>
    <w:p w14:paraId="670CF2D2">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12.2.1 预付款的支付</w:t>
      </w:r>
    </w:p>
    <w:p w14:paraId="11341536">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预付款支付比例或金额：</w:t>
      </w:r>
      <w:r>
        <w:rPr>
          <w:rFonts w:hint="eastAsia" w:ascii="宋体" w:hAnsi="宋体" w:eastAsia="宋体" w:cs="宋体"/>
          <w:color w:val="auto"/>
          <w:sz w:val="24"/>
          <w:highlight w:val="none"/>
          <w:u w:val="single"/>
        </w:rPr>
        <w:t xml:space="preserve">  签订合同，施工人员、设施、材料进场后预付30%  </w:t>
      </w:r>
      <w:r>
        <w:rPr>
          <w:rFonts w:hint="eastAsia" w:ascii="宋体" w:hAnsi="宋体" w:eastAsia="宋体" w:cs="宋体"/>
          <w:color w:val="auto"/>
          <w:sz w:val="24"/>
          <w:highlight w:val="none"/>
        </w:rPr>
        <w:t>。</w:t>
      </w:r>
    </w:p>
    <w:p w14:paraId="293136CB">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预付款支付期限：</w:t>
      </w:r>
      <w:r>
        <w:rPr>
          <w:rFonts w:hint="eastAsia" w:ascii="宋体" w:hAnsi="宋体" w:eastAsia="宋体" w:cs="宋体"/>
          <w:b/>
          <w:bCs/>
          <w:color w:val="auto"/>
          <w:sz w:val="24"/>
          <w:highlight w:val="none"/>
          <w:u w:val="single"/>
        </w:rPr>
        <w:t>开工七日内（以总监理工程师签发的正式开工日期为准）</w:t>
      </w:r>
      <w:r>
        <w:rPr>
          <w:rFonts w:hint="eastAsia" w:ascii="宋体" w:hAnsi="宋体" w:eastAsia="宋体" w:cs="宋体"/>
          <w:color w:val="auto"/>
          <w:sz w:val="24"/>
          <w:highlight w:val="none"/>
        </w:rPr>
        <w:t>。预付款扣回的方式：</w:t>
      </w:r>
      <w:r>
        <w:rPr>
          <w:rFonts w:hint="eastAsia" w:ascii="宋体" w:hAnsi="宋体" w:eastAsia="宋体" w:cs="宋体"/>
          <w:b/>
          <w:bCs/>
          <w:color w:val="auto"/>
          <w:sz w:val="24"/>
          <w:highlight w:val="none"/>
          <w:u w:val="single"/>
        </w:rPr>
        <w:t>不扣</w:t>
      </w:r>
      <w:r>
        <w:rPr>
          <w:rFonts w:hint="eastAsia" w:ascii="宋体" w:hAnsi="宋体" w:eastAsia="宋体" w:cs="宋体"/>
          <w:color w:val="auto"/>
          <w:sz w:val="24"/>
          <w:highlight w:val="none"/>
        </w:rPr>
        <w:t>。</w:t>
      </w:r>
    </w:p>
    <w:p w14:paraId="00265BFD">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420686B1">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承包人提交预付款担保的期限：</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。预付款担保的形式为：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6133927">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12.3 计量</w:t>
      </w:r>
    </w:p>
    <w:p w14:paraId="3D21E892">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12.3.1单价合同的计量</w:t>
      </w:r>
    </w:p>
    <w:p w14:paraId="280F7E9E">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关于单价合同计量的约定：</w:t>
      </w:r>
      <w:r>
        <w:rPr>
          <w:rFonts w:hint="eastAsia" w:ascii="宋体" w:hAnsi="宋体" w:eastAsia="宋体" w:cs="宋体"/>
          <w:b/>
          <w:bCs/>
          <w:color w:val="auto"/>
          <w:kern w:val="0"/>
          <w:sz w:val="24"/>
          <w:highlight w:val="none"/>
          <w:u w:val="single"/>
        </w:rPr>
        <w:t xml:space="preserve">工程量按发承包双方在合同中约定应予计量且实际完成的工程量定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2C6EAC9">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12.3.2 总价合同的计量</w:t>
      </w:r>
    </w:p>
    <w:p w14:paraId="0182752D">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关于总价合同计量的约定：</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A680F1E">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12.3 工程进度款支付</w:t>
      </w:r>
    </w:p>
    <w:p w14:paraId="18C5C73C">
      <w:pPr>
        <w:adjustRightInd w:val="0"/>
        <w:snapToGrid w:val="0"/>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项目实施完成、经采购人组织竣工验收后付至合同价70%，同时无息退还履约保证金；审计结束付至审计价的95%。验收合格满</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年后无质量问题的，支付剩余款项（审计金额的5%）。</w:t>
      </w:r>
    </w:p>
    <w:p w14:paraId="6D04C476">
      <w:pPr>
        <w:pStyle w:val="6"/>
        <w:keepNext w:val="0"/>
        <w:spacing w:line="46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每次支付工程款前，承包人必须开具符合税务部门规定的正式发票。承包人未提供符合要求的发票的，发包人有权拒绝付款。</w:t>
      </w:r>
    </w:p>
    <w:p w14:paraId="2FD7E146">
      <w:pPr>
        <w:pStyle w:val="6"/>
        <w:keepNext w:val="0"/>
        <w:spacing w:line="46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验收和工程试车</w:t>
      </w:r>
    </w:p>
    <w:p w14:paraId="40644AA5">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13.1 分部分项工程验收</w:t>
      </w:r>
    </w:p>
    <w:p w14:paraId="28558E17">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13.1.1监理人不能按时进行验收时，应提前</w:t>
      </w:r>
      <w:r>
        <w:rPr>
          <w:rFonts w:hint="eastAsia" w:ascii="宋体" w:hAnsi="宋体" w:eastAsia="宋体" w:cs="宋体"/>
          <w:color w:val="auto"/>
          <w:sz w:val="24"/>
          <w:highlight w:val="none"/>
          <w:u w:val="single"/>
        </w:rPr>
        <w:t xml:space="preserve">  24  </w:t>
      </w:r>
      <w:r>
        <w:rPr>
          <w:rFonts w:hint="eastAsia" w:ascii="宋体" w:hAnsi="宋体" w:eastAsia="宋体" w:cs="宋体"/>
          <w:color w:val="auto"/>
          <w:sz w:val="24"/>
          <w:highlight w:val="none"/>
        </w:rPr>
        <w:t>小时提交书面延期要求。</w:t>
      </w:r>
    </w:p>
    <w:p w14:paraId="14F5C6AC">
      <w:pPr>
        <w:spacing w:line="460" w:lineRule="exact"/>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关于延期最长不得超过：</w:t>
      </w:r>
      <w:r>
        <w:rPr>
          <w:rFonts w:hint="eastAsia" w:ascii="宋体" w:hAnsi="宋体" w:eastAsia="宋体" w:cs="宋体"/>
          <w:color w:val="auto"/>
          <w:sz w:val="24"/>
          <w:highlight w:val="none"/>
          <w:u w:val="single"/>
        </w:rPr>
        <w:t xml:space="preserve">  48  </w:t>
      </w:r>
      <w:r>
        <w:rPr>
          <w:rFonts w:hint="eastAsia" w:ascii="宋体" w:hAnsi="宋体" w:eastAsia="宋体" w:cs="宋体"/>
          <w:color w:val="auto"/>
          <w:sz w:val="24"/>
          <w:highlight w:val="none"/>
        </w:rPr>
        <w:t>小时。</w:t>
      </w:r>
    </w:p>
    <w:p w14:paraId="0DEE4C3A">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13.2 竣工验收</w:t>
      </w:r>
    </w:p>
    <w:p w14:paraId="380E16A8">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13.2.1竣工验收程序</w:t>
      </w:r>
    </w:p>
    <w:p w14:paraId="1DC05428">
      <w:pPr>
        <w:adjustRightInd w:val="0"/>
        <w:spacing w:line="460" w:lineRule="exact"/>
        <w:ind w:firstLine="571"/>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kern w:val="0"/>
          <w:sz w:val="24"/>
          <w:highlight w:val="none"/>
        </w:rPr>
        <w:t>关于竣工验收程序的约定：</w:t>
      </w:r>
      <w:r>
        <w:rPr>
          <w:rFonts w:hint="eastAsia" w:ascii="宋体" w:hAnsi="宋体" w:eastAsia="宋体" w:cs="宋体"/>
          <w:b/>
          <w:bCs/>
          <w:color w:val="auto"/>
          <w:sz w:val="24"/>
          <w:highlight w:val="none"/>
          <w:u w:val="single"/>
          <w:lang w:eastAsia="zh-TW"/>
        </w:rPr>
        <w:t>竣工验收前</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eastAsia="zh-TW"/>
        </w:rPr>
        <w:t>承包人需提供完整的竣工验收资</w:t>
      </w:r>
      <w:r>
        <w:rPr>
          <w:rFonts w:hint="eastAsia" w:ascii="宋体" w:hAnsi="宋体" w:eastAsia="宋体" w:cs="宋体"/>
          <w:b/>
          <w:bCs/>
          <w:color w:val="auto"/>
          <w:sz w:val="24"/>
          <w:highlight w:val="none"/>
          <w:u w:val="single"/>
        </w:rPr>
        <w:t>料</w:t>
      </w:r>
      <w:r>
        <w:rPr>
          <w:rFonts w:hint="eastAsia" w:ascii="宋体" w:hAnsi="宋体" w:eastAsia="宋体" w:cs="宋体"/>
          <w:b/>
          <w:bCs/>
          <w:color w:val="auto"/>
          <w:sz w:val="24"/>
          <w:highlight w:val="none"/>
          <w:u w:val="single"/>
          <w:lang w:eastAsia="zh-TW"/>
        </w:rPr>
        <w:t>。承包人提供的</w:t>
      </w:r>
      <w:r>
        <w:rPr>
          <w:rFonts w:hint="eastAsia" w:ascii="宋体" w:hAnsi="宋体" w:eastAsia="宋体" w:cs="宋体"/>
          <w:b/>
          <w:bCs/>
          <w:color w:val="auto"/>
          <w:sz w:val="24"/>
          <w:highlight w:val="none"/>
          <w:u w:val="single"/>
        </w:rPr>
        <w:t>所</w:t>
      </w:r>
      <w:r>
        <w:rPr>
          <w:rFonts w:hint="eastAsia" w:ascii="宋体" w:hAnsi="宋体" w:eastAsia="宋体" w:cs="宋体"/>
          <w:b/>
          <w:bCs/>
          <w:color w:val="auto"/>
          <w:sz w:val="24"/>
          <w:highlight w:val="none"/>
          <w:u w:val="single"/>
          <w:lang w:eastAsia="zh-TW"/>
        </w:rPr>
        <w:t>有资料必须</w:t>
      </w:r>
      <w:r>
        <w:rPr>
          <w:rFonts w:hint="eastAsia" w:ascii="宋体" w:hAnsi="宋体" w:eastAsia="宋体" w:cs="宋体"/>
          <w:b/>
          <w:bCs/>
          <w:color w:val="auto"/>
          <w:sz w:val="24"/>
          <w:highlight w:val="none"/>
          <w:u w:val="single"/>
        </w:rPr>
        <w:t>经发包人及档案馆验收合格</w:t>
      </w:r>
      <w:r>
        <w:rPr>
          <w:rFonts w:hint="eastAsia" w:ascii="宋体" w:hAnsi="宋体" w:eastAsia="宋体" w:cs="宋体"/>
          <w:b/>
          <w:bCs/>
          <w:color w:val="auto"/>
          <w:sz w:val="24"/>
          <w:highlight w:val="none"/>
          <w:u w:val="single"/>
          <w:lang w:eastAsia="zh-TW"/>
        </w:rPr>
        <w:t>。</w:t>
      </w:r>
    </w:p>
    <w:p w14:paraId="55DFD2EE">
      <w:pPr>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发包人不按照本项约定组织竣工验收、颁发工程接收证书的违约金的计算方法：</w:t>
      </w:r>
      <w:r>
        <w:rPr>
          <w:rFonts w:hint="eastAsia" w:ascii="宋体" w:hAnsi="宋体" w:eastAsia="宋体" w:cs="宋体"/>
          <w:b/>
          <w:bCs/>
          <w:color w:val="auto"/>
          <w:sz w:val="24"/>
          <w:highlight w:val="none"/>
          <w:u w:val="single"/>
        </w:rPr>
        <w:t>依据通用条款</w:t>
      </w:r>
      <w:r>
        <w:rPr>
          <w:rFonts w:hint="eastAsia" w:ascii="宋体" w:hAnsi="宋体" w:eastAsia="宋体" w:cs="宋体"/>
          <w:color w:val="auto"/>
          <w:sz w:val="24"/>
          <w:highlight w:val="none"/>
        </w:rPr>
        <w:t>。</w:t>
      </w:r>
    </w:p>
    <w:p w14:paraId="07523BA2">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13.2.2移交、接收全部与部分工程</w:t>
      </w:r>
    </w:p>
    <w:p w14:paraId="640B695C">
      <w:pPr>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承包人向发包人移交工程的期限：</w:t>
      </w:r>
      <w:r>
        <w:rPr>
          <w:rFonts w:hint="eastAsia" w:ascii="宋体" w:hAnsi="宋体" w:eastAsia="宋体" w:cs="宋体"/>
          <w:b/>
          <w:bCs/>
          <w:color w:val="auto"/>
          <w:sz w:val="24"/>
          <w:highlight w:val="none"/>
          <w:u w:val="single"/>
        </w:rPr>
        <w:t>依据通用条款</w:t>
      </w:r>
      <w:r>
        <w:rPr>
          <w:rFonts w:hint="eastAsia" w:ascii="宋体" w:hAnsi="宋体" w:eastAsia="宋体" w:cs="宋体"/>
          <w:color w:val="auto"/>
          <w:sz w:val="24"/>
          <w:highlight w:val="none"/>
        </w:rPr>
        <w:t>。</w:t>
      </w:r>
    </w:p>
    <w:p w14:paraId="2CE6589F">
      <w:pPr>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发包人未按本合同约定接收全部或部分工程的，违约金的计算方法为：</w:t>
      </w:r>
      <w:r>
        <w:rPr>
          <w:rFonts w:hint="eastAsia" w:ascii="宋体" w:hAnsi="宋体" w:eastAsia="宋体" w:cs="宋体"/>
          <w:b/>
          <w:bCs/>
          <w:color w:val="auto"/>
          <w:sz w:val="24"/>
          <w:highlight w:val="none"/>
          <w:u w:val="single"/>
        </w:rPr>
        <w:t>合同价＊0.5%/ 天</w:t>
      </w:r>
      <w:r>
        <w:rPr>
          <w:rFonts w:hint="eastAsia" w:ascii="宋体" w:hAnsi="宋体" w:eastAsia="宋体" w:cs="宋体"/>
          <w:color w:val="auto"/>
          <w:sz w:val="24"/>
          <w:highlight w:val="none"/>
        </w:rPr>
        <w:t>。</w:t>
      </w:r>
    </w:p>
    <w:p w14:paraId="1CB7B7E7">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承包人未按时移交工程的，违约金的计算方法为：</w:t>
      </w:r>
      <w:r>
        <w:rPr>
          <w:rFonts w:hint="eastAsia" w:ascii="宋体" w:hAnsi="宋体" w:eastAsia="宋体" w:cs="宋体"/>
          <w:b/>
          <w:bCs/>
          <w:color w:val="auto"/>
          <w:sz w:val="24"/>
          <w:highlight w:val="none"/>
          <w:u w:val="single"/>
        </w:rPr>
        <w:t>合同价＊0.5%/ 天</w:t>
      </w:r>
      <w:r>
        <w:rPr>
          <w:rFonts w:hint="eastAsia" w:ascii="宋体" w:hAnsi="宋体" w:eastAsia="宋体" w:cs="宋体"/>
          <w:color w:val="auto"/>
          <w:sz w:val="24"/>
          <w:highlight w:val="none"/>
        </w:rPr>
        <w:t>。</w:t>
      </w:r>
    </w:p>
    <w:p w14:paraId="1D8B0BB9">
      <w:pPr>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13.2.3 竣工退场</w:t>
      </w:r>
    </w:p>
    <w:p w14:paraId="244DBAD2">
      <w:pPr>
        <w:autoSpaceDE w:val="0"/>
        <w:autoSpaceDN w:val="0"/>
        <w:adjustRightInd w:val="0"/>
        <w:spacing w:line="460" w:lineRule="exact"/>
        <w:ind w:firstLine="480"/>
        <w:contextualSpacing/>
        <w:rPr>
          <w:rFonts w:hint="eastAsia" w:ascii="宋体" w:hAnsi="宋体" w:eastAsia="宋体" w:cs="宋体"/>
          <w:b/>
          <w:bCs/>
          <w:color w:val="auto"/>
          <w:kern w:val="0"/>
          <w:sz w:val="24"/>
          <w:highlight w:val="none"/>
          <w:u w:val="single"/>
          <w:lang w:val="zh-CN"/>
        </w:rPr>
      </w:pPr>
      <w:r>
        <w:rPr>
          <w:rFonts w:hint="eastAsia" w:ascii="宋体" w:hAnsi="宋体" w:eastAsia="宋体" w:cs="宋体"/>
          <w:color w:val="auto"/>
          <w:kern w:val="0"/>
          <w:sz w:val="24"/>
          <w:highlight w:val="none"/>
        </w:rPr>
        <w:t>承包人完成竣工退场的期限：</w:t>
      </w:r>
      <w:r>
        <w:rPr>
          <w:rFonts w:hint="eastAsia" w:ascii="宋体" w:hAnsi="宋体" w:eastAsia="宋体" w:cs="宋体"/>
          <w:b/>
          <w:bCs/>
          <w:color w:val="auto"/>
          <w:kern w:val="0"/>
          <w:sz w:val="24"/>
          <w:highlight w:val="none"/>
          <w:u w:val="single"/>
          <w:lang w:val="zh-CN"/>
        </w:rPr>
        <w:t>承包人须在接到发包人书面通知后 7 天内拆除现场所有临时设施，包括所有的建筑垃圾及剩余材料全部清运出现场，清理标准应得到发包人认可，</w:t>
      </w:r>
      <w:r>
        <w:rPr>
          <w:rFonts w:hint="eastAsia" w:ascii="宋体" w:hAnsi="宋体" w:eastAsia="宋体" w:cs="宋体"/>
          <w:b/>
          <w:bCs/>
          <w:color w:val="auto"/>
          <w:sz w:val="24"/>
          <w:highlight w:val="none"/>
          <w:u w:val="single"/>
        </w:rPr>
        <w:t>否则，如发生相关费用则由发包人在工程结算价款中扣除。</w:t>
      </w:r>
    </w:p>
    <w:p w14:paraId="3D5DDE27">
      <w:pPr>
        <w:spacing w:line="460" w:lineRule="exact"/>
        <w:ind w:firstLine="482"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345BD415">
      <w:pPr>
        <w:pStyle w:val="6"/>
        <w:keepNext w:val="0"/>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竣工结算</w:t>
      </w:r>
    </w:p>
    <w:p w14:paraId="71A867B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14.1 竣工结算申请</w:t>
      </w:r>
    </w:p>
    <w:p w14:paraId="7911FF4F">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承包人提交竣工结算申请单的期限：</w:t>
      </w:r>
      <w:r>
        <w:rPr>
          <w:rFonts w:hint="eastAsia" w:ascii="宋体" w:hAnsi="宋体" w:eastAsia="宋体" w:cs="宋体"/>
          <w:b/>
          <w:bCs/>
          <w:color w:val="auto"/>
          <w:sz w:val="24"/>
          <w:highlight w:val="none"/>
          <w:u w:val="single"/>
        </w:rPr>
        <w:t>依据通用条款</w:t>
      </w:r>
      <w:r>
        <w:rPr>
          <w:rFonts w:hint="eastAsia" w:ascii="宋体" w:hAnsi="宋体" w:eastAsia="宋体" w:cs="宋体"/>
          <w:color w:val="auto"/>
          <w:sz w:val="24"/>
          <w:highlight w:val="none"/>
        </w:rPr>
        <w:t>。</w:t>
      </w:r>
    </w:p>
    <w:p w14:paraId="60ACD4C4">
      <w:pPr>
        <w:spacing w:line="46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竣工结算申请单应包括的内容：</w:t>
      </w:r>
      <w:r>
        <w:rPr>
          <w:rFonts w:hint="eastAsia" w:ascii="宋体" w:hAnsi="宋体" w:eastAsia="宋体" w:cs="宋体"/>
          <w:b/>
          <w:bCs/>
          <w:color w:val="auto"/>
          <w:sz w:val="24"/>
          <w:highlight w:val="none"/>
          <w:u w:val="single"/>
        </w:rPr>
        <w:t>依据通用条款</w:t>
      </w:r>
      <w:r>
        <w:rPr>
          <w:rFonts w:hint="eastAsia" w:ascii="宋体" w:hAnsi="宋体" w:eastAsia="宋体" w:cs="宋体"/>
          <w:color w:val="auto"/>
          <w:sz w:val="24"/>
          <w:highlight w:val="none"/>
        </w:rPr>
        <w:t>。</w:t>
      </w:r>
    </w:p>
    <w:p w14:paraId="61581535">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14.2 竣工结算审核</w:t>
      </w:r>
    </w:p>
    <w:p w14:paraId="49AB7E2B">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发包人审批竣工付款申请单的期限：</w:t>
      </w:r>
      <w:r>
        <w:rPr>
          <w:rFonts w:hint="eastAsia" w:ascii="宋体" w:hAnsi="宋体" w:eastAsia="宋体" w:cs="宋体"/>
          <w:b/>
          <w:bCs/>
          <w:color w:val="auto"/>
          <w:sz w:val="24"/>
          <w:highlight w:val="none"/>
          <w:u w:val="single"/>
        </w:rPr>
        <w:t>工程竣工验收通过后28天内</w:t>
      </w:r>
      <w:r>
        <w:rPr>
          <w:rFonts w:hint="eastAsia" w:ascii="宋体" w:hAnsi="宋体" w:eastAsia="宋体" w:cs="宋体"/>
          <w:color w:val="auto"/>
          <w:sz w:val="24"/>
          <w:highlight w:val="none"/>
        </w:rPr>
        <w:t>。</w:t>
      </w:r>
    </w:p>
    <w:p w14:paraId="204980EE">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发包人完成竣工付款的期限：</w:t>
      </w:r>
      <w:r>
        <w:rPr>
          <w:rFonts w:hint="eastAsia" w:ascii="宋体" w:hAnsi="宋体" w:eastAsia="宋体" w:cs="宋体"/>
          <w:b/>
          <w:bCs/>
          <w:color w:val="auto"/>
          <w:sz w:val="24"/>
          <w:highlight w:val="none"/>
          <w:u w:val="single"/>
        </w:rPr>
        <w:t>依据通用条款</w:t>
      </w:r>
      <w:r>
        <w:rPr>
          <w:rFonts w:hint="eastAsia" w:ascii="宋体" w:hAnsi="宋体" w:eastAsia="宋体" w:cs="宋体"/>
          <w:color w:val="auto"/>
          <w:sz w:val="24"/>
          <w:highlight w:val="none"/>
        </w:rPr>
        <w:t>。</w:t>
      </w:r>
    </w:p>
    <w:p w14:paraId="4B54B021">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关于竣工付款证书异议部分复核的方式和程序：</w:t>
      </w:r>
      <w:r>
        <w:rPr>
          <w:rFonts w:hint="eastAsia" w:ascii="宋体" w:hAnsi="宋体" w:eastAsia="宋体" w:cs="宋体"/>
          <w:b/>
          <w:bCs/>
          <w:color w:val="auto"/>
          <w:sz w:val="24"/>
          <w:highlight w:val="none"/>
          <w:u w:val="single"/>
        </w:rPr>
        <w:t>依据通用条款</w:t>
      </w:r>
      <w:r>
        <w:rPr>
          <w:rFonts w:hint="eastAsia" w:ascii="宋体" w:hAnsi="宋体" w:eastAsia="宋体" w:cs="宋体"/>
          <w:color w:val="auto"/>
          <w:sz w:val="24"/>
          <w:highlight w:val="none"/>
        </w:rPr>
        <w:t>。</w:t>
      </w:r>
    </w:p>
    <w:p w14:paraId="622E68DF">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14.3 最终结清</w:t>
      </w:r>
    </w:p>
    <w:p w14:paraId="5551746A">
      <w:pPr>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14.3.1 最终结清申请单</w:t>
      </w:r>
    </w:p>
    <w:p w14:paraId="6403E1E6">
      <w:pPr>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承包人提交最终结清申请单的份数：</w:t>
      </w:r>
      <w:r>
        <w:rPr>
          <w:rFonts w:hint="eastAsia" w:ascii="宋体" w:hAnsi="宋体" w:eastAsia="宋体" w:cs="宋体"/>
          <w:b/>
          <w:bCs/>
          <w:color w:val="auto"/>
          <w:sz w:val="24"/>
          <w:highlight w:val="none"/>
          <w:u w:val="single"/>
        </w:rPr>
        <w:t>依据审计规定</w:t>
      </w:r>
      <w:r>
        <w:rPr>
          <w:rFonts w:hint="eastAsia" w:ascii="宋体" w:hAnsi="宋体" w:eastAsia="宋体" w:cs="宋体"/>
          <w:color w:val="auto"/>
          <w:sz w:val="24"/>
          <w:highlight w:val="none"/>
        </w:rPr>
        <w:t>。</w:t>
      </w:r>
    </w:p>
    <w:p w14:paraId="6C239A03">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承包人提交最终结算申请单的期限：</w:t>
      </w:r>
      <w:r>
        <w:rPr>
          <w:rFonts w:hint="eastAsia" w:ascii="宋体" w:hAnsi="宋体" w:eastAsia="宋体" w:cs="宋体"/>
          <w:b/>
          <w:bCs/>
          <w:color w:val="auto"/>
          <w:sz w:val="24"/>
          <w:highlight w:val="none"/>
          <w:u w:val="single"/>
        </w:rPr>
        <w:t>依据审计规定</w:t>
      </w:r>
      <w:r>
        <w:rPr>
          <w:rFonts w:hint="eastAsia" w:ascii="宋体" w:hAnsi="宋体" w:eastAsia="宋体" w:cs="宋体"/>
          <w:color w:val="auto"/>
          <w:sz w:val="24"/>
          <w:highlight w:val="none"/>
        </w:rPr>
        <w:t xml:space="preserve">。 </w:t>
      </w:r>
    </w:p>
    <w:p w14:paraId="6A35C0C5">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14.3.2 最终结清证书和支付</w:t>
      </w:r>
    </w:p>
    <w:p w14:paraId="2A0ADC73">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（1）发包人完成最终结清申请单的审批并颁发最终结清证书期限：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委托审计</w:t>
      </w:r>
      <w:r>
        <w:rPr>
          <w:rFonts w:hint="eastAsia" w:ascii="宋体" w:hAnsi="宋体" w:eastAsia="宋体" w:cs="宋体"/>
          <w:color w:val="auto"/>
          <w:sz w:val="24"/>
          <w:highlight w:val="none"/>
        </w:rPr>
        <w:t>。</w:t>
      </w:r>
    </w:p>
    <w:p w14:paraId="287F3923">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（2）发包人完成支付的期限：</w:t>
      </w:r>
      <w:r>
        <w:rPr>
          <w:rFonts w:hint="eastAsia" w:ascii="宋体" w:hAnsi="宋体" w:eastAsia="宋体" w:cs="宋体"/>
          <w:b/>
          <w:bCs/>
          <w:color w:val="auto"/>
          <w:kern w:val="0"/>
          <w:sz w:val="24"/>
          <w:highlight w:val="none"/>
          <w:u w:val="single"/>
          <w:lang w:val="zh-CN"/>
        </w:rPr>
        <w:t>颁发最终结清证书后 28 天</w:t>
      </w:r>
      <w:r>
        <w:rPr>
          <w:rFonts w:hint="eastAsia" w:ascii="宋体" w:hAnsi="宋体" w:eastAsia="宋体" w:cs="宋体"/>
          <w:color w:val="auto"/>
          <w:sz w:val="24"/>
          <w:highlight w:val="none"/>
        </w:rPr>
        <w:t>。</w:t>
      </w:r>
    </w:p>
    <w:p w14:paraId="49DCEB12">
      <w:pPr>
        <w:pStyle w:val="6"/>
        <w:keepNext w:val="0"/>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缺陷责任期与保修</w:t>
      </w:r>
    </w:p>
    <w:p w14:paraId="7201E7D2">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15.1缺陷责任期</w:t>
      </w:r>
    </w:p>
    <w:p w14:paraId="0097BC0D">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缺陷责任期的具体期限：</w:t>
      </w:r>
    </w:p>
    <w:p w14:paraId="1FD415D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15.2履约保证金 </w:t>
      </w:r>
    </w:p>
    <w:p w14:paraId="5178D3C3">
      <w:pPr>
        <w:spacing w:line="460" w:lineRule="exact"/>
        <w:ind w:firstLine="480" w:firstLineChars="200"/>
        <w:contextualSpacing/>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磋商响应供应商提供的履约保证金为合同价的10%。</w:t>
      </w:r>
      <w:r>
        <w:rPr>
          <w:rFonts w:hint="eastAsia" w:ascii="宋体" w:hAnsi="宋体" w:eastAsia="宋体" w:cs="宋体"/>
          <w:b/>
          <w:bCs/>
          <w:color w:val="auto"/>
          <w:sz w:val="24"/>
          <w:highlight w:val="none"/>
        </w:rPr>
        <w:t>如未产生违约责任，竣工验收合格一次性无息退还。</w:t>
      </w:r>
    </w:p>
    <w:p w14:paraId="3356C945">
      <w:pPr>
        <w:spacing w:line="460" w:lineRule="exact"/>
        <w:ind w:firstLine="482" w:firstLineChars="200"/>
        <w:contextualSpacing/>
        <w:rPr>
          <w:rFonts w:hint="eastAsia" w:ascii="宋体" w:hAnsi="宋体" w:eastAsia="宋体" w:cs="宋体"/>
          <w:b/>
          <w:bCs/>
          <w:color w:val="auto"/>
          <w:kern w:val="0"/>
          <w:sz w:val="24"/>
          <w:highlight w:val="none"/>
          <w:u w:val="single"/>
          <w:lang w:val="zh-CN"/>
        </w:rPr>
      </w:pPr>
      <w:r>
        <w:rPr>
          <w:rFonts w:hint="eastAsia" w:ascii="宋体" w:hAnsi="宋体" w:eastAsia="宋体" w:cs="宋体"/>
          <w:b/>
          <w:bCs/>
          <w:color w:val="auto"/>
          <w:kern w:val="0"/>
          <w:sz w:val="24"/>
          <w:highlight w:val="none"/>
          <w:u w:val="single"/>
          <w:lang w:val="zh-CN"/>
        </w:rPr>
        <w:t>如因承包人原因使工程未能验收合格，则</w:t>
      </w:r>
      <w:r>
        <w:rPr>
          <w:rFonts w:hint="eastAsia" w:ascii="宋体" w:hAnsi="宋体" w:eastAsia="宋体" w:cs="宋体"/>
          <w:b/>
          <w:bCs/>
          <w:color w:val="auto"/>
          <w:kern w:val="0"/>
          <w:sz w:val="24"/>
          <w:highlight w:val="none"/>
          <w:u w:val="single"/>
        </w:rPr>
        <w:t>罚没全部</w:t>
      </w:r>
      <w:r>
        <w:rPr>
          <w:rFonts w:hint="eastAsia" w:ascii="宋体" w:hAnsi="宋体" w:eastAsia="宋体" w:cs="宋体"/>
          <w:b/>
          <w:bCs/>
          <w:color w:val="auto"/>
          <w:kern w:val="0"/>
          <w:sz w:val="24"/>
          <w:highlight w:val="none"/>
          <w:u w:val="single"/>
          <w:lang w:val="zh-CN"/>
        </w:rPr>
        <w:t>履约保证金，不予退还。</w:t>
      </w:r>
    </w:p>
    <w:p w14:paraId="6E32D5A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15.3保修</w:t>
      </w:r>
    </w:p>
    <w:p w14:paraId="57FBD3FC">
      <w:pPr>
        <w:spacing w:line="460" w:lineRule="exact"/>
        <w:ind w:firstLine="468" w:firstLineChars="195"/>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15.3.1 保修责任</w:t>
      </w:r>
    </w:p>
    <w:p w14:paraId="0C1EB63F">
      <w:pPr>
        <w:spacing w:line="460" w:lineRule="exact"/>
        <w:ind w:firstLine="468" w:firstLineChars="195"/>
        <w:contextualSpacing/>
        <w:jc w:val="left"/>
        <w:rPr>
          <w:rFonts w:hint="eastAsia" w:ascii="宋体" w:hAnsi="宋体" w:eastAsia="宋体" w:cs="宋体"/>
          <w:b/>
          <w:bCs/>
          <w:color w:val="auto"/>
          <w:kern w:val="0"/>
          <w:sz w:val="24"/>
          <w:highlight w:val="none"/>
          <w:u w:val="single"/>
          <w:lang w:val="zh-CN"/>
        </w:rPr>
      </w:pPr>
      <w:r>
        <w:rPr>
          <w:rFonts w:hint="eastAsia" w:ascii="宋体" w:hAnsi="宋体" w:eastAsia="宋体" w:cs="宋体"/>
          <w:color w:val="auto"/>
          <w:sz w:val="24"/>
          <w:highlight w:val="none"/>
        </w:rPr>
        <w:t>工程保修期为：</w:t>
      </w:r>
      <w:r>
        <w:rPr>
          <w:rFonts w:hint="eastAsia" w:ascii="宋体" w:hAnsi="宋体" w:eastAsia="宋体" w:cs="宋体"/>
          <w:b/>
          <w:bCs/>
          <w:color w:val="auto"/>
          <w:kern w:val="0"/>
          <w:sz w:val="24"/>
          <w:highlight w:val="none"/>
          <w:u w:val="single"/>
          <w:lang w:val="zh-CN"/>
        </w:rPr>
        <w:t xml:space="preserve">依据质量保修书，但不得低于法定最低保修年限。 </w:t>
      </w:r>
    </w:p>
    <w:p w14:paraId="5C23B4E5">
      <w:pPr>
        <w:spacing w:line="460" w:lineRule="exact"/>
        <w:ind w:firstLine="468" w:firstLineChars="195"/>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15.3.2 修复通知</w:t>
      </w:r>
      <w:r>
        <w:rPr>
          <w:rFonts w:hint="eastAsia" w:ascii="宋体" w:hAnsi="宋体" w:eastAsia="宋体" w:cs="宋体"/>
          <w:b/>
          <w:color w:val="auto"/>
          <w:sz w:val="24"/>
          <w:highlight w:val="none"/>
          <w:u w:val="single"/>
        </w:rPr>
        <w:t>/。</w:t>
      </w:r>
    </w:p>
    <w:p w14:paraId="239FA03D">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15.3.3 未能修复</w:t>
      </w:r>
    </w:p>
    <w:p w14:paraId="6760A4E3">
      <w:pPr>
        <w:spacing w:line="460" w:lineRule="exact"/>
        <w:ind w:firstLine="482" w:firstLineChars="200"/>
        <w:contextualSpacing/>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99FE038">
      <w:pPr>
        <w:spacing w:line="460" w:lineRule="exact"/>
        <w:ind w:firstLine="480" w:firstLineChars="200"/>
        <w:contextualSpacing/>
        <w:jc w:val="left"/>
        <w:rPr>
          <w:rFonts w:hint="eastAsia" w:ascii="宋体" w:hAnsi="宋体" w:eastAsia="宋体" w:cs="宋体"/>
          <w:b/>
          <w:color w:val="auto"/>
          <w:kern w:val="0"/>
          <w:sz w:val="24"/>
          <w:highlight w:val="none"/>
          <w:u w:val="single"/>
        </w:rPr>
      </w:pPr>
      <w:r>
        <w:rPr>
          <w:rFonts w:hint="eastAsia" w:ascii="宋体" w:hAnsi="宋体" w:eastAsia="宋体" w:cs="宋体"/>
          <w:color w:val="auto"/>
          <w:sz w:val="24"/>
          <w:highlight w:val="none"/>
        </w:rPr>
        <w:t>15.3.4 承包人出入权</w:t>
      </w:r>
      <w:r>
        <w:rPr>
          <w:rFonts w:hint="eastAsia" w:ascii="宋体" w:hAnsi="宋体" w:eastAsia="宋体" w:cs="宋体"/>
          <w:b/>
          <w:color w:val="auto"/>
          <w:sz w:val="24"/>
          <w:highlight w:val="none"/>
          <w:u w:val="single"/>
        </w:rPr>
        <w:t xml:space="preserve">       </w:t>
      </w:r>
    </w:p>
    <w:p w14:paraId="66DB0F52">
      <w:pPr>
        <w:pStyle w:val="6"/>
        <w:keepNext w:val="0"/>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违约</w:t>
      </w:r>
    </w:p>
    <w:p w14:paraId="18AE50F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16.1 发包人违约</w:t>
      </w:r>
    </w:p>
    <w:p w14:paraId="20029A38">
      <w:pPr>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16.1.1发包人违约的责任</w:t>
      </w:r>
      <w:r>
        <w:rPr>
          <w:rFonts w:hint="eastAsia" w:ascii="宋体" w:hAnsi="宋体" w:eastAsia="宋体" w:cs="宋体"/>
          <w:color w:val="auto"/>
          <w:sz w:val="24"/>
          <w:highlight w:val="none"/>
          <w:u w:val="single"/>
        </w:rPr>
        <w:t xml:space="preserve">          </w:t>
      </w:r>
    </w:p>
    <w:p w14:paraId="296BBC9A">
      <w:pPr>
        <w:spacing w:line="460" w:lineRule="exact"/>
        <w:ind w:left="1200" w:hanging="1200" w:hangingChars="5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16.2 承包人违约</w:t>
      </w:r>
    </w:p>
    <w:p w14:paraId="51348D8A">
      <w:pPr>
        <w:spacing w:line="460" w:lineRule="exact"/>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16.2.1承包人违约的责任</w:t>
      </w:r>
    </w:p>
    <w:p w14:paraId="56B05869">
      <w:pPr>
        <w:spacing w:line="460" w:lineRule="exact"/>
        <w:ind w:firstLine="482" w:firstLineChars="200"/>
        <w:contextualSpacing/>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若由于承包人原因造成施工质量存在严重缺陷，则发包人有权终止合同，勒令退场，</w:t>
      </w:r>
      <w:r>
        <w:rPr>
          <w:rFonts w:hint="eastAsia" w:ascii="宋体" w:hAnsi="宋体" w:eastAsia="宋体" w:cs="宋体"/>
          <w:b/>
          <w:bCs/>
          <w:color w:val="auto"/>
          <w:kern w:val="0"/>
          <w:sz w:val="24"/>
          <w:highlight w:val="none"/>
          <w:u w:val="single"/>
        </w:rPr>
        <w:t>除工程履约保证金不予退还外，还应承担赔偿发包人损失的责任，</w:t>
      </w:r>
      <w:r>
        <w:rPr>
          <w:rFonts w:hint="eastAsia" w:ascii="宋体" w:hAnsi="宋体" w:eastAsia="宋体" w:cs="宋体"/>
          <w:b/>
          <w:color w:val="auto"/>
          <w:sz w:val="24"/>
          <w:highlight w:val="none"/>
          <w:u w:val="single"/>
        </w:rPr>
        <w:t>并且已完成的有效工程量只按50%计量结算。</w:t>
      </w:r>
    </w:p>
    <w:p w14:paraId="37A4D7FF">
      <w:pPr>
        <w:adjustRightInd w:val="0"/>
        <w:spacing w:line="460" w:lineRule="exact"/>
        <w:ind w:firstLine="482" w:firstLineChars="200"/>
        <w:contextualSpacing/>
        <w:jc w:val="lef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如经验收达不到协议书中约定的质量标准，除返工合格后，罚没履约保证金的30%不退还，返工损失费自付外，承包人还应按合同总价的 20 %对发包人进行赔偿。</w:t>
      </w:r>
    </w:p>
    <w:p w14:paraId="0565BFC1">
      <w:pPr>
        <w:spacing w:line="460" w:lineRule="exact"/>
        <w:ind w:firstLine="482" w:firstLineChars="200"/>
        <w:contextualSpacing/>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承包人在工程施工期间必须抓好安全生产工作，如在施工期间发生安全事故，则罚没全部履约保证金的30%，并且，由此所造成的损失由承包人承担。</w:t>
      </w:r>
    </w:p>
    <w:p w14:paraId="3A06D2EC">
      <w:pPr>
        <w:pStyle w:val="6"/>
        <w:keepNext w:val="0"/>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 不可抗力 </w:t>
      </w:r>
    </w:p>
    <w:p w14:paraId="3E689128">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17.1 不可抗力的确认</w:t>
      </w:r>
    </w:p>
    <w:p w14:paraId="03E43F3B">
      <w:pPr>
        <w:adjustRightInd w:val="0"/>
        <w:spacing w:line="460" w:lineRule="exact"/>
        <w:ind w:firstLine="480" w:firstLineChars="200"/>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除通用合同条款约定的不可抗力事件之外，视为不可抗力的其他情形：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w:t>
      </w:r>
    </w:p>
    <w:p w14:paraId="182D3064">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17.2 因不可抗力解除合同</w:t>
      </w:r>
    </w:p>
    <w:p w14:paraId="31E4FBCD">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合同解除后，发包人应在商定或确定发包人应支付款项后</w:t>
      </w:r>
      <w:r>
        <w:rPr>
          <w:rFonts w:hint="eastAsia" w:ascii="宋体" w:hAnsi="宋体" w:eastAsia="宋体" w:cs="宋体"/>
          <w:color w:val="auto"/>
          <w:sz w:val="24"/>
          <w:highlight w:val="none"/>
          <w:u w:val="single"/>
        </w:rPr>
        <w:t xml:space="preserve"> 28 </w:t>
      </w:r>
      <w:r>
        <w:rPr>
          <w:rFonts w:hint="eastAsia" w:ascii="宋体" w:hAnsi="宋体" w:eastAsia="宋体" w:cs="宋体"/>
          <w:color w:val="auto"/>
          <w:sz w:val="24"/>
          <w:highlight w:val="none"/>
        </w:rPr>
        <w:t>天内完成款项的支付。</w:t>
      </w:r>
    </w:p>
    <w:p w14:paraId="768FAAA6">
      <w:pPr>
        <w:pStyle w:val="6"/>
        <w:keepNext w:val="0"/>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保险</w:t>
      </w:r>
    </w:p>
    <w:p w14:paraId="27DE8B66">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18.1 工程保险</w:t>
      </w:r>
    </w:p>
    <w:p w14:paraId="2177FBBF">
      <w:pPr>
        <w:tabs>
          <w:tab w:val="left" w:pos="835"/>
          <w:tab w:val="left" w:pos="5430"/>
        </w:tabs>
        <w:adjustRightInd w:val="0"/>
        <w:spacing w:line="460" w:lineRule="exact"/>
        <w:ind w:firstLine="480" w:firstLineChars="200"/>
        <w:contextualSpacing/>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关于工程保险的特别约定：</w:t>
      </w:r>
      <w:r>
        <w:rPr>
          <w:rFonts w:hint="eastAsia" w:ascii="宋体" w:hAnsi="宋体" w:eastAsia="宋体" w:cs="宋体"/>
          <w:color w:val="auto"/>
          <w:kern w:val="0"/>
          <w:sz w:val="24"/>
          <w:highlight w:val="none"/>
          <w:u w:val="single"/>
        </w:rPr>
        <w:t xml:space="preserve"> </w:t>
      </w:r>
      <w:r>
        <w:rPr>
          <w:rFonts w:hint="eastAsia" w:ascii="宋体" w:hAnsi="宋体" w:eastAsia="宋体" w:cs="宋体"/>
          <w:b/>
          <w:bCs/>
          <w:color w:val="auto"/>
          <w:sz w:val="24"/>
          <w:highlight w:val="none"/>
          <w:u w:val="single"/>
        </w:rPr>
        <w:t>（1）发包人投保内容:  建设工程和施工场地内的自有人员生命财产险。</w:t>
      </w:r>
    </w:p>
    <w:p w14:paraId="5BE9F630">
      <w:pPr>
        <w:tabs>
          <w:tab w:val="left" w:pos="835"/>
          <w:tab w:val="left" w:pos="5430"/>
        </w:tabs>
        <w:adjustRightInd w:val="0"/>
        <w:spacing w:line="460" w:lineRule="exact"/>
        <w:ind w:firstLine="482" w:firstLineChars="200"/>
        <w:contextualSpacing/>
        <w:jc w:val="lef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7132B316">
      <w:pPr>
        <w:pStyle w:val="6"/>
        <w:keepNext w:val="0"/>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争议解决</w:t>
      </w:r>
    </w:p>
    <w:p w14:paraId="19CFAE71">
      <w:pPr>
        <w:spacing w:line="460" w:lineRule="exact"/>
        <w:ind w:firstLine="480" w:firstLineChars="200"/>
        <w:contextualSpacing/>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19.1 争议评审</w:t>
      </w:r>
      <w:r>
        <w:rPr>
          <w:rFonts w:hint="eastAsia" w:ascii="宋体" w:hAnsi="宋体" w:eastAsia="宋体" w:cs="宋体"/>
          <w:b/>
          <w:bCs/>
          <w:color w:val="auto"/>
          <w:sz w:val="24"/>
          <w:highlight w:val="none"/>
          <w:u w:val="single"/>
        </w:rPr>
        <w:t xml:space="preserve">    </w:t>
      </w:r>
    </w:p>
    <w:p w14:paraId="14577B53">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19.2仲裁或诉讼</w:t>
      </w:r>
    </w:p>
    <w:p w14:paraId="23887C8D">
      <w:pPr>
        <w:spacing w:line="46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因合同及合同有关事项发生的争议，按下列第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种方式解决：</w:t>
      </w:r>
    </w:p>
    <w:p w14:paraId="0B67D6F4">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eastAsia="宋体" w:cs="宋体"/>
          <w:color w:val="auto"/>
          <w:sz w:val="24"/>
          <w:highlight w:val="none"/>
          <w:u w:val="single"/>
        </w:rPr>
        <w:t xml:space="preserve">     南通   </w:t>
      </w:r>
      <w:r>
        <w:rPr>
          <w:rFonts w:hint="eastAsia" w:ascii="宋体" w:hAnsi="宋体" w:eastAsia="宋体" w:cs="宋体"/>
          <w:color w:val="auto"/>
          <w:sz w:val="24"/>
          <w:highlight w:val="none"/>
        </w:rPr>
        <w:t>仲裁委员会申请仲裁；</w:t>
      </w:r>
    </w:p>
    <w:p w14:paraId="42EFF0CB">
      <w:pPr>
        <w:spacing w:line="46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rPr>
        <w:t xml:space="preserve">     南通市崇川区  </w:t>
      </w:r>
      <w:r>
        <w:rPr>
          <w:rFonts w:hint="eastAsia" w:ascii="宋体" w:hAnsi="宋体" w:eastAsia="宋体" w:cs="宋体"/>
          <w:color w:val="auto"/>
          <w:sz w:val="24"/>
          <w:highlight w:val="none"/>
        </w:rPr>
        <w:t>人民法院起诉。</w:t>
      </w:r>
    </w:p>
    <w:p w14:paraId="18049678">
      <w:pPr>
        <w:pStyle w:val="6"/>
        <w:keepNext w:val="0"/>
        <w:spacing w:line="460" w:lineRule="exact"/>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20.补充条款 :</w:t>
      </w:r>
    </w:p>
    <w:p w14:paraId="03FBDDD4">
      <w:pPr>
        <w:adjustRightInd w:val="0"/>
        <w:spacing w:line="460" w:lineRule="exact"/>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（1）工程结算约定：</w:t>
      </w:r>
    </w:p>
    <w:p w14:paraId="7BF1DC28">
      <w:pPr>
        <w:adjustRightInd w:val="0"/>
        <w:spacing w:line="460" w:lineRule="exact"/>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①安全文明施工措施费，结算时按南通市南通市建设工程造价管理处核定为准，只计基本费及扬尘费，其它费率不计。</w:t>
      </w:r>
    </w:p>
    <w:p w14:paraId="74EA77DD">
      <w:pPr>
        <w:adjustRightInd w:val="0"/>
        <w:spacing w:line="460" w:lineRule="exact"/>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②施工用水用电由承包人与发包人按定额用量结算。</w:t>
      </w:r>
    </w:p>
    <w:p w14:paraId="5F9DDF23">
      <w:pPr>
        <w:adjustRightInd w:val="0"/>
        <w:spacing w:line="460" w:lineRule="exact"/>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③工程结算中发现承包人擅自改变了暂定价部分材料及项目数量及单价，则少计或漏计部分按采购文件规定扣除，多计部分按承包人响应报价扣除。</w:t>
      </w:r>
    </w:p>
    <w:p w14:paraId="5E592E04">
      <w:pPr>
        <w:adjustRightInd w:val="0"/>
        <w:spacing w:line="460" w:lineRule="exact"/>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④工程最终结算价以第三方审计的最终审定价为准。发包人委托监理初审、第三方审计终审，承包人应如实报送工程竣工结算，如经审核后单项工程核减率在10%以上(含10%)的审计费用由承包人承担。核减率在8%～10%(含8%，不含10%)的审计费用由承包人承担80%，发包人承担20%。核减率在5%～8%(含5%，不含8%)的审计费用由承包人承担20%，发包人承担80%。核减率在5%以下的审计费用由发包人承担。</w:t>
      </w:r>
    </w:p>
    <w:p w14:paraId="4AC00A6F">
      <w:pPr>
        <w:adjustRightInd w:val="0"/>
        <w:spacing w:line="460" w:lineRule="exact"/>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在施工过程中的开槽、埋管、堵补费，吊顶、隔墙侧板的封堵压条用由承包人自行承担，该费用包含在总价中，工程结算时不作调整。为完成单项工程项目所采取的各项措施应已包含在综合单价中，结算不再调整。</w:t>
      </w:r>
    </w:p>
    <w:p w14:paraId="7193A842">
      <w:pPr>
        <w:adjustRightInd w:val="0"/>
        <w:spacing w:line="460" w:lineRule="exact"/>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（3）承包人现场勘查，拆除费用一次包定不再调整。响应供应商应对现场情况自行勘查，报价时应考虑完成施工项目所产生的材料上下运输费。   </w:t>
      </w:r>
    </w:p>
    <w:p w14:paraId="13A9BF12">
      <w:pPr>
        <w:spacing w:line="46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4</w:t>
      </w:r>
      <w:r>
        <w:rPr>
          <w:rFonts w:hint="eastAsia" w:ascii="宋体" w:hAnsi="宋体" w:eastAsia="宋体" w:cs="宋体"/>
          <w:color w:val="auto"/>
          <w:sz w:val="24"/>
          <w:highlight w:val="none"/>
          <w:u w:val="single"/>
        </w:rPr>
        <w:t>）为了不影响学校师生的正常教学、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71F7D612">
      <w:pPr>
        <w:spacing w:line="46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5</w:t>
      </w:r>
      <w:r>
        <w:rPr>
          <w:rFonts w:hint="eastAsia" w:ascii="宋体" w:hAnsi="宋体" w:eastAsia="宋体" w:cs="宋体"/>
          <w:color w:val="auto"/>
          <w:sz w:val="24"/>
          <w:highlight w:val="none"/>
          <w:u w:val="single"/>
        </w:rPr>
        <w:t>）竣工交付发包人前，承包人对全部工程区做一次全面卫生保洁；</w:t>
      </w:r>
    </w:p>
    <w:p w14:paraId="76F0846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（6）施工临时用电、用水，必须征得发包人同意，安装水电表，费用承包人承担。</w:t>
      </w:r>
    </w:p>
    <w:p w14:paraId="4769349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（7）建设区域内的临时房屋及地面拆除残值费用含在合同价内，施工过程中，拆除部分残值归承包人所有。</w:t>
      </w:r>
    </w:p>
    <w:p w14:paraId="49BD4BCB">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w:t>
      </w:r>
      <w:bookmarkStart w:id="103" w:name="_Toc267261693"/>
      <w:bookmarkStart w:id="104" w:name="_Toc296944565"/>
      <w:bookmarkStart w:id="105" w:name="_Toc296347225"/>
      <w:bookmarkStart w:id="106" w:name="_Toc296503226"/>
      <w:bookmarkStart w:id="107" w:name="_Toc296891266"/>
      <w:bookmarkStart w:id="108" w:name="_Toc296891054"/>
      <w:bookmarkStart w:id="109" w:name="_Toc296346727"/>
      <w:r>
        <w:rPr>
          <w:rFonts w:hint="eastAsia" w:ascii="宋体" w:hAnsi="宋体" w:eastAsia="宋体" w:cs="宋体"/>
          <w:color w:val="auto"/>
          <w:sz w:val="24"/>
          <w:highlight w:val="none"/>
        </w:rPr>
        <w:t>件：</w:t>
      </w:r>
      <w:bookmarkEnd w:id="103"/>
      <w:bookmarkEnd w:id="104"/>
      <w:bookmarkEnd w:id="105"/>
      <w:bookmarkEnd w:id="106"/>
      <w:bookmarkEnd w:id="107"/>
      <w:bookmarkEnd w:id="108"/>
      <w:bookmarkEnd w:id="109"/>
      <w:r>
        <w:rPr>
          <w:rFonts w:hint="eastAsia" w:ascii="宋体" w:hAnsi="宋体" w:eastAsia="宋体" w:cs="宋体"/>
          <w:color w:val="auto"/>
          <w:sz w:val="24"/>
          <w:highlight w:val="none"/>
        </w:rPr>
        <w:t xml:space="preserve">    </w:t>
      </w:r>
    </w:p>
    <w:p w14:paraId="739DBBA2">
      <w:pPr>
        <w:spacing w:before="120" w:beforeLines="50" w:after="120" w:afterLines="50"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工程质量保修书</w:t>
      </w:r>
    </w:p>
    <w:p w14:paraId="6DE4D308">
      <w:pPr>
        <w:spacing w:before="240" w:beforeLines="10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发包人（全称）：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06C2B4">
      <w:pPr>
        <w:spacing w:before="120" w:beforeLines="50"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承包人（全称）：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131FC27">
      <w:pPr>
        <w:spacing w:line="440" w:lineRule="exact"/>
        <w:rPr>
          <w:rFonts w:hint="eastAsia" w:ascii="宋体" w:hAnsi="宋体" w:eastAsia="宋体" w:cs="宋体"/>
          <w:color w:val="auto"/>
          <w:sz w:val="24"/>
          <w:highlight w:val="none"/>
        </w:rPr>
      </w:pPr>
    </w:p>
    <w:p w14:paraId="7BEF9B2E">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发包人和承包人根据《中华人民共和国建筑法》和《建设工程质量管理条例》，经协商一致就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（工程全称）签订工程质量保修书。</w:t>
      </w:r>
    </w:p>
    <w:p w14:paraId="2298AA98">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一、工程质量保修范围和内容</w:t>
      </w:r>
    </w:p>
    <w:p w14:paraId="003A5441">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承包人在质量保修期内，按照有关法律规定和合同约定，承担工程质量保修责任。</w:t>
      </w:r>
    </w:p>
    <w:p w14:paraId="139A816A">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4"/>
          <w:highlight w:val="none"/>
          <w:u w:val="single"/>
        </w:rPr>
        <w:t>本施工合同范围内的全部工程</w:t>
      </w:r>
      <w:r>
        <w:rPr>
          <w:rFonts w:hint="eastAsia" w:ascii="宋体" w:hAnsi="宋体" w:eastAsia="宋体" w:cs="宋体"/>
          <w:color w:val="auto"/>
          <w:sz w:val="24"/>
          <w:highlight w:val="none"/>
        </w:rPr>
        <w:t>。</w:t>
      </w:r>
    </w:p>
    <w:p w14:paraId="1EFB2886">
      <w:pPr>
        <w:spacing w:line="46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二、质量保修期</w:t>
      </w:r>
    </w:p>
    <w:p w14:paraId="59C96179">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根据《建设工程质量管理条例》及有关规定，工程的质量保修期如下：</w:t>
      </w:r>
    </w:p>
    <w:p w14:paraId="06C2AA7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1．地基基础工程和主体结构工程为设计文件规定的工程合理使用年限；</w:t>
      </w:r>
    </w:p>
    <w:p w14:paraId="6D0A763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2．屋面防水工程、有防水要求的卫生间、房间和外墙面的防渗为</w:t>
      </w:r>
      <w:r>
        <w:rPr>
          <w:rFonts w:hint="eastAsia" w:ascii="宋体" w:hAnsi="宋体" w:eastAsia="宋体" w:cs="宋体"/>
          <w:color w:val="auto"/>
          <w:sz w:val="24"/>
          <w:highlight w:val="none"/>
          <w:u w:val="single"/>
        </w:rPr>
        <w:t>5年</w:t>
      </w:r>
      <w:r>
        <w:rPr>
          <w:rFonts w:hint="eastAsia" w:ascii="宋体" w:hAnsi="宋体" w:eastAsia="宋体" w:cs="宋体"/>
          <w:color w:val="auto"/>
          <w:sz w:val="24"/>
          <w:highlight w:val="none"/>
        </w:rPr>
        <w:t>；</w:t>
      </w:r>
    </w:p>
    <w:p w14:paraId="76423A9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w:t>
      </w:r>
      <w:r>
        <w:rPr>
          <w:rFonts w:hint="eastAsia" w:ascii="宋体" w:hAnsi="宋体" w:eastAsia="宋体" w:cs="宋体"/>
          <w:color w:val="auto"/>
          <w:sz w:val="24"/>
          <w:highlight w:val="none"/>
          <w:u w:val="single"/>
        </w:rPr>
        <w:t>2年</w:t>
      </w:r>
      <w:r>
        <w:rPr>
          <w:rFonts w:hint="eastAsia" w:ascii="宋体" w:hAnsi="宋体" w:eastAsia="宋体" w:cs="宋体"/>
          <w:color w:val="auto"/>
          <w:sz w:val="24"/>
          <w:highlight w:val="none"/>
        </w:rPr>
        <w:t>；</w:t>
      </w:r>
    </w:p>
    <w:p w14:paraId="07FC78F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w:t>
      </w:r>
      <w:r>
        <w:rPr>
          <w:rFonts w:hint="eastAsia" w:ascii="宋体" w:hAnsi="宋体" w:eastAsia="宋体" w:cs="宋体"/>
          <w:color w:val="auto"/>
          <w:sz w:val="24"/>
          <w:highlight w:val="none"/>
          <w:u w:val="single"/>
        </w:rPr>
        <w:t>2年</w:t>
      </w:r>
      <w:r>
        <w:rPr>
          <w:rFonts w:hint="eastAsia" w:ascii="宋体" w:hAnsi="宋体" w:eastAsia="宋体" w:cs="宋体"/>
          <w:color w:val="auto"/>
          <w:sz w:val="24"/>
          <w:highlight w:val="none"/>
        </w:rPr>
        <w:t>；</w:t>
      </w:r>
    </w:p>
    <w:p w14:paraId="55511D47">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w:t>
      </w:r>
      <w:r>
        <w:rPr>
          <w:rFonts w:hint="eastAsia" w:ascii="宋体" w:hAnsi="宋体" w:eastAsia="宋体" w:cs="宋体"/>
          <w:color w:val="auto"/>
          <w:sz w:val="24"/>
          <w:highlight w:val="none"/>
          <w:u w:val="single"/>
        </w:rPr>
        <w:t>2个</w:t>
      </w:r>
      <w:r>
        <w:rPr>
          <w:rFonts w:hint="eastAsia" w:ascii="宋体" w:hAnsi="宋体" w:eastAsia="宋体" w:cs="宋体"/>
          <w:color w:val="auto"/>
          <w:sz w:val="24"/>
          <w:highlight w:val="none"/>
        </w:rPr>
        <w:t>采暖期、供冷期；</w:t>
      </w:r>
    </w:p>
    <w:p w14:paraId="5DDC39E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w:t>
      </w:r>
      <w:r>
        <w:rPr>
          <w:rFonts w:hint="eastAsia" w:ascii="宋体" w:hAnsi="宋体" w:eastAsia="宋体" w:cs="宋体"/>
          <w:color w:val="auto"/>
          <w:sz w:val="24"/>
          <w:highlight w:val="none"/>
          <w:u w:val="single"/>
        </w:rPr>
        <w:t>2年</w:t>
      </w:r>
      <w:r>
        <w:rPr>
          <w:rFonts w:hint="eastAsia" w:ascii="宋体" w:hAnsi="宋体" w:eastAsia="宋体" w:cs="宋体"/>
          <w:color w:val="auto"/>
          <w:sz w:val="24"/>
          <w:highlight w:val="none"/>
        </w:rPr>
        <w:t>；</w:t>
      </w:r>
    </w:p>
    <w:p w14:paraId="3466E52D">
      <w:pPr>
        <w:spacing w:line="4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7．其他项目保修期限约定如下：本项目保修期为</w:t>
      </w:r>
      <w:r>
        <w:rPr>
          <w:rFonts w:hint="eastAsia" w:ascii="宋体" w:hAnsi="宋体" w:cs="宋体"/>
          <w:b/>
          <w:bCs/>
          <w:color w:val="auto"/>
          <w:sz w:val="24"/>
          <w:highlight w:val="none"/>
          <w:u w:val="single"/>
          <w:lang w:val="en-US" w:eastAsia="zh-CN"/>
        </w:rPr>
        <w:t xml:space="preserve">  2</w:t>
      </w:r>
      <w:r>
        <w:rPr>
          <w:rFonts w:hint="eastAsia" w:ascii="宋体" w:hAnsi="宋体" w:eastAsia="宋体" w:cs="宋体"/>
          <w:b/>
          <w:bCs/>
          <w:color w:val="auto"/>
          <w:sz w:val="24"/>
          <w:highlight w:val="none"/>
          <w:u w:val="single"/>
        </w:rPr>
        <w:t>年</w:t>
      </w:r>
      <w:r>
        <w:rPr>
          <w:rFonts w:hint="eastAsia" w:ascii="宋体" w:hAnsi="宋体" w:eastAsia="宋体" w:cs="宋体"/>
          <w:b/>
          <w:bCs/>
          <w:color w:val="auto"/>
          <w:sz w:val="24"/>
          <w:highlight w:val="none"/>
        </w:rPr>
        <w:t>。</w:t>
      </w:r>
    </w:p>
    <w:p w14:paraId="60063519">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质量保修期自工程竣工验收合格之日起计算。</w:t>
      </w:r>
    </w:p>
    <w:p w14:paraId="6C45E9E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三、缺陷责任期计算。</w:t>
      </w:r>
    </w:p>
    <w:p w14:paraId="1D0E716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本工程缺陷责任期为</w:t>
      </w:r>
      <w:r>
        <w:rPr>
          <w:rFonts w:hint="eastAsia" w:ascii="宋体" w:hAnsi="宋体" w:cs="宋体"/>
          <w:color w:val="auto"/>
          <w:sz w:val="24"/>
          <w:highlight w:val="none"/>
          <w:u w:val="single"/>
          <w:lang w:val="en-US" w:eastAsia="zh-CN"/>
        </w:rPr>
        <w:t xml:space="preserve">  2</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，自工程竣工验收合格之日起计算。单位工程先于全部工程进行验收，单位工程缺陷责任期自单位工程验收合格之日起算。</w:t>
      </w:r>
    </w:p>
    <w:p w14:paraId="0A3DE13E">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四、质量保修责任</w:t>
      </w:r>
    </w:p>
    <w:p w14:paraId="1742CAB6">
      <w:pPr>
        <w:spacing w:line="460" w:lineRule="exact"/>
        <w:ind w:left="105" w:leftChars="50"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1．属于保修范围、内容的项目，承包人应当在接到保修通知之日起7天内派人保修。承包人不在约定期限内派人保修的，发包人可以委托他人修理。</w:t>
      </w:r>
    </w:p>
    <w:p w14:paraId="6DB6E5D1">
      <w:pPr>
        <w:spacing w:line="460" w:lineRule="exact"/>
        <w:ind w:left="105" w:leftChars="50"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2．发生紧急事故需抢修的，承包人在接到事故通知后，应当立即到达事故现场抢修。</w:t>
      </w:r>
    </w:p>
    <w:p w14:paraId="2518F358">
      <w:pPr>
        <w:spacing w:line="460" w:lineRule="exact"/>
        <w:ind w:left="105" w:leftChars="50" w:firstLine="491" w:firstLineChars="205"/>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41408D">
      <w:pPr>
        <w:spacing w:line="460" w:lineRule="exact"/>
        <w:ind w:left="420" w:leftChars="200"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4．质量保修完成后，由发包人组织验收。</w:t>
      </w:r>
    </w:p>
    <w:p w14:paraId="1E6AF74A">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五、保修费用</w:t>
      </w:r>
    </w:p>
    <w:p w14:paraId="26FFF3E0">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保修费用由造成质量缺陷的责任方承担。</w:t>
      </w:r>
    </w:p>
    <w:p w14:paraId="0793ED90">
      <w:pPr>
        <w:spacing w:line="46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六</w:t>
      </w:r>
      <w:r>
        <w:rPr>
          <w:rFonts w:hint="eastAsia" w:ascii="宋体" w:hAnsi="宋体" w:eastAsia="宋体" w:cs="宋体"/>
          <w:color w:val="auto"/>
          <w:sz w:val="24"/>
          <w:highlight w:val="none"/>
        </w:rPr>
        <w:t>、双方约定的其他工程质量保修事项：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D4534E7">
      <w:pPr>
        <w:spacing w:line="460" w:lineRule="exact"/>
        <w:ind w:firstLine="456" w:firstLineChars="19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工程质量保修书由发包人、承包人在工程竣工验收前共同签署，作为施工合同附件，其有效期限至保修期满。</w:t>
      </w:r>
    </w:p>
    <w:p w14:paraId="64DB6C2A">
      <w:pPr>
        <w:spacing w:line="480" w:lineRule="exact"/>
        <w:ind w:firstLine="420"/>
        <w:rPr>
          <w:rFonts w:hint="eastAsia" w:ascii="宋体" w:hAnsi="宋体" w:eastAsia="宋体" w:cs="宋体"/>
          <w:color w:val="auto"/>
          <w:sz w:val="24"/>
          <w:highlight w:val="none"/>
        </w:rPr>
      </w:pPr>
    </w:p>
    <w:p w14:paraId="60EDFCFF">
      <w:pPr>
        <w:spacing w:line="8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发包人(公章)：</w:t>
      </w: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 xml:space="preserve"> 承包人(公章)：</w:t>
      </w:r>
      <w:r>
        <w:rPr>
          <w:rFonts w:hint="eastAsia" w:ascii="宋体" w:hAnsi="宋体" w:eastAsia="宋体" w:cs="宋体"/>
          <w:color w:val="auto"/>
          <w:sz w:val="24"/>
          <w:highlight w:val="none"/>
          <w:u w:val="single"/>
        </w:rPr>
        <w:t xml:space="preserve">           </w:t>
      </w:r>
    </w:p>
    <w:p w14:paraId="4637160C">
      <w:pPr>
        <w:spacing w:line="8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法定代表人(签字)：</w:t>
      </w:r>
      <w:r>
        <w:rPr>
          <w:rFonts w:hint="eastAsia" w:ascii="宋体" w:hAnsi="宋体" w:eastAsia="宋体" w:cs="宋体"/>
          <w:color w:val="auto"/>
          <w:sz w:val="24"/>
          <w:highlight w:val="none"/>
          <w:u w:val="single"/>
        </w:rPr>
        <w:t xml:space="preserve">       </w:t>
      </w:r>
    </w:p>
    <w:p w14:paraId="1FA8DFB6">
      <w:pPr>
        <w:spacing w:line="8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委托代理人(签字)：</w:t>
      </w:r>
      <w:r>
        <w:rPr>
          <w:rFonts w:hint="eastAsia" w:ascii="宋体" w:hAnsi="宋体" w:eastAsia="宋体" w:cs="宋体"/>
          <w:color w:val="auto"/>
          <w:sz w:val="24"/>
          <w:highlight w:val="none"/>
          <w:u w:val="single"/>
        </w:rPr>
        <w:t xml:space="preserve">       </w:t>
      </w:r>
    </w:p>
    <w:p w14:paraId="59401A10">
      <w:pPr>
        <w:spacing w:line="840" w:lineRule="exact"/>
        <w:rPr>
          <w:rFonts w:hint="eastAsia" w:ascii="宋体" w:hAnsi="宋体" w:eastAsia="宋体" w:cs="宋体"/>
          <w:color w:val="auto"/>
          <w:sz w:val="24"/>
          <w:highlight w:val="none"/>
          <w:u w:val="single"/>
        </w:rPr>
      </w:pPr>
    </w:p>
    <w:p w14:paraId="46A3CCBC">
      <w:pPr>
        <w:spacing w:line="840" w:lineRule="exact"/>
        <w:rPr>
          <w:rFonts w:hint="eastAsia" w:ascii="宋体" w:hAnsi="宋体" w:eastAsia="宋体" w:cs="宋体"/>
          <w:color w:val="auto"/>
          <w:sz w:val="24"/>
          <w:highlight w:val="none"/>
          <w:u w:val="single"/>
        </w:rPr>
      </w:pPr>
    </w:p>
    <w:p w14:paraId="639105DB">
      <w:pPr>
        <w:pStyle w:val="25"/>
        <w:rPr>
          <w:rFonts w:hint="eastAsia" w:ascii="宋体" w:hAnsi="宋体" w:eastAsia="宋体" w:cs="宋体"/>
          <w:color w:val="auto"/>
          <w:highlight w:val="none"/>
          <w:u w:val="single"/>
        </w:rPr>
      </w:pPr>
    </w:p>
    <w:p w14:paraId="66A2D629">
      <w:pPr>
        <w:pStyle w:val="25"/>
        <w:rPr>
          <w:rFonts w:hint="eastAsia" w:ascii="宋体" w:hAnsi="宋体" w:eastAsia="宋体" w:cs="宋体"/>
          <w:color w:val="auto"/>
          <w:highlight w:val="none"/>
          <w:u w:val="single"/>
        </w:rPr>
      </w:pPr>
    </w:p>
    <w:p w14:paraId="1AB80192">
      <w:pPr>
        <w:pStyle w:val="25"/>
        <w:rPr>
          <w:rFonts w:hint="eastAsia" w:ascii="宋体" w:hAnsi="宋体" w:eastAsia="宋体" w:cs="宋体"/>
          <w:color w:val="auto"/>
          <w:highlight w:val="none"/>
          <w:u w:val="single"/>
        </w:rPr>
      </w:pPr>
    </w:p>
    <w:p w14:paraId="126A96B3">
      <w:pPr>
        <w:pStyle w:val="25"/>
        <w:rPr>
          <w:rFonts w:hint="eastAsia" w:ascii="宋体" w:hAnsi="宋体" w:eastAsia="宋体" w:cs="宋体"/>
          <w:color w:val="auto"/>
          <w:highlight w:val="none"/>
          <w:u w:val="single"/>
        </w:rPr>
      </w:pPr>
    </w:p>
    <w:p w14:paraId="0151A2D4">
      <w:pPr>
        <w:pStyle w:val="25"/>
        <w:rPr>
          <w:rFonts w:hint="eastAsia" w:ascii="宋体" w:hAnsi="宋体" w:eastAsia="宋体" w:cs="宋体"/>
          <w:color w:val="auto"/>
          <w:highlight w:val="none"/>
          <w:u w:val="single"/>
        </w:rPr>
      </w:pPr>
    </w:p>
    <w:p w14:paraId="7022BD7E">
      <w:pPr>
        <w:pStyle w:val="25"/>
        <w:rPr>
          <w:rFonts w:hint="eastAsia" w:ascii="宋体" w:hAnsi="宋体" w:eastAsia="宋体" w:cs="宋体"/>
          <w:color w:val="auto"/>
          <w:highlight w:val="none"/>
          <w:u w:val="single"/>
        </w:rPr>
      </w:pPr>
    </w:p>
    <w:p w14:paraId="02B6B05A">
      <w:pPr>
        <w:pStyle w:val="25"/>
        <w:rPr>
          <w:rFonts w:hint="eastAsia" w:ascii="宋体" w:hAnsi="宋体" w:eastAsia="宋体" w:cs="宋体"/>
          <w:color w:val="auto"/>
          <w:highlight w:val="none"/>
          <w:u w:val="single"/>
        </w:rPr>
      </w:pPr>
    </w:p>
    <w:p w14:paraId="49F5A24F">
      <w:pPr>
        <w:pStyle w:val="25"/>
        <w:rPr>
          <w:rFonts w:hint="eastAsia" w:ascii="宋体" w:hAnsi="宋体" w:eastAsia="宋体" w:cs="宋体"/>
          <w:color w:val="auto"/>
          <w:highlight w:val="none"/>
          <w:u w:val="single"/>
        </w:rPr>
      </w:pPr>
    </w:p>
    <w:p w14:paraId="4EFCC0F7">
      <w:pPr>
        <w:pStyle w:val="25"/>
        <w:rPr>
          <w:rFonts w:hint="eastAsia" w:ascii="宋体" w:hAnsi="宋体" w:eastAsia="宋体" w:cs="宋体"/>
          <w:color w:val="auto"/>
          <w:highlight w:val="none"/>
          <w:u w:val="single"/>
        </w:rPr>
      </w:pPr>
    </w:p>
    <w:p w14:paraId="34EBAD22">
      <w:pPr>
        <w:pStyle w:val="25"/>
        <w:rPr>
          <w:rFonts w:hint="eastAsia" w:ascii="宋体" w:hAnsi="宋体" w:eastAsia="宋体" w:cs="宋体"/>
          <w:color w:val="auto"/>
          <w:highlight w:val="none"/>
          <w:u w:val="single"/>
        </w:rPr>
      </w:pPr>
    </w:p>
    <w:p w14:paraId="36C67B3C">
      <w:pPr>
        <w:pStyle w:val="25"/>
        <w:rPr>
          <w:rFonts w:hint="eastAsia" w:ascii="宋体" w:hAnsi="宋体" w:eastAsia="宋体" w:cs="宋体"/>
          <w:color w:val="auto"/>
          <w:highlight w:val="none"/>
          <w:u w:val="single"/>
        </w:rPr>
      </w:pPr>
    </w:p>
    <w:p w14:paraId="752A4713">
      <w:pPr>
        <w:spacing w:before="120" w:beforeLines="50" w:after="120" w:afterLines="50"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附件：</w:t>
      </w:r>
    </w:p>
    <w:p w14:paraId="00C38600">
      <w:pPr>
        <w:spacing w:line="460" w:lineRule="exact"/>
        <w:ind w:firstLine="321" w:firstLineChars="100"/>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工程建设廉洁协议</w:t>
      </w:r>
    </w:p>
    <w:p w14:paraId="6CE668B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发包方（甲方全称）：江苏商贸职业学院</w:t>
      </w:r>
    </w:p>
    <w:p w14:paraId="127B31E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承包方（乙方全称）：</w:t>
      </w:r>
    </w:p>
    <w:p w14:paraId="4B6EF77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工程项目廉洁建设，规范各项活动中发包方承包方双方的行为，防止谋取不正当利益的违法违纪现象的发生，保护国家、集体和当事人的合法权益，根据国家有关工程建设的法律法规和廉洁建设的有关规定，订立本廉洁协议。</w:t>
      </w:r>
    </w:p>
    <w:p w14:paraId="488E2073">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一、双方的责任</w:t>
      </w:r>
    </w:p>
    <w:p w14:paraId="3D7FC85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1.应严格遵守国家关于建设工程的有关法律、法规，相关政策，以及廉洁建设的各项规定。</w:t>
      </w:r>
    </w:p>
    <w:p w14:paraId="17AEE67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2.严格执行建设工程合同文件，自觉按合同办事。</w:t>
      </w:r>
    </w:p>
    <w:p w14:paraId="5F15CE5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3.各项活动必须坚持公开、公平、公正、诚信、透明的原则(除法律法规另有规定者外)，不得为获取不正当的利益，损害国家、集体和对方利益，不得违反建设工程管理的规章制度。</w:t>
      </w:r>
    </w:p>
    <w:p w14:paraId="7A51F27E">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4.发现对方在业务活动中有违规、违纪、违法行为的，应及时提醒对方，情节严重的，应向其上级主管部门或纪检监察、司法等有关机关举报。</w:t>
      </w:r>
    </w:p>
    <w:p w14:paraId="1F5E2219">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二、发包方责任</w:t>
      </w:r>
    </w:p>
    <w:p w14:paraId="5475BE5C">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发包方的领导和从事该建设工程项目的工作人员，在工程建设的事前、事中、事后应遵守以下规定：</w:t>
      </w:r>
    </w:p>
    <w:p w14:paraId="6A46A87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1.不得利用职权或者职务上的影响谋取私利、为他人谋取利益、搞权权交易、无偿或象征性地支付报酬接受服务及使用劳务。</w:t>
      </w:r>
    </w:p>
    <w:p w14:paraId="075F38AB">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2.不得收受、持有、实际使用可能影响公正执行职务的礼品、礼金、运动健身卡及会所和俱乐部会员卡、高尔夫球卡等各种消费卡与有价证券、股权、其他金融产品等财物。</w:t>
      </w:r>
    </w:p>
    <w:p w14:paraId="4A3F1FF9">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3.不得在承包方和相关单位报销任何应由发包方或个人支付的费用，不得借用承包方和相关单位的钱款、住房、车辆，影响公正执行职务。</w:t>
      </w:r>
    </w:p>
    <w:p w14:paraId="1314E0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4.不得要求、暗示或接受承包方和相关单位为个人装修住房、婚丧嫁娶、配偶子女的工作安排以及出国(境)、旅游等提供方便；不得接受可能影响公正执行职务的宴请或者旅游、健身、娱乐等活动安排。</w:t>
      </w:r>
    </w:p>
    <w:p w14:paraId="7920D6A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得向承包方和相关单位介绍或为配偶、子女、亲属参与同发包方工程建设管理合同有关的业务活动；禁止配偶、子女及其配偶等亲属和其他特定关系人在承包方和相关单位不实际工作而获取薪酬或者虽实际工作但领取明显超出同职级标准薪酬。</w:t>
      </w:r>
    </w:p>
    <w:p w14:paraId="154FB1E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6.不得以任何理由要求承包方和相关单位使用某种产品、材料和设备。</w:t>
      </w:r>
    </w:p>
    <w:p w14:paraId="76836777">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三、承包方责任</w:t>
      </w:r>
    </w:p>
    <w:p w14:paraId="6C75F63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应与发包方保持正常的业务交往，按照有关法律法规和程序开展业务工作，严格执行工程建设的有关方针、政策，执行工程建设强制性标准，并遵守以下规定：</w:t>
      </w:r>
    </w:p>
    <w:p w14:paraId="0D6CB7A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1.不得以任何理由向发包方及其工作人员索要、接受或赠送明显超出正常礼尚往来的礼品、礼金、运动健身卡及会所和俱乐部会员卡、高尔夫球卡等各种消费卡与有价证券、股权、其他金融产品等财物。</w:t>
      </w:r>
    </w:p>
    <w:p w14:paraId="38A3600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2.不得以任何理由为发包方和相关单位报销应由对方或个人支付的费用。</w:t>
      </w:r>
    </w:p>
    <w:p w14:paraId="1474821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3.不得接受或暗示为发包方、相关单位或个人装修住房、婚丧嫁娶、配偶子女的工作安排以及出国(境)、旅游等提供方便。</w:t>
      </w:r>
    </w:p>
    <w:p w14:paraId="71B3EDC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4.不得以任何理由为发包方、相关单位或个人组织有可能影响公正执行职务的宴请或者旅游、健身、娱乐等活动。</w:t>
      </w:r>
    </w:p>
    <w:p w14:paraId="5FC43DC4">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四、违约责任 </w:t>
      </w:r>
    </w:p>
    <w:p w14:paraId="7A22520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1.发包方工作人员有违反本责任书第一、二条责任行为的，依据有关法律、法规及学校相关制度给予处理；涉嫌犯罪的，移交司法机关追究刑事责任；给乙方单位造成经济损失的，应予以赔偿。</w:t>
      </w:r>
    </w:p>
    <w:p w14:paraId="2FF59E9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方工作人员有违反本责任书第一、三条责任行为的，依据有关法律法规处理；支付中标价的0.5%廉洁违约金，并上报建设行政主管部门与招投标监管部门作为信用评审依据；给发包方单位造成经济损失的，应予以赔偿；涉嫌犯罪的，移交司法机关追究刑事责任。</w:t>
      </w:r>
    </w:p>
    <w:p w14:paraId="41413B4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3.本协议作为建设工程合同的组成部分，与建设工程合同具有同等法律效力，经双方签署并盖章后立即生效。</w:t>
      </w:r>
    </w:p>
    <w:p w14:paraId="5C7FD8DC">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五、协议有效期</w:t>
      </w:r>
    </w:p>
    <w:p w14:paraId="6193B6D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本协议具有长期效力，不因工程项目竣工验收而失效,并对与工程项目有因果关系的前期贿赂行为亦具有追认和约束的效力。</w:t>
      </w:r>
    </w:p>
    <w:p w14:paraId="2E135351">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发包方：(盖章)                           承包方：(盖章)</w:t>
      </w:r>
    </w:p>
    <w:p w14:paraId="6CC76D5A">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                       法定代表人：(签字)</w:t>
      </w:r>
    </w:p>
    <w:p w14:paraId="266CCA81">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                       委托代理人：(签字)</w:t>
      </w:r>
    </w:p>
    <w:p w14:paraId="0E9BE0EE">
      <w:pPr>
        <w:pStyle w:val="2"/>
        <w:rPr>
          <w:rFonts w:hint="eastAsia" w:ascii="宋体" w:hAnsi="宋体" w:eastAsia="宋体" w:cs="宋体"/>
          <w:color w:val="auto"/>
          <w:highlight w:val="none"/>
        </w:rPr>
      </w:pPr>
    </w:p>
    <w:p w14:paraId="38AA9939">
      <w:pPr>
        <w:snapToGrid w:val="0"/>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施工安全管理协议书</w:t>
      </w:r>
    </w:p>
    <w:p w14:paraId="0189578F">
      <w:pPr>
        <w:adjustRightInd w:val="0"/>
        <w:snapToGrid w:val="0"/>
        <w:spacing w:line="460" w:lineRule="exact"/>
        <w:rPr>
          <w:rFonts w:hint="eastAsia" w:ascii="宋体" w:hAnsi="宋体" w:eastAsia="宋体" w:cs="宋体"/>
          <w:bCs/>
          <w:color w:val="auto"/>
          <w:sz w:val="28"/>
          <w:szCs w:val="28"/>
          <w:highlight w:val="none"/>
        </w:rPr>
      </w:pPr>
    </w:p>
    <w:p w14:paraId="0961AFD8">
      <w:pPr>
        <w:snapToGrid w:val="0"/>
        <w:spacing w:line="460" w:lineRule="exac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甲方：</w:t>
      </w:r>
      <w:r>
        <w:rPr>
          <w:rFonts w:hint="eastAsia" w:ascii="宋体" w:hAnsi="宋体" w:eastAsia="宋体" w:cs="宋体"/>
          <w:b/>
          <w:bCs/>
          <w:color w:val="auto"/>
          <w:sz w:val="28"/>
          <w:szCs w:val="28"/>
          <w:highlight w:val="none"/>
          <w:u w:val="single"/>
        </w:rPr>
        <w:t xml:space="preserve">    江苏商贸职业学院          </w:t>
      </w:r>
    </w:p>
    <w:p w14:paraId="149C8455">
      <w:pPr>
        <w:snapToGrid w:val="0"/>
        <w:spacing w:line="460" w:lineRule="exac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乙方：</w:t>
      </w:r>
      <w:r>
        <w:rPr>
          <w:rFonts w:hint="eastAsia" w:ascii="宋体" w:hAnsi="宋体" w:eastAsia="宋体" w:cs="宋体"/>
          <w:b/>
          <w:bCs/>
          <w:color w:val="auto"/>
          <w:sz w:val="28"/>
          <w:szCs w:val="28"/>
          <w:highlight w:val="none"/>
          <w:u w:val="single"/>
        </w:rPr>
        <w:t xml:space="preserve">                                   </w:t>
      </w:r>
    </w:p>
    <w:p w14:paraId="00A61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协议书签订与施工地址：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7DD33C2">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工程名称：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3B33D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为了进一步贯彻落实“安全第一、预防为主”的</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"http://zhidao.baidu.com/search?word=%E5%AE%89%E5%85%A8%E7%94%9F%E4%BA%A7%E6%96%B9%E9%92%88&amp;fr=qb_search_exp&amp;ie=utf8"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安全生产方针</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，严格执行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"http://zhidao.baidu.com/search?word=%E5%8A%B3%E5%8A%A8%E4%BF%9D%E6%8A%A4&amp;fr=qb_search_exp&amp;ie=utf8"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劳动保护</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"http://zhidao.baidu.com/search?word=%E5%AE%89%E5%85%A8%E7%94%9F%E4%BA%A7&amp;fr=qb_search_exp&amp;ie=utf8"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安全生产</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的法令、法规，强化</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"http://zhidao.baidu.com/search?word=%E5%AE%89%E5%85%A8%E7%94%9F%E4%BA%A7%E7%AE%A1%E7%90%86&amp;fr=qb_search_exp&amp;ie=utf8"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安全生产管理</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，落实</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"http://zhidao.baidu.com/search?word=%E5%AE%89%E5%85%A8%E7%94%9F%E4%BA%A7%E8%B4%A3%E4%BB%BB%E5%88%B6&amp;fr=qb_search_exp&amp;ie=utf8"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安全生产责任制</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48413F1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一、乙方管理目标</w:t>
      </w:r>
    </w:p>
    <w:p w14:paraId="43353B1E">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1.杜绝重大安全事故发生，死亡事故为零。</w:t>
      </w:r>
    </w:p>
    <w:p w14:paraId="344F584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2.重伤事故频率控制为零。</w:t>
      </w:r>
    </w:p>
    <w:p w14:paraId="3790A19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3.施工现场内的安全隐患整改率达到100%。</w:t>
      </w:r>
    </w:p>
    <w:p w14:paraId="6C86093D">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4.施工现场内不发生火灾事故、治安事件，防范措施达到100%。</w:t>
      </w:r>
    </w:p>
    <w:p w14:paraId="724A88A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5.保证作业人员佩戴防护用品，高空作业、临时电、动火作业等危险作业防护措施达到100%。</w:t>
      </w:r>
    </w:p>
    <w:p w14:paraId="71FAEFF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6.职工消防、安全生产培训率达到100%，特种设备操作人员和特种作业人员须持有效上岗证上岗达到100%。</w:t>
      </w:r>
    </w:p>
    <w:p w14:paraId="2E6328E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7.重大危险源控制率达到100%。</w:t>
      </w:r>
    </w:p>
    <w:p w14:paraId="0AC219D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8.施工现场内不发生危险品中毒、食物中毒以及群发性传染病。</w:t>
      </w:r>
    </w:p>
    <w:p w14:paraId="0A1D653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9.创建文明安全施工工地。</w:t>
      </w:r>
    </w:p>
    <w:p w14:paraId="4A27C93C">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"http://zhidao.baidu.com/search?word=%E5%AE%89%E5%85%A8%E7%94%9F%E4%BA%A7&amp;fr=qb_search_exp&amp;ie=utf8"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安全生产</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要求</w:t>
      </w:r>
    </w:p>
    <w:p w14:paraId="3C853B7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应坚持“安全第一、预防为主”的方针，不得违章指挥和违章作业，在组织施工生产时必须落实安全技术措施，防止事故发生。对本单位的施工人员应登记造册，如实向甲方报告，切实做好入场前的三级安全教育，建立三级安全教育卡，组织消防实操培训。负责班前班后安全教育和工种变换的安全教育，不得录用无身份证的人员和未满十六岁未成人。</w:t>
      </w:r>
    </w:p>
    <w:p w14:paraId="2749B78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应成立施工现场安全生产领导机构，定期召开安全工作会议，建立、健全安全生产责任制和群防群治制度，制定各项安全生产规章和安全生产目标责任，形成一体化的安全生产监督管理体系，并按照职责分工抓好落实。</w:t>
      </w:r>
    </w:p>
    <w:p w14:paraId="48ACE594">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3.乙方必须虚心接受甲方的各项安全隐患排查、安全管理标准及整改规定，建立自身的定期和不定期的安全生产自查排查机制，并且严格贯彻实施，否则造成的罚款等损失均由乙方承担。</w:t>
      </w:r>
    </w:p>
    <w:p w14:paraId="56693F4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4.乙方必须采取一切严密的、符合安全标准的预防措施，确保所有施工场所的安全，不得存在危及本公司及其他施工方人员的</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"http://zhidao.baidu.com/search?word=%E4%BA%BA%E8%BA%AB%E5%AE%89%E5%85%A8&amp;fr=qb_search_exp&amp;ie=utf8" \t "_blank"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人身安全</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 xml:space="preserve">和健康，并保证施工现场所有人员或附近人员免遭施工现场可能发生的一切危险。否则造成的一切后果由乙方负责。 </w:t>
      </w:r>
    </w:p>
    <w:p w14:paraId="7BBA184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施工现场和施工人员的操作场所，必须严格按国家、政府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54AB12E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6.对电气焊等特种作业人员应持证上岗，并坚持现场检查验收制度，禁止非特种作业人员从事特种作业。</w:t>
      </w:r>
    </w:p>
    <w:p w14:paraId="08E7689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有乙方自行负责。</w:t>
      </w:r>
    </w:p>
    <w:p w14:paraId="3542B95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8.乙方必须指定至少一名合格的且有经验的安全人员负责安全生产检查和防护措施落实，并配合甲方安全管理人员共同抓好安全工作。</w:t>
      </w:r>
    </w:p>
    <w:p w14:paraId="793E77F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2EC3055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10.发生事故应立即釆取措施，保护现场，抢救伤员，防止事故扩大，并及时报告甲方和上级主管部门，组织事故调查小组，查清事故原因，确定事故责任，按照“四不放过” 原则制定改进措施，提出对事故责任者的处理意见。</w:t>
      </w:r>
    </w:p>
    <w:p w14:paraId="52EF8EC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乙方因管理不善以及自身防范措施不力或施工人员责任造成的火灾、交通，人身伤亡等灾害事故，事故经济责任、事故法律责任以及事故的善后处理均由乙方独自承担。因此给甲方造成的经济损失由乙方负责赔偿。</w:t>
      </w:r>
    </w:p>
    <w:p w14:paraId="5A59AE5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12.设置必要的职工生活设施，并符合卫生、通风、照明等要求。职员的膳食、饮水符合卫生要求，由于乙方管理不到位，所造成安全事故均有乙方自行负责。</w:t>
      </w:r>
    </w:p>
    <w:p w14:paraId="4DBFF42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13.所进入施工现场的化学品、易燃易爆等危险品，必须经门卫进行登记，仓库储存须有专人负责保管。由于乙方管理不到位，所造成安全事故均有乙方自行负责。</w:t>
      </w:r>
    </w:p>
    <w:p w14:paraId="40FF36AE">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14.施工现场需动用明火时要按照规定严格执行动火审批制度，临时动火时要做到“五有” ：有动火证、有防火责任人、有安全监护人、有足够的消防器材、有可靠的安全措施。因乙方未按规定程序要求操作，所造成安全事故均有乙方自行负责。</w:t>
      </w:r>
    </w:p>
    <w:p w14:paraId="35F219F0">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15.施工现场临时用电必须由现场专业电工统一接线，其他人员不得私自搭接临时电线，否则发生一切后果由乙方负责。</w:t>
      </w:r>
    </w:p>
    <w:p w14:paraId="6D131BCF">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三、处  罚 </w:t>
      </w:r>
    </w:p>
    <w:p w14:paraId="76AC8F2A">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应认真接受甲方和监理单位对安全生产、文明施工的监督管理。凡安全隐患问题屡教不改的或整改措施不力的，每项每次对施工单位处于500-50000元以下的罚款，对施工方负责人及当事人给予经济处罚,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0D3EF9B7">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四、其  他</w:t>
      </w:r>
    </w:p>
    <w:p w14:paraId="362356C3">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1.本协议自双方签字盖章起生效。</w:t>
      </w:r>
    </w:p>
    <w:p w14:paraId="7941D685">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2.本协议一式</w:t>
      </w:r>
      <w:r>
        <w:rPr>
          <w:rFonts w:hint="eastAsia" w:ascii="宋体" w:hAnsi="宋体" w:eastAsia="宋体" w:cs="宋体"/>
          <w:b/>
          <w:bCs/>
          <w:color w:val="auto"/>
          <w:sz w:val="28"/>
          <w:szCs w:val="28"/>
          <w:highlight w:val="none"/>
        </w:rPr>
        <w:t>叁</w:t>
      </w:r>
      <w:r>
        <w:rPr>
          <w:rFonts w:hint="eastAsia" w:ascii="宋体" w:hAnsi="宋体" w:eastAsia="宋体" w:cs="宋体"/>
          <w:color w:val="auto"/>
          <w:sz w:val="28"/>
          <w:szCs w:val="28"/>
          <w:highlight w:val="none"/>
        </w:rPr>
        <w:t>份，甲方执</w:t>
      </w:r>
      <w:r>
        <w:rPr>
          <w:rFonts w:hint="eastAsia" w:ascii="宋体" w:hAnsi="宋体" w:eastAsia="宋体" w:cs="宋体"/>
          <w:b/>
          <w:bCs/>
          <w:color w:val="auto"/>
          <w:sz w:val="28"/>
          <w:szCs w:val="28"/>
          <w:highlight w:val="none"/>
          <w:u w:val="single"/>
        </w:rPr>
        <w:t xml:space="preserve"> 贰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z w:val="28"/>
          <w:szCs w:val="28"/>
          <w:highlight w:val="none"/>
          <w:u w:val="single"/>
        </w:rPr>
        <w:t>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份。</w:t>
      </w:r>
    </w:p>
    <w:p w14:paraId="69D53668">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3.本协议有效期自双方签字之日起至施工结束退场完毕时终止。</w:t>
      </w:r>
    </w:p>
    <w:p w14:paraId="1CAE08E4">
      <w:pPr>
        <w:adjustRightInd w:val="0"/>
        <w:snapToGrid w:val="0"/>
        <w:spacing w:line="460" w:lineRule="exact"/>
        <w:rPr>
          <w:rFonts w:hint="eastAsia" w:ascii="宋体" w:hAnsi="宋体" w:eastAsia="宋体" w:cs="宋体"/>
          <w:color w:val="auto"/>
          <w:sz w:val="28"/>
          <w:szCs w:val="28"/>
          <w:highlight w:val="none"/>
        </w:rPr>
      </w:pPr>
    </w:p>
    <w:p w14:paraId="5E5AC10F">
      <w:pPr>
        <w:adjustRightInd w:val="0"/>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甲方（盖章）：                        乙方（盖章）：</w:t>
      </w:r>
    </w:p>
    <w:p w14:paraId="475D0D18">
      <w:pPr>
        <w:adjustRightInd w:val="0"/>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江苏商贸职业学院                        </w:t>
      </w:r>
    </w:p>
    <w:p w14:paraId="43AF5612">
      <w:pPr>
        <w:adjustRightInd w:val="0"/>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签约日期：   年  月  日              签约日期：    年   月  日                    </w:t>
      </w:r>
    </w:p>
    <w:p w14:paraId="536288C8">
      <w:pPr>
        <w:adjustRightInd w:val="0"/>
        <w:snapToGrid w:val="0"/>
        <w:spacing w:line="460" w:lineRule="exact"/>
        <w:rPr>
          <w:rFonts w:hint="eastAsia" w:ascii="宋体" w:hAnsi="宋体" w:eastAsia="宋体" w:cs="宋体"/>
          <w:color w:val="auto"/>
          <w:sz w:val="28"/>
          <w:szCs w:val="28"/>
          <w:highlight w:val="none"/>
        </w:rPr>
      </w:pPr>
    </w:p>
    <w:p w14:paraId="4A7511C2">
      <w:pPr>
        <w:adjustRightInd w:val="0"/>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法定代表人（授权代表）              法定代表人（授权代表）  </w:t>
      </w:r>
    </w:p>
    <w:p w14:paraId="2AB48147">
      <w:pPr>
        <w:adjustRightInd w:val="0"/>
        <w:snapToGrid w:val="0"/>
        <w:spacing w:line="46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签字：</w:t>
      </w:r>
      <w:r>
        <w:rPr>
          <w:rFonts w:hint="eastAsia" w:ascii="宋体" w:hAnsi="宋体" w:eastAsia="宋体" w:cs="宋体"/>
          <w:color w:val="auto"/>
          <w:sz w:val="28"/>
          <w:szCs w:val="28"/>
          <w:highlight w:val="none"/>
          <w:u w:val="single"/>
        </w:rPr>
        <w:t xml:space="preserve">              </w:t>
      </w:r>
    </w:p>
    <w:p w14:paraId="01D7CBE1">
      <w:pPr>
        <w:adjustRightInd w:val="0"/>
        <w:snapToGrid w:val="0"/>
        <w:spacing w:line="460" w:lineRule="exact"/>
        <w:rPr>
          <w:rFonts w:hint="eastAsia" w:ascii="宋体" w:hAnsi="宋体" w:eastAsia="宋体" w:cs="宋体"/>
          <w:color w:val="auto"/>
          <w:sz w:val="28"/>
          <w:szCs w:val="28"/>
          <w:highlight w:val="none"/>
        </w:rPr>
      </w:pPr>
    </w:p>
    <w:p w14:paraId="14F5FF78">
      <w:pPr>
        <w:adjustRightInd w:val="0"/>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项目经办人（签字）：                  项目经办人（签字）：</w:t>
      </w:r>
    </w:p>
    <w:p w14:paraId="57D95540">
      <w:pPr>
        <w:pStyle w:val="11"/>
        <w:spacing w:line="460" w:lineRule="exact"/>
        <w:rPr>
          <w:rFonts w:hint="eastAsia" w:ascii="宋体" w:hAnsi="宋体" w:eastAsia="宋体" w:cs="宋体"/>
          <w:bCs/>
          <w:color w:val="auto"/>
          <w:sz w:val="36"/>
          <w:szCs w:val="36"/>
          <w:highlight w:val="none"/>
        </w:rPr>
      </w:pPr>
      <w:r>
        <w:rPr>
          <w:rFonts w:hint="eastAsia" w:ascii="宋体" w:hAnsi="宋体" w:eastAsia="宋体" w:cs="宋体"/>
          <w:color w:val="auto"/>
          <w:szCs w:val="28"/>
          <w:highlight w:val="none"/>
        </w:rPr>
        <w:t>项目经办人联系电话：                  项目经办人联系电话：</w:t>
      </w:r>
    </w:p>
    <w:p w14:paraId="265B75B2">
      <w:pPr>
        <w:spacing w:line="460" w:lineRule="exact"/>
        <w:jc w:val="center"/>
        <w:rPr>
          <w:rFonts w:hint="eastAsia" w:ascii="宋体" w:hAnsi="宋体" w:eastAsia="宋体" w:cs="宋体"/>
          <w:bCs/>
          <w:color w:val="auto"/>
          <w:sz w:val="36"/>
          <w:szCs w:val="36"/>
          <w:highlight w:val="none"/>
        </w:rPr>
      </w:pPr>
    </w:p>
    <w:p w14:paraId="27861AD0">
      <w:pPr>
        <w:pStyle w:val="94"/>
        <w:rPr>
          <w:rFonts w:hint="eastAsia" w:ascii="宋体" w:hAnsi="宋体" w:eastAsia="宋体" w:cs="宋体"/>
          <w:bCs/>
          <w:color w:val="auto"/>
          <w:sz w:val="36"/>
          <w:szCs w:val="36"/>
          <w:highlight w:val="none"/>
        </w:rPr>
      </w:pPr>
    </w:p>
    <w:p w14:paraId="318A9E5E">
      <w:pPr>
        <w:pStyle w:val="94"/>
        <w:rPr>
          <w:rFonts w:hint="eastAsia" w:ascii="宋体" w:hAnsi="宋体" w:eastAsia="宋体" w:cs="宋体"/>
          <w:bCs/>
          <w:color w:val="auto"/>
          <w:sz w:val="36"/>
          <w:szCs w:val="36"/>
          <w:highlight w:val="none"/>
        </w:rPr>
      </w:pPr>
    </w:p>
    <w:p w14:paraId="5D5BA5B1">
      <w:pPr>
        <w:pStyle w:val="94"/>
        <w:rPr>
          <w:rFonts w:hint="eastAsia" w:ascii="宋体" w:hAnsi="宋体" w:eastAsia="宋体" w:cs="宋体"/>
          <w:bCs/>
          <w:color w:val="auto"/>
          <w:sz w:val="36"/>
          <w:szCs w:val="36"/>
          <w:highlight w:val="none"/>
        </w:rPr>
      </w:pPr>
    </w:p>
    <w:p w14:paraId="3816284B">
      <w:pPr>
        <w:pStyle w:val="94"/>
        <w:rPr>
          <w:rFonts w:hint="eastAsia" w:ascii="宋体" w:hAnsi="宋体" w:eastAsia="宋体" w:cs="宋体"/>
          <w:bCs/>
          <w:color w:val="auto"/>
          <w:sz w:val="36"/>
          <w:szCs w:val="36"/>
          <w:highlight w:val="none"/>
        </w:rPr>
      </w:pPr>
    </w:p>
    <w:p w14:paraId="0559A01B">
      <w:pPr>
        <w:pStyle w:val="94"/>
        <w:rPr>
          <w:rFonts w:hint="eastAsia" w:ascii="宋体" w:hAnsi="宋体" w:eastAsia="宋体" w:cs="宋体"/>
          <w:bCs/>
          <w:color w:val="auto"/>
          <w:sz w:val="36"/>
          <w:szCs w:val="36"/>
          <w:highlight w:val="none"/>
        </w:rPr>
      </w:pPr>
    </w:p>
    <w:p w14:paraId="125FAD1B">
      <w:pPr>
        <w:pStyle w:val="94"/>
        <w:rPr>
          <w:rFonts w:hint="eastAsia" w:ascii="宋体" w:hAnsi="宋体" w:eastAsia="宋体" w:cs="宋体"/>
          <w:bCs/>
          <w:color w:val="auto"/>
          <w:sz w:val="36"/>
          <w:szCs w:val="36"/>
          <w:highlight w:val="none"/>
        </w:rPr>
      </w:pPr>
    </w:p>
    <w:p w14:paraId="12CE9E06">
      <w:pPr>
        <w:pStyle w:val="94"/>
        <w:rPr>
          <w:rFonts w:hint="eastAsia" w:ascii="宋体" w:hAnsi="宋体" w:eastAsia="宋体" w:cs="宋体"/>
          <w:bCs/>
          <w:color w:val="auto"/>
          <w:sz w:val="36"/>
          <w:szCs w:val="36"/>
          <w:highlight w:val="none"/>
        </w:rPr>
      </w:pPr>
    </w:p>
    <w:p w14:paraId="061E997C">
      <w:pPr>
        <w:pStyle w:val="94"/>
        <w:rPr>
          <w:rFonts w:hint="eastAsia" w:ascii="宋体" w:hAnsi="宋体" w:eastAsia="宋体" w:cs="宋体"/>
          <w:bCs/>
          <w:color w:val="auto"/>
          <w:sz w:val="36"/>
          <w:szCs w:val="36"/>
          <w:highlight w:val="none"/>
        </w:rPr>
      </w:pPr>
    </w:p>
    <w:p w14:paraId="7144F0C8">
      <w:pPr>
        <w:pStyle w:val="94"/>
        <w:rPr>
          <w:rFonts w:hint="eastAsia" w:ascii="宋体" w:hAnsi="宋体" w:eastAsia="宋体" w:cs="宋体"/>
          <w:bCs/>
          <w:color w:val="auto"/>
          <w:sz w:val="36"/>
          <w:szCs w:val="36"/>
          <w:highlight w:val="none"/>
        </w:rPr>
      </w:pPr>
    </w:p>
    <w:p w14:paraId="77ECA9CB">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36"/>
          <w:szCs w:val="36"/>
          <w:highlight w:val="none"/>
        </w:rPr>
        <w:t>第四部分 评审方法和评审标准</w:t>
      </w:r>
    </w:p>
    <w:p w14:paraId="0C016570">
      <w:pPr>
        <w:adjustRightInd w:val="0"/>
        <w:snapToGrid w:val="0"/>
        <w:spacing w:line="460" w:lineRule="exact"/>
        <w:ind w:firstLine="562" w:firstLineChars="200"/>
        <w:jc w:val="left"/>
        <w:textAlignment w:val="baseline"/>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Cs/>
          <w:color w:val="auto"/>
          <w:sz w:val="28"/>
          <w:szCs w:val="28"/>
          <w:highlight w:val="none"/>
        </w:rPr>
        <w:t>磋商方式</w:t>
      </w:r>
    </w:p>
    <w:p w14:paraId="2B6ECE4F">
      <w:pPr>
        <w:tabs>
          <w:tab w:val="left" w:pos="3585"/>
        </w:tabs>
        <w:adjustRightInd w:val="0"/>
        <w:snapToGrid w:val="0"/>
        <w:spacing w:line="460" w:lineRule="exact"/>
        <w:ind w:firstLine="537" w:firstLineChars="19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见面磋商模式：供应商在采购文件规定的时间和地点参加磋商活动。</w:t>
      </w:r>
    </w:p>
    <w:p w14:paraId="498E2259">
      <w:pPr>
        <w:adjustRightInd w:val="0"/>
        <w:snapToGrid w:val="0"/>
        <w:spacing w:line="460" w:lineRule="exact"/>
        <w:ind w:firstLine="562" w:firstLineChars="200"/>
        <w:jc w:val="left"/>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color w:val="auto"/>
          <w:sz w:val="28"/>
          <w:szCs w:val="28"/>
          <w:highlight w:val="none"/>
        </w:rPr>
        <w:t>磋商程序及评审方法和标准</w:t>
      </w:r>
    </w:p>
    <w:p w14:paraId="3E8B0BBB">
      <w:pPr>
        <w:adjustRightInd w:val="0"/>
        <w:snapToGrid w:val="0"/>
        <w:spacing w:line="460" w:lineRule="exact"/>
        <w:ind w:firstLine="691" w:firstLineChars="247"/>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1.评审方法：综合评分法，经磋商确定最终采购需求和提交最后报价的供应商后，由磋商小组采用综合评分法对提交最后报价的供应商的响应文件和最后报价进行综合评分。</w:t>
      </w:r>
    </w:p>
    <w:p w14:paraId="0B9E34D9">
      <w:pPr>
        <w:adjustRightInd w:val="0"/>
        <w:snapToGrid w:val="0"/>
        <w:spacing w:line="460" w:lineRule="exact"/>
        <w:ind w:firstLine="700" w:firstLineChars="2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44068C8">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2C1E97F">
      <w:pPr>
        <w:adjustRightInd w:val="0"/>
        <w:snapToGrid w:val="0"/>
        <w:spacing w:line="460" w:lineRule="exact"/>
        <w:ind w:firstLine="55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供应商商务、技术部分和价格部分的合计分值，为该供应商的评审总得分。</w:t>
      </w:r>
    </w:p>
    <w:p w14:paraId="625C8327">
      <w:pPr>
        <w:adjustRightInd w:val="0"/>
        <w:snapToGrid w:val="0"/>
        <w:spacing w:line="460" w:lineRule="exact"/>
        <w:ind w:firstLine="55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C64E924">
      <w:pPr>
        <w:adjustRightInd w:val="0"/>
        <w:snapToGrid w:val="0"/>
        <w:spacing w:line="460" w:lineRule="exact"/>
        <w:ind w:firstLine="55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评委在认真审阅响应文件的基础上，根据各响应文件的响应程度独立评判，不得统一打分。</w:t>
      </w:r>
    </w:p>
    <w:p w14:paraId="1EB01176">
      <w:pPr>
        <w:adjustRightInd w:val="0"/>
        <w:snapToGrid w:val="0"/>
        <w:spacing w:line="460" w:lineRule="exact"/>
        <w:ind w:firstLine="55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技术商务部分评审结束后，再开启最后报价计算分值。总分值为100分，加分和减分因素除外。</w:t>
      </w:r>
    </w:p>
    <w:p w14:paraId="7D00124D">
      <w:pPr>
        <w:adjustRightInd w:val="0"/>
        <w:snapToGrid w:val="0"/>
        <w:spacing w:line="460" w:lineRule="exact"/>
        <w:ind w:firstLine="579" w:firstLineChars="206"/>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（一）采购人（代表）对供应商资格进行审查。</w:t>
      </w:r>
    </w:p>
    <w:p w14:paraId="57B87CD8">
      <w:pPr>
        <w:adjustRightInd w:val="0"/>
        <w:snapToGrid w:val="0"/>
        <w:spacing w:line="460" w:lineRule="exact"/>
        <w:ind w:firstLine="576" w:firstLineChars="206"/>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供应商资格不合格的，其响应文件判定为无效响应文件。</w:t>
      </w:r>
    </w:p>
    <w:p w14:paraId="20780BEE">
      <w:pPr>
        <w:adjustRightInd w:val="0"/>
        <w:snapToGrid w:val="0"/>
        <w:spacing w:line="460" w:lineRule="exact"/>
        <w:ind w:firstLine="579" w:firstLineChars="206"/>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（二）磋商小组对符合资格供应商的响应文件进行符合性审查。</w:t>
      </w:r>
    </w:p>
    <w:p w14:paraId="3DA4E77B">
      <w:pPr>
        <w:adjustRightInd w:val="0"/>
        <w:snapToGrid w:val="0"/>
        <w:spacing w:line="460" w:lineRule="exact"/>
        <w:ind w:firstLine="576" w:firstLineChars="206"/>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未通过符合性审查的响应文件，将被判为不满足磋商文件实质性要求。 </w:t>
      </w:r>
    </w:p>
    <w:p w14:paraId="331960B1">
      <w:pPr>
        <w:adjustRightInd w:val="0"/>
        <w:snapToGrid w:val="0"/>
        <w:spacing w:line="460" w:lineRule="exact"/>
        <w:ind w:firstLine="560" w:firstLineChars="200"/>
        <w:jc w:val="left"/>
        <w:outlineLvl w:val="2"/>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（三）商务技术分：</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lang w:val="zh-CN"/>
        </w:rPr>
        <w:t>分</w:t>
      </w:r>
    </w:p>
    <w:p w14:paraId="11261083">
      <w:pPr>
        <w:adjustRightInd w:val="0"/>
        <w:snapToGrid w:val="0"/>
        <w:spacing w:line="460" w:lineRule="exact"/>
        <w:ind w:firstLine="700" w:firstLineChars="2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各供应商得分为磋商小组成员评分的算术平均分，分值保留小数点后两位。</w:t>
      </w:r>
    </w:p>
    <w:tbl>
      <w:tblPr>
        <w:tblStyle w:val="29"/>
        <w:tblW w:w="48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5"/>
        <w:gridCol w:w="1344"/>
        <w:gridCol w:w="3739"/>
        <w:gridCol w:w="747"/>
        <w:gridCol w:w="767"/>
        <w:gridCol w:w="972"/>
      </w:tblGrid>
      <w:tr w14:paraId="2EA2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81" w:type="pct"/>
            <w:vAlign w:val="center"/>
          </w:tcPr>
          <w:p w14:paraId="68FCA5EB">
            <w:pPr>
              <w:widowControl/>
              <w:spacing w:line="46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820" w:type="pct"/>
            <w:vAlign w:val="center"/>
          </w:tcPr>
          <w:p w14:paraId="1AF7EEF7">
            <w:pPr>
              <w:widowControl/>
              <w:spacing w:line="46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评分因素</w:t>
            </w:r>
          </w:p>
        </w:tc>
        <w:tc>
          <w:tcPr>
            <w:tcW w:w="2281" w:type="pct"/>
            <w:vAlign w:val="center"/>
          </w:tcPr>
          <w:p w14:paraId="0DABF456">
            <w:pPr>
              <w:widowControl/>
              <w:spacing w:line="46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评审标准说明</w:t>
            </w:r>
          </w:p>
        </w:tc>
        <w:tc>
          <w:tcPr>
            <w:tcW w:w="455" w:type="pct"/>
            <w:vAlign w:val="center"/>
          </w:tcPr>
          <w:p w14:paraId="34AA7539">
            <w:pPr>
              <w:widowControl/>
              <w:spacing w:line="46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最高分</w:t>
            </w:r>
          </w:p>
        </w:tc>
        <w:tc>
          <w:tcPr>
            <w:tcW w:w="467" w:type="pct"/>
            <w:vAlign w:val="center"/>
          </w:tcPr>
          <w:p w14:paraId="67FEFEB1">
            <w:pPr>
              <w:widowControl/>
              <w:spacing w:line="46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最低分</w:t>
            </w:r>
          </w:p>
        </w:tc>
        <w:tc>
          <w:tcPr>
            <w:tcW w:w="593" w:type="pct"/>
            <w:vAlign w:val="center"/>
          </w:tcPr>
          <w:p w14:paraId="41E1917A">
            <w:pPr>
              <w:widowControl/>
              <w:spacing w:line="46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主/客观分</w:t>
            </w:r>
          </w:p>
        </w:tc>
      </w:tr>
      <w:tr w14:paraId="54FE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381" w:type="pct"/>
            <w:vAlign w:val="center"/>
          </w:tcPr>
          <w:p w14:paraId="6FA64B7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20" w:type="pct"/>
            <w:vAlign w:val="center"/>
          </w:tcPr>
          <w:p w14:paraId="59AB1463">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企业认证</w:t>
            </w:r>
          </w:p>
        </w:tc>
        <w:tc>
          <w:tcPr>
            <w:tcW w:w="2281" w:type="pct"/>
            <w:vAlign w:val="center"/>
          </w:tcPr>
          <w:p w14:paraId="32DD6567">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投标企业通过ISO9000系列国际质量管理体系认证得2分，企业通过ISO14000系列国际环保管理体系认证得2分，企业通过ISO45000系列国际职业健康安全管理体系认证得2分</w:t>
            </w:r>
          </w:p>
        </w:tc>
        <w:tc>
          <w:tcPr>
            <w:tcW w:w="455" w:type="pct"/>
            <w:vAlign w:val="center"/>
          </w:tcPr>
          <w:p w14:paraId="7287F84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467" w:type="pct"/>
            <w:vAlign w:val="center"/>
          </w:tcPr>
          <w:p w14:paraId="654DCB0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p>
        </w:tc>
        <w:tc>
          <w:tcPr>
            <w:tcW w:w="593" w:type="pct"/>
            <w:vAlign w:val="center"/>
          </w:tcPr>
          <w:p w14:paraId="74720389">
            <w:pP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570E8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381" w:type="pct"/>
            <w:vAlign w:val="center"/>
          </w:tcPr>
          <w:p w14:paraId="2AD70D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20" w:type="pct"/>
            <w:vAlign w:val="center"/>
          </w:tcPr>
          <w:p w14:paraId="7396F8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类似业绩</w:t>
            </w:r>
          </w:p>
        </w:tc>
        <w:tc>
          <w:tcPr>
            <w:tcW w:w="2281" w:type="pct"/>
            <w:vAlign w:val="center"/>
          </w:tcPr>
          <w:p w14:paraId="442A1143">
            <w:pPr>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1.磋商响应供应商提供承接类似建筑</w:t>
            </w:r>
            <w:r>
              <w:rPr>
                <w:rFonts w:hint="eastAsia" w:ascii="宋体" w:hAnsi="宋体" w:cs="宋体"/>
                <w:color w:val="auto"/>
                <w:sz w:val="24"/>
                <w:highlight w:val="none"/>
                <w:lang w:eastAsia="zh-CN"/>
              </w:rPr>
              <w:t>装修</w:t>
            </w:r>
            <w:r>
              <w:rPr>
                <w:rFonts w:hint="eastAsia" w:ascii="宋体" w:hAnsi="宋体" w:eastAsia="宋体" w:cs="宋体"/>
                <w:color w:val="auto"/>
                <w:sz w:val="24"/>
                <w:highlight w:val="none"/>
              </w:rPr>
              <w:t>工程施工业绩，有1个得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分，最多得</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分（每个业绩需同时提供1.合同复印件；2.竣工验收证明）。提供复印件加盖磋商响应供应商印章。</w:t>
            </w:r>
          </w:p>
        </w:tc>
        <w:tc>
          <w:tcPr>
            <w:tcW w:w="455" w:type="pct"/>
            <w:vAlign w:val="center"/>
          </w:tcPr>
          <w:p w14:paraId="213A249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467" w:type="pct"/>
            <w:vAlign w:val="center"/>
          </w:tcPr>
          <w:p w14:paraId="3E906EB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p>
        </w:tc>
        <w:tc>
          <w:tcPr>
            <w:tcW w:w="593" w:type="pct"/>
            <w:vAlign w:val="center"/>
          </w:tcPr>
          <w:p w14:paraId="5C144A66">
            <w:pP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3A8D0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381" w:type="pct"/>
            <w:vAlign w:val="center"/>
          </w:tcPr>
          <w:p w14:paraId="59F76DF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20" w:type="pct"/>
            <w:vAlign w:val="center"/>
          </w:tcPr>
          <w:p w14:paraId="317AABFE">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项目技术负责人</w:t>
            </w:r>
          </w:p>
        </w:tc>
        <w:tc>
          <w:tcPr>
            <w:tcW w:w="2281" w:type="pct"/>
            <w:vAlign w:val="center"/>
          </w:tcPr>
          <w:p w14:paraId="5616D47F">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项目负责人（</w:t>
            </w:r>
            <w:r>
              <w:rPr>
                <w:rFonts w:hint="eastAsia" w:ascii="宋体" w:hAnsi="宋体" w:cs="宋体"/>
                <w:color w:val="auto"/>
                <w:sz w:val="24"/>
                <w:highlight w:val="none"/>
                <w:lang w:val="en-US" w:eastAsia="zh-CN"/>
              </w:rPr>
              <w:t>2分</w:t>
            </w:r>
            <w:r>
              <w:rPr>
                <w:rFonts w:hint="eastAsia" w:ascii="宋体" w:hAnsi="宋体" w:cs="宋体"/>
                <w:color w:val="auto"/>
                <w:sz w:val="24"/>
                <w:highlight w:val="none"/>
                <w:lang w:eastAsia="zh-CN"/>
              </w:rPr>
              <w:t>）</w:t>
            </w:r>
          </w:p>
          <w:p w14:paraId="68D5D9CA">
            <w:pP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项目负责人</w:t>
            </w:r>
            <w:r>
              <w:rPr>
                <w:rFonts w:hint="eastAsia" w:ascii="宋体" w:hAnsi="宋体" w:eastAsia="宋体" w:cs="宋体"/>
                <w:color w:val="auto"/>
                <w:sz w:val="24"/>
                <w:highlight w:val="none"/>
              </w:rPr>
              <w:t>具有工程类中级职称得1分，具有高级及以上职称得2分</w:t>
            </w:r>
            <w:r>
              <w:rPr>
                <w:rFonts w:hint="eastAsia" w:ascii="宋体" w:hAnsi="宋体" w:cs="宋体"/>
                <w:color w:val="auto"/>
                <w:sz w:val="24"/>
                <w:highlight w:val="none"/>
                <w:lang w:eastAsia="zh-CN"/>
              </w:rPr>
              <w:t>，本项最高得</w:t>
            </w:r>
            <w:r>
              <w:rPr>
                <w:rFonts w:hint="eastAsia" w:ascii="宋体" w:hAnsi="宋体" w:cs="宋体"/>
                <w:color w:val="auto"/>
                <w:sz w:val="24"/>
                <w:highlight w:val="none"/>
                <w:lang w:val="en-US" w:eastAsia="zh-CN"/>
              </w:rPr>
              <w:t>2分，提供职称证复印件加盖公章。</w:t>
            </w:r>
          </w:p>
          <w:p w14:paraId="38606A96">
            <w:pP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项目技术负责人（</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p w14:paraId="65E5CE29">
            <w:pPr>
              <w:rPr>
                <w:rFonts w:hint="eastAsia" w:ascii="宋体" w:hAnsi="宋体" w:eastAsia="宋体" w:cs="宋体"/>
                <w:color w:val="auto"/>
                <w:sz w:val="24"/>
                <w:highlight w:val="none"/>
              </w:rPr>
            </w:pPr>
            <w:r>
              <w:rPr>
                <w:rFonts w:hint="eastAsia" w:ascii="宋体" w:hAnsi="宋体" w:cs="宋体"/>
                <w:color w:val="auto"/>
                <w:sz w:val="24"/>
                <w:highlight w:val="none"/>
                <w:lang w:eastAsia="zh-CN"/>
              </w:rPr>
              <w:t>①</w:t>
            </w:r>
            <w:r>
              <w:rPr>
                <w:rFonts w:hint="eastAsia" w:ascii="宋体" w:hAnsi="宋体" w:eastAsia="宋体" w:cs="宋体"/>
                <w:color w:val="auto"/>
                <w:sz w:val="24"/>
                <w:highlight w:val="none"/>
              </w:rPr>
              <w:t>项目技术负责人具有建筑工程专业一级注册建造师的得2分；具有工程类中级职称得1分，具有高级及以上职称得2分；本项最多得4分；提供证书复印件加盖公章。</w:t>
            </w:r>
          </w:p>
          <w:p w14:paraId="30150A37">
            <w:pPr>
              <w:rPr>
                <w:rFonts w:hint="eastAsia" w:ascii="宋体" w:hAnsi="宋体" w:eastAsia="宋体" w:cs="宋体"/>
                <w:color w:val="auto"/>
                <w:sz w:val="24"/>
                <w:highlight w:val="none"/>
              </w:rPr>
            </w:pPr>
            <w:r>
              <w:rPr>
                <w:rFonts w:hint="eastAsia" w:ascii="宋体" w:hAnsi="宋体" w:cs="宋体"/>
                <w:color w:val="auto"/>
                <w:sz w:val="24"/>
                <w:highlight w:val="none"/>
                <w:lang w:eastAsia="zh-CN"/>
              </w:rPr>
              <w:t>②</w:t>
            </w:r>
            <w:r>
              <w:rPr>
                <w:rFonts w:hint="eastAsia" w:ascii="宋体" w:hAnsi="宋体" w:eastAsia="宋体" w:cs="宋体"/>
                <w:color w:val="auto"/>
                <w:sz w:val="24"/>
                <w:highlight w:val="none"/>
              </w:rPr>
              <w:t>提供项目技术负责人现场跟班承诺函，承诺全程现场跟班的得2分；提供承诺函加盖公章。</w:t>
            </w:r>
          </w:p>
          <w:p w14:paraId="76F83FF1">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同时</w:t>
            </w:r>
            <w:r>
              <w:rPr>
                <w:rFonts w:hint="eastAsia" w:ascii="宋体" w:hAnsi="宋体" w:eastAsia="宋体" w:cs="宋体"/>
                <w:color w:val="auto"/>
                <w:sz w:val="24"/>
                <w:highlight w:val="none"/>
              </w:rPr>
              <w:t>提供社保机构出具的供应商为其缴纳的2025年1月份以来任一月份的社保证明，不提供的</w:t>
            </w:r>
            <w:r>
              <w:rPr>
                <w:rFonts w:hint="eastAsia" w:ascii="宋体" w:hAnsi="宋体" w:cs="宋体"/>
                <w:color w:val="auto"/>
                <w:sz w:val="24"/>
                <w:highlight w:val="none"/>
                <w:lang w:eastAsia="zh-CN"/>
              </w:rPr>
              <w:t>本大</w:t>
            </w:r>
            <w:r>
              <w:rPr>
                <w:rFonts w:hint="eastAsia" w:ascii="宋体" w:hAnsi="宋体" w:eastAsia="宋体" w:cs="宋体"/>
                <w:color w:val="auto"/>
                <w:sz w:val="24"/>
                <w:highlight w:val="none"/>
              </w:rPr>
              <w:t>项不得分。</w:t>
            </w:r>
          </w:p>
        </w:tc>
        <w:tc>
          <w:tcPr>
            <w:tcW w:w="455" w:type="pct"/>
            <w:vAlign w:val="center"/>
          </w:tcPr>
          <w:p w14:paraId="05CFFCA6">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467" w:type="pct"/>
            <w:vAlign w:val="center"/>
          </w:tcPr>
          <w:p w14:paraId="4D19D38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p>
        </w:tc>
        <w:tc>
          <w:tcPr>
            <w:tcW w:w="593" w:type="pct"/>
            <w:vAlign w:val="center"/>
          </w:tcPr>
          <w:p w14:paraId="5E871C87">
            <w:pP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30CF7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1" w:type="pct"/>
            <w:vAlign w:val="center"/>
          </w:tcPr>
          <w:p w14:paraId="0E94C2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20" w:type="pct"/>
            <w:vAlign w:val="center"/>
          </w:tcPr>
          <w:p w14:paraId="7C090CD1">
            <w:pP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施工方案</w:t>
            </w:r>
          </w:p>
        </w:tc>
        <w:tc>
          <w:tcPr>
            <w:tcW w:w="2281" w:type="pct"/>
            <w:vAlign w:val="center"/>
          </w:tcPr>
          <w:p w14:paraId="03814474">
            <w:pP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本项目各单项（或分部分项）工程实际情况，提供实用于本工程的施工方法、施工机械设备、劳动力计划，确保工程质量、工期、安全和文明施工技术、组织措施，并含有施工总进度计划，施工平面布置，应急处理措施，对施工现场周围环境污染的保护措施等内容。</w:t>
            </w:r>
          </w:p>
          <w:p w14:paraId="2F3E3E68">
            <w:pPr>
              <w:rPr>
                <w:rFonts w:hint="eastAsia" w:ascii="宋体" w:hAnsi="宋体" w:eastAsia="宋体" w:cs="宋体"/>
                <w:color w:val="auto"/>
                <w:sz w:val="24"/>
                <w:highlight w:val="none"/>
              </w:rPr>
            </w:pPr>
            <w:r>
              <w:rPr>
                <w:rFonts w:hint="eastAsia" w:ascii="宋体" w:hAnsi="宋体" w:eastAsia="宋体" w:cs="宋体"/>
                <w:color w:val="auto"/>
                <w:sz w:val="24"/>
                <w:highlight w:val="none"/>
              </w:rPr>
              <w:t>1.所采用的施工方案、程序和措施，内容齐全并适用于本项目、既保证工程质量和安全，又能减少干扰加快施工进度的，为优秀得8分；</w:t>
            </w:r>
          </w:p>
          <w:p w14:paraId="01ECF76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2.上述内容较齐全并基本适用于本项目、工期保证的，为良好得5分； </w:t>
            </w:r>
          </w:p>
          <w:p w14:paraId="43609591">
            <w:pPr>
              <w:rPr>
                <w:rFonts w:hint="eastAsia" w:ascii="宋体" w:hAnsi="宋体" w:eastAsia="宋体" w:cs="宋体"/>
                <w:color w:val="auto"/>
                <w:sz w:val="24"/>
                <w:highlight w:val="none"/>
              </w:rPr>
            </w:pPr>
            <w:r>
              <w:rPr>
                <w:rFonts w:hint="eastAsia" w:ascii="宋体" w:hAnsi="宋体" w:eastAsia="宋体" w:cs="宋体"/>
                <w:color w:val="auto"/>
                <w:sz w:val="24"/>
                <w:highlight w:val="none"/>
              </w:rPr>
              <w:t>3. 上述内容较齐全但有不适用于本项目之处或超工期的为一般得3分；</w:t>
            </w:r>
          </w:p>
          <w:p w14:paraId="1450AE19">
            <w:pPr>
              <w:rPr>
                <w:rFonts w:hint="eastAsia" w:ascii="宋体" w:hAnsi="宋体" w:eastAsia="宋体" w:cs="宋体"/>
                <w:color w:val="auto"/>
                <w:sz w:val="24"/>
                <w:highlight w:val="none"/>
              </w:rPr>
            </w:pPr>
            <w:r>
              <w:rPr>
                <w:rFonts w:hint="eastAsia" w:ascii="宋体" w:hAnsi="宋体" w:eastAsia="宋体" w:cs="宋体"/>
                <w:color w:val="auto"/>
                <w:sz w:val="24"/>
                <w:highlight w:val="none"/>
              </w:rPr>
              <w:t>4.内容不齐全或未提供得0分。</w:t>
            </w:r>
          </w:p>
        </w:tc>
        <w:tc>
          <w:tcPr>
            <w:tcW w:w="455" w:type="pct"/>
            <w:vAlign w:val="center"/>
          </w:tcPr>
          <w:p w14:paraId="7633BBD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467" w:type="pct"/>
            <w:vAlign w:val="center"/>
          </w:tcPr>
          <w:p w14:paraId="39B91D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p>
        </w:tc>
        <w:tc>
          <w:tcPr>
            <w:tcW w:w="593" w:type="pct"/>
            <w:vAlign w:val="center"/>
          </w:tcPr>
          <w:p w14:paraId="0DA93E80">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主观</w:t>
            </w:r>
            <w:r>
              <w:rPr>
                <w:rFonts w:hint="eastAsia" w:ascii="宋体" w:hAnsi="宋体" w:cs="宋体"/>
                <w:color w:val="auto"/>
                <w:sz w:val="24"/>
                <w:highlight w:val="none"/>
                <w:lang w:eastAsia="zh-CN"/>
              </w:rPr>
              <w:t>分</w:t>
            </w:r>
          </w:p>
        </w:tc>
      </w:tr>
      <w:tr w14:paraId="4D959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1" w:type="pct"/>
            <w:vAlign w:val="center"/>
          </w:tcPr>
          <w:p w14:paraId="57D7AA9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20" w:type="pct"/>
            <w:vAlign w:val="center"/>
          </w:tcPr>
          <w:p w14:paraId="07B9870F">
            <w:pPr>
              <w:rPr>
                <w:rFonts w:hint="eastAsia" w:ascii="宋体" w:hAnsi="宋体" w:eastAsia="宋体" w:cs="宋体"/>
                <w:color w:val="FF0000"/>
                <w:sz w:val="24"/>
                <w:highlight w:val="none"/>
                <w:lang w:eastAsia="zh-CN"/>
              </w:rPr>
            </w:pPr>
            <w:r>
              <w:rPr>
                <w:rFonts w:hint="default" w:ascii="Times New Roman" w:hAnsi="Times New Roman" w:cs="Times New Roman"/>
                <w:color w:val="FF0000"/>
                <w:sz w:val="24"/>
                <w:highlight w:val="none"/>
              </w:rPr>
              <w:t>主要材料品质</w:t>
            </w:r>
            <w:r>
              <w:rPr>
                <w:rFonts w:hint="eastAsia" w:ascii="Times New Roman" w:hAnsi="Times New Roman" w:cs="Times New Roman"/>
                <w:color w:val="FF0000"/>
                <w:sz w:val="24"/>
                <w:highlight w:val="none"/>
                <w:lang w:eastAsia="zh-CN"/>
              </w:rPr>
              <w:t>评价</w:t>
            </w:r>
            <w:r>
              <w:rPr>
                <w:rFonts w:hint="eastAsia" w:cs="Times New Roman"/>
                <w:color w:val="FF0000"/>
                <w:sz w:val="24"/>
                <w:highlight w:val="none"/>
                <w:lang w:eastAsia="zh-CN"/>
              </w:rPr>
              <w:t>（</w:t>
            </w:r>
            <w:r>
              <w:rPr>
                <w:rFonts w:hint="eastAsia" w:cs="Times New Roman"/>
                <w:color w:val="FF0000"/>
                <w:sz w:val="24"/>
                <w:highlight w:val="none"/>
                <w:lang w:val="en-US" w:eastAsia="zh-CN"/>
              </w:rPr>
              <w:t>现场提供样品</w:t>
            </w:r>
            <w:r>
              <w:rPr>
                <w:rFonts w:hint="eastAsia" w:cs="Times New Roman"/>
                <w:color w:val="FF0000"/>
                <w:sz w:val="24"/>
                <w:highlight w:val="none"/>
                <w:lang w:eastAsia="zh-CN"/>
              </w:rPr>
              <w:t>）</w:t>
            </w:r>
          </w:p>
        </w:tc>
        <w:tc>
          <w:tcPr>
            <w:tcW w:w="2281" w:type="pct"/>
            <w:vAlign w:val="center"/>
          </w:tcPr>
          <w:p w14:paraId="5222F799">
            <w:pPr>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供应商在开标现场提供2块地砖样品，本评分项针对地砖样品进行评分，：</w:t>
            </w:r>
          </w:p>
          <w:p w14:paraId="546620AF">
            <w:pPr>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（1）优等品以上，平整度很高，颜色高雅无色差，光泽有质感，硬度高，吸水率低，得8分；</w:t>
            </w:r>
          </w:p>
          <w:p w14:paraId="7EFB2CF7">
            <w:pPr>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（2）一等品以上，平整度较高，色泽较为纯正，色差不明显，光泽质感较好，硬度较高，吸水率较低，得6分；</w:t>
            </w:r>
          </w:p>
          <w:p w14:paraId="661DBC0A">
            <w:pPr>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（3）一等品以上，平整度可接受，色泽较为纯正，微小色差，光泽质感尚可，表面微小瑕疵，得4分；</w:t>
            </w:r>
          </w:p>
          <w:p w14:paraId="6B8C3AFF">
            <w:pPr>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（4）合格品，平整度一般，色泽一般，有色差，光泽质感一般，得2分；</w:t>
            </w:r>
          </w:p>
          <w:p w14:paraId="67CF5690">
            <w:pPr>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（5）表面、角不平整，有明显色差，有明显瑕疵，得0分。</w:t>
            </w:r>
          </w:p>
        </w:tc>
        <w:tc>
          <w:tcPr>
            <w:tcW w:w="455" w:type="pct"/>
            <w:vAlign w:val="center"/>
          </w:tcPr>
          <w:p w14:paraId="1838C93A">
            <w:pPr>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8</w:t>
            </w:r>
          </w:p>
        </w:tc>
        <w:tc>
          <w:tcPr>
            <w:tcW w:w="467" w:type="pct"/>
            <w:vAlign w:val="center"/>
          </w:tcPr>
          <w:p w14:paraId="558C73A9">
            <w:pPr>
              <w:jc w:val="center"/>
              <w:rPr>
                <w:rFonts w:hint="eastAsia" w:ascii="宋体" w:hAnsi="宋体" w:eastAsia="宋体" w:cs="宋体"/>
                <w:color w:val="FF0000"/>
                <w:sz w:val="24"/>
                <w:highlight w:val="none"/>
              </w:rPr>
            </w:pPr>
            <w:r>
              <w:rPr>
                <w:rFonts w:hint="eastAsia" w:ascii="宋体" w:hAnsi="宋体" w:eastAsia="宋体" w:cs="宋体"/>
                <w:color w:val="FF0000"/>
                <w:sz w:val="24"/>
                <w:highlight w:val="none"/>
              </w:rPr>
              <w:t>0</w:t>
            </w:r>
          </w:p>
        </w:tc>
        <w:tc>
          <w:tcPr>
            <w:tcW w:w="593" w:type="pct"/>
            <w:vAlign w:val="center"/>
          </w:tcPr>
          <w:p w14:paraId="083E0013">
            <w:pPr>
              <w:rPr>
                <w:rFonts w:hint="eastAsia" w:ascii="宋体" w:hAnsi="宋体" w:eastAsia="宋体" w:cs="宋体"/>
                <w:color w:val="FF0000"/>
                <w:sz w:val="24"/>
                <w:highlight w:val="none"/>
                <w:lang w:eastAsia="zh-CN"/>
              </w:rPr>
            </w:pPr>
            <w:r>
              <w:rPr>
                <w:rFonts w:hint="eastAsia" w:ascii="宋体" w:hAnsi="宋体" w:eastAsia="宋体" w:cs="宋体"/>
                <w:color w:val="FF0000"/>
                <w:sz w:val="24"/>
                <w:highlight w:val="none"/>
              </w:rPr>
              <w:t>主观</w:t>
            </w:r>
            <w:r>
              <w:rPr>
                <w:rFonts w:hint="eastAsia" w:ascii="宋体" w:hAnsi="宋体" w:cs="宋体"/>
                <w:color w:val="FF0000"/>
                <w:sz w:val="24"/>
                <w:highlight w:val="none"/>
                <w:lang w:eastAsia="zh-CN"/>
              </w:rPr>
              <w:t>分</w:t>
            </w:r>
          </w:p>
        </w:tc>
      </w:tr>
      <w:tr w14:paraId="5AA8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1" w:type="pct"/>
            <w:vAlign w:val="center"/>
          </w:tcPr>
          <w:p w14:paraId="23F48C38">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20" w:type="pct"/>
            <w:vAlign w:val="center"/>
          </w:tcPr>
          <w:p w14:paraId="7CF72DCD">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现场答辩</w:t>
            </w:r>
          </w:p>
        </w:tc>
        <w:tc>
          <w:tcPr>
            <w:tcW w:w="2281" w:type="pct"/>
            <w:vAlign w:val="center"/>
          </w:tcPr>
          <w:p w14:paraId="0CAA1737">
            <w:pPr>
              <w:rPr>
                <w:rFonts w:hint="default" w:ascii="宋体" w:hAnsi="宋体" w:eastAsia="宋体" w:cs="宋体"/>
                <w:color w:val="auto"/>
                <w:sz w:val="24"/>
                <w:highlight w:val="none"/>
                <w:lang w:val="en-US" w:eastAsia="zh-CN"/>
              </w:rPr>
            </w:pPr>
            <w:r>
              <w:rPr>
                <w:rFonts w:hint="eastAsia" w:ascii="宋体" w:hAnsi="宋体" w:cs="宋体"/>
                <w:color w:val="FF0000"/>
                <w:sz w:val="24"/>
                <w:highlight w:val="none"/>
                <w:lang w:eastAsia="zh-CN"/>
              </w:rPr>
              <w:t>供应商进行现场答辩，</w:t>
            </w:r>
            <w:r>
              <w:rPr>
                <w:rFonts w:hint="eastAsia" w:ascii="宋体" w:hAnsi="宋体" w:cs="宋体"/>
                <w:color w:val="auto"/>
                <w:sz w:val="24"/>
                <w:highlight w:val="none"/>
                <w:lang w:eastAsia="zh-CN"/>
              </w:rPr>
              <w:t>由评标委员会出题，围绕项目实施的重点、难点等方面内容。评委根据答辩内容的优劣进行打分，内容全面、技术性强，针对性强得</w:t>
            </w:r>
            <w:r>
              <w:rPr>
                <w:rFonts w:hint="eastAsia" w:ascii="宋体" w:hAnsi="宋体" w:cs="宋体"/>
                <w:color w:val="auto"/>
                <w:sz w:val="24"/>
                <w:highlight w:val="none"/>
                <w:lang w:val="en-US" w:eastAsia="zh-CN"/>
              </w:rPr>
              <w:t>8分；答辩内容基本能到位得6分；答辩内容有所欠缺的4分；答辩内容不全面且技术了解不全面得2分，答非所问不得分。</w:t>
            </w:r>
          </w:p>
          <w:p w14:paraId="4E769494">
            <w:pP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现场答辩人员应属于投标</w:t>
            </w:r>
            <w:r>
              <w:rPr>
                <w:rFonts w:hint="eastAsia" w:ascii="宋体" w:hAnsi="宋体" w:cs="宋体"/>
                <w:color w:val="auto"/>
                <w:sz w:val="24"/>
                <w:highlight w:val="none"/>
                <w:lang w:eastAsia="zh-CN"/>
              </w:rPr>
              <w:t>单位</w:t>
            </w:r>
            <w:r>
              <w:rPr>
                <w:rFonts w:hint="eastAsia" w:ascii="宋体" w:hAnsi="宋体" w:eastAsia="宋体" w:cs="宋体"/>
                <w:color w:val="auto"/>
                <w:sz w:val="24"/>
                <w:highlight w:val="none"/>
              </w:rPr>
              <w:t>正式员工，</w:t>
            </w:r>
            <w:r>
              <w:rPr>
                <w:rFonts w:hint="eastAsia" w:ascii="宋体" w:hAnsi="宋体" w:cs="宋体"/>
                <w:color w:val="auto"/>
                <w:sz w:val="24"/>
                <w:highlight w:val="none"/>
                <w:lang w:eastAsia="zh-CN"/>
              </w:rPr>
              <w:t>提供</w:t>
            </w:r>
            <w:r>
              <w:rPr>
                <w:rFonts w:hint="eastAsia" w:ascii="宋体" w:hAnsi="宋体" w:cs="宋体"/>
                <w:color w:val="auto"/>
                <w:sz w:val="24"/>
                <w:highlight w:val="none"/>
                <w:lang w:val="en-US" w:eastAsia="zh-CN"/>
              </w:rPr>
              <w:t>2025年任意一个月社保证明，否则本项按0分处理</w:t>
            </w:r>
            <w:r>
              <w:rPr>
                <w:rFonts w:hint="eastAsia" w:ascii="宋体" w:hAnsi="宋体" w:eastAsia="宋体" w:cs="宋体"/>
                <w:color w:val="auto"/>
                <w:sz w:val="24"/>
                <w:highlight w:val="none"/>
              </w:rPr>
              <w:t>。</w:t>
            </w:r>
          </w:p>
        </w:tc>
        <w:tc>
          <w:tcPr>
            <w:tcW w:w="455" w:type="pct"/>
            <w:vAlign w:val="center"/>
          </w:tcPr>
          <w:p w14:paraId="0017FBA0">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467" w:type="pct"/>
            <w:vAlign w:val="center"/>
          </w:tcPr>
          <w:p w14:paraId="540F3570">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w:t>
            </w:r>
          </w:p>
        </w:tc>
        <w:tc>
          <w:tcPr>
            <w:tcW w:w="593" w:type="pct"/>
            <w:vAlign w:val="center"/>
          </w:tcPr>
          <w:p w14:paraId="0A425F88">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主观分</w:t>
            </w:r>
          </w:p>
        </w:tc>
      </w:tr>
    </w:tbl>
    <w:p w14:paraId="779C31B4">
      <w:pPr>
        <w:spacing w:line="460" w:lineRule="exact"/>
        <w:ind w:firstLine="562" w:firstLineChars="200"/>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val="zh-CN"/>
        </w:rPr>
        <w:t>价格分</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lang w:val="zh-CN"/>
        </w:rPr>
        <w:t>分</w:t>
      </w:r>
    </w:p>
    <w:p w14:paraId="4F4BF57B">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价格分统一采用低价优先法计算，即满足磋商文件要求且最后报价（总价）最低的供应商的价格为磋商基准价，其价格分为满分。其他供应商的价格分统一按照下列公式计算：</w:t>
      </w:r>
    </w:p>
    <w:p w14:paraId="39B00786">
      <w:pPr>
        <w:adjustRightInd w:val="0"/>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磋商报价得分=（磋商基准价/最后磋商报价）×</w:t>
      </w:r>
      <w:r>
        <w:rPr>
          <w:rFonts w:hint="eastAsia" w:ascii="宋体" w:hAnsi="宋体" w:eastAsia="宋体" w:cs="宋体"/>
          <w:color w:val="auto"/>
          <w:sz w:val="28"/>
          <w:szCs w:val="28"/>
          <w:highlight w:val="none"/>
          <w:lang w:val="en-US" w:eastAsia="zh-CN"/>
        </w:rPr>
        <w:t>50</w:t>
      </w:r>
    </w:p>
    <w:p w14:paraId="6A5AEAFF">
      <w:pPr>
        <w:adjustRightInd w:val="0"/>
        <w:snapToGrid w:val="0"/>
        <w:spacing w:line="46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8F9833">
      <w:pPr>
        <w:adjustRightInd w:val="0"/>
        <w:snapToGrid w:val="0"/>
        <w:spacing w:line="460" w:lineRule="exact"/>
        <w:ind w:firstLine="570"/>
        <w:outlineLvl w:val="2"/>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（五）成交供应商的确定</w:t>
      </w:r>
    </w:p>
    <w:p w14:paraId="39BA10A1">
      <w:pPr>
        <w:adjustRightInd w:val="0"/>
        <w:snapToGrid w:val="0"/>
        <w:spacing w:line="46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磋商小组汇总各评委评分后，按照得分从高到低的顺序推荐三名成交候选人，并编写评审报告。</w:t>
      </w:r>
    </w:p>
    <w:p w14:paraId="25D89591">
      <w:pPr>
        <w:adjustRightInd w:val="0"/>
        <w:snapToGrid w:val="0"/>
        <w:spacing w:line="46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采购人委托磋商小组直接确定排名第一的成交候选人为成交供应商。</w:t>
      </w:r>
    </w:p>
    <w:p w14:paraId="11ACC7CD">
      <w:pPr>
        <w:adjustRightInd w:val="0"/>
        <w:snapToGrid w:val="0"/>
        <w:spacing w:line="460" w:lineRule="exact"/>
        <w:ind w:firstLine="562" w:firstLineChars="200"/>
        <w:outlineLvl w:val="2"/>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特别提醒：本项目不存在唱标环节。最终评审结果以挂网公示为准。</w:t>
      </w:r>
    </w:p>
    <w:p w14:paraId="2F4F558C">
      <w:pPr>
        <w:adjustRightInd w:val="0"/>
        <w:snapToGrid w:val="0"/>
        <w:spacing w:line="460" w:lineRule="exact"/>
        <w:ind w:firstLine="562" w:firstLineChars="200"/>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（六）公告成交结果</w:t>
      </w:r>
    </w:p>
    <w:p w14:paraId="51DCE270">
      <w:pPr>
        <w:adjustRightInd w:val="0"/>
        <w:snapToGrid w:val="0"/>
        <w:spacing w:line="46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自确定成交供应商之日起2个工作日内，在</w:t>
      </w:r>
      <w:r>
        <w:rPr>
          <w:rFonts w:hint="eastAsia" w:ascii="宋体" w:hAnsi="宋体" w:eastAsia="宋体" w:cs="宋体"/>
          <w:color w:val="auto"/>
          <w:sz w:val="28"/>
          <w:szCs w:val="28"/>
          <w:highlight w:val="none"/>
          <w:lang w:eastAsia="zh-CN"/>
        </w:rPr>
        <w:t>江苏商贸职业学院</w:t>
      </w:r>
      <w:r>
        <w:rPr>
          <w:rFonts w:hint="eastAsia" w:ascii="宋体" w:hAnsi="宋体" w:eastAsia="宋体" w:cs="宋体"/>
          <w:color w:val="auto"/>
          <w:sz w:val="28"/>
          <w:szCs w:val="28"/>
          <w:highlight w:val="none"/>
        </w:rPr>
        <w:t>网站公告成交结果，公告期限为1个工作日。</w:t>
      </w:r>
    </w:p>
    <w:p w14:paraId="7015121C">
      <w:pPr>
        <w:adjustRightInd w:val="0"/>
        <w:snapToGrid w:val="0"/>
        <w:spacing w:line="460" w:lineRule="exact"/>
        <w:ind w:firstLine="562" w:firstLineChars="200"/>
        <w:outlineLvl w:val="2"/>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bCs/>
          <w:color w:val="auto"/>
          <w:sz w:val="28"/>
          <w:szCs w:val="28"/>
          <w:highlight w:val="none"/>
        </w:rPr>
        <w:t>发放成交通知书</w:t>
      </w:r>
    </w:p>
    <w:p w14:paraId="0C23BC54">
      <w:pPr>
        <w:adjustRightInd w:val="0"/>
        <w:snapToGrid w:val="0"/>
        <w:spacing w:line="4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公告成交结果的同时，采购代理机构</w:t>
      </w:r>
      <w:r>
        <w:rPr>
          <w:rFonts w:hint="eastAsia" w:ascii="宋体" w:hAnsi="宋体" w:eastAsia="宋体" w:cs="宋体"/>
          <w:bCs/>
          <w:color w:val="auto"/>
          <w:sz w:val="28"/>
          <w:szCs w:val="28"/>
          <w:highlight w:val="none"/>
        </w:rPr>
        <w:t>向成交供应商发放成交通知书。</w:t>
      </w:r>
    </w:p>
    <w:p w14:paraId="3DF2307F">
      <w:pPr>
        <w:adjustRightInd w:val="0"/>
        <w:snapToGrid w:val="0"/>
        <w:spacing w:line="46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0D113FFA">
      <w:pPr>
        <w:snapToGrid w:val="0"/>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（八）其他</w:t>
      </w:r>
    </w:p>
    <w:p w14:paraId="662F9B25">
      <w:pPr>
        <w:adjustRightInd w:val="0"/>
        <w:snapToGrid w:val="0"/>
        <w:spacing w:line="46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当成交候选人无正当理由放弃成交，被查实存在影响成交结果的违法行为等情形，采购人有权按照相关法律法规的规定对其采取惩戒措施，包含但不限于列入采购失信人黑名单等措施。</w:t>
      </w:r>
    </w:p>
    <w:p w14:paraId="7F0765CE">
      <w:pPr>
        <w:adjustRightInd w:val="0"/>
        <w:snapToGrid w:val="0"/>
        <w:spacing w:line="460" w:lineRule="exact"/>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当成交候选人放弃成交、因不可抗力不能履行合同，或者被查实存在影响成交结果的违法行为等情形，不符合成交条件的，招标人重新招标。</w:t>
      </w:r>
    </w:p>
    <w:p w14:paraId="71923052">
      <w:pPr>
        <w:adjustRightInd w:val="0"/>
        <w:snapToGrid w:val="0"/>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Cs/>
          <w:color w:val="auto"/>
          <w:sz w:val="36"/>
          <w:szCs w:val="36"/>
          <w:highlight w:val="none"/>
        </w:rPr>
        <w:t>第五部分 响应文件组成</w:t>
      </w:r>
    </w:p>
    <w:p w14:paraId="58C47794">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响应文件由资格审查文件、商务技术文件、价格文件、电子响应文件</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部分组成。</w:t>
      </w:r>
    </w:p>
    <w:p w14:paraId="452A1363">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rPr>
        <w:t>一、</w:t>
      </w:r>
      <w:r>
        <w:rPr>
          <w:rFonts w:hint="eastAsia" w:ascii="宋体" w:hAnsi="宋体" w:eastAsia="宋体" w:cs="宋体"/>
          <w:b/>
          <w:bCs/>
          <w:color w:val="auto"/>
          <w:kern w:val="0"/>
          <w:sz w:val="28"/>
          <w:szCs w:val="28"/>
          <w:highlight w:val="none"/>
          <w:lang w:val="zh-CN"/>
        </w:rPr>
        <w:t>资格审查文件</w:t>
      </w:r>
    </w:p>
    <w:p w14:paraId="023783F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供应商符合本项目供应商资格要求的承诺函</w:t>
      </w:r>
      <w:r>
        <w:rPr>
          <w:rFonts w:hint="eastAsia" w:ascii="宋体" w:hAnsi="宋体" w:eastAsia="宋体" w:cs="宋体"/>
          <w:color w:val="auto"/>
          <w:kern w:val="0"/>
          <w:sz w:val="28"/>
          <w:szCs w:val="28"/>
          <w:highlight w:val="none"/>
          <w:lang w:val="zh-CN"/>
        </w:rPr>
        <w:t>（格式见附件1）；</w:t>
      </w:r>
    </w:p>
    <w:p w14:paraId="1932D7F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2.法定代表人身份证明书（格式见附件2）；</w:t>
      </w:r>
    </w:p>
    <w:p w14:paraId="1ED05E6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p>
    <w:p w14:paraId="380BBCD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3.提供具有有效的营业执照</w:t>
      </w:r>
      <w:r>
        <w:rPr>
          <w:rFonts w:hint="eastAsia" w:ascii="宋体" w:hAnsi="宋体" w:eastAsia="宋体" w:cs="宋体"/>
          <w:color w:val="auto"/>
          <w:sz w:val="28"/>
          <w:szCs w:val="28"/>
          <w:highlight w:val="none"/>
        </w:rPr>
        <w:t>；</w:t>
      </w:r>
    </w:p>
    <w:p w14:paraId="46D718B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.具备履行合同所必需的设备和专业技术能力的书面声明（格式见附件4）</w:t>
      </w:r>
    </w:p>
    <w:p w14:paraId="6808F6B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建筑工程施工总承包叁级及以上资质或建筑装修装饰工程专业承包贰级及以上资质（须在有效期内）</w:t>
      </w:r>
      <w:r>
        <w:rPr>
          <w:rFonts w:hint="eastAsia" w:ascii="宋体" w:hAnsi="宋体" w:eastAsia="宋体" w:cs="宋体"/>
          <w:color w:val="auto"/>
          <w:sz w:val="28"/>
          <w:szCs w:val="28"/>
          <w:highlight w:val="none"/>
        </w:rPr>
        <w:t>；</w:t>
      </w:r>
    </w:p>
    <w:p w14:paraId="4C48EAEE">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安全生产许可证复印件加盖公章；</w:t>
      </w:r>
    </w:p>
    <w:p w14:paraId="19989086">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项目经理</w:t>
      </w:r>
      <w:r>
        <w:rPr>
          <w:rFonts w:hint="eastAsia" w:ascii="宋体" w:hAnsi="宋体" w:eastAsia="宋体" w:cs="宋体"/>
          <w:color w:val="auto"/>
          <w:kern w:val="0"/>
          <w:sz w:val="28"/>
          <w:szCs w:val="28"/>
          <w:highlight w:val="none"/>
        </w:rPr>
        <w:t>具备建筑工程专业二级及以上注册建造师证书</w:t>
      </w:r>
      <w:r>
        <w:rPr>
          <w:rFonts w:hint="eastAsia" w:ascii="宋体" w:hAnsi="宋体" w:eastAsia="宋体" w:cs="宋体"/>
          <w:color w:val="auto"/>
          <w:sz w:val="28"/>
          <w:szCs w:val="28"/>
          <w:highlight w:val="none"/>
        </w:rPr>
        <w:t>；安全生产考核合格证（B证）</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投标供应商应为其缴纳社保（2025年1月1日</w:t>
      </w:r>
      <w:r>
        <w:rPr>
          <w:rFonts w:hint="eastAsia" w:ascii="宋体" w:hAnsi="宋体" w:cs="宋体"/>
          <w:color w:val="auto"/>
          <w:sz w:val="28"/>
          <w:szCs w:val="28"/>
          <w:highlight w:val="none"/>
          <w:lang w:val="en-US" w:eastAsia="zh-CN"/>
        </w:rPr>
        <w:t>起任意一个月</w:t>
      </w:r>
      <w:r>
        <w:rPr>
          <w:rFonts w:hint="eastAsia" w:ascii="宋体" w:hAnsi="宋体" w:eastAsia="宋体" w:cs="宋体"/>
          <w:color w:val="auto"/>
          <w:sz w:val="28"/>
          <w:szCs w:val="28"/>
          <w:highlight w:val="none"/>
        </w:rPr>
        <w:t>）</w:t>
      </w:r>
    </w:p>
    <w:p w14:paraId="3481BA28">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5.未被“信用中国”网站列入失信被执行人、重大税收违法案件当事人名单、采购不良行为记录名单，提供无重大违法记录声明（格式见附件5）；</w:t>
      </w:r>
    </w:p>
    <w:p w14:paraId="7407ABA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6.提供诚信承诺书（格式见附件6）；</w:t>
      </w:r>
    </w:p>
    <w:p w14:paraId="2B607CD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zh-CN"/>
        </w:rPr>
        <w:t>其它需要提交的资格审查证明材料（以下满足其一即可）：</w:t>
      </w:r>
    </w:p>
    <w:p w14:paraId="79EC87AC">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val="zh-CN"/>
        </w:rPr>
        <w:t>中小企业声明函（格式见附件</w:t>
      </w: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zh-CN"/>
        </w:rPr>
        <w:t>）</w:t>
      </w:r>
    </w:p>
    <w:p w14:paraId="09500A8E">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.2</w:t>
      </w:r>
      <w:r>
        <w:rPr>
          <w:rFonts w:hint="eastAsia" w:ascii="宋体" w:hAnsi="宋体" w:eastAsia="宋体" w:cs="宋体"/>
          <w:color w:val="auto"/>
          <w:kern w:val="0"/>
          <w:sz w:val="28"/>
          <w:szCs w:val="28"/>
          <w:highlight w:val="none"/>
          <w:lang w:val="zh-CN"/>
        </w:rPr>
        <w:t>残疾人福利性单位声明函（格式见附件</w:t>
      </w:r>
      <w:r>
        <w:rPr>
          <w:rFonts w:hint="eastAsia" w:ascii="宋体" w:hAnsi="宋体" w:eastAsia="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lang w:val="zh-CN"/>
        </w:rPr>
        <w:t>）</w:t>
      </w:r>
    </w:p>
    <w:p w14:paraId="03E3FD94">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lang w:val="zh-CN"/>
        </w:rPr>
        <w:t>.</w:t>
      </w:r>
      <w:r>
        <w:rPr>
          <w:rFonts w:hint="eastAsia" w:ascii="宋体" w:hAnsi="宋体" w:eastAsia="宋体" w:cs="宋体"/>
          <w:color w:val="auto"/>
          <w:kern w:val="0"/>
          <w:sz w:val="28"/>
          <w:szCs w:val="28"/>
          <w:highlight w:val="none"/>
        </w:rPr>
        <w:t>3</w:t>
      </w:r>
      <w:r>
        <w:rPr>
          <w:rFonts w:hint="eastAsia" w:ascii="宋体" w:hAnsi="宋体" w:eastAsia="宋体" w:cs="宋体"/>
          <w:color w:val="auto"/>
          <w:kern w:val="0"/>
          <w:sz w:val="28"/>
          <w:szCs w:val="28"/>
          <w:highlight w:val="none"/>
          <w:lang w:val="zh-CN"/>
        </w:rPr>
        <w:t>监狱和戒毒企业证</w:t>
      </w:r>
      <w:r>
        <w:rPr>
          <w:rFonts w:hint="eastAsia" w:ascii="宋体" w:hAnsi="宋体" w:eastAsia="宋体" w:cs="宋体"/>
          <w:bCs/>
          <w:color w:val="auto"/>
          <w:kern w:val="0"/>
          <w:sz w:val="28"/>
          <w:szCs w:val="28"/>
          <w:highlight w:val="none"/>
        </w:rPr>
        <w:t>明材料（格式见附</w:t>
      </w:r>
      <w:r>
        <w:rPr>
          <w:rFonts w:hint="eastAsia" w:ascii="宋体" w:hAnsi="宋体" w:eastAsia="宋体" w:cs="宋体"/>
          <w:color w:val="auto"/>
          <w:kern w:val="0"/>
          <w:sz w:val="28"/>
          <w:szCs w:val="28"/>
          <w:highlight w:val="none"/>
          <w:lang w:val="zh-CN"/>
        </w:rPr>
        <w:t>件</w:t>
      </w:r>
      <w:r>
        <w:rPr>
          <w:rFonts w:hint="eastAsia" w:ascii="宋体" w:hAnsi="宋体" w:eastAsia="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lang w:val="zh-CN"/>
        </w:rPr>
        <w:t>）</w:t>
      </w:r>
    </w:p>
    <w:p w14:paraId="5B2B2378">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en-US" w:eastAsia="zh-CN"/>
        </w:rPr>
        <w:t>二、</w:t>
      </w:r>
      <w:r>
        <w:rPr>
          <w:rFonts w:hint="eastAsia" w:ascii="宋体" w:hAnsi="宋体" w:eastAsia="宋体" w:cs="宋体"/>
          <w:b/>
          <w:bCs/>
          <w:color w:val="auto"/>
          <w:kern w:val="0"/>
          <w:sz w:val="28"/>
          <w:szCs w:val="28"/>
          <w:highlight w:val="none"/>
          <w:lang w:val="zh-CN"/>
        </w:rPr>
        <w:t>商务技术文件</w:t>
      </w:r>
    </w:p>
    <w:p w14:paraId="18B68F3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1.供应商情况一览表（格式见附件</w:t>
      </w:r>
      <w:r>
        <w:rPr>
          <w:rFonts w:hint="eastAsia" w:ascii="宋体" w:hAnsi="宋体" w:eastAsia="宋体" w:cs="宋体"/>
          <w:bCs/>
          <w:color w:val="auto"/>
          <w:sz w:val="28"/>
          <w:szCs w:val="28"/>
          <w:highlight w:val="none"/>
          <w:lang w:val="en-US" w:eastAsia="zh-CN"/>
        </w:rPr>
        <w:t>10</w:t>
      </w:r>
      <w:r>
        <w:rPr>
          <w:rFonts w:hint="eastAsia" w:ascii="宋体" w:hAnsi="宋体" w:eastAsia="宋体" w:cs="宋体"/>
          <w:bCs/>
          <w:color w:val="auto"/>
          <w:sz w:val="28"/>
          <w:szCs w:val="28"/>
          <w:highlight w:val="none"/>
        </w:rPr>
        <w:t>）</w:t>
      </w:r>
    </w:p>
    <w:p w14:paraId="24190B3A">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auto"/>
          <w:sz w:val="28"/>
          <w:szCs w:val="28"/>
          <w:highlight w:val="none"/>
          <w:lang w:val="zh-CN"/>
        </w:rPr>
      </w:pPr>
      <w:r>
        <w:rPr>
          <w:rFonts w:hint="eastAsia" w:ascii="宋体" w:hAnsi="宋体" w:cs="宋体"/>
          <w:bCs/>
          <w:color w:val="auto"/>
          <w:sz w:val="28"/>
          <w:szCs w:val="28"/>
          <w:highlight w:val="none"/>
          <w:lang w:val="en-US" w:eastAsia="zh-CN"/>
        </w:rPr>
        <w:t>2.</w:t>
      </w:r>
      <w:r>
        <w:rPr>
          <w:rFonts w:hint="eastAsia" w:ascii="宋体" w:hAnsi="宋体" w:eastAsia="宋体" w:cs="宋体"/>
          <w:bCs/>
          <w:color w:val="auto"/>
          <w:sz w:val="28"/>
          <w:szCs w:val="28"/>
          <w:highlight w:val="none"/>
        </w:rPr>
        <w:t>计划投入的主要施工机械设备表(附件</w:t>
      </w:r>
      <w:r>
        <w:rPr>
          <w:rFonts w:hint="eastAsia" w:ascii="宋体" w:hAnsi="宋体" w:cs="宋体"/>
          <w:bCs/>
          <w:color w:val="auto"/>
          <w:sz w:val="28"/>
          <w:szCs w:val="28"/>
          <w:highlight w:val="none"/>
          <w:lang w:val="en-US" w:eastAsia="zh-CN"/>
        </w:rPr>
        <w:t>11</w:t>
      </w:r>
      <w:r>
        <w:rPr>
          <w:rFonts w:hint="eastAsia" w:ascii="宋体" w:hAnsi="宋体" w:eastAsia="宋体" w:cs="宋体"/>
          <w:bCs/>
          <w:color w:val="auto"/>
          <w:sz w:val="28"/>
          <w:szCs w:val="28"/>
          <w:highlight w:val="none"/>
        </w:rPr>
        <w:t>）</w:t>
      </w:r>
    </w:p>
    <w:p w14:paraId="11326916">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3.</w:t>
      </w:r>
      <w:r>
        <w:rPr>
          <w:rFonts w:hint="eastAsia" w:ascii="宋体" w:hAnsi="宋体" w:eastAsia="宋体" w:cs="宋体"/>
          <w:bCs/>
          <w:color w:val="auto"/>
          <w:sz w:val="28"/>
          <w:szCs w:val="28"/>
          <w:highlight w:val="none"/>
        </w:rPr>
        <w:t>主要施工管理人员表（附件</w:t>
      </w:r>
      <w:r>
        <w:rPr>
          <w:rFonts w:hint="eastAsia" w:ascii="宋体" w:hAnsi="宋体" w:eastAsia="宋体" w:cs="宋体"/>
          <w:bCs/>
          <w:color w:val="auto"/>
          <w:sz w:val="28"/>
          <w:szCs w:val="28"/>
          <w:highlight w:val="none"/>
          <w:lang w:val="en-US" w:eastAsia="zh-CN"/>
        </w:rPr>
        <w:t>1</w:t>
      </w:r>
      <w:r>
        <w:rPr>
          <w:rFonts w:hint="eastAsia" w:ascii="宋体" w:hAnsi="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p>
    <w:p w14:paraId="3B0D8427">
      <w:pPr>
        <w:keepNext w:val="0"/>
        <w:keepLines w:val="0"/>
        <w:pageBreakBefore w:val="0"/>
        <w:widowControl w:val="0"/>
        <w:kinsoku/>
        <w:wordWrap/>
        <w:overflowPunct/>
        <w:topLinePunct w:val="0"/>
        <w:autoSpaceDE/>
        <w:autoSpaceDN/>
        <w:bidi w:val="0"/>
        <w:spacing w:line="380" w:lineRule="exact"/>
        <w:ind w:firstLine="560"/>
        <w:textAlignment w:val="auto"/>
        <w:rPr>
          <w:rFonts w:hint="eastAsia" w:ascii="宋体" w:hAnsi="宋体" w:eastAsia="宋体" w:cs="宋体"/>
          <w:bCs/>
          <w:color w:val="auto"/>
          <w:sz w:val="28"/>
          <w:szCs w:val="28"/>
          <w:highlight w:val="none"/>
          <w:lang w:val="zh-CN"/>
        </w:rPr>
      </w:pPr>
      <w:r>
        <w:rPr>
          <w:rFonts w:hint="eastAsia" w:ascii="宋体" w:hAnsi="宋体" w:cs="宋体"/>
          <w:bCs/>
          <w:color w:val="auto"/>
          <w:sz w:val="28"/>
          <w:szCs w:val="28"/>
          <w:highlight w:val="none"/>
          <w:lang w:val="en-US" w:eastAsia="zh-CN"/>
        </w:rPr>
        <w:t>4</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zh-CN"/>
        </w:rPr>
        <w:t>商务技术评分标准中须提供的相关得分佐证材料；</w:t>
      </w:r>
    </w:p>
    <w:p w14:paraId="0F6FD9B0">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outlineLvl w:val="1"/>
        <w:rPr>
          <w:rFonts w:hint="eastAsia" w:ascii="宋体" w:hAnsi="宋体" w:eastAsia="宋体" w:cs="宋体"/>
          <w:bCs/>
          <w:color w:val="auto"/>
          <w:sz w:val="28"/>
          <w:szCs w:val="28"/>
          <w:highlight w:val="none"/>
          <w:lang w:val="zh-CN"/>
        </w:rPr>
      </w:pPr>
      <w:r>
        <w:rPr>
          <w:rFonts w:hint="eastAsia" w:ascii="宋体" w:hAnsi="宋体" w:cs="宋体"/>
          <w:bCs/>
          <w:color w:val="auto"/>
          <w:sz w:val="28"/>
          <w:szCs w:val="28"/>
          <w:highlight w:val="none"/>
          <w:lang w:val="en-US" w:eastAsia="zh-CN"/>
        </w:rPr>
        <w:t>5</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zh-CN"/>
        </w:rPr>
        <w:t>投标人认为需要提交的其他商务技术材料。</w:t>
      </w:r>
    </w:p>
    <w:p w14:paraId="0D63B877">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en-US" w:eastAsia="zh-CN"/>
        </w:rPr>
        <w:t>三、</w:t>
      </w:r>
      <w:r>
        <w:rPr>
          <w:rFonts w:hint="eastAsia" w:ascii="宋体" w:hAnsi="宋体" w:eastAsia="宋体" w:cs="宋体"/>
          <w:b/>
          <w:bCs/>
          <w:color w:val="auto"/>
          <w:kern w:val="0"/>
          <w:sz w:val="28"/>
          <w:szCs w:val="28"/>
          <w:highlight w:val="none"/>
          <w:lang w:val="zh-CN"/>
        </w:rPr>
        <w:t>价格文件</w:t>
      </w:r>
    </w:p>
    <w:p w14:paraId="2F4AB57A">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响应函</w:t>
      </w:r>
      <w:r>
        <w:rPr>
          <w:rFonts w:hint="eastAsia" w:ascii="宋体" w:hAnsi="宋体" w:eastAsia="宋体" w:cs="宋体"/>
          <w:color w:val="auto"/>
          <w:kern w:val="0"/>
          <w:sz w:val="28"/>
          <w:szCs w:val="28"/>
          <w:highlight w:val="none"/>
          <w:lang w:val="zh-CN"/>
        </w:rPr>
        <w:t>（格式见附件</w:t>
      </w: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val="zh-CN"/>
        </w:rPr>
        <w:t>）</w:t>
      </w:r>
    </w:p>
    <w:p w14:paraId="659E9A37">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color w:val="auto"/>
          <w:kern w:val="0"/>
          <w:sz w:val="28"/>
          <w:szCs w:val="28"/>
          <w:highlight w:val="none"/>
          <w:lang w:val="zh-CN"/>
        </w:rPr>
        <w:t>）；</w:t>
      </w:r>
    </w:p>
    <w:p w14:paraId="3F773C9F">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zh-CN"/>
        </w:rPr>
        <w:t>供应商信用承诺书（格式见附件</w:t>
      </w: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p>
    <w:p w14:paraId="63E5DC06">
      <w:pPr>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outlineLvl w:val="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四</w:t>
      </w:r>
      <w:r>
        <w:rPr>
          <w:rFonts w:hint="eastAsia" w:ascii="宋体" w:hAnsi="宋体" w:eastAsia="宋体" w:cs="宋体"/>
          <w:b/>
          <w:bCs/>
          <w:color w:val="auto"/>
          <w:kern w:val="0"/>
          <w:sz w:val="28"/>
          <w:szCs w:val="28"/>
          <w:highlight w:val="none"/>
        </w:rPr>
        <w:t>、电子响应文件（一份）</w:t>
      </w:r>
    </w:p>
    <w:p w14:paraId="62D01AAD">
      <w:pPr>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电子响应文件的内容为“资格审查文件、商务技术文件、价格文件”的打印盖章后的响应文件的扫描件。</w:t>
      </w:r>
    </w:p>
    <w:p w14:paraId="5D5F3D15">
      <w:pPr>
        <w:snapToGrid w:val="0"/>
        <w:spacing w:line="360" w:lineRule="auto"/>
        <w:ind w:firstLine="540" w:firstLineChars="192"/>
        <w:contextualSpacing/>
        <w:rPr>
          <w:rFonts w:hint="eastAsia" w:ascii="宋体" w:hAnsi="宋体" w:eastAsia="宋体" w:cs="宋体"/>
          <w:b/>
          <w:color w:val="auto"/>
          <w:kern w:val="0"/>
          <w:sz w:val="28"/>
          <w:szCs w:val="28"/>
          <w:highlight w:val="none"/>
        </w:rPr>
      </w:pPr>
    </w:p>
    <w:p w14:paraId="76D5CF87">
      <w:pPr>
        <w:snapToGrid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 w:val="32"/>
          <w:szCs w:val="32"/>
          <w:highlight w:val="none"/>
          <w:lang w:val="zh-CN"/>
        </w:rPr>
        <w:br w:type="page"/>
      </w:r>
      <w:r>
        <w:rPr>
          <w:rFonts w:hint="eastAsia" w:ascii="宋体" w:hAnsi="宋体" w:eastAsia="宋体" w:cs="宋体"/>
          <w:color w:val="auto"/>
          <w:kern w:val="0"/>
          <w:sz w:val="32"/>
          <w:szCs w:val="32"/>
          <w:highlight w:val="none"/>
          <w:lang w:val="zh-CN"/>
        </w:rPr>
        <w:t>附件1</w:t>
      </w:r>
    </w:p>
    <w:p w14:paraId="2252C020">
      <w:pPr>
        <w:spacing w:line="46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符合投标人资格要求的承诺函</w:t>
      </w:r>
    </w:p>
    <w:p w14:paraId="36B8AF89">
      <w:pPr>
        <w:spacing w:line="460" w:lineRule="exact"/>
        <w:rPr>
          <w:rFonts w:hint="eastAsia" w:ascii="宋体" w:hAnsi="宋体" w:eastAsia="宋体" w:cs="宋体"/>
          <w:b/>
          <w:bCs/>
          <w:color w:val="auto"/>
          <w:sz w:val="44"/>
          <w:szCs w:val="44"/>
          <w:highlight w:val="none"/>
        </w:rPr>
      </w:pP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56767C74">
      <w:pPr>
        <w:spacing w:line="4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u w:val="single"/>
        </w:rPr>
        <w:t>________________ _</w:t>
      </w:r>
      <w:r>
        <w:rPr>
          <w:rFonts w:hint="eastAsia" w:ascii="宋体" w:hAnsi="宋体" w:eastAsia="宋体" w:cs="宋体"/>
          <w:bCs/>
          <w:color w:val="auto"/>
          <w:sz w:val="24"/>
          <w:szCs w:val="21"/>
          <w:highlight w:val="none"/>
        </w:rPr>
        <w:t>（项目名称），</w:t>
      </w:r>
      <w:r>
        <w:rPr>
          <w:rFonts w:hint="eastAsia" w:ascii="宋体" w:hAnsi="宋体" w:eastAsia="宋体" w:cs="宋体"/>
          <w:bCs/>
          <w:color w:val="auto"/>
          <w:sz w:val="24"/>
          <w:szCs w:val="21"/>
          <w:highlight w:val="none"/>
          <w:u w:val="single"/>
        </w:rPr>
        <w:t>_______ __________</w:t>
      </w:r>
      <w:r>
        <w:rPr>
          <w:rFonts w:hint="eastAsia" w:ascii="宋体" w:hAnsi="宋体" w:eastAsia="宋体" w:cs="宋体"/>
          <w:bCs/>
          <w:color w:val="auto"/>
          <w:sz w:val="24"/>
          <w:szCs w:val="21"/>
          <w:highlight w:val="none"/>
        </w:rPr>
        <w:t>（项目编号）投标活动。现做出如下承诺：</w:t>
      </w:r>
    </w:p>
    <w:p w14:paraId="762D85A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05A68C2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5F8FFE9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13118CC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5C1E865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5.我单位参加采购活动前三年内，在经营活动中没有重大违法记录。</w:t>
      </w:r>
    </w:p>
    <w:p w14:paraId="3CDA22B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459F0FA">
      <w:pPr>
        <w:spacing w:line="460" w:lineRule="exact"/>
        <w:ind w:firstLine="480" w:firstLineChars="200"/>
        <w:rPr>
          <w:rFonts w:hint="eastAsia" w:ascii="宋体" w:hAnsi="宋体" w:eastAsia="宋体" w:cs="宋体"/>
          <w:color w:val="auto"/>
          <w:sz w:val="24"/>
          <w:highlight w:val="none"/>
        </w:rPr>
      </w:pPr>
    </w:p>
    <w:p w14:paraId="0644828F">
      <w:pPr>
        <w:spacing w:line="460" w:lineRule="exact"/>
        <w:ind w:firstLine="480" w:firstLineChars="200"/>
        <w:rPr>
          <w:rFonts w:hint="eastAsia" w:ascii="宋体" w:hAnsi="宋体" w:eastAsia="宋体" w:cs="宋体"/>
          <w:color w:val="auto"/>
          <w:sz w:val="24"/>
          <w:highlight w:val="none"/>
        </w:rPr>
      </w:pPr>
    </w:p>
    <w:p w14:paraId="3E3EE934">
      <w:pPr>
        <w:spacing w:line="460" w:lineRule="exact"/>
        <w:ind w:firstLine="480" w:firstLineChars="200"/>
        <w:rPr>
          <w:rFonts w:hint="eastAsia" w:ascii="宋体" w:hAnsi="宋体" w:eastAsia="宋体" w:cs="宋体"/>
          <w:bCs/>
          <w:color w:val="auto"/>
          <w:sz w:val="24"/>
          <w:szCs w:val="21"/>
          <w:highlight w:val="none"/>
        </w:rPr>
      </w:pPr>
    </w:p>
    <w:p w14:paraId="2E4975A8">
      <w:pPr>
        <w:spacing w:line="460" w:lineRule="exact"/>
        <w:ind w:firstLine="480" w:firstLineChars="200"/>
        <w:rPr>
          <w:rFonts w:hint="eastAsia" w:ascii="宋体" w:hAnsi="宋体" w:eastAsia="宋体" w:cs="宋体"/>
          <w:bCs/>
          <w:color w:val="auto"/>
          <w:sz w:val="24"/>
          <w:szCs w:val="21"/>
          <w:highlight w:val="none"/>
        </w:rPr>
      </w:pPr>
    </w:p>
    <w:p w14:paraId="1ECB26DC">
      <w:pPr>
        <w:spacing w:line="460" w:lineRule="exact"/>
        <w:ind w:firstLine="480" w:firstLineChars="200"/>
        <w:rPr>
          <w:rFonts w:hint="eastAsia" w:ascii="宋体" w:hAnsi="宋体" w:eastAsia="宋体" w:cs="宋体"/>
          <w:bCs/>
          <w:color w:val="auto"/>
          <w:sz w:val="24"/>
          <w:szCs w:val="21"/>
          <w:highlight w:val="none"/>
        </w:rPr>
      </w:pPr>
    </w:p>
    <w:p w14:paraId="4F7A61A3">
      <w:pPr>
        <w:spacing w:line="460" w:lineRule="exact"/>
        <w:ind w:firstLine="480" w:firstLineChars="200"/>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28341AB1">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42389863">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eastAsia="宋体" w:cs="宋体"/>
          <w:bCs/>
          <w:color w:val="auto"/>
          <w:sz w:val="24"/>
          <w:szCs w:val="21"/>
          <w:highlight w:val="none"/>
          <w:u w:val="single"/>
        </w:rPr>
        <w:t>______</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48053DB">
      <w:pPr>
        <w:snapToGrid w:val="0"/>
        <w:spacing w:line="400" w:lineRule="exact"/>
        <w:contextualSpacing/>
        <w:rPr>
          <w:rFonts w:hint="eastAsia" w:ascii="宋体" w:hAnsi="宋体" w:eastAsia="宋体" w:cs="宋体"/>
          <w:b/>
          <w:color w:val="auto"/>
          <w:kern w:val="0"/>
          <w:sz w:val="28"/>
          <w:szCs w:val="28"/>
          <w:highlight w:val="none"/>
          <w:lang w:val="zh-CN"/>
        </w:rPr>
      </w:pPr>
    </w:p>
    <w:p w14:paraId="3CD8043C">
      <w:pPr>
        <w:spacing w:line="360" w:lineRule="auto"/>
        <w:ind w:firstLine="480" w:firstLineChars="200"/>
        <w:jc w:val="right"/>
        <w:rPr>
          <w:rFonts w:hint="eastAsia" w:ascii="宋体" w:hAnsi="宋体" w:eastAsia="宋体" w:cs="宋体"/>
          <w:bCs/>
          <w:color w:val="auto"/>
          <w:sz w:val="24"/>
          <w:szCs w:val="21"/>
          <w:highlight w:val="none"/>
        </w:rPr>
      </w:pPr>
    </w:p>
    <w:p w14:paraId="5AEADC39">
      <w:pPr>
        <w:snapToGrid w:val="0"/>
        <w:spacing w:line="360" w:lineRule="auto"/>
        <w:ind w:firstLine="540" w:firstLineChars="192"/>
        <w:contextualSpacing/>
        <w:rPr>
          <w:rFonts w:hint="eastAsia" w:ascii="宋体" w:hAnsi="宋体" w:eastAsia="宋体" w:cs="宋体"/>
          <w:b/>
          <w:color w:val="auto"/>
          <w:kern w:val="0"/>
          <w:sz w:val="28"/>
          <w:szCs w:val="28"/>
          <w:highlight w:val="none"/>
        </w:rPr>
      </w:pPr>
    </w:p>
    <w:p w14:paraId="087B9E95">
      <w:pPr>
        <w:snapToGrid w:val="0"/>
        <w:spacing w:line="360" w:lineRule="auto"/>
        <w:ind w:firstLine="540" w:firstLineChars="192"/>
        <w:contextualSpacing/>
        <w:rPr>
          <w:rFonts w:hint="eastAsia" w:ascii="宋体" w:hAnsi="宋体" w:eastAsia="宋体" w:cs="宋体"/>
          <w:b/>
          <w:color w:val="auto"/>
          <w:kern w:val="0"/>
          <w:sz w:val="28"/>
          <w:szCs w:val="28"/>
          <w:highlight w:val="none"/>
        </w:rPr>
      </w:pPr>
    </w:p>
    <w:p w14:paraId="09B9C220">
      <w:pPr>
        <w:snapToGrid w:val="0"/>
        <w:spacing w:line="360" w:lineRule="auto"/>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br w:type="page"/>
      </w:r>
      <w:r>
        <w:rPr>
          <w:rFonts w:hint="eastAsia" w:ascii="宋体" w:hAnsi="宋体" w:eastAsia="宋体" w:cs="宋体"/>
          <w:color w:val="auto"/>
          <w:kern w:val="0"/>
          <w:sz w:val="32"/>
          <w:szCs w:val="32"/>
          <w:highlight w:val="none"/>
          <w:lang w:val="zh-CN"/>
        </w:rPr>
        <w:t>附件2</w:t>
      </w:r>
    </w:p>
    <w:p w14:paraId="6113D674">
      <w:pPr>
        <w:spacing w:line="360" w:lineRule="auto"/>
        <w:jc w:val="center"/>
        <w:rPr>
          <w:rFonts w:hint="eastAsia" w:ascii="宋体" w:hAnsi="宋体" w:eastAsia="宋体" w:cs="宋体"/>
          <w:b/>
          <w:bCs/>
          <w:color w:val="auto"/>
          <w:sz w:val="32"/>
          <w:szCs w:val="32"/>
          <w:highlight w:val="none"/>
        </w:rPr>
      </w:pPr>
    </w:p>
    <w:p w14:paraId="6A3D23B4">
      <w:pPr>
        <w:spacing w:line="360" w:lineRule="auto"/>
        <w:jc w:val="center"/>
        <w:rPr>
          <w:rFonts w:hint="eastAsia" w:ascii="宋体" w:hAnsi="宋体" w:eastAsia="宋体" w:cs="宋体"/>
          <w:b/>
          <w:bCs/>
          <w:color w:val="auto"/>
          <w:sz w:val="32"/>
          <w:szCs w:val="32"/>
          <w:highlight w:val="none"/>
        </w:rPr>
      </w:pPr>
    </w:p>
    <w:p w14:paraId="630BF19B">
      <w:pPr>
        <w:spacing w:line="360" w:lineRule="auto"/>
        <w:jc w:val="center"/>
        <w:rPr>
          <w:rFonts w:hint="eastAsia" w:ascii="宋体" w:hAnsi="宋体" w:eastAsia="宋体" w:cs="宋体"/>
          <w:b/>
          <w:bCs/>
          <w:color w:val="auto"/>
          <w:sz w:val="32"/>
          <w:szCs w:val="32"/>
          <w:highlight w:val="none"/>
        </w:rPr>
      </w:pPr>
    </w:p>
    <w:p w14:paraId="0CF193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25F72DC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（法定代表人参加投标时，须出示此证明）</w:t>
      </w:r>
    </w:p>
    <w:p w14:paraId="3F801E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6E0BD6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参加贵单位组织的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（采购项目名称及项目编号)项目公开招标采购活动，全权代表我公司处理投标的有关事宜。</w:t>
      </w:r>
    </w:p>
    <w:p w14:paraId="17984E0F">
      <w:pPr>
        <w:spacing w:line="360" w:lineRule="auto"/>
        <w:ind w:firstLine="480" w:firstLineChars="200"/>
        <w:rPr>
          <w:rFonts w:hint="eastAsia" w:ascii="宋体" w:hAnsi="宋体" w:eastAsia="宋体" w:cs="宋体"/>
          <w:color w:val="auto"/>
          <w:sz w:val="24"/>
          <w:highlight w:val="none"/>
        </w:rPr>
      </w:pPr>
    </w:p>
    <w:p w14:paraId="470702A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附：法定代表人情况：</w:t>
      </w:r>
    </w:p>
    <w:p w14:paraId="5FDDC74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5CBA97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1EEF9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手机：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A7C2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02A8C098">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616066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81E8B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DA70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BE169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E52656">
      <w:pPr>
        <w:spacing w:line="360" w:lineRule="auto"/>
        <w:ind w:firstLine="2280" w:firstLineChars="950"/>
        <w:rPr>
          <w:rFonts w:hint="eastAsia" w:ascii="宋体" w:hAnsi="宋体" w:eastAsia="宋体" w:cs="宋体"/>
          <w:b/>
          <w:color w:val="auto"/>
          <w:kern w:val="0"/>
          <w:sz w:val="28"/>
          <w:szCs w:val="28"/>
          <w:highlight w:val="none"/>
          <w:lang w:val="zh-CN"/>
        </w:rPr>
      </w:pPr>
      <w:r>
        <w:rPr>
          <w:rFonts w:hint="eastAsia" w:ascii="宋体" w:hAnsi="宋体" w:eastAsia="宋体" w:cs="宋体"/>
          <w:color w:val="auto"/>
          <w:sz w:val="24"/>
          <w:highlight w:val="none"/>
        </w:rPr>
        <w:t>（粘贴此处）</w:t>
      </w:r>
    </w:p>
    <w:p w14:paraId="0A891386">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3D4CDF16">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4D995BE3">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6E9C35D1">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6A5E9163">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1233EAF4">
      <w:pPr>
        <w:snapToGrid w:val="0"/>
        <w:spacing w:line="360" w:lineRule="auto"/>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br w:type="page"/>
      </w:r>
      <w:r>
        <w:rPr>
          <w:rFonts w:hint="eastAsia" w:ascii="宋体" w:hAnsi="宋体" w:eastAsia="宋体" w:cs="宋体"/>
          <w:color w:val="auto"/>
          <w:kern w:val="0"/>
          <w:sz w:val="32"/>
          <w:szCs w:val="32"/>
          <w:highlight w:val="none"/>
          <w:lang w:val="zh-CN"/>
        </w:rPr>
        <w:t>附件3</w:t>
      </w:r>
    </w:p>
    <w:p w14:paraId="5BD34E1B">
      <w:pPr>
        <w:spacing w:line="360" w:lineRule="auto"/>
        <w:jc w:val="center"/>
        <w:rPr>
          <w:rFonts w:hint="eastAsia" w:ascii="宋体" w:hAnsi="宋体" w:eastAsia="宋体" w:cs="宋体"/>
          <w:color w:val="auto"/>
          <w:sz w:val="32"/>
          <w:szCs w:val="32"/>
          <w:highlight w:val="none"/>
        </w:rPr>
      </w:pPr>
    </w:p>
    <w:p w14:paraId="6E956A6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法定代表人授权委托书</w:t>
      </w:r>
    </w:p>
    <w:p w14:paraId="3091683B">
      <w:pPr>
        <w:jc w:val="center"/>
        <w:rPr>
          <w:rFonts w:hint="eastAsia" w:ascii="宋体" w:hAnsi="宋体" w:eastAsia="宋体" w:cs="宋体"/>
          <w:color w:val="auto"/>
          <w:sz w:val="32"/>
          <w:szCs w:val="32"/>
          <w:highlight w:val="none"/>
        </w:rPr>
      </w:pPr>
      <w:r>
        <w:rPr>
          <w:rFonts w:hint="eastAsia" w:ascii="宋体" w:hAnsi="宋体" w:eastAsia="宋体" w:cs="宋体"/>
          <w:color w:val="auto"/>
          <w:sz w:val="28"/>
          <w:szCs w:val="28"/>
          <w:highlight w:val="none"/>
        </w:rPr>
        <w:t>（如法人参加投标，无需提供）</w:t>
      </w:r>
    </w:p>
    <w:p w14:paraId="433EAEB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39E291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被授权人的姓名）代表我公司参加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（采购项目名称及项目编号)项目的采购活动，全权处理一切与该项目公开招标有关的事务。其在办理上述事宜过程中所签署的所有文件我公司均予以承认。</w:t>
      </w:r>
    </w:p>
    <w:p w14:paraId="6BF6190A">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012DF7FE">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69DC4C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附：被授权人情况：</w:t>
      </w:r>
    </w:p>
    <w:p w14:paraId="53E06AD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37346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7D811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9910C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2FC0EEC7">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5F4B536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323B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6BB72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8A32915">
      <w:pPr>
        <w:spacing w:line="360" w:lineRule="auto"/>
        <w:rPr>
          <w:rFonts w:hint="eastAsia" w:ascii="宋体" w:hAnsi="宋体" w:eastAsia="宋体" w:cs="宋体"/>
          <w:color w:val="auto"/>
          <w:sz w:val="24"/>
          <w:highlight w:val="none"/>
        </w:rPr>
      </w:pPr>
    </w:p>
    <w:p w14:paraId="34D06115">
      <w:pPr>
        <w:spacing w:line="360" w:lineRule="auto"/>
        <w:rPr>
          <w:rFonts w:hint="eastAsia" w:ascii="宋体" w:hAnsi="宋体" w:eastAsia="宋体" w:cs="宋体"/>
          <w:color w:val="auto"/>
          <w:sz w:val="24"/>
          <w:highlight w:val="none"/>
        </w:rPr>
      </w:pPr>
    </w:p>
    <w:p w14:paraId="51194F24">
      <w:pPr>
        <w:spacing w:line="360" w:lineRule="auto"/>
        <w:rPr>
          <w:rFonts w:hint="eastAsia" w:ascii="宋体" w:hAnsi="宋体" w:eastAsia="宋体" w:cs="宋体"/>
          <w:color w:val="auto"/>
          <w:sz w:val="24"/>
          <w:highlight w:val="none"/>
        </w:rPr>
      </w:pPr>
    </w:p>
    <w:p w14:paraId="166A1C9A">
      <w:pPr>
        <w:spacing w:line="360" w:lineRule="auto"/>
        <w:rPr>
          <w:rFonts w:hint="eastAsia" w:ascii="宋体" w:hAnsi="宋体" w:eastAsia="宋体" w:cs="宋体"/>
          <w:color w:val="auto"/>
          <w:sz w:val="24"/>
          <w:highlight w:val="none"/>
        </w:rPr>
      </w:pPr>
    </w:p>
    <w:p w14:paraId="1CA832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被授权人身份证复印件</w:t>
      </w:r>
    </w:p>
    <w:p w14:paraId="7D3C2E03">
      <w:pPr>
        <w:spacing w:line="360" w:lineRule="auto"/>
        <w:rPr>
          <w:rFonts w:hint="eastAsia" w:ascii="宋体" w:hAnsi="宋体" w:eastAsia="宋体" w:cs="宋体"/>
          <w:color w:val="auto"/>
          <w:sz w:val="24"/>
          <w:highlight w:val="none"/>
        </w:rPr>
      </w:pPr>
    </w:p>
    <w:p w14:paraId="014F1EF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E3CC1A">
      <w:pPr>
        <w:spacing w:line="360" w:lineRule="auto"/>
        <w:ind w:firstLine="2280" w:firstLineChars="950"/>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t>（粘贴此处）</w:t>
      </w:r>
    </w:p>
    <w:p w14:paraId="07CFB075">
      <w:pPr>
        <w:snapToGrid w:val="0"/>
        <w:spacing w:line="300" w:lineRule="auto"/>
        <w:ind w:firstLine="640" w:firstLineChars="200"/>
        <w:contextualSpacing/>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r>
        <w:rPr>
          <w:rFonts w:hint="eastAsia" w:ascii="宋体" w:hAnsi="宋体" w:eastAsia="宋体" w:cs="宋体"/>
          <w:color w:val="auto"/>
          <w:kern w:val="0"/>
          <w:sz w:val="32"/>
          <w:szCs w:val="32"/>
          <w:highlight w:val="none"/>
        </w:rPr>
        <w:t>附件4</w:t>
      </w:r>
    </w:p>
    <w:p w14:paraId="3ED20CF9">
      <w:pPr>
        <w:snapToGrid w:val="0"/>
        <w:spacing w:line="46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具备履行合同所必需的设备和专业技术能力的书面声明</w:t>
      </w:r>
    </w:p>
    <w:p w14:paraId="7499BD15">
      <w:pPr>
        <w:snapToGrid w:val="0"/>
        <w:spacing w:line="460" w:lineRule="exact"/>
        <w:ind w:firstLine="560" w:firstLineChars="200"/>
        <w:rPr>
          <w:rFonts w:hint="eastAsia" w:ascii="宋体" w:hAnsi="宋体" w:eastAsia="宋体" w:cs="宋体"/>
          <w:color w:val="auto"/>
          <w:sz w:val="28"/>
          <w:szCs w:val="28"/>
          <w:highlight w:val="none"/>
        </w:rPr>
      </w:pPr>
    </w:p>
    <w:p w14:paraId="576DDCB9">
      <w:pPr>
        <w:snapToGrid w:val="0"/>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江苏商贸职业学院：</w:t>
      </w:r>
    </w:p>
    <w:p w14:paraId="199B5F61">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w:t>
      </w:r>
      <w:r>
        <w:rPr>
          <w:rFonts w:hint="eastAsia" w:ascii="宋体" w:hAnsi="宋体" w:eastAsia="宋体" w:cs="宋体"/>
          <w:color w:val="auto"/>
          <w:sz w:val="28"/>
          <w:szCs w:val="28"/>
          <w:highlight w:val="none"/>
          <w:u w:val="single"/>
        </w:rPr>
        <w:t xml:space="preserve"> （投标单位名称） </w:t>
      </w:r>
      <w:r>
        <w:rPr>
          <w:rFonts w:hint="eastAsia" w:ascii="宋体" w:hAnsi="宋体" w:eastAsia="宋体" w:cs="宋体"/>
          <w:color w:val="auto"/>
          <w:sz w:val="28"/>
          <w:szCs w:val="28"/>
          <w:highlight w:val="none"/>
        </w:rPr>
        <w:t>郑重承诺：</w:t>
      </w:r>
    </w:p>
    <w:p w14:paraId="60E77B69">
      <w:pPr>
        <w:snapToGrid w:val="0"/>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贵方组织的</w:t>
      </w: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，我单位</w:t>
      </w:r>
      <w:r>
        <w:rPr>
          <w:rFonts w:hint="eastAsia" w:ascii="宋体" w:hAnsi="宋体" w:eastAsia="宋体" w:cs="宋体"/>
          <w:color w:val="auto"/>
          <w:sz w:val="28"/>
          <w:szCs w:val="28"/>
          <w:highlight w:val="none"/>
          <w:u w:val="single"/>
        </w:rPr>
        <w:t xml:space="preserve"> (在下划线上如实填写：有或没有） </w:t>
      </w:r>
      <w:r>
        <w:rPr>
          <w:rFonts w:hint="eastAsia" w:ascii="宋体" w:hAnsi="宋体" w:eastAsia="宋体" w:cs="宋体"/>
          <w:color w:val="auto"/>
          <w:sz w:val="28"/>
          <w:szCs w:val="28"/>
          <w:highlight w:val="none"/>
        </w:rPr>
        <w:t>履行合同所必需的设备和专业技术能力。</w:t>
      </w:r>
    </w:p>
    <w:p w14:paraId="20D439F8">
      <w:pPr>
        <w:spacing w:line="460" w:lineRule="exact"/>
        <w:rPr>
          <w:rFonts w:hint="eastAsia" w:ascii="宋体" w:hAnsi="宋体" w:eastAsia="宋体" w:cs="宋体"/>
          <w:b/>
          <w:bCs/>
          <w:color w:val="auto"/>
          <w:sz w:val="32"/>
          <w:szCs w:val="32"/>
          <w:highlight w:val="none"/>
        </w:rPr>
      </w:pPr>
    </w:p>
    <w:p w14:paraId="3E7255E5">
      <w:pPr>
        <w:spacing w:line="460" w:lineRule="exact"/>
        <w:rPr>
          <w:rFonts w:hint="eastAsia" w:ascii="宋体" w:hAnsi="宋体" w:eastAsia="宋体" w:cs="宋体"/>
          <w:b/>
          <w:bCs/>
          <w:color w:val="auto"/>
          <w:sz w:val="32"/>
          <w:szCs w:val="32"/>
          <w:highlight w:val="none"/>
        </w:rPr>
      </w:pPr>
    </w:p>
    <w:p w14:paraId="4A030E39">
      <w:pPr>
        <w:spacing w:line="460" w:lineRule="exact"/>
        <w:rPr>
          <w:rFonts w:hint="eastAsia" w:ascii="宋体" w:hAnsi="宋体" w:eastAsia="宋体" w:cs="宋体"/>
          <w:b/>
          <w:bCs/>
          <w:color w:val="auto"/>
          <w:sz w:val="32"/>
          <w:szCs w:val="32"/>
          <w:highlight w:val="none"/>
        </w:rPr>
      </w:pPr>
    </w:p>
    <w:p w14:paraId="5E843D36">
      <w:pPr>
        <w:spacing w:line="460" w:lineRule="exact"/>
        <w:rPr>
          <w:rFonts w:hint="eastAsia" w:ascii="宋体" w:hAnsi="宋体" w:eastAsia="宋体" w:cs="宋体"/>
          <w:b/>
          <w:bCs/>
          <w:color w:val="auto"/>
          <w:sz w:val="32"/>
          <w:szCs w:val="32"/>
          <w:highlight w:val="none"/>
        </w:rPr>
      </w:pPr>
    </w:p>
    <w:p w14:paraId="2ABBDDA5">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584EC769">
      <w:pPr>
        <w:spacing w:line="46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27633C91">
      <w:pPr>
        <w:spacing w:line="360" w:lineRule="auto"/>
        <w:jc w:val="right"/>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607634E0">
      <w:pPr>
        <w:spacing w:line="360" w:lineRule="auto"/>
        <w:jc w:val="left"/>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color w:val="auto"/>
          <w:sz w:val="32"/>
          <w:szCs w:val="32"/>
          <w:highlight w:val="none"/>
        </w:rPr>
        <w:t>附件5</w:t>
      </w:r>
    </w:p>
    <w:p w14:paraId="2B5E4EC2">
      <w:pPr>
        <w:snapToGrid w:val="0"/>
        <w:spacing w:line="360" w:lineRule="auto"/>
        <w:jc w:val="center"/>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无重大违法记录声明</w:t>
      </w:r>
    </w:p>
    <w:p w14:paraId="22905FE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江苏商贸职业学院：</w:t>
      </w:r>
    </w:p>
    <w:p w14:paraId="589397D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我单位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（投标人名称）郑重声明：</w:t>
      </w:r>
    </w:p>
    <w:p w14:paraId="6CE79A04">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参加采购活动前3年内在经营活动中</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（在下划线上如实填写：</w:t>
      </w:r>
      <w:r>
        <w:rPr>
          <w:rFonts w:hint="eastAsia" w:ascii="宋体" w:hAnsi="宋体" w:eastAsia="宋体" w:cs="宋体"/>
          <w:b/>
          <w:bCs/>
          <w:color w:val="auto"/>
          <w:sz w:val="28"/>
          <w:szCs w:val="28"/>
          <w:highlight w:val="none"/>
        </w:rPr>
        <w:t>有或没有</w:t>
      </w:r>
      <w:r>
        <w:rPr>
          <w:rFonts w:hint="eastAsia" w:ascii="宋体" w:hAnsi="宋体" w:eastAsia="宋体" w:cs="宋体"/>
          <w:color w:val="auto"/>
          <w:sz w:val="28"/>
          <w:szCs w:val="28"/>
          <w:highlight w:val="none"/>
        </w:rPr>
        <w:t>）重大违法记录。</w:t>
      </w:r>
    </w:p>
    <w:p w14:paraId="066434C6">
      <w:pPr>
        <w:spacing w:line="360" w:lineRule="auto"/>
        <w:ind w:firstLine="48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投标截止时间节点，没有被“信用中国”（www.creditchina.gov.cn）、“中国政府采购网”（www.ccgp.gov.cn）、“信用江苏”（www.jscredit.cn/index.htm）网站列入失信被执行人、重大税收违法案件当事人名单、政府采购严重违法失信行为记录名单。</w:t>
      </w:r>
    </w:p>
    <w:p w14:paraId="07551B0F">
      <w:pPr>
        <w:spacing w:line="360" w:lineRule="auto"/>
        <w:ind w:firstLine="480"/>
        <w:rPr>
          <w:rFonts w:hint="eastAsia" w:ascii="宋体" w:hAnsi="宋体" w:eastAsia="宋体" w:cs="宋体"/>
          <w:color w:val="auto"/>
          <w:sz w:val="28"/>
          <w:szCs w:val="28"/>
          <w:highlight w:val="none"/>
        </w:rPr>
      </w:pPr>
    </w:p>
    <w:p w14:paraId="1159CC58">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14:paraId="2CF8FA75">
      <w:pPr>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436C718D">
      <w:pPr>
        <w:spacing w:line="360" w:lineRule="auto"/>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71D6B28A">
      <w:pPr>
        <w:spacing w:line="360" w:lineRule="auto"/>
        <w:ind w:firstLine="1540" w:firstLineChars="55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7BCD7529">
      <w:pPr>
        <w:tabs>
          <w:tab w:val="left" w:pos="1260"/>
        </w:tabs>
        <w:spacing w:line="300" w:lineRule="auto"/>
        <w:contextualSpacing/>
        <w:jc w:val="center"/>
        <w:rPr>
          <w:rFonts w:hint="eastAsia" w:ascii="宋体" w:hAnsi="宋体" w:eastAsia="宋体" w:cs="宋体"/>
          <w:b/>
          <w:color w:val="auto"/>
          <w:sz w:val="32"/>
          <w:szCs w:val="32"/>
          <w:highlight w:val="none"/>
        </w:rPr>
      </w:pPr>
    </w:p>
    <w:p w14:paraId="333C42CA">
      <w:pPr>
        <w:tabs>
          <w:tab w:val="left" w:pos="1260"/>
        </w:tabs>
        <w:spacing w:line="300" w:lineRule="auto"/>
        <w:contextualSpacing/>
        <w:jc w:val="center"/>
        <w:rPr>
          <w:rFonts w:hint="eastAsia" w:ascii="宋体" w:hAnsi="宋体" w:eastAsia="宋体" w:cs="宋体"/>
          <w:b/>
          <w:color w:val="auto"/>
          <w:sz w:val="32"/>
          <w:szCs w:val="32"/>
          <w:highlight w:val="none"/>
        </w:rPr>
      </w:pPr>
    </w:p>
    <w:p w14:paraId="107D21CE">
      <w:pPr>
        <w:tabs>
          <w:tab w:val="left" w:pos="1260"/>
        </w:tabs>
        <w:spacing w:line="300" w:lineRule="auto"/>
        <w:contextualSpacing/>
        <w:jc w:val="center"/>
        <w:rPr>
          <w:rFonts w:hint="eastAsia" w:ascii="宋体" w:hAnsi="宋体" w:eastAsia="宋体" w:cs="宋体"/>
          <w:b/>
          <w:color w:val="auto"/>
          <w:sz w:val="32"/>
          <w:szCs w:val="32"/>
          <w:highlight w:val="none"/>
        </w:rPr>
      </w:pPr>
    </w:p>
    <w:p w14:paraId="371EF9FB">
      <w:pPr>
        <w:tabs>
          <w:tab w:val="left" w:pos="1260"/>
        </w:tabs>
        <w:spacing w:line="300" w:lineRule="auto"/>
        <w:contextualSpacing/>
        <w:jc w:val="center"/>
        <w:rPr>
          <w:rFonts w:hint="eastAsia" w:ascii="宋体" w:hAnsi="宋体" w:eastAsia="宋体" w:cs="宋体"/>
          <w:b/>
          <w:color w:val="auto"/>
          <w:sz w:val="32"/>
          <w:szCs w:val="32"/>
          <w:highlight w:val="none"/>
        </w:rPr>
      </w:pPr>
    </w:p>
    <w:p w14:paraId="7292E0A8">
      <w:pPr>
        <w:tabs>
          <w:tab w:val="left" w:pos="1260"/>
        </w:tabs>
        <w:spacing w:line="300" w:lineRule="auto"/>
        <w:contextualSpacing/>
        <w:jc w:val="center"/>
        <w:rPr>
          <w:rFonts w:hint="eastAsia" w:ascii="宋体" w:hAnsi="宋体" w:eastAsia="宋体" w:cs="宋体"/>
          <w:b/>
          <w:color w:val="auto"/>
          <w:sz w:val="32"/>
          <w:szCs w:val="32"/>
          <w:highlight w:val="none"/>
        </w:rPr>
      </w:pPr>
    </w:p>
    <w:p w14:paraId="255B81BC">
      <w:pPr>
        <w:tabs>
          <w:tab w:val="left" w:pos="1260"/>
        </w:tabs>
        <w:spacing w:line="300" w:lineRule="auto"/>
        <w:contextualSpacing/>
        <w:jc w:val="center"/>
        <w:rPr>
          <w:rFonts w:hint="eastAsia" w:ascii="宋体" w:hAnsi="宋体" w:eastAsia="宋体" w:cs="宋体"/>
          <w:b/>
          <w:color w:val="auto"/>
          <w:sz w:val="32"/>
          <w:szCs w:val="32"/>
          <w:highlight w:val="none"/>
        </w:rPr>
      </w:pPr>
    </w:p>
    <w:p w14:paraId="7A8B9228">
      <w:pPr>
        <w:tabs>
          <w:tab w:val="left" w:pos="1260"/>
        </w:tabs>
        <w:spacing w:line="300" w:lineRule="auto"/>
        <w:contextualSpacing/>
        <w:jc w:val="center"/>
        <w:rPr>
          <w:rFonts w:hint="eastAsia" w:ascii="宋体" w:hAnsi="宋体" w:eastAsia="宋体" w:cs="宋体"/>
          <w:b/>
          <w:color w:val="auto"/>
          <w:sz w:val="32"/>
          <w:szCs w:val="32"/>
          <w:highlight w:val="none"/>
        </w:rPr>
      </w:pPr>
    </w:p>
    <w:p w14:paraId="7DCCB30C">
      <w:pPr>
        <w:pStyle w:val="7"/>
        <w:snapToGrid w:val="0"/>
        <w:spacing w:line="440" w:lineRule="exact"/>
        <w:ind w:firstLine="0"/>
        <w:jc w:val="left"/>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6</w:t>
      </w:r>
    </w:p>
    <w:p w14:paraId="5E71B5E0">
      <w:pPr>
        <w:pStyle w:val="7"/>
        <w:snapToGrid w:val="0"/>
        <w:spacing w:line="440" w:lineRule="exact"/>
        <w:ind w:firstLine="0"/>
        <w:jc w:val="center"/>
        <w:outlineLvl w:val="1"/>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诚信承诺书</w:t>
      </w:r>
    </w:p>
    <w:p w14:paraId="6CA2241B">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江苏商贸职业学院：（采购人名称）</w:t>
      </w:r>
    </w:p>
    <w:p w14:paraId="13CF482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我方参加你方的 </w:t>
      </w:r>
      <w:r>
        <w:rPr>
          <w:rFonts w:hint="eastAsia" w:ascii="宋体" w:hAnsi="宋体" w:eastAsia="宋体" w:cs="宋体"/>
          <w:color w:val="auto"/>
          <w:sz w:val="24"/>
          <w:highlight w:val="none"/>
          <w:u w:val="single"/>
        </w:rPr>
        <w:t xml:space="preserve">       （以下简称“本工程”）</w:t>
      </w:r>
      <w:r>
        <w:rPr>
          <w:rFonts w:hint="eastAsia" w:ascii="宋体" w:hAnsi="宋体" w:eastAsia="宋体" w:cs="宋体"/>
          <w:color w:val="auto"/>
          <w:sz w:val="24"/>
          <w:highlight w:val="none"/>
        </w:rPr>
        <w:t>的磋商响应，现我方法定代表人向你方慎重承诺：</w:t>
      </w:r>
    </w:p>
    <w:p w14:paraId="70783E2B">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财务和经营状况良好，具备履行合同能力；没有因骗取成交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磋商小组评定为成交候选人后，被他人举报并经招标投标监管机构核实，确认存在上述不良记录，你方即可取消我方成交资格，并接受处罚。</w:t>
      </w:r>
    </w:p>
    <w:p w14:paraId="55E7D6AB">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2.我方递交的响应文件中的所有资料都是真实可信的，没有弄虚作假。</w:t>
      </w:r>
    </w:p>
    <w:p w14:paraId="007BE9B2">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3.我方不组织、不参与串标围标，没有出借资质等违法违规行为。</w:t>
      </w:r>
    </w:p>
    <w:p w14:paraId="5AEE7063">
      <w:pPr>
        <w:adjustRightInd w:val="0"/>
        <w:snapToGrid w:val="0"/>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我方承诺：违反上述任何一条承诺，自愿接受当地建设行政主管部门作出的依法处罚，包括同意你方取消我方成交资格并不予退还履约保证金，将我方列入黑名单，并上报南通市建设主管部门。</w:t>
      </w:r>
    </w:p>
    <w:p w14:paraId="745295F1">
      <w:pPr>
        <w:adjustRightInd w:val="0"/>
        <w:snapToGrid w:val="0"/>
        <w:spacing w:line="440" w:lineRule="exact"/>
        <w:ind w:firstLine="250" w:firstLineChars="98"/>
        <w:rPr>
          <w:rFonts w:hint="eastAsia" w:ascii="宋体" w:hAnsi="宋体" w:eastAsia="宋体" w:cs="宋体"/>
          <w:color w:val="auto"/>
          <w:spacing w:val="8"/>
          <w:kern w:val="0"/>
          <w:sz w:val="24"/>
          <w:highlight w:val="none"/>
        </w:rPr>
      </w:pPr>
    </w:p>
    <w:p w14:paraId="621901D2">
      <w:pPr>
        <w:adjustRightInd w:val="0"/>
        <w:snapToGrid w:val="0"/>
        <w:spacing w:line="440" w:lineRule="exact"/>
        <w:ind w:firstLine="3720" w:firstLineChars="1550"/>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磋商响应申请人（盖章）：</w:t>
      </w:r>
    </w:p>
    <w:p w14:paraId="3B805F60">
      <w:pPr>
        <w:tabs>
          <w:tab w:val="left" w:pos="4320"/>
        </w:tabs>
        <w:adjustRightInd w:val="0"/>
        <w:snapToGrid w:val="0"/>
        <w:spacing w:line="440" w:lineRule="exact"/>
        <w:ind w:firstLine="3720" w:firstLineChars="1550"/>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法定代表人（签字或盖章）：</w:t>
      </w:r>
    </w:p>
    <w:p w14:paraId="54AAB9D5">
      <w:pPr>
        <w:adjustRightInd w:val="0"/>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ED11378">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p>
    <w:p w14:paraId="3E841B9E">
      <w:pPr>
        <w:snapToGrid w:val="0"/>
        <w:spacing w:line="400" w:lineRule="exact"/>
        <w:contextualSpacing/>
        <w:rPr>
          <w:rFonts w:hint="eastAsia" w:ascii="宋体" w:hAnsi="宋体" w:eastAsia="宋体" w:cs="宋体"/>
          <w:color w:val="auto"/>
          <w:kern w:val="0"/>
          <w:sz w:val="32"/>
          <w:szCs w:val="32"/>
          <w:highlight w:val="none"/>
        </w:rPr>
      </w:pPr>
    </w:p>
    <w:p w14:paraId="01BDCBDE">
      <w:pPr>
        <w:snapToGrid w:val="0"/>
        <w:spacing w:line="400" w:lineRule="exact"/>
        <w:contextualSpacing/>
        <w:rPr>
          <w:rFonts w:hint="eastAsia" w:ascii="宋体" w:hAnsi="宋体" w:eastAsia="宋体" w:cs="宋体"/>
          <w:color w:val="auto"/>
          <w:kern w:val="0"/>
          <w:sz w:val="32"/>
          <w:szCs w:val="32"/>
          <w:highlight w:val="none"/>
        </w:rPr>
      </w:pPr>
    </w:p>
    <w:p w14:paraId="298FB564">
      <w:pPr>
        <w:snapToGrid w:val="0"/>
        <w:spacing w:line="400" w:lineRule="exact"/>
        <w:contextualSpacing/>
        <w:rPr>
          <w:rFonts w:hint="eastAsia" w:ascii="宋体" w:hAnsi="宋体" w:eastAsia="宋体" w:cs="宋体"/>
          <w:color w:val="auto"/>
          <w:kern w:val="0"/>
          <w:sz w:val="32"/>
          <w:szCs w:val="32"/>
          <w:highlight w:val="none"/>
        </w:rPr>
      </w:pPr>
    </w:p>
    <w:p w14:paraId="2E8BCD7C">
      <w:pPr>
        <w:snapToGrid w:val="0"/>
        <w:spacing w:line="400" w:lineRule="exact"/>
        <w:contextualSpacing/>
        <w:rPr>
          <w:rFonts w:hint="eastAsia" w:ascii="宋体" w:hAnsi="宋体" w:eastAsia="宋体" w:cs="宋体"/>
          <w:color w:val="auto"/>
          <w:kern w:val="0"/>
          <w:sz w:val="32"/>
          <w:szCs w:val="32"/>
          <w:highlight w:val="none"/>
        </w:rPr>
      </w:pPr>
    </w:p>
    <w:p w14:paraId="64BCADF8">
      <w:pPr>
        <w:snapToGrid w:val="0"/>
        <w:spacing w:line="400" w:lineRule="exact"/>
        <w:contextualSpacing/>
        <w:rPr>
          <w:rFonts w:hint="eastAsia" w:ascii="宋体" w:hAnsi="宋体" w:eastAsia="宋体" w:cs="宋体"/>
          <w:color w:val="auto"/>
          <w:kern w:val="0"/>
          <w:sz w:val="32"/>
          <w:szCs w:val="32"/>
          <w:highlight w:val="none"/>
        </w:rPr>
      </w:pPr>
    </w:p>
    <w:p w14:paraId="759B7D19">
      <w:pPr>
        <w:snapToGrid w:val="0"/>
        <w:spacing w:line="400" w:lineRule="exact"/>
        <w:contextualSpacing/>
        <w:rPr>
          <w:rFonts w:hint="eastAsia" w:ascii="宋体" w:hAnsi="宋体" w:eastAsia="宋体" w:cs="宋体"/>
          <w:color w:val="auto"/>
          <w:kern w:val="0"/>
          <w:sz w:val="32"/>
          <w:szCs w:val="32"/>
          <w:highlight w:val="none"/>
        </w:rPr>
      </w:pPr>
    </w:p>
    <w:p w14:paraId="1968E030">
      <w:pPr>
        <w:snapToGrid w:val="0"/>
        <w:spacing w:line="400" w:lineRule="exact"/>
        <w:contextualSpacing/>
        <w:rPr>
          <w:rFonts w:hint="eastAsia" w:ascii="宋体" w:hAnsi="宋体" w:eastAsia="宋体" w:cs="宋体"/>
          <w:color w:val="auto"/>
          <w:kern w:val="0"/>
          <w:sz w:val="32"/>
          <w:szCs w:val="32"/>
          <w:highlight w:val="none"/>
        </w:rPr>
      </w:pPr>
    </w:p>
    <w:p w14:paraId="36D1B730">
      <w:pPr>
        <w:snapToGrid w:val="0"/>
        <w:spacing w:line="400" w:lineRule="exact"/>
        <w:contextualSpacing/>
        <w:rPr>
          <w:rFonts w:hint="eastAsia" w:ascii="宋体" w:hAnsi="宋体" w:eastAsia="宋体" w:cs="宋体"/>
          <w:color w:val="auto"/>
          <w:kern w:val="0"/>
          <w:sz w:val="32"/>
          <w:szCs w:val="32"/>
          <w:highlight w:val="none"/>
        </w:rPr>
      </w:pPr>
    </w:p>
    <w:p w14:paraId="7C8C02B8">
      <w:pPr>
        <w:snapToGrid w:val="0"/>
        <w:spacing w:line="400" w:lineRule="exact"/>
        <w:contextualSpacing/>
        <w:rPr>
          <w:rFonts w:hint="eastAsia" w:ascii="宋体" w:hAnsi="宋体" w:eastAsia="宋体" w:cs="宋体"/>
          <w:color w:val="auto"/>
          <w:kern w:val="0"/>
          <w:sz w:val="32"/>
          <w:szCs w:val="32"/>
          <w:highlight w:val="none"/>
        </w:rPr>
      </w:pPr>
    </w:p>
    <w:p w14:paraId="241CEF6D">
      <w:pPr>
        <w:snapToGrid w:val="0"/>
        <w:spacing w:line="400" w:lineRule="exact"/>
        <w:contextualSpacing/>
        <w:rPr>
          <w:rFonts w:hint="eastAsia" w:ascii="宋体" w:hAnsi="宋体" w:eastAsia="宋体" w:cs="宋体"/>
          <w:color w:val="auto"/>
          <w:kern w:val="0"/>
          <w:sz w:val="32"/>
          <w:szCs w:val="32"/>
          <w:highlight w:val="none"/>
        </w:rPr>
      </w:pPr>
    </w:p>
    <w:p w14:paraId="35A4ADB1">
      <w:pPr>
        <w:snapToGrid w:val="0"/>
        <w:spacing w:line="400" w:lineRule="exact"/>
        <w:contextualSpacing/>
        <w:rPr>
          <w:rFonts w:hint="eastAsia" w:ascii="宋体" w:hAnsi="宋体" w:eastAsia="宋体" w:cs="宋体"/>
          <w:color w:val="auto"/>
          <w:kern w:val="0"/>
          <w:sz w:val="32"/>
          <w:szCs w:val="32"/>
          <w:highlight w:val="none"/>
        </w:rPr>
      </w:pPr>
    </w:p>
    <w:p w14:paraId="4C465395">
      <w:pPr>
        <w:snapToGrid w:val="0"/>
        <w:spacing w:line="400" w:lineRule="exact"/>
        <w:contextualSpacing/>
        <w:rPr>
          <w:rFonts w:hint="eastAsia" w:ascii="宋体" w:hAnsi="宋体" w:eastAsia="宋体" w:cs="宋体"/>
          <w:color w:val="auto"/>
          <w:kern w:val="0"/>
          <w:sz w:val="32"/>
          <w:szCs w:val="32"/>
          <w:highlight w:val="none"/>
          <w:lang w:eastAsia="zh-CN"/>
        </w:rPr>
      </w:pPr>
      <w:r>
        <w:rPr>
          <w:rFonts w:hint="eastAsia"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7</w:t>
      </w:r>
    </w:p>
    <w:p w14:paraId="1A71B055">
      <w:pPr>
        <w:snapToGrid w:val="0"/>
        <w:spacing w:line="300" w:lineRule="auto"/>
        <w:jc w:val="center"/>
        <w:outlineLvl w:val="0"/>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中小企业声明函（工程、服务）</w:t>
      </w:r>
    </w:p>
    <w:p w14:paraId="4967D93E">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本公司郑重声明，根据《政府采购促进中小企业发展管理办法》（财库﹝2020﹞46 号）的规定，本公司参加</w:t>
      </w:r>
      <w:r>
        <w:rPr>
          <w:rFonts w:hint="eastAsia" w:ascii="宋体" w:hAnsi="宋体" w:eastAsia="宋体" w:cs="宋体"/>
          <w:color w:val="auto"/>
          <w:sz w:val="28"/>
          <w:szCs w:val="28"/>
          <w:highlight w:val="none"/>
          <w:u w:val="single"/>
          <w:lang w:bidi="zh-CN"/>
        </w:rPr>
        <w:t>（单位名称）</w:t>
      </w:r>
      <w:r>
        <w:rPr>
          <w:rFonts w:hint="eastAsia" w:ascii="宋体" w:hAnsi="宋体" w:eastAsia="宋体" w:cs="宋体"/>
          <w:color w:val="auto"/>
          <w:sz w:val="28"/>
          <w:szCs w:val="28"/>
          <w:highlight w:val="none"/>
          <w:lang w:bidi="zh-CN"/>
        </w:rPr>
        <w:t>的</w:t>
      </w:r>
      <w:r>
        <w:rPr>
          <w:rFonts w:hint="eastAsia" w:ascii="宋体" w:hAnsi="宋体" w:eastAsia="宋体" w:cs="宋体"/>
          <w:color w:val="auto"/>
          <w:sz w:val="28"/>
          <w:szCs w:val="28"/>
          <w:highlight w:val="none"/>
          <w:u w:val="single"/>
          <w:lang w:bidi="zh-CN"/>
        </w:rPr>
        <w:t>（项目名称）</w:t>
      </w:r>
      <w:r>
        <w:rPr>
          <w:rFonts w:hint="eastAsia" w:ascii="宋体" w:hAnsi="宋体" w:eastAsia="宋体" w:cs="宋体"/>
          <w:color w:val="auto"/>
          <w:sz w:val="28"/>
          <w:szCs w:val="28"/>
          <w:highlight w:val="none"/>
          <w:lang w:bidi="zh-CN"/>
        </w:rPr>
        <w:t>采购活动，工程的施工单位全部为符合政策要求的中小企业（或者：服务全部由符合政策要求的中小企业承接）。相关企业的具体情况如下：</w:t>
      </w:r>
    </w:p>
    <w:p w14:paraId="25F53001">
      <w:pPr>
        <w:snapToGrid w:val="0"/>
        <w:spacing w:line="360" w:lineRule="auto"/>
        <w:jc w:val="left"/>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1.</w:t>
      </w:r>
      <w:r>
        <w:rPr>
          <w:rFonts w:hint="eastAsia" w:ascii="宋体" w:hAnsi="宋体" w:eastAsia="宋体" w:cs="宋体"/>
          <w:color w:val="auto"/>
          <w:sz w:val="28"/>
          <w:szCs w:val="28"/>
          <w:highlight w:val="none"/>
          <w:u w:val="single"/>
          <w:lang w:bidi="zh-CN"/>
        </w:rPr>
        <w:t>（标的名称）</w:t>
      </w:r>
      <w:r>
        <w:rPr>
          <w:rFonts w:hint="eastAsia" w:ascii="宋体" w:hAnsi="宋体" w:eastAsia="宋体" w:cs="宋体"/>
          <w:color w:val="auto"/>
          <w:sz w:val="28"/>
          <w:szCs w:val="28"/>
          <w:highlight w:val="none"/>
          <w:lang w:bidi="zh-CN"/>
        </w:rPr>
        <w:t>，属于（</w:t>
      </w:r>
      <w:r>
        <w:rPr>
          <w:rFonts w:hint="eastAsia" w:ascii="宋体" w:hAnsi="宋体" w:eastAsia="宋体" w:cs="宋体"/>
          <w:color w:val="auto"/>
          <w:sz w:val="28"/>
          <w:szCs w:val="28"/>
          <w:highlight w:val="none"/>
          <w:u w:val="single"/>
          <w:lang w:bidi="zh-CN"/>
        </w:rPr>
        <w:t>采购文件中明确的所属行业）</w:t>
      </w:r>
      <w:r>
        <w:rPr>
          <w:rFonts w:hint="eastAsia" w:ascii="宋体" w:hAnsi="宋体" w:eastAsia="宋体" w:cs="宋体"/>
          <w:color w:val="auto"/>
          <w:sz w:val="28"/>
          <w:szCs w:val="28"/>
          <w:highlight w:val="none"/>
          <w:lang w:bidi="zh-CN"/>
        </w:rPr>
        <w:t>；承建（承接）企业为</w:t>
      </w:r>
      <w:r>
        <w:rPr>
          <w:rFonts w:hint="eastAsia" w:ascii="宋体" w:hAnsi="宋体" w:eastAsia="宋体" w:cs="宋体"/>
          <w:color w:val="auto"/>
          <w:sz w:val="28"/>
          <w:szCs w:val="28"/>
          <w:highlight w:val="none"/>
          <w:u w:val="single"/>
          <w:lang w:bidi="zh-CN"/>
        </w:rPr>
        <w:t>（企业名称）</w:t>
      </w:r>
      <w:r>
        <w:rPr>
          <w:rFonts w:hint="eastAsia" w:ascii="宋体" w:hAnsi="宋体" w:eastAsia="宋体" w:cs="宋体"/>
          <w:color w:val="auto"/>
          <w:sz w:val="28"/>
          <w:szCs w:val="28"/>
          <w:highlight w:val="none"/>
          <w:lang w:bidi="zh-CN"/>
        </w:rPr>
        <w:t>，从业人员</w:t>
      </w:r>
      <w:r>
        <w:rPr>
          <w:rFonts w:hint="eastAsia" w:ascii="宋体" w:hAnsi="宋体" w:eastAsia="宋体" w:cs="宋体"/>
          <w:color w:val="auto"/>
          <w:sz w:val="28"/>
          <w:szCs w:val="28"/>
          <w:highlight w:val="none"/>
          <w:u w:val="single"/>
          <w:lang w:bidi="zh-CN"/>
        </w:rPr>
        <w:t xml:space="preserve"> </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人，营业收入为</w:t>
      </w:r>
      <w:r>
        <w:rPr>
          <w:rFonts w:hint="eastAsia" w:ascii="宋体" w:hAnsi="宋体" w:eastAsia="宋体" w:cs="宋体"/>
          <w:color w:val="auto"/>
          <w:sz w:val="28"/>
          <w:szCs w:val="28"/>
          <w:highlight w:val="none"/>
          <w:u w:val="single"/>
          <w:lang w:bidi="zh-CN"/>
        </w:rPr>
        <w:t xml:space="preserve"> </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万元，资产总额为</w:t>
      </w:r>
      <w:r>
        <w:rPr>
          <w:rFonts w:hint="eastAsia" w:ascii="宋体" w:hAnsi="宋体" w:eastAsia="宋体" w:cs="宋体"/>
          <w:color w:val="auto"/>
          <w:sz w:val="28"/>
          <w:szCs w:val="28"/>
          <w:highlight w:val="none"/>
          <w:u w:val="single"/>
          <w:lang w:bidi="zh-CN"/>
        </w:rPr>
        <w:t xml:space="preserve"> </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万元，属于</w:t>
      </w:r>
      <w:r>
        <w:rPr>
          <w:rFonts w:hint="eastAsia" w:ascii="宋体" w:hAnsi="宋体" w:eastAsia="宋体" w:cs="宋体"/>
          <w:color w:val="auto"/>
          <w:sz w:val="28"/>
          <w:szCs w:val="28"/>
          <w:highlight w:val="none"/>
          <w:u w:val="single"/>
          <w:lang w:bidi="zh-CN"/>
        </w:rPr>
        <w:t>（中型企业、小型企业、微型企业）</w:t>
      </w:r>
      <w:r>
        <w:rPr>
          <w:rFonts w:hint="eastAsia" w:ascii="宋体" w:hAnsi="宋体" w:eastAsia="宋体" w:cs="宋体"/>
          <w:color w:val="auto"/>
          <w:sz w:val="28"/>
          <w:szCs w:val="28"/>
          <w:highlight w:val="none"/>
          <w:lang w:bidi="zh-CN"/>
        </w:rPr>
        <w:t>；</w:t>
      </w:r>
    </w:p>
    <w:p w14:paraId="5ED2042C">
      <w:pPr>
        <w:snapToGrid w:val="0"/>
        <w:spacing w:line="360" w:lineRule="auto"/>
        <w:ind w:firstLine="560" w:firstLineChars="200"/>
        <w:outlineLvl w:val="0"/>
        <w:rPr>
          <w:rFonts w:hint="eastAsia" w:ascii="宋体" w:hAnsi="宋体" w:eastAsia="宋体" w:cs="宋体"/>
          <w:color w:val="auto"/>
          <w:sz w:val="28"/>
          <w:szCs w:val="28"/>
          <w:highlight w:val="none"/>
          <w:lang w:bidi="zh-CN"/>
        </w:rPr>
      </w:pPr>
    </w:p>
    <w:p w14:paraId="0C2413FA">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以上企业，不属于大企业的分支机构，不存在控股股东为大企业的情形，也不存在与大企业的负责人为同一人的情形。</w:t>
      </w:r>
    </w:p>
    <w:p w14:paraId="39726849">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本企业对上述声明内容的真实性负责。如有虚假，将依法承担相应责任。</w:t>
      </w:r>
    </w:p>
    <w:p w14:paraId="01BD1266">
      <w:pPr>
        <w:snapToGrid w:val="0"/>
        <w:spacing w:line="300" w:lineRule="auto"/>
        <w:outlineLvl w:val="0"/>
        <w:rPr>
          <w:rFonts w:hint="eastAsia" w:ascii="宋体" w:hAnsi="宋体" w:eastAsia="宋体" w:cs="宋体"/>
          <w:color w:val="auto"/>
          <w:sz w:val="28"/>
          <w:szCs w:val="28"/>
          <w:highlight w:val="none"/>
          <w:lang w:bidi="zh-CN"/>
        </w:rPr>
      </w:pPr>
    </w:p>
    <w:p w14:paraId="1AB229E7">
      <w:pPr>
        <w:snapToGrid w:val="0"/>
        <w:spacing w:line="300" w:lineRule="auto"/>
        <w:outlineLvl w:val="0"/>
        <w:rPr>
          <w:rFonts w:hint="eastAsia" w:ascii="宋体" w:hAnsi="宋体" w:eastAsia="宋体" w:cs="宋体"/>
          <w:color w:val="auto"/>
          <w:sz w:val="28"/>
          <w:szCs w:val="28"/>
          <w:highlight w:val="none"/>
          <w:lang w:bidi="zh-CN"/>
        </w:rPr>
      </w:pPr>
    </w:p>
    <w:p w14:paraId="64CBCB9E">
      <w:pPr>
        <w:snapToGrid w:val="0"/>
        <w:spacing w:line="300" w:lineRule="auto"/>
        <w:outlineLvl w:val="0"/>
        <w:rPr>
          <w:rFonts w:hint="eastAsia" w:ascii="宋体" w:hAnsi="宋体" w:eastAsia="宋体" w:cs="宋体"/>
          <w:color w:val="auto"/>
          <w:sz w:val="28"/>
          <w:szCs w:val="28"/>
          <w:highlight w:val="none"/>
          <w:lang w:bidi="zh-CN"/>
        </w:rPr>
      </w:pPr>
    </w:p>
    <w:p w14:paraId="3523C116">
      <w:pPr>
        <w:snapToGrid w:val="0"/>
        <w:spacing w:line="300" w:lineRule="auto"/>
        <w:outlineLvl w:val="0"/>
        <w:rPr>
          <w:rFonts w:hint="eastAsia" w:ascii="宋体" w:hAnsi="宋体" w:eastAsia="宋体" w:cs="宋体"/>
          <w:color w:val="auto"/>
          <w:sz w:val="28"/>
          <w:szCs w:val="28"/>
          <w:highlight w:val="none"/>
          <w:lang w:bidi="zh-CN"/>
        </w:rPr>
      </w:pPr>
    </w:p>
    <w:p w14:paraId="4BB90AF3">
      <w:pPr>
        <w:snapToGrid w:val="0"/>
        <w:spacing w:line="300" w:lineRule="auto"/>
        <w:outlineLvl w:val="0"/>
        <w:rPr>
          <w:rFonts w:hint="eastAsia" w:ascii="宋体" w:hAnsi="宋体" w:eastAsia="宋体" w:cs="宋体"/>
          <w:color w:val="auto"/>
          <w:sz w:val="28"/>
          <w:szCs w:val="28"/>
          <w:highlight w:val="none"/>
          <w:lang w:bidi="zh-CN"/>
        </w:rPr>
      </w:pPr>
    </w:p>
    <w:p w14:paraId="5CB1F218">
      <w:pPr>
        <w:snapToGrid w:val="0"/>
        <w:spacing w:line="300" w:lineRule="auto"/>
        <w:ind w:firstLine="4900" w:firstLineChars="175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企业名称（盖章）：</w:t>
      </w:r>
    </w:p>
    <w:p w14:paraId="3A0C73A6">
      <w:pPr>
        <w:snapToGrid w:val="0"/>
        <w:spacing w:line="300" w:lineRule="auto"/>
        <w:ind w:firstLine="4900" w:firstLineChars="175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日期：</w:t>
      </w:r>
    </w:p>
    <w:p w14:paraId="40F0D5E1">
      <w:pPr>
        <w:snapToGrid w:val="0"/>
        <w:spacing w:line="300" w:lineRule="auto"/>
        <w:outlineLvl w:val="0"/>
        <w:rPr>
          <w:rFonts w:hint="eastAsia" w:ascii="宋体" w:hAnsi="宋体" w:eastAsia="宋体" w:cs="宋体"/>
          <w:color w:val="auto"/>
          <w:sz w:val="28"/>
          <w:szCs w:val="28"/>
          <w:highlight w:val="none"/>
        </w:rPr>
      </w:pPr>
    </w:p>
    <w:p w14:paraId="4378CCBD">
      <w:pPr>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8</w:t>
      </w:r>
    </w:p>
    <w:p w14:paraId="3D5BEA8D">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3C7C3DE4">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055A8DF6">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783DBDC8">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（备注：1、供应商如不提供此声明函，价格将不做相应扣除。2、成交供应商为残疾人福利单位的，此声明函将随成交结果同时公告，接受社会监督）</w:t>
      </w:r>
    </w:p>
    <w:p w14:paraId="4C1AF62B">
      <w:pPr>
        <w:spacing w:line="588" w:lineRule="exact"/>
        <w:ind w:firstLine="584" w:firstLineChars="200"/>
        <w:rPr>
          <w:rFonts w:hint="eastAsia" w:ascii="宋体" w:hAnsi="宋体" w:eastAsia="宋体" w:cs="宋体"/>
          <w:color w:val="auto"/>
          <w:spacing w:val="6"/>
          <w:sz w:val="28"/>
          <w:szCs w:val="28"/>
          <w:highlight w:val="none"/>
        </w:rPr>
      </w:pPr>
    </w:p>
    <w:p w14:paraId="55A2182F">
      <w:pPr>
        <w:spacing w:line="588" w:lineRule="exact"/>
        <w:ind w:firstLine="584" w:firstLineChars="200"/>
        <w:rPr>
          <w:rFonts w:hint="eastAsia" w:ascii="宋体" w:hAnsi="宋体" w:eastAsia="宋体" w:cs="宋体"/>
          <w:color w:val="auto"/>
          <w:spacing w:val="6"/>
          <w:sz w:val="28"/>
          <w:szCs w:val="28"/>
          <w:highlight w:val="none"/>
        </w:rPr>
      </w:pPr>
    </w:p>
    <w:p w14:paraId="72F5C8F8">
      <w:pPr>
        <w:spacing w:line="588" w:lineRule="exact"/>
        <w:ind w:firstLine="584" w:firstLineChars="200"/>
        <w:rPr>
          <w:rFonts w:hint="eastAsia" w:ascii="宋体" w:hAnsi="宋体" w:eastAsia="宋体" w:cs="宋体"/>
          <w:color w:val="auto"/>
          <w:spacing w:val="6"/>
          <w:sz w:val="28"/>
          <w:szCs w:val="28"/>
          <w:highlight w:val="none"/>
        </w:rPr>
      </w:pPr>
    </w:p>
    <w:p w14:paraId="5CD8D953">
      <w:pPr>
        <w:spacing w:line="588" w:lineRule="exact"/>
        <w:ind w:firstLine="584" w:firstLineChars="200"/>
        <w:rPr>
          <w:rFonts w:hint="eastAsia" w:ascii="宋体" w:hAnsi="宋体" w:eastAsia="宋体" w:cs="宋体"/>
          <w:color w:val="auto"/>
          <w:spacing w:val="6"/>
          <w:sz w:val="28"/>
          <w:szCs w:val="28"/>
          <w:highlight w:val="none"/>
        </w:rPr>
      </w:pPr>
    </w:p>
    <w:p w14:paraId="42E15F2D">
      <w:pPr>
        <w:tabs>
          <w:tab w:val="left" w:pos="4860"/>
        </w:tabs>
        <w:spacing w:line="588" w:lineRule="exact"/>
        <w:ind w:right="1560" w:firstLine="584"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z w:val="28"/>
          <w:szCs w:val="28"/>
          <w:highlight w:val="none"/>
        </w:rPr>
        <w:t xml:space="preserve">           供应商全称（盖章）：</w:t>
      </w:r>
    </w:p>
    <w:p w14:paraId="51BEAD93">
      <w:pPr>
        <w:tabs>
          <w:tab w:val="left" w:pos="4860"/>
        </w:tabs>
        <w:spacing w:line="588" w:lineRule="exact"/>
        <w:ind w:right="1560"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p>
    <w:p w14:paraId="242E1913">
      <w:pPr>
        <w:ind w:firstLine="420"/>
        <w:rPr>
          <w:rFonts w:hint="eastAsia" w:ascii="宋体" w:hAnsi="宋体" w:eastAsia="宋体" w:cs="宋体"/>
          <w:color w:val="auto"/>
          <w:sz w:val="28"/>
          <w:szCs w:val="28"/>
          <w:highlight w:val="none"/>
        </w:rPr>
      </w:pPr>
    </w:p>
    <w:p w14:paraId="67613DEB">
      <w:pPr>
        <w:snapToGrid w:val="0"/>
        <w:spacing w:line="300" w:lineRule="auto"/>
        <w:outlineLvl w:val="0"/>
        <w:rPr>
          <w:rFonts w:hint="eastAsia" w:ascii="宋体" w:hAnsi="宋体" w:eastAsia="宋体" w:cs="宋体"/>
          <w:color w:val="auto"/>
          <w:sz w:val="28"/>
          <w:szCs w:val="28"/>
          <w:highlight w:val="none"/>
        </w:rPr>
      </w:pPr>
    </w:p>
    <w:p w14:paraId="72EC3393">
      <w:pPr>
        <w:snapToGrid w:val="0"/>
        <w:spacing w:line="300" w:lineRule="auto"/>
        <w:outlineLvl w:val="0"/>
        <w:rPr>
          <w:rFonts w:hint="eastAsia" w:ascii="宋体" w:hAnsi="宋体" w:eastAsia="宋体" w:cs="宋体"/>
          <w:color w:val="auto"/>
          <w:sz w:val="28"/>
          <w:szCs w:val="28"/>
          <w:highlight w:val="none"/>
        </w:rPr>
      </w:pPr>
    </w:p>
    <w:p w14:paraId="5052F47C">
      <w:pPr>
        <w:snapToGrid w:val="0"/>
        <w:spacing w:line="300" w:lineRule="auto"/>
        <w:outlineLvl w:val="0"/>
        <w:rPr>
          <w:rFonts w:hint="eastAsia" w:ascii="宋体" w:hAnsi="宋体" w:eastAsia="宋体" w:cs="宋体"/>
          <w:color w:val="auto"/>
          <w:sz w:val="28"/>
          <w:szCs w:val="28"/>
          <w:highlight w:val="none"/>
        </w:rPr>
      </w:pPr>
    </w:p>
    <w:p w14:paraId="51A953D5">
      <w:pPr>
        <w:snapToGrid w:val="0"/>
        <w:spacing w:line="300" w:lineRule="auto"/>
        <w:outlineLvl w:val="0"/>
        <w:rPr>
          <w:rFonts w:hint="eastAsia" w:ascii="宋体" w:hAnsi="宋体" w:eastAsia="宋体" w:cs="宋体"/>
          <w:color w:val="auto"/>
          <w:sz w:val="28"/>
          <w:szCs w:val="28"/>
          <w:highlight w:val="none"/>
        </w:rPr>
      </w:pPr>
    </w:p>
    <w:p w14:paraId="357EF047">
      <w:pPr>
        <w:snapToGrid w:val="0"/>
        <w:spacing w:line="300" w:lineRule="auto"/>
        <w:outlineLvl w:val="0"/>
        <w:rPr>
          <w:rFonts w:hint="eastAsia" w:ascii="宋体" w:hAnsi="宋体" w:eastAsia="宋体" w:cs="宋体"/>
          <w:color w:val="auto"/>
          <w:sz w:val="28"/>
          <w:szCs w:val="28"/>
          <w:highlight w:val="none"/>
        </w:rPr>
      </w:pPr>
    </w:p>
    <w:p w14:paraId="2D7407F8">
      <w:pPr>
        <w:tabs>
          <w:tab w:val="left" w:pos="630"/>
        </w:tabs>
        <w:snapToGrid w:val="0"/>
        <w:spacing w:line="300" w:lineRule="auto"/>
        <w:outlineLvl w:val="0"/>
        <w:rPr>
          <w:rFonts w:hint="eastAsia" w:ascii="宋体" w:hAnsi="宋体" w:eastAsia="宋体" w:cs="宋体"/>
          <w:color w:val="auto"/>
          <w:sz w:val="28"/>
          <w:szCs w:val="28"/>
          <w:highlight w:val="none"/>
        </w:rPr>
      </w:pPr>
    </w:p>
    <w:p w14:paraId="2AE4F12B">
      <w:pPr>
        <w:tabs>
          <w:tab w:val="left" w:pos="630"/>
        </w:tabs>
        <w:snapToGrid w:val="0"/>
        <w:spacing w:line="300" w:lineRule="auto"/>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9</w:t>
      </w:r>
    </w:p>
    <w:p w14:paraId="1F1BA0D7">
      <w:pPr>
        <w:tabs>
          <w:tab w:val="left" w:pos="630"/>
        </w:tabs>
        <w:snapToGrid w:val="0"/>
        <w:spacing w:line="420" w:lineRule="exact"/>
        <w:jc w:val="center"/>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监狱和戒毒企业证明材料</w:t>
      </w:r>
    </w:p>
    <w:p w14:paraId="6C2D1201">
      <w:pPr>
        <w:tabs>
          <w:tab w:val="left" w:pos="630"/>
        </w:tabs>
        <w:snapToGrid w:val="0"/>
        <w:spacing w:line="420" w:lineRule="exact"/>
        <w:ind w:firstLine="495" w:firstLineChars="177"/>
        <w:rPr>
          <w:rFonts w:hint="eastAsia" w:ascii="宋体" w:hAnsi="宋体" w:eastAsia="宋体" w:cs="宋体"/>
          <w:color w:val="auto"/>
          <w:sz w:val="28"/>
          <w:szCs w:val="28"/>
          <w:highlight w:val="none"/>
        </w:rPr>
      </w:pPr>
    </w:p>
    <w:p w14:paraId="06015229">
      <w:pPr>
        <w:tabs>
          <w:tab w:val="left" w:pos="630"/>
        </w:tabs>
        <w:snapToGrid w:val="0"/>
        <w:spacing w:line="420" w:lineRule="exact"/>
        <w:ind w:firstLine="498" w:firstLineChars="177"/>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（格式自拟）</w:t>
      </w:r>
    </w:p>
    <w:p w14:paraId="74FA0049">
      <w:pPr>
        <w:tabs>
          <w:tab w:val="left" w:pos="630"/>
        </w:tabs>
        <w:snapToGrid w:val="0"/>
        <w:spacing w:line="420" w:lineRule="exact"/>
        <w:ind w:firstLine="495" w:firstLineChars="177"/>
        <w:rPr>
          <w:rFonts w:hint="eastAsia" w:ascii="宋体" w:hAnsi="宋体" w:eastAsia="宋体" w:cs="宋体"/>
          <w:color w:val="auto"/>
          <w:sz w:val="28"/>
          <w:szCs w:val="28"/>
          <w:highlight w:val="none"/>
        </w:rPr>
      </w:pPr>
    </w:p>
    <w:p w14:paraId="5668E481">
      <w:pPr>
        <w:tabs>
          <w:tab w:val="left" w:pos="630"/>
        </w:tabs>
        <w:snapToGrid w:val="0"/>
        <w:spacing w:line="420" w:lineRule="exact"/>
        <w:ind w:firstLine="660" w:firstLineChars="23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23DB7FF">
      <w:pPr>
        <w:spacing w:line="360" w:lineRule="auto"/>
        <w:jc w:val="left"/>
        <w:outlineLvl w:val="2"/>
        <w:rPr>
          <w:rFonts w:hint="eastAsia" w:ascii="宋体" w:hAnsi="宋体" w:eastAsia="宋体" w:cs="宋体"/>
          <w:color w:val="auto"/>
          <w:sz w:val="32"/>
          <w:szCs w:val="32"/>
          <w:highlight w:val="none"/>
          <w:lang w:val="en-US" w:eastAsia="zh-CN"/>
        </w:rPr>
      </w:pPr>
    </w:p>
    <w:p w14:paraId="6C27567F">
      <w:pPr>
        <w:spacing w:line="360" w:lineRule="auto"/>
        <w:jc w:val="left"/>
        <w:outlineLvl w:val="2"/>
        <w:rPr>
          <w:rFonts w:hint="eastAsia" w:ascii="宋体" w:hAnsi="宋体" w:eastAsia="宋体" w:cs="宋体"/>
          <w:color w:val="auto"/>
          <w:sz w:val="32"/>
          <w:szCs w:val="32"/>
          <w:highlight w:val="none"/>
          <w:lang w:val="en-US" w:eastAsia="zh-CN"/>
        </w:rPr>
      </w:pPr>
    </w:p>
    <w:p w14:paraId="241C53C3">
      <w:pPr>
        <w:spacing w:line="360" w:lineRule="auto"/>
        <w:jc w:val="left"/>
        <w:outlineLvl w:val="2"/>
        <w:rPr>
          <w:rFonts w:hint="eastAsia" w:ascii="宋体" w:hAnsi="宋体" w:eastAsia="宋体" w:cs="宋体"/>
          <w:color w:val="auto"/>
          <w:sz w:val="32"/>
          <w:szCs w:val="32"/>
          <w:highlight w:val="none"/>
          <w:lang w:val="en-US" w:eastAsia="zh-CN"/>
        </w:rPr>
      </w:pPr>
    </w:p>
    <w:p w14:paraId="46E7F1E4">
      <w:pPr>
        <w:spacing w:line="360" w:lineRule="auto"/>
        <w:jc w:val="left"/>
        <w:outlineLvl w:val="2"/>
        <w:rPr>
          <w:rFonts w:hint="eastAsia" w:ascii="宋体" w:hAnsi="宋体" w:eastAsia="宋体" w:cs="宋体"/>
          <w:color w:val="auto"/>
          <w:sz w:val="32"/>
          <w:szCs w:val="32"/>
          <w:highlight w:val="none"/>
          <w:lang w:val="en-US" w:eastAsia="zh-CN"/>
        </w:rPr>
      </w:pPr>
    </w:p>
    <w:p w14:paraId="27A8C995">
      <w:pPr>
        <w:spacing w:line="360" w:lineRule="auto"/>
        <w:jc w:val="left"/>
        <w:outlineLvl w:val="2"/>
        <w:rPr>
          <w:rFonts w:hint="eastAsia" w:ascii="宋体" w:hAnsi="宋体" w:eastAsia="宋体" w:cs="宋体"/>
          <w:color w:val="auto"/>
          <w:sz w:val="32"/>
          <w:szCs w:val="32"/>
          <w:highlight w:val="none"/>
          <w:lang w:val="en-US" w:eastAsia="zh-CN"/>
        </w:rPr>
      </w:pPr>
    </w:p>
    <w:p w14:paraId="2A6CE989">
      <w:pPr>
        <w:spacing w:line="360" w:lineRule="auto"/>
        <w:jc w:val="left"/>
        <w:outlineLvl w:val="2"/>
        <w:rPr>
          <w:rFonts w:hint="eastAsia" w:ascii="宋体" w:hAnsi="宋体" w:eastAsia="宋体" w:cs="宋体"/>
          <w:color w:val="auto"/>
          <w:sz w:val="32"/>
          <w:szCs w:val="32"/>
          <w:highlight w:val="none"/>
          <w:lang w:val="en-US" w:eastAsia="zh-CN"/>
        </w:rPr>
      </w:pPr>
    </w:p>
    <w:p w14:paraId="13E5C5A3">
      <w:pPr>
        <w:spacing w:line="360" w:lineRule="auto"/>
        <w:jc w:val="left"/>
        <w:outlineLvl w:val="2"/>
        <w:rPr>
          <w:rFonts w:hint="eastAsia" w:ascii="宋体" w:hAnsi="宋体" w:eastAsia="宋体" w:cs="宋体"/>
          <w:color w:val="auto"/>
          <w:sz w:val="32"/>
          <w:szCs w:val="32"/>
          <w:highlight w:val="none"/>
          <w:lang w:val="en-US" w:eastAsia="zh-CN"/>
        </w:rPr>
      </w:pPr>
    </w:p>
    <w:p w14:paraId="05F08933">
      <w:pPr>
        <w:spacing w:line="360" w:lineRule="auto"/>
        <w:jc w:val="left"/>
        <w:outlineLvl w:val="2"/>
        <w:rPr>
          <w:rFonts w:hint="eastAsia" w:ascii="宋体" w:hAnsi="宋体" w:eastAsia="宋体" w:cs="宋体"/>
          <w:color w:val="auto"/>
          <w:sz w:val="32"/>
          <w:szCs w:val="32"/>
          <w:highlight w:val="none"/>
          <w:lang w:val="en-US" w:eastAsia="zh-CN"/>
        </w:rPr>
      </w:pPr>
    </w:p>
    <w:p w14:paraId="4D96F280">
      <w:pPr>
        <w:spacing w:line="360" w:lineRule="auto"/>
        <w:jc w:val="left"/>
        <w:outlineLvl w:val="2"/>
        <w:rPr>
          <w:rFonts w:hint="eastAsia" w:ascii="宋体" w:hAnsi="宋体" w:eastAsia="宋体" w:cs="宋体"/>
          <w:color w:val="auto"/>
          <w:sz w:val="32"/>
          <w:szCs w:val="32"/>
          <w:highlight w:val="none"/>
          <w:lang w:val="en-US" w:eastAsia="zh-CN"/>
        </w:rPr>
      </w:pPr>
    </w:p>
    <w:p w14:paraId="4CBAF4F4">
      <w:pPr>
        <w:spacing w:line="360" w:lineRule="auto"/>
        <w:jc w:val="left"/>
        <w:outlineLvl w:val="2"/>
        <w:rPr>
          <w:rFonts w:hint="eastAsia" w:ascii="宋体" w:hAnsi="宋体" w:eastAsia="宋体" w:cs="宋体"/>
          <w:color w:val="auto"/>
          <w:sz w:val="32"/>
          <w:szCs w:val="32"/>
          <w:highlight w:val="none"/>
          <w:lang w:val="en-US" w:eastAsia="zh-CN"/>
        </w:rPr>
      </w:pPr>
    </w:p>
    <w:p w14:paraId="0ACB2FB0">
      <w:pPr>
        <w:spacing w:line="360" w:lineRule="auto"/>
        <w:jc w:val="left"/>
        <w:outlineLvl w:val="2"/>
        <w:rPr>
          <w:rFonts w:hint="eastAsia" w:ascii="宋体" w:hAnsi="宋体" w:eastAsia="宋体" w:cs="宋体"/>
          <w:color w:val="auto"/>
          <w:sz w:val="32"/>
          <w:szCs w:val="32"/>
          <w:highlight w:val="none"/>
          <w:lang w:val="en-US" w:eastAsia="zh-CN"/>
        </w:rPr>
      </w:pPr>
    </w:p>
    <w:p w14:paraId="03FD8762">
      <w:pPr>
        <w:spacing w:line="360" w:lineRule="auto"/>
        <w:jc w:val="left"/>
        <w:outlineLvl w:val="2"/>
        <w:rPr>
          <w:rFonts w:hint="eastAsia" w:ascii="宋体" w:hAnsi="宋体" w:eastAsia="宋体" w:cs="宋体"/>
          <w:color w:val="auto"/>
          <w:sz w:val="32"/>
          <w:szCs w:val="32"/>
          <w:highlight w:val="none"/>
          <w:lang w:val="en-US" w:eastAsia="zh-CN"/>
        </w:rPr>
      </w:pPr>
    </w:p>
    <w:p w14:paraId="17C097D8">
      <w:pPr>
        <w:spacing w:line="360" w:lineRule="auto"/>
        <w:jc w:val="left"/>
        <w:outlineLvl w:val="2"/>
        <w:rPr>
          <w:rFonts w:hint="eastAsia" w:ascii="宋体" w:hAnsi="宋体" w:eastAsia="宋体" w:cs="宋体"/>
          <w:color w:val="auto"/>
          <w:sz w:val="32"/>
          <w:szCs w:val="32"/>
          <w:highlight w:val="none"/>
          <w:lang w:val="en-US" w:eastAsia="zh-CN"/>
        </w:rPr>
      </w:pPr>
    </w:p>
    <w:p w14:paraId="66B7F811">
      <w:pPr>
        <w:spacing w:line="360" w:lineRule="auto"/>
        <w:jc w:val="left"/>
        <w:outlineLvl w:val="2"/>
        <w:rPr>
          <w:rFonts w:hint="eastAsia" w:ascii="宋体" w:hAnsi="宋体" w:eastAsia="宋体" w:cs="宋体"/>
          <w:color w:val="auto"/>
          <w:sz w:val="32"/>
          <w:szCs w:val="32"/>
          <w:highlight w:val="none"/>
          <w:lang w:val="en-US" w:eastAsia="zh-CN"/>
        </w:rPr>
      </w:pPr>
    </w:p>
    <w:p w14:paraId="4EEC4408">
      <w:pPr>
        <w:spacing w:line="360" w:lineRule="auto"/>
        <w:jc w:val="left"/>
        <w:outlineLvl w:val="2"/>
        <w:rPr>
          <w:rFonts w:hint="eastAsia" w:ascii="宋体" w:hAnsi="宋体" w:eastAsia="宋体" w:cs="宋体"/>
          <w:color w:val="auto"/>
          <w:sz w:val="32"/>
          <w:szCs w:val="32"/>
          <w:highlight w:val="none"/>
          <w:lang w:val="en-US" w:eastAsia="zh-CN"/>
        </w:rPr>
      </w:pPr>
    </w:p>
    <w:p w14:paraId="4588ACBA">
      <w:pPr>
        <w:spacing w:line="360" w:lineRule="auto"/>
        <w:jc w:val="left"/>
        <w:outlineLvl w:val="2"/>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附件10</w:t>
      </w:r>
    </w:p>
    <w:p w14:paraId="6523DD78">
      <w:pPr>
        <w:tabs>
          <w:tab w:val="left" w:pos="1260"/>
        </w:tabs>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供应商情况一览表</w:t>
      </w:r>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BD9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noWrap w:val="0"/>
            <w:vAlign w:val="center"/>
          </w:tcPr>
          <w:p w14:paraId="6CB7BFA8">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noWrap w:val="0"/>
            <w:vAlign w:val="center"/>
          </w:tcPr>
          <w:p w14:paraId="7E052A63">
            <w:pPr>
              <w:tabs>
                <w:tab w:val="left" w:pos="4320"/>
              </w:tabs>
              <w:rPr>
                <w:rFonts w:hint="eastAsia" w:ascii="宋体" w:hAnsi="宋体" w:eastAsia="宋体" w:cs="宋体"/>
                <w:color w:val="auto"/>
                <w:sz w:val="24"/>
                <w:highlight w:val="none"/>
              </w:rPr>
            </w:pPr>
          </w:p>
        </w:tc>
      </w:tr>
      <w:tr w14:paraId="0908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noWrap w:val="0"/>
            <w:vAlign w:val="center"/>
          </w:tcPr>
          <w:p w14:paraId="61AFEEAA">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noWrap w:val="0"/>
            <w:vAlign w:val="center"/>
          </w:tcPr>
          <w:p w14:paraId="57E9F7B7">
            <w:pPr>
              <w:tabs>
                <w:tab w:val="left" w:pos="4320"/>
              </w:tabs>
              <w:rPr>
                <w:rFonts w:hint="eastAsia" w:ascii="宋体" w:hAnsi="宋体" w:eastAsia="宋体" w:cs="宋体"/>
                <w:color w:val="auto"/>
                <w:sz w:val="24"/>
                <w:highlight w:val="none"/>
              </w:rPr>
            </w:pPr>
          </w:p>
        </w:tc>
      </w:tr>
      <w:tr w14:paraId="68D6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60296B32">
            <w:pPr>
              <w:tabs>
                <w:tab w:val="left" w:pos="4320"/>
              </w:tabs>
              <w:ind w:left="266" w:hanging="266"/>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AD22C48">
            <w:pPr>
              <w:tabs>
                <w:tab w:val="left" w:pos="4320"/>
              </w:tabs>
              <w:ind w:left="266" w:hanging="266"/>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0"/>
            <w:vAlign w:val="center"/>
          </w:tcPr>
          <w:p w14:paraId="14BD703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0"/>
            <w:vAlign w:val="center"/>
          </w:tcPr>
          <w:p w14:paraId="3BEC54FB">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0"/>
            <w:vAlign w:val="center"/>
          </w:tcPr>
          <w:p w14:paraId="7356EB4F">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0"/>
            <w:vAlign w:val="center"/>
          </w:tcPr>
          <w:p w14:paraId="6D24D0D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0"/>
            <w:vAlign w:val="center"/>
          </w:tcPr>
          <w:p w14:paraId="1B27C519">
            <w:pPr>
              <w:tabs>
                <w:tab w:val="left" w:pos="4320"/>
              </w:tabs>
              <w:rPr>
                <w:rFonts w:hint="eastAsia" w:ascii="宋体" w:hAnsi="宋体" w:eastAsia="宋体" w:cs="宋体"/>
                <w:color w:val="auto"/>
                <w:sz w:val="24"/>
                <w:highlight w:val="none"/>
              </w:rPr>
            </w:pPr>
          </w:p>
        </w:tc>
        <w:tc>
          <w:tcPr>
            <w:tcW w:w="1184" w:type="dxa"/>
            <w:gridSpan w:val="2"/>
            <w:noWrap w:val="0"/>
            <w:vAlign w:val="center"/>
          </w:tcPr>
          <w:p w14:paraId="0000E23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noWrap w:val="0"/>
            <w:vAlign w:val="center"/>
          </w:tcPr>
          <w:p w14:paraId="3681B114">
            <w:pPr>
              <w:tabs>
                <w:tab w:val="left" w:pos="4320"/>
              </w:tabs>
              <w:rPr>
                <w:rFonts w:hint="eastAsia" w:ascii="宋体" w:hAnsi="宋体" w:eastAsia="宋体" w:cs="宋体"/>
                <w:color w:val="auto"/>
                <w:sz w:val="24"/>
                <w:highlight w:val="none"/>
              </w:rPr>
            </w:pPr>
          </w:p>
        </w:tc>
      </w:tr>
      <w:tr w14:paraId="6A06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4ED908A1">
            <w:pPr>
              <w:tabs>
                <w:tab w:val="left" w:pos="4320"/>
              </w:tabs>
              <w:ind w:left="266" w:hanging="266"/>
              <w:rPr>
                <w:rFonts w:hint="eastAsia" w:ascii="宋体" w:hAnsi="宋体" w:eastAsia="宋体" w:cs="宋体"/>
                <w:color w:val="auto"/>
                <w:sz w:val="24"/>
                <w:highlight w:val="none"/>
              </w:rPr>
            </w:pPr>
          </w:p>
        </w:tc>
        <w:tc>
          <w:tcPr>
            <w:tcW w:w="1276" w:type="dxa"/>
            <w:gridSpan w:val="2"/>
            <w:noWrap w:val="0"/>
            <w:vAlign w:val="center"/>
          </w:tcPr>
          <w:p w14:paraId="4612D783">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0"/>
            <w:vAlign w:val="center"/>
          </w:tcPr>
          <w:p w14:paraId="7BADD5FF">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0"/>
            <w:vAlign w:val="center"/>
          </w:tcPr>
          <w:p w14:paraId="4FBCD39E">
            <w:pPr>
              <w:tabs>
                <w:tab w:val="left" w:pos="4320"/>
              </w:tabs>
              <w:rPr>
                <w:rFonts w:hint="eastAsia" w:ascii="宋体" w:hAnsi="宋体" w:eastAsia="宋体" w:cs="宋体"/>
                <w:color w:val="auto"/>
                <w:sz w:val="24"/>
                <w:highlight w:val="none"/>
              </w:rPr>
            </w:pPr>
          </w:p>
        </w:tc>
        <w:tc>
          <w:tcPr>
            <w:tcW w:w="946" w:type="dxa"/>
            <w:vMerge w:val="restart"/>
            <w:noWrap w:val="0"/>
            <w:vAlign w:val="center"/>
          </w:tcPr>
          <w:p w14:paraId="558CACA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07C830BC">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noWrap w:val="0"/>
            <w:vAlign w:val="center"/>
          </w:tcPr>
          <w:p w14:paraId="7599F189">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66E3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noWrap w:val="0"/>
            <w:vAlign w:val="center"/>
          </w:tcPr>
          <w:p w14:paraId="22FDA886">
            <w:pPr>
              <w:tabs>
                <w:tab w:val="left" w:pos="4320"/>
              </w:tabs>
              <w:ind w:left="266" w:hanging="266"/>
              <w:rPr>
                <w:rFonts w:hint="eastAsia" w:ascii="宋体" w:hAnsi="宋体" w:eastAsia="宋体" w:cs="宋体"/>
                <w:color w:val="auto"/>
                <w:sz w:val="24"/>
                <w:highlight w:val="none"/>
              </w:rPr>
            </w:pPr>
          </w:p>
        </w:tc>
        <w:tc>
          <w:tcPr>
            <w:tcW w:w="1276" w:type="dxa"/>
            <w:gridSpan w:val="2"/>
            <w:noWrap w:val="0"/>
            <w:vAlign w:val="center"/>
          </w:tcPr>
          <w:p w14:paraId="66F8CD6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66DE3093">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0"/>
            <w:vAlign w:val="center"/>
          </w:tcPr>
          <w:p w14:paraId="08FA47F2">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032058CC">
            <w:pPr>
              <w:tabs>
                <w:tab w:val="left" w:pos="-48"/>
                <w:tab w:val="left" w:pos="4320"/>
              </w:tabs>
              <w:ind w:hanging="48"/>
              <w:jc w:val="right"/>
              <w:rPr>
                <w:rFonts w:hint="eastAsia" w:ascii="宋体" w:hAnsi="宋体" w:eastAsia="宋体" w:cs="宋体"/>
                <w:color w:val="auto"/>
                <w:sz w:val="24"/>
                <w:highlight w:val="none"/>
              </w:rPr>
            </w:pPr>
          </w:p>
          <w:p w14:paraId="27D6BA08">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01847B52">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0"/>
            <w:vAlign w:val="center"/>
          </w:tcPr>
          <w:p w14:paraId="17479473">
            <w:pPr>
              <w:tabs>
                <w:tab w:val="left" w:pos="4320"/>
              </w:tabs>
              <w:rPr>
                <w:rFonts w:hint="eastAsia" w:ascii="宋体" w:hAnsi="宋体" w:eastAsia="宋体" w:cs="宋体"/>
                <w:color w:val="auto"/>
                <w:sz w:val="24"/>
                <w:highlight w:val="none"/>
              </w:rPr>
            </w:pPr>
          </w:p>
        </w:tc>
        <w:tc>
          <w:tcPr>
            <w:tcW w:w="946" w:type="dxa"/>
            <w:vMerge w:val="continue"/>
            <w:noWrap w:val="0"/>
            <w:vAlign w:val="center"/>
          </w:tcPr>
          <w:p w14:paraId="35BF1B09">
            <w:pPr>
              <w:tabs>
                <w:tab w:val="left" w:pos="4320"/>
              </w:tabs>
              <w:jc w:val="center"/>
              <w:rPr>
                <w:rFonts w:hint="eastAsia" w:ascii="宋体" w:hAnsi="宋体" w:eastAsia="宋体" w:cs="宋体"/>
                <w:color w:val="auto"/>
                <w:sz w:val="24"/>
                <w:highlight w:val="none"/>
              </w:rPr>
            </w:pPr>
          </w:p>
        </w:tc>
        <w:tc>
          <w:tcPr>
            <w:tcW w:w="4142" w:type="dxa"/>
            <w:gridSpan w:val="5"/>
            <w:noWrap w:val="0"/>
            <w:vAlign w:val="center"/>
          </w:tcPr>
          <w:p w14:paraId="3418F8DC">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43D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D7D9EFA">
            <w:pPr>
              <w:tabs>
                <w:tab w:val="left" w:pos="4320"/>
              </w:tabs>
              <w:ind w:left="266" w:hanging="266"/>
              <w:rPr>
                <w:rFonts w:hint="eastAsia" w:ascii="宋体" w:hAnsi="宋体" w:eastAsia="宋体" w:cs="宋体"/>
                <w:color w:val="auto"/>
                <w:sz w:val="24"/>
                <w:highlight w:val="none"/>
              </w:rPr>
            </w:pPr>
          </w:p>
        </w:tc>
        <w:tc>
          <w:tcPr>
            <w:tcW w:w="1276" w:type="dxa"/>
            <w:gridSpan w:val="2"/>
            <w:noWrap w:val="0"/>
            <w:vAlign w:val="center"/>
          </w:tcPr>
          <w:p w14:paraId="320A1618">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0"/>
            <w:vAlign w:val="center"/>
          </w:tcPr>
          <w:p w14:paraId="501B0D7F">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0"/>
            <w:vAlign w:val="center"/>
          </w:tcPr>
          <w:p w14:paraId="6250D283">
            <w:pPr>
              <w:tabs>
                <w:tab w:val="left" w:pos="4320"/>
              </w:tabs>
              <w:rPr>
                <w:rFonts w:hint="eastAsia" w:ascii="宋体" w:hAnsi="宋体" w:eastAsia="宋体" w:cs="宋体"/>
                <w:color w:val="auto"/>
                <w:sz w:val="24"/>
                <w:highlight w:val="none"/>
              </w:rPr>
            </w:pPr>
          </w:p>
        </w:tc>
        <w:tc>
          <w:tcPr>
            <w:tcW w:w="946" w:type="dxa"/>
            <w:vMerge w:val="continue"/>
            <w:noWrap w:val="0"/>
            <w:vAlign w:val="center"/>
          </w:tcPr>
          <w:p w14:paraId="26EA9103">
            <w:pPr>
              <w:tabs>
                <w:tab w:val="left" w:pos="4320"/>
              </w:tabs>
              <w:jc w:val="center"/>
              <w:rPr>
                <w:rFonts w:hint="eastAsia" w:ascii="宋体" w:hAnsi="宋体" w:eastAsia="宋体" w:cs="宋体"/>
                <w:color w:val="auto"/>
                <w:sz w:val="24"/>
                <w:highlight w:val="none"/>
              </w:rPr>
            </w:pPr>
          </w:p>
        </w:tc>
        <w:tc>
          <w:tcPr>
            <w:tcW w:w="4142" w:type="dxa"/>
            <w:gridSpan w:val="5"/>
            <w:noWrap w:val="0"/>
            <w:vAlign w:val="center"/>
          </w:tcPr>
          <w:p w14:paraId="309BE26F">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42B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0F74B526">
            <w:pPr>
              <w:tabs>
                <w:tab w:val="left" w:pos="4320"/>
              </w:tabs>
              <w:ind w:left="266" w:hanging="266"/>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7051CE8C">
            <w:pPr>
              <w:tabs>
                <w:tab w:val="left" w:pos="4320"/>
              </w:tabs>
              <w:ind w:left="266" w:hanging="266"/>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p>
          <w:p w14:paraId="2ACE3913">
            <w:pPr>
              <w:tabs>
                <w:tab w:val="left" w:pos="4320"/>
              </w:tabs>
              <w:ind w:left="266" w:hanging="266"/>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03C9572E">
            <w:pPr>
              <w:tabs>
                <w:tab w:val="left" w:pos="4320"/>
              </w:tabs>
              <w:ind w:left="266" w:hanging="266"/>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0"/>
            <w:vAlign w:val="center"/>
          </w:tcPr>
          <w:p w14:paraId="7D4A8EA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本次投标</w:t>
            </w:r>
          </w:p>
          <w:p w14:paraId="40BBB1F2">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1617" w:type="dxa"/>
            <w:gridSpan w:val="2"/>
            <w:noWrap w:val="0"/>
            <w:vAlign w:val="center"/>
          </w:tcPr>
          <w:p w14:paraId="0130716A">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0"/>
            <w:vAlign w:val="center"/>
          </w:tcPr>
          <w:p w14:paraId="43BA7DF9">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上年</w:t>
            </w:r>
          </w:p>
          <w:p w14:paraId="470CBE6B">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0"/>
            <w:vAlign w:val="center"/>
          </w:tcPr>
          <w:p w14:paraId="5D36340E">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3084631B">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0"/>
            <w:vAlign w:val="center"/>
          </w:tcPr>
          <w:p w14:paraId="20AA2F77">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EBF5854">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noWrap w:val="0"/>
            <w:vAlign w:val="center"/>
          </w:tcPr>
          <w:p w14:paraId="086E9BCA">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主要用户</w:t>
            </w:r>
          </w:p>
          <w:p w14:paraId="31320DE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18C4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0592EF70">
            <w:pPr>
              <w:tabs>
                <w:tab w:val="left" w:pos="4320"/>
              </w:tabs>
              <w:rPr>
                <w:rFonts w:hint="eastAsia" w:ascii="宋体" w:hAnsi="宋体" w:eastAsia="宋体" w:cs="宋体"/>
                <w:color w:val="auto"/>
                <w:sz w:val="24"/>
                <w:highlight w:val="none"/>
              </w:rPr>
            </w:pPr>
          </w:p>
        </w:tc>
        <w:tc>
          <w:tcPr>
            <w:tcW w:w="1643" w:type="dxa"/>
            <w:gridSpan w:val="3"/>
            <w:noWrap w:val="0"/>
            <w:vAlign w:val="center"/>
          </w:tcPr>
          <w:p w14:paraId="5BDD1E3E">
            <w:pPr>
              <w:tabs>
                <w:tab w:val="left" w:pos="4320"/>
              </w:tabs>
              <w:rPr>
                <w:rFonts w:hint="eastAsia" w:ascii="宋体" w:hAnsi="宋体" w:eastAsia="宋体" w:cs="宋体"/>
                <w:color w:val="auto"/>
                <w:sz w:val="24"/>
                <w:highlight w:val="none"/>
              </w:rPr>
            </w:pPr>
          </w:p>
        </w:tc>
        <w:tc>
          <w:tcPr>
            <w:tcW w:w="1617" w:type="dxa"/>
            <w:gridSpan w:val="2"/>
            <w:noWrap w:val="0"/>
            <w:vAlign w:val="center"/>
          </w:tcPr>
          <w:p w14:paraId="5CB6A7B1">
            <w:pPr>
              <w:tabs>
                <w:tab w:val="left" w:pos="4320"/>
              </w:tabs>
              <w:rPr>
                <w:rFonts w:hint="eastAsia" w:ascii="宋体" w:hAnsi="宋体" w:eastAsia="宋体" w:cs="宋体"/>
                <w:color w:val="auto"/>
                <w:sz w:val="24"/>
                <w:highlight w:val="none"/>
              </w:rPr>
            </w:pPr>
          </w:p>
        </w:tc>
        <w:tc>
          <w:tcPr>
            <w:tcW w:w="946" w:type="dxa"/>
            <w:noWrap w:val="0"/>
            <w:vAlign w:val="center"/>
          </w:tcPr>
          <w:p w14:paraId="62877166">
            <w:pPr>
              <w:tabs>
                <w:tab w:val="left" w:pos="4320"/>
              </w:tabs>
              <w:rPr>
                <w:rFonts w:hint="eastAsia" w:ascii="宋体" w:hAnsi="宋体" w:eastAsia="宋体" w:cs="宋体"/>
                <w:color w:val="auto"/>
                <w:sz w:val="24"/>
                <w:highlight w:val="none"/>
              </w:rPr>
            </w:pPr>
          </w:p>
        </w:tc>
        <w:tc>
          <w:tcPr>
            <w:tcW w:w="1263" w:type="dxa"/>
            <w:noWrap w:val="0"/>
            <w:vAlign w:val="center"/>
          </w:tcPr>
          <w:p w14:paraId="43384843">
            <w:pPr>
              <w:tabs>
                <w:tab w:val="left" w:pos="4320"/>
              </w:tabs>
              <w:rPr>
                <w:rFonts w:hint="eastAsia" w:ascii="宋体" w:hAnsi="宋体" w:eastAsia="宋体" w:cs="宋体"/>
                <w:color w:val="auto"/>
                <w:sz w:val="24"/>
                <w:highlight w:val="none"/>
              </w:rPr>
            </w:pPr>
          </w:p>
        </w:tc>
        <w:tc>
          <w:tcPr>
            <w:tcW w:w="1273" w:type="dxa"/>
            <w:gridSpan w:val="2"/>
            <w:noWrap w:val="0"/>
            <w:vAlign w:val="center"/>
          </w:tcPr>
          <w:p w14:paraId="794B4D27">
            <w:pPr>
              <w:tabs>
                <w:tab w:val="left" w:pos="4320"/>
              </w:tabs>
              <w:rPr>
                <w:rFonts w:hint="eastAsia" w:ascii="宋体" w:hAnsi="宋体" w:eastAsia="宋体" w:cs="宋体"/>
                <w:color w:val="auto"/>
                <w:sz w:val="24"/>
                <w:highlight w:val="none"/>
              </w:rPr>
            </w:pPr>
          </w:p>
        </w:tc>
        <w:tc>
          <w:tcPr>
            <w:tcW w:w="1606" w:type="dxa"/>
            <w:gridSpan w:val="2"/>
            <w:noWrap w:val="0"/>
            <w:vAlign w:val="center"/>
          </w:tcPr>
          <w:p w14:paraId="7373BE94">
            <w:pPr>
              <w:tabs>
                <w:tab w:val="left" w:pos="4320"/>
              </w:tabs>
              <w:rPr>
                <w:rFonts w:hint="eastAsia" w:ascii="宋体" w:hAnsi="宋体" w:eastAsia="宋体" w:cs="宋体"/>
                <w:color w:val="auto"/>
                <w:sz w:val="24"/>
                <w:highlight w:val="none"/>
              </w:rPr>
            </w:pPr>
          </w:p>
        </w:tc>
      </w:tr>
      <w:tr w14:paraId="6143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2BDAB2D9">
            <w:pPr>
              <w:tabs>
                <w:tab w:val="left" w:pos="4320"/>
              </w:tabs>
              <w:rPr>
                <w:rFonts w:hint="eastAsia" w:ascii="宋体" w:hAnsi="宋体" w:eastAsia="宋体" w:cs="宋体"/>
                <w:color w:val="auto"/>
                <w:sz w:val="24"/>
                <w:highlight w:val="none"/>
              </w:rPr>
            </w:pPr>
          </w:p>
        </w:tc>
        <w:tc>
          <w:tcPr>
            <w:tcW w:w="1643" w:type="dxa"/>
            <w:gridSpan w:val="3"/>
            <w:noWrap w:val="0"/>
            <w:vAlign w:val="center"/>
          </w:tcPr>
          <w:p w14:paraId="6E2900CE">
            <w:pPr>
              <w:tabs>
                <w:tab w:val="left" w:pos="4320"/>
              </w:tabs>
              <w:rPr>
                <w:rFonts w:hint="eastAsia" w:ascii="宋体" w:hAnsi="宋体" w:eastAsia="宋体" w:cs="宋体"/>
                <w:color w:val="auto"/>
                <w:sz w:val="24"/>
                <w:highlight w:val="none"/>
              </w:rPr>
            </w:pPr>
          </w:p>
        </w:tc>
        <w:tc>
          <w:tcPr>
            <w:tcW w:w="1617" w:type="dxa"/>
            <w:gridSpan w:val="2"/>
            <w:noWrap w:val="0"/>
            <w:vAlign w:val="center"/>
          </w:tcPr>
          <w:p w14:paraId="47A065BD">
            <w:pPr>
              <w:tabs>
                <w:tab w:val="left" w:pos="4320"/>
              </w:tabs>
              <w:rPr>
                <w:rFonts w:hint="eastAsia" w:ascii="宋体" w:hAnsi="宋体" w:eastAsia="宋体" w:cs="宋体"/>
                <w:color w:val="auto"/>
                <w:sz w:val="24"/>
                <w:highlight w:val="none"/>
              </w:rPr>
            </w:pPr>
          </w:p>
        </w:tc>
        <w:tc>
          <w:tcPr>
            <w:tcW w:w="946" w:type="dxa"/>
            <w:noWrap w:val="0"/>
            <w:vAlign w:val="center"/>
          </w:tcPr>
          <w:p w14:paraId="42F01315">
            <w:pPr>
              <w:tabs>
                <w:tab w:val="left" w:pos="4320"/>
              </w:tabs>
              <w:rPr>
                <w:rFonts w:hint="eastAsia" w:ascii="宋体" w:hAnsi="宋体" w:eastAsia="宋体" w:cs="宋体"/>
                <w:color w:val="auto"/>
                <w:sz w:val="24"/>
                <w:highlight w:val="none"/>
              </w:rPr>
            </w:pPr>
          </w:p>
        </w:tc>
        <w:tc>
          <w:tcPr>
            <w:tcW w:w="1263" w:type="dxa"/>
            <w:noWrap w:val="0"/>
            <w:vAlign w:val="center"/>
          </w:tcPr>
          <w:p w14:paraId="1097D626">
            <w:pPr>
              <w:tabs>
                <w:tab w:val="left" w:pos="4320"/>
              </w:tabs>
              <w:rPr>
                <w:rFonts w:hint="eastAsia" w:ascii="宋体" w:hAnsi="宋体" w:eastAsia="宋体" w:cs="宋体"/>
                <w:color w:val="auto"/>
                <w:sz w:val="24"/>
                <w:highlight w:val="none"/>
              </w:rPr>
            </w:pPr>
          </w:p>
        </w:tc>
        <w:tc>
          <w:tcPr>
            <w:tcW w:w="1273" w:type="dxa"/>
            <w:gridSpan w:val="2"/>
            <w:noWrap w:val="0"/>
            <w:vAlign w:val="center"/>
          </w:tcPr>
          <w:p w14:paraId="29EDBFE7">
            <w:pPr>
              <w:tabs>
                <w:tab w:val="left" w:pos="4320"/>
              </w:tabs>
              <w:rPr>
                <w:rFonts w:hint="eastAsia" w:ascii="宋体" w:hAnsi="宋体" w:eastAsia="宋体" w:cs="宋体"/>
                <w:color w:val="auto"/>
                <w:sz w:val="24"/>
                <w:highlight w:val="none"/>
              </w:rPr>
            </w:pPr>
          </w:p>
        </w:tc>
        <w:tc>
          <w:tcPr>
            <w:tcW w:w="1606" w:type="dxa"/>
            <w:gridSpan w:val="2"/>
            <w:noWrap w:val="0"/>
            <w:vAlign w:val="center"/>
          </w:tcPr>
          <w:p w14:paraId="5BC5764A">
            <w:pPr>
              <w:tabs>
                <w:tab w:val="left" w:pos="4320"/>
              </w:tabs>
              <w:rPr>
                <w:rFonts w:hint="eastAsia" w:ascii="宋体" w:hAnsi="宋体" w:eastAsia="宋体" w:cs="宋体"/>
                <w:color w:val="auto"/>
                <w:sz w:val="24"/>
                <w:highlight w:val="none"/>
              </w:rPr>
            </w:pPr>
          </w:p>
        </w:tc>
      </w:tr>
      <w:tr w14:paraId="0D21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747F5B1F">
            <w:pPr>
              <w:tabs>
                <w:tab w:val="left" w:pos="4320"/>
              </w:tabs>
              <w:rPr>
                <w:rFonts w:hint="eastAsia" w:ascii="宋体" w:hAnsi="宋体" w:eastAsia="宋体" w:cs="宋体"/>
                <w:color w:val="auto"/>
                <w:sz w:val="24"/>
                <w:highlight w:val="none"/>
              </w:rPr>
            </w:pPr>
          </w:p>
        </w:tc>
        <w:tc>
          <w:tcPr>
            <w:tcW w:w="1643" w:type="dxa"/>
            <w:gridSpan w:val="3"/>
            <w:noWrap w:val="0"/>
            <w:vAlign w:val="center"/>
          </w:tcPr>
          <w:p w14:paraId="06D90FA9">
            <w:pPr>
              <w:tabs>
                <w:tab w:val="left" w:pos="4320"/>
              </w:tabs>
              <w:rPr>
                <w:rFonts w:hint="eastAsia" w:ascii="宋体" w:hAnsi="宋体" w:eastAsia="宋体" w:cs="宋体"/>
                <w:color w:val="auto"/>
                <w:sz w:val="24"/>
                <w:highlight w:val="none"/>
              </w:rPr>
            </w:pPr>
          </w:p>
        </w:tc>
        <w:tc>
          <w:tcPr>
            <w:tcW w:w="1617" w:type="dxa"/>
            <w:gridSpan w:val="2"/>
            <w:noWrap w:val="0"/>
            <w:vAlign w:val="center"/>
          </w:tcPr>
          <w:p w14:paraId="3E4410F6">
            <w:pPr>
              <w:tabs>
                <w:tab w:val="left" w:pos="4320"/>
              </w:tabs>
              <w:rPr>
                <w:rFonts w:hint="eastAsia" w:ascii="宋体" w:hAnsi="宋体" w:eastAsia="宋体" w:cs="宋体"/>
                <w:color w:val="auto"/>
                <w:sz w:val="24"/>
                <w:highlight w:val="none"/>
              </w:rPr>
            </w:pPr>
          </w:p>
        </w:tc>
        <w:tc>
          <w:tcPr>
            <w:tcW w:w="946" w:type="dxa"/>
            <w:noWrap w:val="0"/>
            <w:vAlign w:val="center"/>
          </w:tcPr>
          <w:p w14:paraId="4BD9B163">
            <w:pPr>
              <w:tabs>
                <w:tab w:val="left" w:pos="4320"/>
              </w:tabs>
              <w:rPr>
                <w:rFonts w:hint="eastAsia" w:ascii="宋体" w:hAnsi="宋体" w:eastAsia="宋体" w:cs="宋体"/>
                <w:color w:val="auto"/>
                <w:sz w:val="24"/>
                <w:highlight w:val="none"/>
              </w:rPr>
            </w:pPr>
          </w:p>
        </w:tc>
        <w:tc>
          <w:tcPr>
            <w:tcW w:w="1263" w:type="dxa"/>
            <w:noWrap w:val="0"/>
            <w:vAlign w:val="center"/>
          </w:tcPr>
          <w:p w14:paraId="53596378">
            <w:pPr>
              <w:tabs>
                <w:tab w:val="left" w:pos="4320"/>
              </w:tabs>
              <w:rPr>
                <w:rFonts w:hint="eastAsia" w:ascii="宋体" w:hAnsi="宋体" w:eastAsia="宋体" w:cs="宋体"/>
                <w:color w:val="auto"/>
                <w:sz w:val="24"/>
                <w:highlight w:val="none"/>
              </w:rPr>
            </w:pPr>
          </w:p>
        </w:tc>
        <w:tc>
          <w:tcPr>
            <w:tcW w:w="1273" w:type="dxa"/>
            <w:gridSpan w:val="2"/>
            <w:noWrap w:val="0"/>
            <w:vAlign w:val="center"/>
          </w:tcPr>
          <w:p w14:paraId="22FF9236">
            <w:pPr>
              <w:tabs>
                <w:tab w:val="left" w:pos="4320"/>
              </w:tabs>
              <w:rPr>
                <w:rFonts w:hint="eastAsia" w:ascii="宋体" w:hAnsi="宋体" w:eastAsia="宋体" w:cs="宋体"/>
                <w:color w:val="auto"/>
                <w:sz w:val="24"/>
                <w:highlight w:val="none"/>
              </w:rPr>
            </w:pPr>
          </w:p>
        </w:tc>
        <w:tc>
          <w:tcPr>
            <w:tcW w:w="1606" w:type="dxa"/>
            <w:gridSpan w:val="2"/>
            <w:noWrap w:val="0"/>
            <w:vAlign w:val="center"/>
          </w:tcPr>
          <w:p w14:paraId="034007C9">
            <w:pPr>
              <w:tabs>
                <w:tab w:val="left" w:pos="4320"/>
              </w:tabs>
              <w:rPr>
                <w:rFonts w:hint="eastAsia" w:ascii="宋体" w:hAnsi="宋体" w:eastAsia="宋体" w:cs="宋体"/>
                <w:color w:val="auto"/>
                <w:sz w:val="24"/>
                <w:highlight w:val="none"/>
              </w:rPr>
            </w:pPr>
          </w:p>
        </w:tc>
      </w:tr>
      <w:tr w14:paraId="203E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3442119A">
            <w:pPr>
              <w:tabs>
                <w:tab w:val="left" w:pos="4320"/>
              </w:tabs>
              <w:rPr>
                <w:rFonts w:hint="eastAsia" w:ascii="宋体" w:hAnsi="宋体" w:eastAsia="宋体" w:cs="宋体"/>
                <w:color w:val="auto"/>
                <w:sz w:val="24"/>
                <w:highlight w:val="none"/>
              </w:rPr>
            </w:pPr>
          </w:p>
        </w:tc>
        <w:tc>
          <w:tcPr>
            <w:tcW w:w="1643" w:type="dxa"/>
            <w:gridSpan w:val="3"/>
            <w:noWrap w:val="0"/>
            <w:vAlign w:val="center"/>
          </w:tcPr>
          <w:p w14:paraId="49C94223">
            <w:pPr>
              <w:tabs>
                <w:tab w:val="left" w:pos="4320"/>
              </w:tabs>
              <w:rPr>
                <w:rFonts w:hint="eastAsia" w:ascii="宋体" w:hAnsi="宋体" w:eastAsia="宋体" w:cs="宋体"/>
                <w:color w:val="auto"/>
                <w:sz w:val="24"/>
                <w:highlight w:val="none"/>
              </w:rPr>
            </w:pPr>
          </w:p>
        </w:tc>
        <w:tc>
          <w:tcPr>
            <w:tcW w:w="1617" w:type="dxa"/>
            <w:gridSpan w:val="2"/>
            <w:noWrap w:val="0"/>
            <w:vAlign w:val="center"/>
          </w:tcPr>
          <w:p w14:paraId="71D0EB50">
            <w:pPr>
              <w:tabs>
                <w:tab w:val="left" w:pos="4320"/>
              </w:tabs>
              <w:rPr>
                <w:rFonts w:hint="eastAsia" w:ascii="宋体" w:hAnsi="宋体" w:eastAsia="宋体" w:cs="宋体"/>
                <w:color w:val="auto"/>
                <w:sz w:val="24"/>
                <w:highlight w:val="none"/>
              </w:rPr>
            </w:pPr>
          </w:p>
        </w:tc>
        <w:tc>
          <w:tcPr>
            <w:tcW w:w="946" w:type="dxa"/>
            <w:noWrap w:val="0"/>
            <w:vAlign w:val="center"/>
          </w:tcPr>
          <w:p w14:paraId="18B5A760">
            <w:pPr>
              <w:tabs>
                <w:tab w:val="left" w:pos="4320"/>
              </w:tabs>
              <w:rPr>
                <w:rFonts w:hint="eastAsia" w:ascii="宋体" w:hAnsi="宋体" w:eastAsia="宋体" w:cs="宋体"/>
                <w:color w:val="auto"/>
                <w:sz w:val="24"/>
                <w:highlight w:val="none"/>
              </w:rPr>
            </w:pPr>
          </w:p>
        </w:tc>
        <w:tc>
          <w:tcPr>
            <w:tcW w:w="1263" w:type="dxa"/>
            <w:noWrap w:val="0"/>
            <w:vAlign w:val="center"/>
          </w:tcPr>
          <w:p w14:paraId="6C0D6A6B">
            <w:pPr>
              <w:tabs>
                <w:tab w:val="left" w:pos="4320"/>
              </w:tabs>
              <w:rPr>
                <w:rFonts w:hint="eastAsia" w:ascii="宋体" w:hAnsi="宋体" w:eastAsia="宋体" w:cs="宋体"/>
                <w:color w:val="auto"/>
                <w:sz w:val="24"/>
                <w:highlight w:val="none"/>
              </w:rPr>
            </w:pPr>
          </w:p>
        </w:tc>
        <w:tc>
          <w:tcPr>
            <w:tcW w:w="1273" w:type="dxa"/>
            <w:gridSpan w:val="2"/>
            <w:noWrap w:val="0"/>
            <w:vAlign w:val="center"/>
          </w:tcPr>
          <w:p w14:paraId="3F4694BA">
            <w:pPr>
              <w:tabs>
                <w:tab w:val="left" w:pos="4320"/>
              </w:tabs>
              <w:rPr>
                <w:rFonts w:hint="eastAsia" w:ascii="宋体" w:hAnsi="宋体" w:eastAsia="宋体" w:cs="宋体"/>
                <w:color w:val="auto"/>
                <w:sz w:val="24"/>
                <w:highlight w:val="none"/>
              </w:rPr>
            </w:pPr>
          </w:p>
        </w:tc>
        <w:tc>
          <w:tcPr>
            <w:tcW w:w="1606" w:type="dxa"/>
            <w:gridSpan w:val="2"/>
            <w:noWrap w:val="0"/>
            <w:vAlign w:val="center"/>
          </w:tcPr>
          <w:p w14:paraId="001582CE">
            <w:pPr>
              <w:tabs>
                <w:tab w:val="left" w:pos="4320"/>
              </w:tabs>
              <w:rPr>
                <w:rFonts w:hint="eastAsia" w:ascii="宋体" w:hAnsi="宋体" w:eastAsia="宋体" w:cs="宋体"/>
                <w:color w:val="auto"/>
                <w:sz w:val="24"/>
                <w:highlight w:val="none"/>
              </w:rPr>
            </w:pPr>
          </w:p>
        </w:tc>
      </w:tr>
      <w:tr w14:paraId="4CA7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57557E2E">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0"/>
            <w:vAlign w:val="center"/>
          </w:tcPr>
          <w:p w14:paraId="767B083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招标人或采购代理机构发现，或被它人举证成立，其投标资格将被取消）。</w:t>
            </w:r>
          </w:p>
        </w:tc>
        <w:tc>
          <w:tcPr>
            <w:tcW w:w="4142" w:type="dxa"/>
            <w:gridSpan w:val="5"/>
            <w:noWrap w:val="0"/>
            <w:vAlign w:val="center"/>
          </w:tcPr>
          <w:p w14:paraId="49394305">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00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trPr>
        <w:tc>
          <w:tcPr>
            <w:tcW w:w="817" w:type="dxa"/>
            <w:vMerge w:val="continue"/>
            <w:noWrap w:val="0"/>
            <w:vAlign w:val="center"/>
          </w:tcPr>
          <w:p w14:paraId="4035D9F3">
            <w:pPr>
              <w:tabs>
                <w:tab w:val="left" w:pos="4320"/>
              </w:tabs>
              <w:rPr>
                <w:rFonts w:hint="eastAsia" w:ascii="宋体" w:hAnsi="宋体" w:eastAsia="宋体" w:cs="宋体"/>
                <w:color w:val="auto"/>
                <w:sz w:val="24"/>
                <w:highlight w:val="none"/>
              </w:rPr>
            </w:pPr>
          </w:p>
        </w:tc>
        <w:tc>
          <w:tcPr>
            <w:tcW w:w="4206" w:type="dxa"/>
            <w:gridSpan w:val="6"/>
            <w:noWrap w:val="0"/>
            <w:vAlign w:val="center"/>
          </w:tcPr>
          <w:p w14:paraId="157B6896">
            <w:pPr>
              <w:tabs>
                <w:tab w:val="left" w:pos="4320"/>
              </w:tabs>
              <w:rPr>
                <w:rFonts w:hint="eastAsia" w:ascii="宋体" w:hAnsi="宋体" w:eastAsia="宋体" w:cs="宋体"/>
                <w:color w:val="auto"/>
                <w:sz w:val="24"/>
                <w:highlight w:val="none"/>
              </w:rPr>
            </w:pPr>
          </w:p>
        </w:tc>
        <w:tc>
          <w:tcPr>
            <w:tcW w:w="4142" w:type="dxa"/>
            <w:gridSpan w:val="5"/>
            <w:noWrap w:val="0"/>
            <w:vAlign w:val="center"/>
          </w:tcPr>
          <w:p w14:paraId="4F6590FC">
            <w:pPr>
              <w:tabs>
                <w:tab w:val="left" w:pos="4320"/>
              </w:tabs>
              <w:rPr>
                <w:rFonts w:hint="eastAsia" w:ascii="宋体" w:hAnsi="宋体" w:eastAsia="宋体" w:cs="宋体"/>
                <w:color w:val="auto"/>
                <w:sz w:val="24"/>
                <w:highlight w:val="none"/>
              </w:rPr>
            </w:pPr>
          </w:p>
        </w:tc>
      </w:tr>
    </w:tbl>
    <w:p w14:paraId="08856FB4">
      <w:pPr>
        <w:pStyle w:val="7"/>
        <w:spacing w:line="300" w:lineRule="auto"/>
        <w:ind w:left="0" w:leftChars="0" w:firstLine="0" w:firstLineChars="0"/>
        <w:jc w:val="left"/>
        <w:rPr>
          <w:rFonts w:hint="eastAsia" w:ascii="宋体" w:hAnsi="宋体" w:eastAsia="宋体" w:cs="宋体"/>
          <w:b/>
          <w:bCs/>
          <w:color w:val="auto"/>
          <w:sz w:val="30"/>
          <w:szCs w:val="30"/>
          <w:highlight w:val="none"/>
        </w:rPr>
      </w:pPr>
      <w:bookmarkStart w:id="110" w:name="_Toc20744274"/>
      <w:bookmarkStart w:id="111" w:name="_Toc20744811"/>
    </w:p>
    <w:p w14:paraId="58203DD3">
      <w:pPr>
        <w:pStyle w:val="7"/>
        <w:spacing w:line="300" w:lineRule="auto"/>
        <w:ind w:firstLine="602" w:firstLineChars="200"/>
        <w:jc w:val="left"/>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1</w:t>
      </w:r>
      <w:r>
        <w:rPr>
          <w:rFonts w:hint="eastAsia" w:ascii="宋体" w:hAnsi="宋体" w:cs="宋体"/>
          <w:b/>
          <w:bCs/>
          <w:color w:val="auto"/>
          <w:sz w:val="30"/>
          <w:szCs w:val="30"/>
          <w:highlight w:val="none"/>
          <w:lang w:val="en-US" w:eastAsia="zh-CN"/>
        </w:rPr>
        <w:t>1</w:t>
      </w:r>
    </w:p>
    <w:p w14:paraId="4D1D18BA">
      <w:pPr>
        <w:pStyle w:val="7"/>
        <w:spacing w:line="300" w:lineRule="auto"/>
        <w:ind w:firstLine="602" w:firstLineChars="200"/>
        <w:jc w:val="center"/>
        <w:rPr>
          <w:rFonts w:hint="eastAsia" w:ascii="宋体" w:hAnsi="宋体" w:eastAsia="宋体" w:cs="宋体"/>
          <w:b/>
          <w:bCs/>
          <w:color w:val="auto"/>
          <w:sz w:val="30"/>
          <w:szCs w:val="30"/>
          <w:highlight w:val="none"/>
        </w:rPr>
      </w:pPr>
    </w:p>
    <w:p w14:paraId="116BFC6D">
      <w:pPr>
        <w:pStyle w:val="7"/>
        <w:spacing w:line="300" w:lineRule="auto"/>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计划投入的主要施工机械设备表</w:t>
      </w:r>
    </w:p>
    <w:tbl>
      <w:tblPr>
        <w:tblStyle w:val="29"/>
        <w:tblW w:w="830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14:paraId="5690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BCB1E2F">
            <w:pPr>
              <w:pStyle w:val="7"/>
              <w:spacing w:line="360" w:lineRule="auto"/>
              <w:ind w:firstLine="0"/>
              <w:jc w:val="center"/>
              <w:rPr>
                <w:rFonts w:hint="eastAsia" w:ascii="宋体" w:hAnsi="宋体" w:eastAsia="宋体" w:cs="宋体"/>
                <w:color w:val="auto"/>
                <w:position w:val="-32"/>
                <w:highlight w:val="none"/>
              </w:rPr>
            </w:pPr>
            <w:r>
              <w:rPr>
                <w:rFonts w:hint="eastAsia" w:ascii="宋体" w:hAnsi="宋体" w:eastAsia="宋体" w:cs="宋体"/>
                <w:color w:val="auto"/>
                <w:position w:val="-32"/>
                <w:highlight w:val="none"/>
              </w:rPr>
              <w:t>序号</w:t>
            </w:r>
          </w:p>
        </w:tc>
        <w:tc>
          <w:tcPr>
            <w:tcW w:w="1700" w:type="dxa"/>
          </w:tcPr>
          <w:p w14:paraId="20C1C545">
            <w:pPr>
              <w:pStyle w:val="7"/>
              <w:spacing w:line="360" w:lineRule="auto"/>
              <w:ind w:firstLine="0"/>
              <w:jc w:val="center"/>
              <w:rPr>
                <w:rFonts w:hint="eastAsia" w:ascii="宋体" w:hAnsi="宋体" w:eastAsia="宋体" w:cs="宋体"/>
                <w:color w:val="auto"/>
                <w:position w:val="-50"/>
                <w:highlight w:val="none"/>
              </w:rPr>
            </w:pPr>
            <w:r>
              <w:rPr>
                <w:rFonts w:hint="eastAsia" w:ascii="宋体" w:hAnsi="宋体" w:eastAsia="宋体" w:cs="宋体"/>
                <w:color w:val="auto"/>
                <w:position w:val="-50"/>
                <w:highlight w:val="none"/>
              </w:rPr>
              <w:t>机械设备名称</w:t>
            </w:r>
          </w:p>
        </w:tc>
        <w:tc>
          <w:tcPr>
            <w:tcW w:w="700" w:type="dxa"/>
          </w:tcPr>
          <w:p w14:paraId="2C48EE32">
            <w:pPr>
              <w:pStyle w:val="7"/>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型号规格</w:t>
            </w:r>
          </w:p>
        </w:tc>
        <w:tc>
          <w:tcPr>
            <w:tcW w:w="700" w:type="dxa"/>
          </w:tcPr>
          <w:p w14:paraId="6469F08C">
            <w:pPr>
              <w:pStyle w:val="7"/>
              <w:spacing w:line="360" w:lineRule="auto"/>
              <w:ind w:firstLine="0"/>
              <w:jc w:val="center"/>
              <w:rPr>
                <w:rFonts w:hint="eastAsia" w:ascii="宋体" w:hAnsi="宋体" w:eastAsia="宋体" w:cs="宋体"/>
                <w:color w:val="auto"/>
                <w:position w:val="-50"/>
                <w:highlight w:val="none"/>
              </w:rPr>
            </w:pPr>
            <w:r>
              <w:rPr>
                <w:rFonts w:hint="eastAsia" w:ascii="宋体" w:hAnsi="宋体" w:eastAsia="宋体" w:cs="宋体"/>
                <w:color w:val="auto"/>
                <w:position w:val="-50"/>
                <w:highlight w:val="none"/>
              </w:rPr>
              <w:t>数量</w:t>
            </w:r>
          </w:p>
        </w:tc>
        <w:tc>
          <w:tcPr>
            <w:tcW w:w="900" w:type="dxa"/>
          </w:tcPr>
          <w:p w14:paraId="18D6FC81">
            <w:pPr>
              <w:pStyle w:val="7"/>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国 别</w:t>
            </w:r>
          </w:p>
          <w:p w14:paraId="72247E8C">
            <w:pPr>
              <w:pStyle w:val="7"/>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产 地</w:t>
            </w:r>
          </w:p>
        </w:tc>
        <w:tc>
          <w:tcPr>
            <w:tcW w:w="900" w:type="dxa"/>
          </w:tcPr>
          <w:p w14:paraId="4022569F">
            <w:pPr>
              <w:pStyle w:val="7"/>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制 造</w:t>
            </w:r>
          </w:p>
          <w:p w14:paraId="5B0CBDEC">
            <w:pPr>
              <w:pStyle w:val="7"/>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年 份</w:t>
            </w:r>
          </w:p>
        </w:tc>
        <w:tc>
          <w:tcPr>
            <w:tcW w:w="1100" w:type="dxa"/>
          </w:tcPr>
          <w:p w14:paraId="473AAF9F">
            <w:pPr>
              <w:pStyle w:val="7"/>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额定功率(KW)</w:t>
            </w:r>
          </w:p>
        </w:tc>
        <w:tc>
          <w:tcPr>
            <w:tcW w:w="1100" w:type="dxa"/>
          </w:tcPr>
          <w:p w14:paraId="6D9BBE7F">
            <w:pPr>
              <w:pStyle w:val="7"/>
              <w:spacing w:line="360" w:lineRule="auto"/>
              <w:ind w:firstLine="0"/>
              <w:jc w:val="center"/>
              <w:rPr>
                <w:rFonts w:hint="eastAsia" w:ascii="宋体" w:hAnsi="宋体" w:eastAsia="宋体" w:cs="宋体"/>
                <w:color w:val="auto"/>
                <w:position w:val="-30"/>
                <w:highlight w:val="none"/>
              </w:rPr>
            </w:pPr>
            <w:r>
              <w:rPr>
                <w:rFonts w:hint="eastAsia" w:ascii="宋体" w:hAnsi="宋体" w:eastAsia="宋体" w:cs="宋体"/>
                <w:color w:val="auto"/>
                <w:position w:val="-30"/>
                <w:highlight w:val="none"/>
              </w:rPr>
              <w:t>生产能力(MH)</w:t>
            </w:r>
          </w:p>
        </w:tc>
        <w:tc>
          <w:tcPr>
            <w:tcW w:w="700" w:type="dxa"/>
          </w:tcPr>
          <w:p w14:paraId="3D53363C">
            <w:pPr>
              <w:pStyle w:val="7"/>
              <w:spacing w:line="360" w:lineRule="auto"/>
              <w:ind w:firstLine="0"/>
              <w:jc w:val="center"/>
              <w:rPr>
                <w:rFonts w:hint="eastAsia" w:ascii="宋体" w:hAnsi="宋体" w:eastAsia="宋体" w:cs="宋体"/>
                <w:color w:val="auto"/>
                <w:position w:val="-50"/>
                <w:highlight w:val="none"/>
              </w:rPr>
            </w:pPr>
            <w:r>
              <w:rPr>
                <w:rFonts w:hint="eastAsia" w:ascii="宋体" w:hAnsi="宋体" w:eastAsia="宋体" w:cs="宋体"/>
                <w:color w:val="auto"/>
                <w:position w:val="-50"/>
                <w:highlight w:val="none"/>
              </w:rPr>
              <w:t>备注</w:t>
            </w:r>
          </w:p>
        </w:tc>
      </w:tr>
      <w:tr w14:paraId="63BE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D887B31">
            <w:pPr>
              <w:pStyle w:val="7"/>
              <w:spacing w:line="360" w:lineRule="auto"/>
              <w:ind w:left="1260" w:firstLine="0"/>
              <w:rPr>
                <w:rFonts w:hint="eastAsia" w:ascii="宋体" w:hAnsi="宋体" w:eastAsia="宋体" w:cs="宋体"/>
                <w:color w:val="auto"/>
                <w:highlight w:val="none"/>
              </w:rPr>
            </w:pPr>
          </w:p>
        </w:tc>
        <w:tc>
          <w:tcPr>
            <w:tcW w:w="1700" w:type="dxa"/>
          </w:tcPr>
          <w:p w14:paraId="76B9EE10">
            <w:pPr>
              <w:pStyle w:val="7"/>
              <w:spacing w:line="360" w:lineRule="auto"/>
              <w:ind w:left="1260" w:firstLine="0"/>
              <w:rPr>
                <w:rFonts w:hint="eastAsia" w:ascii="宋体" w:hAnsi="宋体" w:eastAsia="宋体" w:cs="宋体"/>
                <w:color w:val="auto"/>
                <w:highlight w:val="none"/>
              </w:rPr>
            </w:pPr>
          </w:p>
        </w:tc>
        <w:tc>
          <w:tcPr>
            <w:tcW w:w="700" w:type="dxa"/>
          </w:tcPr>
          <w:p w14:paraId="6E9AB985">
            <w:pPr>
              <w:pStyle w:val="7"/>
              <w:spacing w:line="360" w:lineRule="auto"/>
              <w:ind w:left="1260" w:firstLine="0"/>
              <w:rPr>
                <w:rFonts w:hint="eastAsia" w:ascii="宋体" w:hAnsi="宋体" w:eastAsia="宋体" w:cs="宋体"/>
                <w:color w:val="auto"/>
                <w:highlight w:val="none"/>
              </w:rPr>
            </w:pPr>
          </w:p>
        </w:tc>
        <w:tc>
          <w:tcPr>
            <w:tcW w:w="700" w:type="dxa"/>
          </w:tcPr>
          <w:p w14:paraId="53D398C8">
            <w:pPr>
              <w:pStyle w:val="7"/>
              <w:spacing w:line="360" w:lineRule="auto"/>
              <w:ind w:left="1260" w:firstLine="0"/>
              <w:rPr>
                <w:rFonts w:hint="eastAsia" w:ascii="宋体" w:hAnsi="宋体" w:eastAsia="宋体" w:cs="宋体"/>
                <w:color w:val="auto"/>
                <w:highlight w:val="none"/>
              </w:rPr>
            </w:pPr>
          </w:p>
        </w:tc>
        <w:tc>
          <w:tcPr>
            <w:tcW w:w="900" w:type="dxa"/>
          </w:tcPr>
          <w:p w14:paraId="7B890833">
            <w:pPr>
              <w:pStyle w:val="7"/>
              <w:spacing w:line="360" w:lineRule="auto"/>
              <w:ind w:left="1260" w:firstLine="0"/>
              <w:rPr>
                <w:rFonts w:hint="eastAsia" w:ascii="宋体" w:hAnsi="宋体" w:eastAsia="宋体" w:cs="宋体"/>
                <w:color w:val="auto"/>
                <w:highlight w:val="none"/>
              </w:rPr>
            </w:pPr>
          </w:p>
        </w:tc>
        <w:tc>
          <w:tcPr>
            <w:tcW w:w="900" w:type="dxa"/>
          </w:tcPr>
          <w:p w14:paraId="16AF77AF">
            <w:pPr>
              <w:pStyle w:val="7"/>
              <w:spacing w:line="360" w:lineRule="auto"/>
              <w:ind w:left="1260" w:firstLine="0"/>
              <w:rPr>
                <w:rFonts w:hint="eastAsia" w:ascii="宋体" w:hAnsi="宋体" w:eastAsia="宋体" w:cs="宋体"/>
                <w:color w:val="auto"/>
                <w:highlight w:val="none"/>
              </w:rPr>
            </w:pPr>
          </w:p>
        </w:tc>
        <w:tc>
          <w:tcPr>
            <w:tcW w:w="1100" w:type="dxa"/>
          </w:tcPr>
          <w:p w14:paraId="1E857EDC">
            <w:pPr>
              <w:pStyle w:val="7"/>
              <w:spacing w:line="360" w:lineRule="auto"/>
              <w:ind w:left="1260" w:firstLine="0"/>
              <w:rPr>
                <w:rFonts w:hint="eastAsia" w:ascii="宋体" w:hAnsi="宋体" w:eastAsia="宋体" w:cs="宋体"/>
                <w:color w:val="auto"/>
                <w:highlight w:val="none"/>
              </w:rPr>
            </w:pPr>
          </w:p>
        </w:tc>
        <w:tc>
          <w:tcPr>
            <w:tcW w:w="1100" w:type="dxa"/>
          </w:tcPr>
          <w:p w14:paraId="0738BE82">
            <w:pPr>
              <w:pStyle w:val="7"/>
              <w:spacing w:line="360" w:lineRule="auto"/>
              <w:ind w:left="1260" w:firstLine="0"/>
              <w:rPr>
                <w:rFonts w:hint="eastAsia" w:ascii="宋体" w:hAnsi="宋体" w:eastAsia="宋体" w:cs="宋体"/>
                <w:color w:val="auto"/>
                <w:highlight w:val="none"/>
              </w:rPr>
            </w:pPr>
          </w:p>
        </w:tc>
        <w:tc>
          <w:tcPr>
            <w:tcW w:w="700" w:type="dxa"/>
          </w:tcPr>
          <w:p w14:paraId="576A1019">
            <w:pPr>
              <w:pStyle w:val="7"/>
              <w:spacing w:line="360" w:lineRule="auto"/>
              <w:ind w:left="1260" w:firstLine="0"/>
              <w:rPr>
                <w:rFonts w:hint="eastAsia" w:ascii="宋体" w:hAnsi="宋体" w:eastAsia="宋体" w:cs="宋体"/>
                <w:color w:val="auto"/>
                <w:highlight w:val="none"/>
              </w:rPr>
            </w:pPr>
          </w:p>
        </w:tc>
      </w:tr>
      <w:tr w14:paraId="4E6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C745906">
            <w:pPr>
              <w:pStyle w:val="7"/>
              <w:spacing w:line="360" w:lineRule="auto"/>
              <w:ind w:left="1260" w:firstLine="0"/>
              <w:rPr>
                <w:rFonts w:hint="eastAsia" w:ascii="宋体" w:hAnsi="宋体" w:eastAsia="宋体" w:cs="宋体"/>
                <w:color w:val="auto"/>
                <w:highlight w:val="none"/>
              </w:rPr>
            </w:pPr>
          </w:p>
        </w:tc>
        <w:tc>
          <w:tcPr>
            <w:tcW w:w="1700" w:type="dxa"/>
          </w:tcPr>
          <w:p w14:paraId="6A78A9A0">
            <w:pPr>
              <w:pStyle w:val="7"/>
              <w:spacing w:line="360" w:lineRule="auto"/>
              <w:ind w:left="1260" w:firstLine="0"/>
              <w:rPr>
                <w:rFonts w:hint="eastAsia" w:ascii="宋体" w:hAnsi="宋体" w:eastAsia="宋体" w:cs="宋体"/>
                <w:color w:val="auto"/>
                <w:highlight w:val="none"/>
              </w:rPr>
            </w:pPr>
          </w:p>
        </w:tc>
        <w:tc>
          <w:tcPr>
            <w:tcW w:w="700" w:type="dxa"/>
          </w:tcPr>
          <w:p w14:paraId="1BA059DB">
            <w:pPr>
              <w:pStyle w:val="7"/>
              <w:spacing w:line="360" w:lineRule="auto"/>
              <w:ind w:left="1260" w:firstLine="0"/>
              <w:rPr>
                <w:rFonts w:hint="eastAsia" w:ascii="宋体" w:hAnsi="宋体" w:eastAsia="宋体" w:cs="宋体"/>
                <w:color w:val="auto"/>
                <w:highlight w:val="none"/>
              </w:rPr>
            </w:pPr>
          </w:p>
        </w:tc>
        <w:tc>
          <w:tcPr>
            <w:tcW w:w="700" w:type="dxa"/>
          </w:tcPr>
          <w:p w14:paraId="619BA326">
            <w:pPr>
              <w:pStyle w:val="7"/>
              <w:spacing w:line="360" w:lineRule="auto"/>
              <w:ind w:left="1260" w:firstLine="0"/>
              <w:rPr>
                <w:rFonts w:hint="eastAsia" w:ascii="宋体" w:hAnsi="宋体" w:eastAsia="宋体" w:cs="宋体"/>
                <w:color w:val="auto"/>
                <w:highlight w:val="none"/>
              </w:rPr>
            </w:pPr>
          </w:p>
        </w:tc>
        <w:tc>
          <w:tcPr>
            <w:tcW w:w="900" w:type="dxa"/>
          </w:tcPr>
          <w:p w14:paraId="6BE938B1">
            <w:pPr>
              <w:pStyle w:val="7"/>
              <w:spacing w:line="360" w:lineRule="auto"/>
              <w:ind w:left="1260" w:firstLine="0"/>
              <w:rPr>
                <w:rFonts w:hint="eastAsia" w:ascii="宋体" w:hAnsi="宋体" w:eastAsia="宋体" w:cs="宋体"/>
                <w:color w:val="auto"/>
                <w:highlight w:val="none"/>
              </w:rPr>
            </w:pPr>
          </w:p>
        </w:tc>
        <w:tc>
          <w:tcPr>
            <w:tcW w:w="900" w:type="dxa"/>
          </w:tcPr>
          <w:p w14:paraId="7863CEE6">
            <w:pPr>
              <w:pStyle w:val="7"/>
              <w:spacing w:line="360" w:lineRule="auto"/>
              <w:ind w:left="1260" w:firstLine="0"/>
              <w:rPr>
                <w:rFonts w:hint="eastAsia" w:ascii="宋体" w:hAnsi="宋体" w:eastAsia="宋体" w:cs="宋体"/>
                <w:color w:val="auto"/>
                <w:highlight w:val="none"/>
              </w:rPr>
            </w:pPr>
          </w:p>
        </w:tc>
        <w:tc>
          <w:tcPr>
            <w:tcW w:w="1100" w:type="dxa"/>
          </w:tcPr>
          <w:p w14:paraId="63D763C2">
            <w:pPr>
              <w:pStyle w:val="7"/>
              <w:spacing w:line="360" w:lineRule="auto"/>
              <w:ind w:left="1260" w:firstLine="0"/>
              <w:rPr>
                <w:rFonts w:hint="eastAsia" w:ascii="宋体" w:hAnsi="宋体" w:eastAsia="宋体" w:cs="宋体"/>
                <w:color w:val="auto"/>
                <w:highlight w:val="none"/>
              </w:rPr>
            </w:pPr>
          </w:p>
        </w:tc>
        <w:tc>
          <w:tcPr>
            <w:tcW w:w="1100" w:type="dxa"/>
          </w:tcPr>
          <w:p w14:paraId="177FE4A7">
            <w:pPr>
              <w:pStyle w:val="7"/>
              <w:spacing w:line="360" w:lineRule="auto"/>
              <w:ind w:left="1260" w:firstLine="0"/>
              <w:rPr>
                <w:rFonts w:hint="eastAsia" w:ascii="宋体" w:hAnsi="宋体" w:eastAsia="宋体" w:cs="宋体"/>
                <w:color w:val="auto"/>
                <w:highlight w:val="none"/>
              </w:rPr>
            </w:pPr>
          </w:p>
        </w:tc>
        <w:tc>
          <w:tcPr>
            <w:tcW w:w="700" w:type="dxa"/>
          </w:tcPr>
          <w:p w14:paraId="5F1A20C0">
            <w:pPr>
              <w:pStyle w:val="7"/>
              <w:spacing w:line="360" w:lineRule="auto"/>
              <w:ind w:left="1260" w:firstLine="0"/>
              <w:rPr>
                <w:rFonts w:hint="eastAsia" w:ascii="宋体" w:hAnsi="宋体" w:eastAsia="宋体" w:cs="宋体"/>
                <w:color w:val="auto"/>
                <w:highlight w:val="none"/>
              </w:rPr>
            </w:pPr>
          </w:p>
        </w:tc>
      </w:tr>
      <w:tr w14:paraId="4AF8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D6FA9CD">
            <w:pPr>
              <w:pStyle w:val="7"/>
              <w:spacing w:line="360" w:lineRule="auto"/>
              <w:ind w:left="1260" w:firstLine="0"/>
              <w:rPr>
                <w:rFonts w:hint="eastAsia" w:ascii="宋体" w:hAnsi="宋体" w:eastAsia="宋体" w:cs="宋体"/>
                <w:color w:val="auto"/>
                <w:highlight w:val="none"/>
              </w:rPr>
            </w:pPr>
          </w:p>
        </w:tc>
        <w:tc>
          <w:tcPr>
            <w:tcW w:w="1700" w:type="dxa"/>
          </w:tcPr>
          <w:p w14:paraId="6B0103C9">
            <w:pPr>
              <w:pStyle w:val="7"/>
              <w:spacing w:line="360" w:lineRule="auto"/>
              <w:ind w:left="1260" w:firstLine="0"/>
              <w:rPr>
                <w:rFonts w:hint="eastAsia" w:ascii="宋体" w:hAnsi="宋体" w:eastAsia="宋体" w:cs="宋体"/>
                <w:color w:val="auto"/>
                <w:highlight w:val="none"/>
              </w:rPr>
            </w:pPr>
          </w:p>
        </w:tc>
        <w:tc>
          <w:tcPr>
            <w:tcW w:w="700" w:type="dxa"/>
          </w:tcPr>
          <w:p w14:paraId="6B06E2A7">
            <w:pPr>
              <w:pStyle w:val="7"/>
              <w:spacing w:line="360" w:lineRule="auto"/>
              <w:ind w:left="1260" w:firstLine="0"/>
              <w:rPr>
                <w:rFonts w:hint="eastAsia" w:ascii="宋体" w:hAnsi="宋体" w:eastAsia="宋体" w:cs="宋体"/>
                <w:color w:val="auto"/>
                <w:highlight w:val="none"/>
              </w:rPr>
            </w:pPr>
          </w:p>
        </w:tc>
        <w:tc>
          <w:tcPr>
            <w:tcW w:w="700" w:type="dxa"/>
          </w:tcPr>
          <w:p w14:paraId="1F4B4D12">
            <w:pPr>
              <w:pStyle w:val="7"/>
              <w:spacing w:line="360" w:lineRule="auto"/>
              <w:ind w:left="1260" w:firstLine="0"/>
              <w:rPr>
                <w:rFonts w:hint="eastAsia" w:ascii="宋体" w:hAnsi="宋体" w:eastAsia="宋体" w:cs="宋体"/>
                <w:color w:val="auto"/>
                <w:highlight w:val="none"/>
              </w:rPr>
            </w:pPr>
          </w:p>
        </w:tc>
        <w:tc>
          <w:tcPr>
            <w:tcW w:w="900" w:type="dxa"/>
          </w:tcPr>
          <w:p w14:paraId="7164170B">
            <w:pPr>
              <w:pStyle w:val="7"/>
              <w:spacing w:line="360" w:lineRule="auto"/>
              <w:ind w:left="1260" w:firstLine="0"/>
              <w:rPr>
                <w:rFonts w:hint="eastAsia" w:ascii="宋体" w:hAnsi="宋体" w:eastAsia="宋体" w:cs="宋体"/>
                <w:color w:val="auto"/>
                <w:highlight w:val="none"/>
              </w:rPr>
            </w:pPr>
          </w:p>
        </w:tc>
        <w:tc>
          <w:tcPr>
            <w:tcW w:w="900" w:type="dxa"/>
          </w:tcPr>
          <w:p w14:paraId="6B79E5DF">
            <w:pPr>
              <w:pStyle w:val="7"/>
              <w:spacing w:line="360" w:lineRule="auto"/>
              <w:ind w:left="1260" w:firstLine="0"/>
              <w:rPr>
                <w:rFonts w:hint="eastAsia" w:ascii="宋体" w:hAnsi="宋体" w:eastAsia="宋体" w:cs="宋体"/>
                <w:color w:val="auto"/>
                <w:highlight w:val="none"/>
              </w:rPr>
            </w:pPr>
          </w:p>
        </w:tc>
        <w:tc>
          <w:tcPr>
            <w:tcW w:w="1100" w:type="dxa"/>
          </w:tcPr>
          <w:p w14:paraId="69442CDC">
            <w:pPr>
              <w:pStyle w:val="7"/>
              <w:spacing w:line="360" w:lineRule="auto"/>
              <w:ind w:left="1260" w:firstLine="0"/>
              <w:rPr>
                <w:rFonts w:hint="eastAsia" w:ascii="宋体" w:hAnsi="宋体" w:eastAsia="宋体" w:cs="宋体"/>
                <w:color w:val="auto"/>
                <w:highlight w:val="none"/>
              </w:rPr>
            </w:pPr>
          </w:p>
        </w:tc>
        <w:tc>
          <w:tcPr>
            <w:tcW w:w="1100" w:type="dxa"/>
          </w:tcPr>
          <w:p w14:paraId="49825517">
            <w:pPr>
              <w:pStyle w:val="7"/>
              <w:spacing w:line="360" w:lineRule="auto"/>
              <w:ind w:left="1260" w:firstLine="0"/>
              <w:rPr>
                <w:rFonts w:hint="eastAsia" w:ascii="宋体" w:hAnsi="宋体" w:eastAsia="宋体" w:cs="宋体"/>
                <w:color w:val="auto"/>
                <w:highlight w:val="none"/>
              </w:rPr>
            </w:pPr>
          </w:p>
        </w:tc>
        <w:tc>
          <w:tcPr>
            <w:tcW w:w="700" w:type="dxa"/>
          </w:tcPr>
          <w:p w14:paraId="01CDA8C7">
            <w:pPr>
              <w:pStyle w:val="7"/>
              <w:spacing w:line="360" w:lineRule="auto"/>
              <w:ind w:left="1260" w:firstLine="0"/>
              <w:rPr>
                <w:rFonts w:hint="eastAsia" w:ascii="宋体" w:hAnsi="宋体" w:eastAsia="宋体" w:cs="宋体"/>
                <w:color w:val="auto"/>
                <w:highlight w:val="none"/>
              </w:rPr>
            </w:pPr>
          </w:p>
        </w:tc>
      </w:tr>
      <w:tr w14:paraId="33B2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D7386F2">
            <w:pPr>
              <w:pStyle w:val="7"/>
              <w:spacing w:line="360" w:lineRule="auto"/>
              <w:ind w:left="1260" w:firstLine="0"/>
              <w:rPr>
                <w:rFonts w:hint="eastAsia" w:ascii="宋体" w:hAnsi="宋体" w:eastAsia="宋体" w:cs="宋体"/>
                <w:color w:val="auto"/>
                <w:highlight w:val="none"/>
              </w:rPr>
            </w:pPr>
          </w:p>
        </w:tc>
        <w:tc>
          <w:tcPr>
            <w:tcW w:w="1700" w:type="dxa"/>
          </w:tcPr>
          <w:p w14:paraId="7A4E61BF">
            <w:pPr>
              <w:pStyle w:val="7"/>
              <w:spacing w:line="360" w:lineRule="auto"/>
              <w:ind w:left="1260" w:firstLine="0"/>
              <w:rPr>
                <w:rFonts w:hint="eastAsia" w:ascii="宋体" w:hAnsi="宋体" w:eastAsia="宋体" w:cs="宋体"/>
                <w:color w:val="auto"/>
                <w:highlight w:val="none"/>
              </w:rPr>
            </w:pPr>
          </w:p>
        </w:tc>
        <w:tc>
          <w:tcPr>
            <w:tcW w:w="700" w:type="dxa"/>
          </w:tcPr>
          <w:p w14:paraId="5983B2EA">
            <w:pPr>
              <w:pStyle w:val="7"/>
              <w:spacing w:line="360" w:lineRule="auto"/>
              <w:ind w:left="1260" w:firstLine="0"/>
              <w:rPr>
                <w:rFonts w:hint="eastAsia" w:ascii="宋体" w:hAnsi="宋体" w:eastAsia="宋体" w:cs="宋体"/>
                <w:color w:val="auto"/>
                <w:highlight w:val="none"/>
              </w:rPr>
            </w:pPr>
          </w:p>
        </w:tc>
        <w:tc>
          <w:tcPr>
            <w:tcW w:w="700" w:type="dxa"/>
          </w:tcPr>
          <w:p w14:paraId="61F6BE28">
            <w:pPr>
              <w:pStyle w:val="7"/>
              <w:spacing w:line="360" w:lineRule="auto"/>
              <w:ind w:left="1260" w:firstLine="0"/>
              <w:rPr>
                <w:rFonts w:hint="eastAsia" w:ascii="宋体" w:hAnsi="宋体" w:eastAsia="宋体" w:cs="宋体"/>
                <w:color w:val="auto"/>
                <w:highlight w:val="none"/>
              </w:rPr>
            </w:pPr>
          </w:p>
        </w:tc>
        <w:tc>
          <w:tcPr>
            <w:tcW w:w="900" w:type="dxa"/>
          </w:tcPr>
          <w:p w14:paraId="06F221A0">
            <w:pPr>
              <w:pStyle w:val="7"/>
              <w:spacing w:line="360" w:lineRule="auto"/>
              <w:ind w:left="1260" w:firstLine="0"/>
              <w:rPr>
                <w:rFonts w:hint="eastAsia" w:ascii="宋体" w:hAnsi="宋体" w:eastAsia="宋体" w:cs="宋体"/>
                <w:color w:val="auto"/>
                <w:highlight w:val="none"/>
              </w:rPr>
            </w:pPr>
          </w:p>
        </w:tc>
        <w:tc>
          <w:tcPr>
            <w:tcW w:w="900" w:type="dxa"/>
          </w:tcPr>
          <w:p w14:paraId="7F14FE74">
            <w:pPr>
              <w:pStyle w:val="7"/>
              <w:spacing w:line="360" w:lineRule="auto"/>
              <w:ind w:left="1260" w:firstLine="0"/>
              <w:rPr>
                <w:rFonts w:hint="eastAsia" w:ascii="宋体" w:hAnsi="宋体" w:eastAsia="宋体" w:cs="宋体"/>
                <w:color w:val="auto"/>
                <w:highlight w:val="none"/>
              </w:rPr>
            </w:pPr>
          </w:p>
        </w:tc>
        <w:tc>
          <w:tcPr>
            <w:tcW w:w="1100" w:type="dxa"/>
          </w:tcPr>
          <w:p w14:paraId="5F1E67CD">
            <w:pPr>
              <w:pStyle w:val="7"/>
              <w:spacing w:line="360" w:lineRule="auto"/>
              <w:ind w:left="1260" w:firstLine="0"/>
              <w:rPr>
                <w:rFonts w:hint="eastAsia" w:ascii="宋体" w:hAnsi="宋体" w:eastAsia="宋体" w:cs="宋体"/>
                <w:color w:val="auto"/>
                <w:highlight w:val="none"/>
              </w:rPr>
            </w:pPr>
          </w:p>
        </w:tc>
        <w:tc>
          <w:tcPr>
            <w:tcW w:w="1100" w:type="dxa"/>
          </w:tcPr>
          <w:p w14:paraId="37AE70A7">
            <w:pPr>
              <w:pStyle w:val="7"/>
              <w:spacing w:line="360" w:lineRule="auto"/>
              <w:ind w:left="1260" w:firstLine="0"/>
              <w:rPr>
                <w:rFonts w:hint="eastAsia" w:ascii="宋体" w:hAnsi="宋体" w:eastAsia="宋体" w:cs="宋体"/>
                <w:color w:val="auto"/>
                <w:highlight w:val="none"/>
              </w:rPr>
            </w:pPr>
          </w:p>
        </w:tc>
        <w:tc>
          <w:tcPr>
            <w:tcW w:w="700" w:type="dxa"/>
          </w:tcPr>
          <w:p w14:paraId="20A27FD9">
            <w:pPr>
              <w:pStyle w:val="7"/>
              <w:spacing w:line="360" w:lineRule="auto"/>
              <w:ind w:left="1260" w:firstLine="0"/>
              <w:rPr>
                <w:rFonts w:hint="eastAsia" w:ascii="宋体" w:hAnsi="宋体" w:eastAsia="宋体" w:cs="宋体"/>
                <w:color w:val="auto"/>
                <w:highlight w:val="none"/>
              </w:rPr>
            </w:pPr>
          </w:p>
        </w:tc>
      </w:tr>
      <w:tr w14:paraId="383B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70CFDA6">
            <w:pPr>
              <w:pStyle w:val="7"/>
              <w:spacing w:line="360" w:lineRule="auto"/>
              <w:ind w:left="1260" w:firstLine="0"/>
              <w:rPr>
                <w:rFonts w:hint="eastAsia" w:ascii="宋体" w:hAnsi="宋体" w:eastAsia="宋体" w:cs="宋体"/>
                <w:color w:val="auto"/>
                <w:highlight w:val="none"/>
              </w:rPr>
            </w:pPr>
          </w:p>
        </w:tc>
        <w:tc>
          <w:tcPr>
            <w:tcW w:w="1700" w:type="dxa"/>
          </w:tcPr>
          <w:p w14:paraId="6C613719">
            <w:pPr>
              <w:pStyle w:val="7"/>
              <w:spacing w:line="360" w:lineRule="auto"/>
              <w:ind w:left="1260" w:firstLine="0"/>
              <w:rPr>
                <w:rFonts w:hint="eastAsia" w:ascii="宋体" w:hAnsi="宋体" w:eastAsia="宋体" w:cs="宋体"/>
                <w:color w:val="auto"/>
                <w:highlight w:val="none"/>
              </w:rPr>
            </w:pPr>
          </w:p>
        </w:tc>
        <w:tc>
          <w:tcPr>
            <w:tcW w:w="700" w:type="dxa"/>
          </w:tcPr>
          <w:p w14:paraId="442E7CA3">
            <w:pPr>
              <w:pStyle w:val="7"/>
              <w:spacing w:line="360" w:lineRule="auto"/>
              <w:ind w:left="1260" w:firstLine="0"/>
              <w:rPr>
                <w:rFonts w:hint="eastAsia" w:ascii="宋体" w:hAnsi="宋体" w:eastAsia="宋体" w:cs="宋体"/>
                <w:color w:val="auto"/>
                <w:highlight w:val="none"/>
              </w:rPr>
            </w:pPr>
          </w:p>
        </w:tc>
        <w:tc>
          <w:tcPr>
            <w:tcW w:w="700" w:type="dxa"/>
          </w:tcPr>
          <w:p w14:paraId="1F26616E">
            <w:pPr>
              <w:pStyle w:val="7"/>
              <w:spacing w:line="360" w:lineRule="auto"/>
              <w:ind w:left="1260" w:firstLine="0"/>
              <w:rPr>
                <w:rFonts w:hint="eastAsia" w:ascii="宋体" w:hAnsi="宋体" w:eastAsia="宋体" w:cs="宋体"/>
                <w:color w:val="auto"/>
                <w:highlight w:val="none"/>
              </w:rPr>
            </w:pPr>
          </w:p>
        </w:tc>
        <w:tc>
          <w:tcPr>
            <w:tcW w:w="900" w:type="dxa"/>
          </w:tcPr>
          <w:p w14:paraId="089AA279">
            <w:pPr>
              <w:pStyle w:val="7"/>
              <w:spacing w:line="360" w:lineRule="auto"/>
              <w:ind w:left="1260" w:firstLine="0"/>
              <w:rPr>
                <w:rFonts w:hint="eastAsia" w:ascii="宋体" w:hAnsi="宋体" w:eastAsia="宋体" w:cs="宋体"/>
                <w:color w:val="auto"/>
                <w:highlight w:val="none"/>
              </w:rPr>
            </w:pPr>
          </w:p>
        </w:tc>
        <w:tc>
          <w:tcPr>
            <w:tcW w:w="900" w:type="dxa"/>
          </w:tcPr>
          <w:p w14:paraId="4519977C">
            <w:pPr>
              <w:pStyle w:val="7"/>
              <w:spacing w:line="360" w:lineRule="auto"/>
              <w:ind w:left="1260" w:firstLine="0"/>
              <w:rPr>
                <w:rFonts w:hint="eastAsia" w:ascii="宋体" w:hAnsi="宋体" w:eastAsia="宋体" w:cs="宋体"/>
                <w:color w:val="auto"/>
                <w:highlight w:val="none"/>
              </w:rPr>
            </w:pPr>
          </w:p>
        </w:tc>
        <w:tc>
          <w:tcPr>
            <w:tcW w:w="1100" w:type="dxa"/>
          </w:tcPr>
          <w:p w14:paraId="09C8191D">
            <w:pPr>
              <w:pStyle w:val="7"/>
              <w:spacing w:line="360" w:lineRule="auto"/>
              <w:ind w:left="1260" w:firstLine="0"/>
              <w:rPr>
                <w:rFonts w:hint="eastAsia" w:ascii="宋体" w:hAnsi="宋体" w:eastAsia="宋体" w:cs="宋体"/>
                <w:color w:val="auto"/>
                <w:highlight w:val="none"/>
              </w:rPr>
            </w:pPr>
          </w:p>
        </w:tc>
        <w:tc>
          <w:tcPr>
            <w:tcW w:w="1100" w:type="dxa"/>
          </w:tcPr>
          <w:p w14:paraId="4F2FD6A8">
            <w:pPr>
              <w:pStyle w:val="7"/>
              <w:spacing w:line="360" w:lineRule="auto"/>
              <w:ind w:left="1260" w:firstLine="0"/>
              <w:rPr>
                <w:rFonts w:hint="eastAsia" w:ascii="宋体" w:hAnsi="宋体" w:eastAsia="宋体" w:cs="宋体"/>
                <w:color w:val="auto"/>
                <w:highlight w:val="none"/>
              </w:rPr>
            </w:pPr>
          </w:p>
        </w:tc>
        <w:tc>
          <w:tcPr>
            <w:tcW w:w="700" w:type="dxa"/>
          </w:tcPr>
          <w:p w14:paraId="273FFC35">
            <w:pPr>
              <w:pStyle w:val="7"/>
              <w:spacing w:line="360" w:lineRule="auto"/>
              <w:ind w:left="1260" w:firstLine="0"/>
              <w:rPr>
                <w:rFonts w:hint="eastAsia" w:ascii="宋体" w:hAnsi="宋体" w:eastAsia="宋体" w:cs="宋体"/>
                <w:color w:val="auto"/>
                <w:highlight w:val="none"/>
              </w:rPr>
            </w:pPr>
          </w:p>
        </w:tc>
      </w:tr>
      <w:tr w14:paraId="03A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145A0B6">
            <w:pPr>
              <w:pStyle w:val="7"/>
              <w:spacing w:line="360" w:lineRule="auto"/>
              <w:ind w:left="1260" w:firstLine="0"/>
              <w:rPr>
                <w:rFonts w:hint="eastAsia" w:ascii="宋体" w:hAnsi="宋体" w:eastAsia="宋体" w:cs="宋体"/>
                <w:color w:val="auto"/>
                <w:highlight w:val="none"/>
              </w:rPr>
            </w:pPr>
          </w:p>
        </w:tc>
        <w:tc>
          <w:tcPr>
            <w:tcW w:w="1700" w:type="dxa"/>
          </w:tcPr>
          <w:p w14:paraId="606EC784">
            <w:pPr>
              <w:pStyle w:val="7"/>
              <w:spacing w:line="360" w:lineRule="auto"/>
              <w:ind w:left="1260" w:firstLine="0"/>
              <w:rPr>
                <w:rFonts w:hint="eastAsia" w:ascii="宋体" w:hAnsi="宋体" w:eastAsia="宋体" w:cs="宋体"/>
                <w:color w:val="auto"/>
                <w:highlight w:val="none"/>
              </w:rPr>
            </w:pPr>
          </w:p>
        </w:tc>
        <w:tc>
          <w:tcPr>
            <w:tcW w:w="700" w:type="dxa"/>
          </w:tcPr>
          <w:p w14:paraId="2F52BED7">
            <w:pPr>
              <w:pStyle w:val="7"/>
              <w:spacing w:line="360" w:lineRule="auto"/>
              <w:ind w:left="1260" w:firstLine="0"/>
              <w:rPr>
                <w:rFonts w:hint="eastAsia" w:ascii="宋体" w:hAnsi="宋体" w:eastAsia="宋体" w:cs="宋体"/>
                <w:color w:val="auto"/>
                <w:highlight w:val="none"/>
              </w:rPr>
            </w:pPr>
          </w:p>
        </w:tc>
        <w:tc>
          <w:tcPr>
            <w:tcW w:w="700" w:type="dxa"/>
          </w:tcPr>
          <w:p w14:paraId="37BB6518">
            <w:pPr>
              <w:pStyle w:val="7"/>
              <w:spacing w:line="360" w:lineRule="auto"/>
              <w:ind w:left="1260" w:firstLine="0"/>
              <w:rPr>
                <w:rFonts w:hint="eastAsia" w:ascii="宋体" w:hAnsi="宋体" w:eastAsia="宋体" w:cs="宋体"/>
                <w:color w:val="auto"/>
                <w:highlight w:val="none"/>
              </w:rPr>
            </w:pPr>
          </w:p>
        </w:tc>
        <w:tc>
          <w:tcPr>
            <w:tcW w:w="900" w:type="dxa"/>
          </w:tcPr>
          <w:p w14:paraId="540D9B99">
            <w:pPr>
              <w:pStyle w:val="7"/>
              <w:spacing w:line="360" w:lineRule="auto"/>
              <w:ind w:left="1260" w:firstLine="0"/>
              <w:rPr>
                <w:rFonts w:hint="eastAsia" w:ascii="宋体" w:hAnsi="宋体" w:eastAsia="宋体" w:cs="宋体"/>
                <w:color w:val="auto"/>
                <w:highlight w:val="none"/>
              </w:rPr>
            </w:pPr>
          </w:p>
        </w:tc>
        <w:tc>
          <w:tcPr>
            <w:tcW w:w="900" w:type="dxa"/>
          </w:tcPr>
          <w:p w14:paraId="169E5A2C">
            <w:pPr>
              <w:pStyle w:val="7"/>
              <w:spacing w:line="360" w:lineRule="auto"/>
              <w:ind w:left="1260" w:firstLine="0"/>
              <w:rPr>
                <w:rFonts w:hint="eastAsia" w:ascii="宋体" w:hAnsi="宋体" w:eastAsia="宋体" w:cs="宋体"/>
                <w:color w:val="auto"/>
                <w:highlight w:val="none"/>
              </w:rPr>
            </w:pPr>
          </w:p>
        </w:tc>
        <w:tc>
          <w:tcPr>
            <w:tcW w:w="1100" w:type="dxa"/>
          </w:tcPr>
          <w:p w14:paraId="55AE515E">
            <w:pPr>
              <w:pStyle w:val="7"/>
              <w:spacing w:line="360" w:lineRule="auto"/>
              <w:ind w:left="1260" w:firstLine="0"/>
              <w:rPr>
                <w:rFonts w:hint="eastAsia" w:ascii="宋体" w:hAnsi="宋体" w:eastAsia="宋体" w:cs="宋体"/>
                <w:color w:val="auto"/>
                <w:highlight w:val="none"/>
              </w:rPr>
            </w:pPr>
          </w:p>
        </w:tc>
        <w:tc>
          <w:tcPr>
            <w:tcW w:w="1100" w:type="dxa"/>
          </w:tcPr>
          <w:p w14:paraId="6CE89A1F">
            <w:pPr>
              <w:pStyle w:val="7"/>
              <w:spacing w:line="360" w:lineRule="auto"/>
              <w:ind w:left="1260" w:firstLine="0"/>
              <w:rPr>
                <w:rFonts w:hint="eastAsia" w:ascii="宋体" w:hAnsi="宋体" w:eastAsia="宋体" w:cs="宋体"/>
                <w:color w:val="auto"/>
                <w:highlight w:val="none"/>
              </w:rPr>
            </w:pPr>
          </w:p>
        </w:tc>
        <w:tc>
          <w:tcPr>
            <w:tcW w:w="700" w:type="dxa"/>
          </w:tcPr>
          <w:p w14:paraId="0C09C2AC">
            <w:pPr>
              <w:pStyle w:val="7"/>
              <w:spacing w:line="360" w:lineRule="auto"/>
              <w:ind w:left="1260" w:firstLine="0"/>
              <w:rPr>
                <w:rFonts w:hint="eastAsia" w:ascii="宋体" w:hAnsi="宋体" w:eastAsia="宋体" w:cs="宋体"/>
                <w:color w:val="auto"/>
                <w:highlight w:val="none"/>
              </w:rPr>
            </w:pPr>
          </w:p>
        </w:tc>
      </w:tr>
      <w:tr w14:paraId="4D8D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C45EB3A">
            <w:pPr>
              <w:pStyle w:val="7"/>
              <w:spacing w:line="360" w:lineRule="auto"/>
              <w:ind w:left="1260" w:firstLine="0"/>
              <w:rPr>
                <w:rFonts w:hint="eastAsia" w:ascii="宋体" w:hAnsi="宋体" w:eastAsia="宋体" w:cs="宋体"/>
                <w:color w:val="auto"/>
                <w:highlight w:val="none"/>
              </w:rPr>
            </w:pPr>
          </w:p>
        </w:tc>
        <w:tc>
          <w:tcPr>
            <w:tcW w:w="1700" w:type="dxa"/>
          </w:tcPr>
          <w:p w14:paraId="62D84312">
            <w:pPr>
              <w:pStyle w:val="7"/>
              <w:spacing w:line="360" w:lineRule="auto"/>
              <w:ind w:left="1260" w:firstLine="0"/>
              <w:rPr>
                <w:rFonts w:hint="eastAsia" w:ascii="宋体" w:hAnsi="宋体" w:eastAsia="宋体" w:cs="宋体"/>
                <w:color w:val="auto"/>
                <w:highlight w:val="none"/>
              </w:rPr>
            </w:pPr>
          </w:p>
        </w:tc>
        <w:tc>
          <w:tcPr>
            <w:tcW w:w="700" w:type="dxa"/>
          </w:tcPr>
          <w:p w14:paraId="597F0621">
            <w:pPr>
              <w:pStyle w:val="7"/>
              <w:spacing w:line="360" w:lineRule="auto"/>
              <w:ind w:left="1260" w:firstLine="0"/>
              <w:rPr>
                <w:rFonts w:hint="eastAsia" w:ascii="宋体" w:hAnsi="宋体" w:eastAsia="宋体" w:cs="宋体"/>
                <w:color w:val="auto"/>
                <w:highlight w:val="none"/>
              </w:rPr>
            </w:pPr>
          </w:p>
        </w:tc>
        <w:tc>
          <w:tcPr>
            <w:tcW w:w="700" w:type="dxa"/>
          </w:tcPr>
          <w:p w14:paraId="62057290">
            <w:pPr>
              <w:pStyle w:val="7"/>
              <w:spacing w:line="360" w:lineRule="auto"/>
              <w:ind w:left="1260" w:firstLine="0"/>
              <w:rPr>
                <w:rFonts w:hint="eastAsia" w:ascii="宋体" w:hAnsi="宋体" w:eastAsia="宋体" w:cs="宋体"/>
                <w:color w:val="auto"/>
                <w:highlight w:val="none"/>
              </w:rPr>
            </w:pPr>
          </w:p>
        </w:tc>
        <w:tc>
          <w:tcPr>
            <w:tcW w:w="900" w:type="dxa"/>
          </w:tcPr>
          <w:p w14:paraId="59DAB590">
            <w:pPr>
              <w:pStyle w:val="7"/>
              <w:spacing w:line="360" w:lineRule="auto"/>
              <w:ind w:left="1260" w:firstLine="0"/>
              <w:rPr>
                <w:rFonts w:hint="eastAsia" w:ascii="宋体" w:hAnsi="宋体" w:eastAsia="宋体" w:cs="宋体"/>
                <w:color w:val="auto"/>
                <w:highlight w:val="none"/>
              </w:rPr>
            </w:pPr>
          </w:p>
        </w:tc>
        <w:tc>
          <w:tcPr>
            <w:tcW w:w="900" w:type="dxa"/>
          </w:tcPr>
          <w:p w14:paraId="290E8C3A">
            <w:pPr>
              <w:pStyle w:val="7"/>
              <w:spacing w:line="360" w:lineRule="auto"/>
              <w:ind w:left="1260" w:firstLine="0"/>
              <w:rPr>
                <w:rFonts w:hint="eastAsia" w:ascii="宋体" w:hAnsi="宋体" w:eastAsia="宋体" w:cs="宋体"/>
                <w:color w:val="auto"/>
                <w:highlight w:val="none"/>
              </w:rPr>
            </w:pPr>
          </w:p>
        </w:tc>
        <w:tc>
          <w:tcPr>
            <w:tcW w:w="1100" w:type="dxa"/>
          </w:tcPr>
          <w:p w14:paraId="7843F848">
            <w:pPr>
              <w:pStyle w:val="7"/>
              <w:spacing w:line="360" w:lineRule="auto"/>
              <w:ind w:left="1260" w:firstLine="0"/>
              <w:rPr>
                <w:rFonts w:hint="eastAsia" w:ascii="宋体" w:hAnsi="宋体" w:eastAsia="宋体" w:cs="宋体"/>
                <w:color w:val="auto"/>
                <w:highlight w:val="none"/>
              </w:rPr>
            </w:pPr>
          </w:p>
        </w:tc>
        <w:tc>
          <w:tcPr>
            <w:tcW w:w="1100" w:type="dxa"/>
          </w:tcPr>
          <w:p w14:paraId="06AF9106">
            <w:pPr>
              <w:pStyle w:val="7"/>
              <w:spacing w:line="360" w:lineRule="auto"/>
              <w:ind w:left="1260" w:firstLine="0"/>
              <w:rPr>
                <w:rFonts w:hint="eastAsia" w:ascii="宋体" w:hAnsi="宋体" w:eastAsia="宋体" w:cs="宋体"/>
                <w:color w:val="auto"/>
                <w:highlight w:val="none"/>
              </w:rPr>
            </w:pPr>
          </w:p>
        </w:tc>
        <w:tc>
          <w:tcPr>
            <w:tcW w:w="700" w:type="dxa"/>
          </w:tcPr>
          <w:p w14:paraId="06B6162B">
            <w:pPr>
              <w:pStyle w:val="7"/>
              <w:spacing w:line="360" w:lineRule="auto"/>
              <w:ind w:left="1260" w:firstLine="0"/>
              <w:rPr>
                <w:rFonts w:hint="eastAsia" w:ascii="宋体" w:hAnsi="宋体" w:eastAsia="宋体" w:cs="宋体"/>
                <w:color w:val="auto"/>
                <w:highlight w:val="none"/>
              </w:rPr>
            </w:pPr>
          </w:p>
        </w:tc>
      </w:tr>
      <w:tr w14:paraId="7833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8450467">
            <w:pPr>
              <w:pStyle w:val="7"/>
              <w:spacing w:line="360" w:lineRule="auto"/>
              <w:ind w:left="1260" w:firstLine="0"/>
              <w:rPr>
                <w:rFonts w:hint="eastAsia" w:ascii="宋体" w:hAnsi="宋体" w:eastAsia="宋体" w:cs="宋体"/>
                <w:color w:val="auto"/>
                <w:highlight w:val="none"/>
              </w:rPr>
            </w:pPr>
          </w:p>
        </w:tc>
        <w:tc>
          <w:tcPr>
            <w:tcW w:w="1700" w:type="dxa"/>
          </w:tcPr>
          <w:p w14:paraId="3EECCCD0">
            <w:pPr>
              <w:pStyle w:val="7"/>
              <w:spacing w:line="360" w:lineRule="auto"/>
              <w:ind w:left="1260" w:firstLine="0"/>
              <w:rPr>
                <w:rFonts w:hint="eastAsia" w:ascii="宋体" w:hAnsi="宋体" w:eastAsia="宋体" w:cs="宋体"/>
                <w:color w:val="auto"/>
                <w:highlight w:val="none"/>
              </w:rPr>
            </w:pPr>
          </w:p>
        </w:tc>
        <w:tc>
          <w:tcPr>
            <w:tcW w:w="700" w:type="dxa"/>
          </w:tcPr>
          <w:p w14:paraId="4A68F1B6">
            <w:pPr>
              <w:pStyle w:val="7"/>
              <w:spacing w:line="360" w:lineRule="auto"/>
              <w:ind w:left="1260" w:firstLine="0"/>
              <w:rPr>
                <w:rFonts w:hint="eastAsia" w:ascii="宋体" w:hAnsi="宋体" w:eastAsia="宋体" w:cs="宋体"/>
                <w:color w:val="auto"/>
                <w:highlight w:val="none"/>
              </w:rPr>
            </w:pPr>
          </w:p>
        </w:tc>
        <w:tc>
          <w:tcPr>
            <w:tcW w:w="700" w:type="dxa"/>
          </w:tcPr>
          <w:p w14:paraId="6606C51F">
            <w:pPr>
              <w:pStyle w:val="7"/>
              <w:spacing w:line="360" w:lineRule="auto"/>
              <w:ind w:left="1260" w:firstLine="0"/>
              <w:rPr>
                <w:rFonts w:hint="eastAsia" w:ascii="宋体" w:hAnsi="宋体" w:eastAsia="宋体" w:cs="宋体"/>
                <w:color w:val="auto"/>
                <w:highlight w:val="none"/>
              </w:rPr>
            </w:pPr>
          </w:p>
        </w:tc>
        <w:tc>
          <w:tcPr>
            <w:tcW w:w="900" w:type="dxa"/>
          </w:tcPr>
          <w:p w14:paraId="79DF6DAC">
            <w:pPr>
              <w:pStyle w:val="7"/>
              <w:spacing w:line="360" w:lineRule="auto"/>
              <w:ind w:left="1260" w:firstLine="0"/>
              <w:rPr>
                <w:rFonts w:hint="eastAsia" w:ascii="宋体" w:hAnsi="宋体" w:eastAsia="宋体" w:cs="宋体"/>
                <w:color w:val="auto"/>
                <w:highlight w:val="none"/>
              </w:rPr>
            </w:pPr>
          </w:p>
        </w:tc>
        <w:tc>
          <w:tcPr>
            <w:tcW w:w="900" w:type="dxa"/>
          </w:tcPr>
          <w:p w14:paraId="242C14F0">
            <w:pPr>
              <w:pStyle w:val="7"/>
              <w:spacing w:line="360" w:lineRule="auto"/>
              <w:ind w:left="1260" w:firstLine="0"/>
              <w:rPr>
                <w:rFonts w:hint="eastAsia" w:ascii="宋体" w:hAnsi="宋体" w:eastAsia="宋体" w:cs="宋体"/>
                <w:color w:val="auto"/>
                <w:highlight w:val="none"/>
              </w:rPr>
            </w:pPr>
          </w:p>
        </w:tc>
        <w:tc>
          <w:tcPr>
            <w:tcW w:w="1100" w:type="dxa"/>
          </w:tcPr>
          <w:p w14:paraId="02935503">
            <w:pPr>
              <w:pStyle w:val="7"/>
              <w:spacing w:line="360" w:lineRule="auto"/>
              <w:ind w:left="1260" w:firstLine="0"/>
              <w:rPr>
                <w:rFonts w:hint="eastAsia" w:ascii="宋体" w:hAnsi="宋体" w:eastAsia="宋体" w:cs="宋体"/>
                <w:color w:val="auto"/>
                <w:highlight w:val="none"/>
              </w:rPr>
            </w:pPr>
          </w:p>
        </w:tc>
        <w:tc>
          <w:tcPr>
            <w:tcW w:w="1100" w:type="dxa"/>
          </w:tcPr>
          <w:p w14:paraId="5388E3E4">
            <w:pPr>
              <w:pStyle w:val="7"/>
              <w:spacing w:line="360" w:lineRule="auto"/>
              <w:ind w:left="1260" w:firstLine="0"/>
              <w:rPr>
                <w:rFonts w:hint="eastAsia" w:ascii="宋体" w:hAnsi="宋体" w:eastAsia="宋体" w:cs="宋体"/>
                <w:color w:val="auto"/>
                <w:highlight w:val="none"/>
              </w:rPr>
            </w:pPr>
          </w:p>
        </w:tc>
        <w:tc>
          <w:tcPr>
            <w:tcW w:w="700" w:type="dxa"/>
          </w:tcPr>
          <w:p w14:paraId="3B19E3FD">
            <w:pPr>
              <w:pStyle w:val="7"/>
              <w:spacing w:line="360" w:lineRule="auto"/>
              <w:ind w:left="1260" w:firstLine="0"/>
              <w:rPr>
                <w:rFonts w:hint="eastAsia" w:ascii="宋体" w:hAnsi="宋体" w:eastAsia="宋体" w:cs="宋体"/>
                <w:color w:val="auto"/>
                <w:highlight w:val="none"/>
              </w:rPr>
            </w:pPr>
          </w:p>
        </w:tc>
      </w:tr>
      <w:tr w14:paraId="1DFE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33C4586">
            <w:pPr>
              <w:pStyle w:val="7"/>
              <w:spacing w:line="360" w:lineRule="auto"/>
              <w:ind w:left="1260" w:firstLine="0"/>
              <w:rPr>
                <w:rFonts w:hint="eastAsia" w:ascii="宋体" w:hAnsi="宋体" w:eastAsia="宋体" w:cs="宋体"/>
                <w:color w:val="auto"/>
                <w:highlight w:val="none"/>
              </w:rPr>
            </w:pPr>
          </w:p>
        </w:tc>
        <w:tc>
          <w:tcPr>
            <w:tcW w:w="1700" w:type="dxa"/>
          </w:tcPr>
          <w:p w14:paraId="4516FE14">
            <w:pPr>
              <w:pStyle w:val="7"/>
              <w:spacing w:line="360" w:lineRule="auto"/>
              <w:ind w:left="1260" w:firstLine="0"/>
              <w:rPr>
                <w:rFonts w:hint="eastAsia" w:ascii="宋体" w:hAnsi="宋体" w:eastAsia="宋体" w:cs="宋体"/>
                <w:color w:val="auto"/>
                <w:highlight w:val="none"/>
              </w:rPr>
            </w:pPr>
          </w:p>
        </w:tc>
        <w:tc>
          <w:tcPr>
            <w:tcW w:w="700" w:type="dxa"/>
          </w:tcPr>
          <w:p w14:paraId="68C11E75">
            <w:pPr>
              <w:pStyle w:val="7"/>
              <w:spacing w:line="360" w:lineRule="auto"/>
              <w:ind w:left="1260" w:firstLine="0"/>
              <w:rPr>
                <w:rFonts w:hint="eastAsia" w:ascii="宋体" w:hAnsi="宋体" w:eastAsia="宋体" w:cs="宋体"/>
                <w:color w:val="auto"/>
                <w:highlight w:val="none"/>
              </w:rPr>
            </w:pPr>
          </w:p>
        </w:tc>
        <w:tc>
          <w:tcPr>
            <w:tcW w:w="700" w:type="dxa"/>
          </w:tcPr>
          <w:p w14:paraId="1BC4DBFE">
            <w:pPr>
              <w:pStyle w:val="7"/>
              <w:spacing w:line="360" w:lineRule="auto"/>
              <w:ind w:left="1260" w:firstLine="0"/>
              <w:rPr>
                <w:rFonts w:hint="eastAsia" w:ascii="宋体" w:hAnsi="宋体" w:eastAsia="宋体" w:cs="宋体"/>
                <w:color w:val="auto"/>
                <w:highlight w:val="none"/>
              </w:rPr>
            </w:pPr>
          </w:p>
        </w:tc>
        <w:tc>
          <w:tcPr>
            <w:tcW w:w="900" w:type="dxa"/>
          </w:tcPr>
          <w:p w14:paraId="1B1CCE5B">
            <w:pPr>
              <w:pStyle w:val="7"/>
              <w:spacing w:line="360" w:lineRule="auto"/>
              <w:ind w:left="1260" w:firstLine="0"/>
              <w:rPr>
                <w:rFonts w:hint="eastAsia" w:ascii="宋体" w:hAnsi="宋体" w:eastAsia="宋体" w:cs="宋体"/>
                <w:color w:val="auto"/>
                <w:highlight w:val="none"/>
              </w:rPr>
            </w:pPr>
          </w:p>
        </w:tc>
        <w:tc>
          <w:tcPr>
            <w:tcW w:w="900" w:type="dxa"/>
          </w:tcPr>
          <w:p w14:paraId="6054E143">
            <w:pPr>
              <w:pStyle w:val="7"/>
              <w:spacing w:line="360" w:lineRule="auto"/>
              <w:ind w:left="1260" w:firstLine="0"/>
              <w:rPr>
                <w:rFonts w:hint="eastAsia" w:ascii="宋体" w:hAnsi="宋体" w:eastAsia="宋体" w:cs="宋体"/>
                <w:color w:val="auto"/>
                <w:highlight w:val="none"/>
              </w:rPr>
            </w:pPr>
          </w:p>
        </w:tc>
        <w:tc>
          <w:tcPr>
            <w:tcW w:w="1100" w:type="dxa"/>
          </w:tcPr>
          <w:p w14:paraId="5B810A58">
            <w:pPr>
              <w:pStyle w:val="7"/>
              <w:spacing w:line="360" w:lineRule="auto"/>
              <w:ind w:left="1260" w:firstLine="0"/>
              <w:rPr>
                <w:rFonts w:hint="eastAsia" w:ascii="宋体" w:hAnsi="宋体" w:eastAsia="宋体" w:cs="宋体"/>
                <w:color w:val="auto"/>
                <w:highlight w:val="none"/>
              </w:rPr>
            </w:pPr>
          </w:p>
        </w:tc>
        <w:tc>
          <w:tcPr>
            <w:tcW w:w="1100" w:type="dxa"/>
          </w:tcPr>
          <w:p w14:paraId="4DF16E32">
            <w:pPr>
              <w:pStyle w:val="7"/>
              <w:spacing w:line="360" w:lineRule="auto"/>
              <w:ind w:left="1260" w:firstLine="0"/>
              <w:rPr>
                <w:rFonts w:hint="eastAsia" w:ascii="宋体" w:hAnsi="宋体" w:eastAsia="宋体" w:cs="宋体"/>
                <w:color w:val="auto"/>
                <w:highlight w:val="none"/>
              </w:rPr>
            </w:pPr>
          </w:p>
        </w:tc>
        <w:tc>
          <w:tcPr>
            <w:tcW w:w="700" w:type="dxa"/>
          </w:tcPr>
          <w:p w14:paraId="16511751">
            <w:pPr>
              <w:pStyle w:val="7"/>
              <w:spacing w:line="360" w:lineRule="auto"/>
              <w:ind w:left="1260" w:firstLine="0"/>
              <w:rPr>
                <w:rFonts w:hint="eastAsia" w:ascii="宋体" w:hAnsi="宋体" w:eastAsia="宋体" w:cs="宋体"/>
                <w:color w:val="auto"/>
                <w:highlight w:val="none"/>
              </w:rPr>
            </w:pPr>
          </w:p>
        </w:tc>
      </w:tr>
      <w:tr w14:paraId="0EBB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D6F2549">
            <w:pPr>
              <w:pStyle w:val="7"/>
              <w:spacing w:line="360" w:lineRule="auto"/>
              <w:ind w:left="1260" w:firstLine="0"/>
              <w:rPr>
                <w:rFonts w:hint="eastAsia" w:ascii="宋体" w:hAnsi="宋体" w:eastAsia="宋体" w:cs="宋体"/>
                <w:color w:val="auto"/>
                <w:highlight w:val="none"/>
              </w:rPr>
            </w:pPr>
          </w:p>
        </w:tc>
        <w:tc>
          <w:tcPr>
            <w:tcW w:w="1700" w:type="dxa"/>
          </w:tcPr>
          <w:p w14:paraId="3B937213">
            <w:pPr>
              <w:pStyle w:val="7"/>
              <w:spacing w:line="360" w:lineRule="auto"/>
              <w:ind w:left="1260" w:firstLine="0"/>
              <w:rPr>
                <w:rFonts w:hint="eastAsia" w:ascii="宋体" w:hAnsi="宋体" w:eastAsia="宋体" w:cs="宋体"/>
                <w:color w:val="auto"/>
                <w:highlight w:val="none"/>
              </w:rPr>
            </w:pPr>
          </w:p>
        </w:tc>
        <w:tc>
          <w:tcPr>
            <w:tcW w:w="700" w:type="dxa"/>
          </w:tcPr>
          <w:p w14:paraId="3974C12C">
            <w:pPr>
              <w:pStyle w:val="7"/>
              <w:spacing w:line="360" w:lineRule="auto"/>
              <w:ind w:left="1260" w:firstLine="0"/>
              <w:rPr>
                <w:rFonts w:hint="eastAsia" w:ascii="宋体" w:hAnsi="宋体" w:eastAsia="宋体" w:cs="宋体"/>
                <w:color w:val="auto"/>
                <w:highlight w:val="none"/>
              </w:rPr>
            </w:pPr>
          </w:p>
        </w:tc>
        <w:tc>
          <w:tcPr>
            <w:tcW w:w="700" w:type="dxa"/>
          </w:tcPr>
          <w:p w14:paraId="380EE80E">
            <w:pPr>
              <w:pStyle w:val="7"/>
              <w:spacing w:line="360" w:lineRule="auto"/>
              <w:ind w:left="1260" w:firstLine="0"/>
              <w:rPr>
                <w:rFonts w:hint="eastAsia" w:ascii="宋体" w:hAnsi="宋体" w:eastAsia="宋体" w:cs="宋体"/>
                <w:color w:val="auto"/>
                <w:highlight w:val="none"/>
              </w:rPr>
            </w:pPr>
          </w:p>
        </w:tc>
        <w:tc>
          <w:tcPr>
            <w:tcW w:w="900" w:type="dxa"/>
          </w:tcPr>
          <w:p w14:paraId="57113CCE">
            <w:pPr>
              <w:pStyle w:val="7"/>
              <w:spacing w:line="360" w:lineRule="auto"/>
              <w:ind w:left="1260" w:firstLine="0"/>
              <w:rPr>
                <w:rFonts w:hint="eastAsia" w:ascii="宋体" w:hAnsi="宋体" w:eastAsia="宋体" w:cs="宋体"/>
                <w:color w:val="auto"/>
                <w:highlight w:val="none"/>
              </w:rPr>
            </w:pPr>
          </w:p>
        </w:tc>
        <w:tc>
          <w:tcPr>
            <w:tcW w:w="900" w:type="dxa"/>
          </w:tcPr>
          <w:p w14:paraId="11399E22">
            <w:pPr>
              <w:pStyle w:val="7"/>
              <w:spacing w:line="360" w:lineRule="auto"/>
              <w:ind w:left="1260" w:firstLine="0"/>
              <w:rPr>
                <w:rFonts w:hint="eastAsia" w:ascii="宋体" w:hAnsi="宋体" w:eastAsia="宋体" w:cs="宋体"/>
                <w:color w:val="auto"/>
                <w:highlight w:val="none"/>
              </w:rPr>
            </w:pPr>
          </w:p>
        </w:tc>
        <w:tc>
          <w:tcPr>
            <w:tcW w:w="1100" w:type="dxa"/>
          </w:tcPr>
          <w:p w14:paraId="29DA8919">
            <w:pPr>
              <w:pStyle w:val="7"/>
              <w:spacing w:line="360" w:lineRule="auto"/>
              <w:ind w:left="1260" w:firstLine="0"/>
              <w:rPr>
                <w:rFonts w:hint="eastAsia" w:ascii="宋体" w:hAnsi="宋体" w:eastAsia="宋体" w:cs="宋体"/>
                <w:color w:val="auto"/>
                <w:highlight w:val="none"/>
              </w:rPr>
            </w:pPr>
          </w:p>
        </w:tc>
        <w:tc>
          <w:tcPr>
            <w:tcW w:w="1100" w:type="dxa"/>
          </w:tcPr>
          <w:p w14:paraId="3DC0A2F2">
            <w:pPr>
              <w:pStyle w:val="7"/>
              <w:spacing w:line="360" w:lineRule="auto"/>
              <w:ind w:left="1260" w:firstLine="0"/>
              <w:rPr>
                <w:rFonts w:hint="eastAsia" w:ascii="宋体" w:hAnsi="宋体" w:eastAsia="宋体" w:cs="宋体"/>
                <w:color w:val="auto"/>
                <w:highlight w:val="none"/>
              </w:rPr>
            </w:pPr>
          </w:p>
        </w:tc>
        <w:tc>
          <w:tcPr>
            <w:tcW w:w="700" w:type="dxa"/>
          </w:tcPr>
          <w:p w14:paraId="0358735F">
            <w:pPr>
              <w:pStyle w:val="7"/>
              <w:spacing w:line="360" w:lineRule="auto"/>
              <w:ind w:left="1260" w:firstLine="0"/>
              <w:rPr>
                <w:rFonts w:hint="eastAsia" w:ascii="宋体" w:hAnsi="宋体" w:eastAsia="宋体" w:cs="宋体"/>
                <w:color w:val="auto"/>
                <w:highlight w:val="none"/>
              </w:rPr>
            </w:pPr>
          </w:p>
        </w:tc>
      </w:tr>
      <w:tr w14:paraId="6333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EAB673">
            <w:pPr>
              <w:pStyle w:val="7"/>
              <w:spacing w:line="360" w:lineRule="auto"/>
              <w:ind w:left="1260" w:firstLine="0"/>
              <w:rPr>
                <w:rFonts w:hint="eastAsia" w:ascii="宋体" w:hAnsi="宋体" w:eastAsia="宋体" w:cs="宋体"/>
                <w:color w:val="auto"/>
                <w:highlight w:val="none"/>
              </w:rPr>
            </w:pPr>
          </w:p>
        </w:tc>
        <w:tc>
          <w:tcPr>
            <w:tcW w:w="1700" w:type="dxa"/>
          </w:tcPr>
          <w:p w14:paraId="7090C66D">
            <w:pPr>
              <w:pStyle w:val="7"/>
              <w:spacing w:line="360" w:lineRule="auto"/>
              <w:ind w:left="1260" w:firstLine="0"/>
              <w:rPr>
                <w:rFonts w:hint="eastAsia" w:ascii="宋体" w:hAnsi="宋体" w:eastAsia="宋体" w:cs="宋体"/>
                <w:color w:val="auto"/>
                <w:highlight w:val="none"/>
              </w:rPr>
            </w:pPr>
          </w:p>
        </w:tc>
        <w:tc>
          <w:tcPr>
            <w:tcW w:w="700" w:type="dxa"/>
          </w:tcPr>
          <w:p w14:paraId="163B13E3">
            <w:pPr>
              <w:pStyle w:val="7"/>
              <w:spacing w:line="360" w:lineRule="auto"/>
              <w:ind w:left="1260" w:firstLine="0"/>
              <w:rPr>
                <w:rFonts w:hint="eastAsia" w:ascii="宋体" w:hAnsi="宋体" w:eastAsia="宋体" w:cs="宋体"/>
                <w:color w:val="auto"/>
                <w:highlight w:val="none"/>
              </w:rPr>
            </w:pPr>
          </w:p>
        </w:tc>
        <w:tc>
          <w:tcPr>
            <w:tcW w:w="700" w:type="dxa"/>
          </w:tcPr>
          <w:p w14:paraId="197556BD">
            <w:pPr>
              <w:pStyle w:val="7"/>
              <w:spacing w:line="360" w:lineRule="auto"/>
              <w:ind w:left="1260" w:firstLine="0"/>
              <w:rPr>
                <w:rFonts w:hint="eastAsia" w:ascii="宋体" w:hAnsi="宋体" w:eastAsia="宋体" w:cs="宋体"/>
                <w:color w:val="auto"/>
                <w:highlight w:val="none"/>
              </w:rPr>
            </w:pPr>
          </w:p>
        </w:tc>
        <w:tc>
          <w:tcPr>
            <w:tcW w:w="900" w:type="dxa"/>
          </w:tcPr>
          <w:p w14:paraId="3CAE9E9B">
            <w:pPr>
              <w:pStyle w:val="7"/>
              <w:spacing w:line="360" w:lineRule="auto"/>
              <w:ind w:left="1260" w:firstLine="0"/>
              <w:rPr>
                <w:rFonts w:hint="eastAsia" w:ascii="宋体" w:hAnsi="宋体" w:eastAsia="宋体" w:cs="宋体"/>
                <w:color w:val="auto"/>
                <w:highlight w:val="none"/>
              </w:rPr>
            </w:pPr>
          </w:p>
        </w:tc>
        <w:tc>
          <w:tcPr>
            <w:tcW w:w="900" w:type="dxa"/>
          </w:tcPr>
          <w:p w14:paraId="03E1A85E">
            <w:pPr>
              <w:pStyle w:val="7"/>
              <w:spacing w:line="360" w:lineRule="auto"/>
              <w:ind w:left="1260" w:firstLine="0"/>
              <w:rPr>
                <w:rFonts w:hint="eastAsia" w:ascii="宋体" w:hAnsi="宋体" w:eastAsia="宋体" w:cs="宋体"/>
                <w:color w:val="auto"/>
                <w:highlight w:val="none"/>
              </w:rPr>
            </w:pPr>
          </w:p>
        </w:tc>
        <w:tc>
          <w:tcPr>
            <w:tcW w:w="1100" w:type="dxa"/>
          </w:tcPr>
          <w:p w14:paraId="52633442">
            <w:pPr>
              <w:pStyle w:val="7"/>
              <w:spacing w:line="360" w:lineRule="auto"/>
              <w:ind w:left="1260" w:firstLine="0"/>
              <w:rPr>
                <w:rFonts w:hint="eastAsia" w:ascii="宋体" w:hAnsi="宋体" w:eastAsia="宋体" w:cs="宋体"/>
                <w:color w:val="auto"/>
                <w:highlight w:val="none"/>
              </w:rPr>
            </w:pPr>
          </w:p>
        </w:tc>
        <w:tc>
          <w:tcPr>
            <w:tcW w:w="1100" w:type="dxa"/>
          </w:tcPr>
          <w:p w14:paraId="02EE8CAB">
            <w:pPr>
              <w:pStyle w:val="7"/>
              <w:spacing w:line="360" w:lineRule="auto"/>
              <w:ind w:left="1260" w:firstLine="0"/>
              <w:rPr>
                <w:rFonts w:hint="eastAsia" w:ascii="宋体" w:hAnsi="宋体" w:eastAsia="宋体" w:cs="宋体"/>
                <w:color w:val="auto"/>
                <w:highlight w:val="none"/>
              </w:rPr>
            </w:pPr>
          </w:p>
        </w:tc>
        <w:tc>
          <w:tcPr>
            <w:tcW w:w="700" w:type="dxa"/>
          </w:tcPr>
          <w:p w14:paraId="78F7391D">
            <w:pPr>
              <w:pStyle w:val="7"/>
              <w:spacing w:line="360" w:lineRule="auto"/>
              <w:ind w:left="1260" w:firstLine="0"/>
              <w:rPr>
                <w:rFonts w:hint="eastAsia" w:ascii="宋体" w:hAnsi="宋体" w:eastAsia="宋体" w:cs="宋体"/>
                <w:color w:val="auto"/>
                <w:highlight w:val="none"/>
              </w:rPr>
            </w:pPr>
          </w:p>
        </w:tc>
      </w:tr>
      <w:tr w14:paraId="047A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3A72666A">
            <w:pPr>
              <w:pStyle w:val="7"/>
              <w:spacing w:line="360" w:lineRule="auto"/>
              <w:ind w:left="1260" w:firstLine="0"/>
              <w:rPr>
                <w:rFonts w:hint="eastAsia" w:ascii="宋体" w:hAnsi="宋体" w:eastAsia="宋体" w:cs="宋体"/>
                <w:color w:val="auto"/>
                <w:highlight w:val="none"/>
              </w:rPr>
            </w:pPr>
          </w:p>
        </w:tc>
        <w:tc>
          <w:tcPr>
            <w:tcW w:w="1700" w:type="dxa"/>
          </w:tcPr>
          <w:p w14:paraId="5C4E0A8B">
            <w:pPr>
              <w:pStyle w:val="7"/>
              <w:spacing w:line="360" w:lineRule="auto"/>
              <w:ind w:left="1260" w:firstLine="0"/>
              <w:rPr>
                <w:rFonts w:hint="eastAsia" w:ascii="宋体" w:hAnsi="宋体" w:eastAsia="宋体" w:cs="宋体"/>
                <w:color w:val="auto"/>
                <w:highlight w:val="none"/>
              </w:rPr>
            </w:pPr>
          </w:p>
        </w:tc>
        <w:tc>
          <w:tcPr>
            <w:tcW w:w="700" w:type="dxa"/>
          </w:tcPr>
          <w:p w14:paraId="64FBDD34">
            <w:pPr>
              <w:pStyle w:val="7"/>
              <w:spacing w:line="360" w:lineRule="auto"/>
              <w:ind w:left="1260" w:firstLine="0"/>
              <w:rPr>
                <w:rFonts w:hint="eastAsia" w:ascii="宋体" w:hAnsi="宋体" w:eastAsia="宋体" w:cs="宋体"/>
                <w:color w:val="auto"/>
                <w:highlight w:val="none"/>
              </w:rPr>
            </w:pPr>
          </w:p>
        </w:tc>
        <w:tc>
          <w:tcPr>
            <w:tcW w:w="700" w:type="dxa"/>
          </w:tcPr>
          <w:p w14:paraId="30A36718">
            <w:pPr>
              <w:pStyle w:val="7"/>
              <w:spacing w:line="360" w:lineRule="auto"/>
              <w:ind w:left="1260" w:firstLine="0"/>
              <w:rPr>
                <w:rFonts w:hint="eastAsia" w:ascii="宋体" w:hAnsi="宋体" w:eastAsia="宋体" w:cs="宋体"/>
                <w:color w:val="auto"/>
                <w:highlight w:val="none"/>
              </w:rPr>
            </w:pPr>
          </w:p>
        </w:tc>
        <w:tc>
          <w:tcPr>
            <w:tcW w:w="900" w:type="dxa"/>
          </w:tcPr>
          <w:p w14:paraId="453FB598">
            <w:pPr>
              <w:pStyle w:val="7"/>
              <w:spacing w:line="360" w:lineRule="auto"/>
              <w:ind w:left="1260" w:firstLine="0"/>
              <w:rPr>
                <w:rFonts w:hint="eastAsia" w:ascii="宋体" w:hAnsi="宋体" w:eastAsia="宋体" w:cs="宋体"/>
                <w:color w:val="auto"/>
                <w:highlight w:val="none"/>
              </w:rPr>
            </w:pPr>
          </w:p>
        </w:tc>
        <w:tc>
          <w:tcPr>
            <w:tcW w:w="900" w:type="dxa"/>
          </w:tcPr>
          <w:p w14:paraId="66F1DAC9">
            <w:pPr>
              <w:pStyle w:val="7"/>
              <w:spacing w:line="360" w:lineRule="auto"/>
              <w:ind w:left="1260" w:firstLine="0"/>
              <w:rPr>
                <w:rFonts w:hint="eastAsia" w:ascii="宋体" w:hAnsi="宋体" w:eastAsia="宋体" w:cs="宋体"/>
                <w:color w:val="auto"/>
                <w:highlight w:val="none"/>
              </w:rPr>
            </w:pPr>
          </w:p>
        </w:tc>
        <w:tc>
          <w:tcPr>
            <w:tcW w:w="1100" w:type="dxa"/>
          </w:tcPr>
          <w:p w14:paraId="5DDCDF49">
            <w:pPr>
              <w:pStyle w:val="7"/>
              <w:spacing w:line="360" w:lineRule="auto"/>
              <w:ind w:left="1260" w:firstLine="0"/>
              <w:rPr>
                <w:rFonts w:hint="eastAsia" w:ascii="宋体" w:hAnsi="宋体" w:eastAsia="宋体" w:cs="宋体"/>
                <w:color w:val="auto"/>
                <w:highlight w:val="none"/>
              </w:rPr>
            </w:pPr>
          </w:p>
        </w:tc>
        <w:tc>
          <w:tcPr>
            <w:tcW w:w="1100" w:type="dxa"/>
          </w:tcPr>
          <w:p w14:paraId="02213629">
            <w:pPr>
              <w:pStyle w:val="7"/>
              <w:spacing w:line="360" w:lineRule="auto"/>
              <w:ind w:left="1260" w:firstLine="0"/>
              <w:rPr>
                <w:rFonts w:hint="eastAsia" w:ascii="宋体" w:hAnsi="宋体" w:eastAsia="宋体" w:cs="宋体"/>
                <w:color w:val="auto"/>
                <w:highlight w:val="none"/>
              </w:rPr>
            </w:pPr>
          </w:p>
        </w:tc>
        <w:tc>
          <w:tcPr>
            <w:tcW w:w="700" w:type="dxa"/>
          </w:tcPr>
          <w:p w14:paraId="6340376D">
            <w:pPr>
              <w:pStyle w:val="7"/>
              <w:spacing w:line="360" w:lineRule="auto"/>
              <w:ind w:left="1260" w:firstLine="0"/>
              <w:rPr>
                <w:rFonts w:hint="eastAsia" w:ascii="宋体" w:hAnsi="宋体" w:eastAsia="宋体" w:cs="宋体"/>
                <w:color w:val="auto"/>
                <w:highlight w:val="none"/>
              </w:rPr>
            </w:pPr>
          </w:p>
        </w:tc>
      </w:tr>
      <w:tr w14:paraId="5BE3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6CD16D7">
            <w:pPr>
              <w:pStyle w:val="7"/>
              <w:spacing w:line="360" w:lineRule="auto"/>
              <w:ind w:left="1260" w:firstLine="0"/>
              <w:rPr>
                <w:rFonts w:hint="eastAsia" w:ascii="宋体" w:hAnsi="宋体" w:eastAsia="宋体" w:cs="宋体"/>
                <w:color w:val="auto"/>
                <w:highlight w:val="none"/>
              </w:rPr>
            </w:pPr>
          </w:p>
        </w:tc>
        <w:tc>
          <w:tcPr>
            <w:tcW w:w="1700" w:type="dxa"/>
          </w:tcPr>
          <w:p w14:paraId="561492BC">
            <w:pPr>
              <w:pStyle w:val="7"/>
              <w:spacing w:line="360" w:lineRule="auto"/>
              <w:ind w:left="1260" w:firstLine="0"/>
              <w:rPr>
                <w:rFonts w:hint="eastAsia" w:ascii="宋体" w:hAnsi="宋体" w:eastAsia="宋体" w:cs="宋体"/>
                <w:color w:val="auto"/>
                <w:highlight w:val="none"/>
              </w:rPr>
            </w:pPr>
          </w:p>
        </w:tc>
        <w:tc>
          <w:tcPr>
            <w:tcW w:w="700" w:type="dxa"/>
          </w:tcPr>
          <w:p w14:paraId="53C9FAF4">
            <w:pPr>
              <w:pStyle w:val="7"/>
              <w:spacing w:line="360" w:lineRule="auto"/>
              <w:ind w:left="1260" w:firstLine="0"/>
              <w:rPr>
                <w:rFonts w:hint="eastAsia" w:ascii="宋体" w:hAnsi="宋体" w:eastAsia="宋体" w:cs="宋体"/>
                <w:color w:val="auto"/>
                <w:highlight w:val="none"/>
              </w:rPr>
            </w:pPr>
          </w:p>
        </w:tc>
        <w:tc>
          <w:tcPr>
            <w:tcW w:w="700" w:type="dxa"/>
          </w:tcPr>
          <w:p w14:paraId="6C114C4E">
            <w:pPr>
              <w:pStyle w:val="7"/>
              <w:spacing w:line="360" w:lineRule="auto"/>
              <w:ind w:left="1260" w:firstLine="0"/>
              <w:rPr>
                <w:rFonts w:hint="eastAsia" w:ascii="宋体" w:hAnsi="宋体" w:eastAsia="宋体" w:cs="宋体"/>
                <w:color w:val="auto"/>
                <w:highlight w:val="none"/>
              </w:rPr>
            </w:pPr>
          </w:p>
        </w:tc>
        <w:tc>
          <w:tcPr>
            <w:tcW w:w="900" w:type="dxa"/>
          </w:tcPr>
          <w:p w14:paraId="52E22F10">
            <w:pPr>
              <w:pStyle w:val="7"/>
              <w:spacing w:line="360" w:lineRule="auto"/>
              <w:ind w:left="1260" w:firstLine="0"/>
              <w:rPr>
                <w:rFonts w:hint="eastAsia" w:ascii="宋体" w:hAnsi="宋体" w:eastAsia="宋体" w:cs="宋体"/>
                <w:color w:val="auto"/>
                <w:highlight w:val="none"/>
              </w:rPr>
            </w:pPr>
          </w:p>
        </w:tc>
        <w:tc>
          <w:tcPr>
            <w:tcW w:w="900" w:type="dxa"/>
          </w:tcPr>
          <w:p w14:paraId="6C3146A0">
            <w:pPr>
              <w:pStyle w:val="7"/>
              <w:spacing w:line="360" w:lineRule="auto"/>
              <w:ind w:left="1260" w:firstLine="0"/>
              <w:rPr>
                <w:rFonts w:hint="eastAsia" w:ascii="宋体" w:hAnsi="宋体" w:eastAsia="宋体" w:cs="宋体"/>
                <w:color w:val="auto"/>
                <w:highlight w:val="none"/>
              </w:rPr>
            </w:pPr>
          </w:p>
        </w:tc>
        <w:tc>
          <w:tcPr>
            <w:tcW w:w="1100" w:type="dxa"/>
          </w:tcPr>
          <w:p w14:paraId="6A9C649F">
            <w:pPr>
              <w:pStyle w:val="7"/>
              <w:spacing w:line="360" w:lineRule="auto"/>
              <w:ind w:left="1260" w:firstLine="0"/>
              <w:rPr>
                <w:rFonts w:hint="eastAsia" w:ascii="宋体" w:hAnsi="宋体" w:eastAsia="宋体" w:cs="宋体"/>
                <w:color w:val="auto"/>
                <w:highlight w:val="none"/>
              </w:rPr>
            </w:pPr>
          </w:p>
        </w:tc>
        <w:tc>
          <w:tcPr>
            <w:tcW w:w="1100" w:type="dxa"/>
          </w:tcPr>
          <w:p w14:paraId="4ADEEB56">
            <w:pPr>
              <w:pStyle w:val="7"/>
              <w:spacing w:line="360" w:lineRule="auto"/>
              <w:ind w:left="1260" w:firstLine="0"/>
              <w:rPr>
                <w:rFonts w:hint="eastAsia" w:ascii="宋体" w:hAnsi="宋体" w:eastAsia="宋体" w:cs="宋体"/>
                <w:color w:val="auto"/>
                <w:highlight w:val="none"/>
              </w:rPr>
            </w:pPr>
          </w:p>
        </w:tc>
        <w:tc>
          <w:tcPr>
            <w:tcW w:w="700" w:type="dxa"/>
          </w:tcPr>
          <w:p w14:paraId="6B8F7E43">
            <w:pPr>
              <w:pStyle w:val="7"/>
              <w:spacing w:line="360" w:lineRule="auto"/>
              <w:ind w:left="1260" w:firstLine="0"/>
              <w:rPr>
                <w:rFonts w:hint="eastAsia" w:ascii="宋体" w:hAnsi="宋体" w:eastAsia="宋体" w:cs="宋体"/>
                <w:color w:val="auto"/>
                <w:highlight w:val="none"/>
              </w:rPr>
            </w:pPr>
          </w:p>
        </w:tc>
      </w:tr>
      <w:tr w14:paraId="4B27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F7FD51">
            <w:pPr>
              <w:pStyle w:val="7"/>
              <w:spacing w:line="360" w:lineRule="auto"/>
              <w:ind w:left="1260" w:firstLine="0"/>
              <w:rPr>
                <w:rFonts w:hint="eastAsia" w:ascii="宋体" w:hAnsi="宋体" w:eastAsia="宋体" w:cs="宋体"/>
                <w:color w:val="auto"/>
                <w:highlight w:val="none"/>
              </w:rPr>
            </w:pPr>
          </w:p>
        </w:tc>
        <w:tc>
          <w:tcPr>
            <w:tcW w:w="1700" w:type="dxa"/>
          </w:tcPr>
          <w:p w14:paraId="4324B6C5">
            <w:pPr>
              <w:pStyle w:val="7"/>
              <w:spacing w:line="360" w:lineRule="auto"/>
              <w:ind w:left="1260" w:firstLine="0"/>
              <w:rPr>
                <w:rFonts w:hint="eastAsia" w:ascii="宋体" w:hAnsi="宋体" w:eastAsia="宋体" w:cs="宋体"/>
                <w:color w:val="auto"/>
                <w:highlight w:val="none"/>
              </w:rPr>
            </w:pPr>
          </w:p>
        </w:tc>
        <w:tc>
          <w:tcPr>
            <w:tcW w:w="700" w:type="dxa"/>
          </w:tcPr>
          <w:p w14:paraId="402EA486">
            <w:pPr>
              <w:pStyle w:val="7"/>
              <w:spacing w:line="360" w:lineRule="auto"/>
              <w:ind w:left="1260" w:firstLine="0"/>
              <w:rPr>
                <w:rFonts w:hint="eastAsia" w:ascii="宋体" w:hAnsi="宋体" w:eastAsia="宋体" w:cs="宋体"/>
                <w:color w:val="auto"/>
                <w:highlight w:val="none"/>
              </w:rPr>
            </w:pPr>
          </w:p>
        </w:tc>
        <w:tc>
          <w:tcPr>
            <w:tcW w:w="700" w:type="dxa"/>
          </w:tcPr>
          <w:p w14:paraId="25BB72AA">
            <w:pPr>
              <w:pStyle w:val="7"/>
              <w:spacing w:line="360" w:lineRule="auto"/>
              <w:ind w:left="1260" w:firstLine="0"/>
              <w:rPr>
                <w:rFonts w:hint="eastAsia" w:ascii="宋体" w:hAnsi="宋体" w:eastAsia="宋体" w:cs="宋体"/>
                <w:color w:val="auto"/>
                <w:highlight w:val="none"/>
              </w:rPr>
            </w:pPr>
          </w:p>
        </w:tc>
        <w:tc>
          <w:tcPr>
            <w:tcW w:w="900" w:type="dxa"/>
          </w:tcPr>
          <w:p w14:paraId="3E6123A7">
            <w:pPr>
              <w:pStyle w:val="7"/>
              <w:spacing w:line="360" w:lineRule="auto"/>
              <w:ind w:left="1260" w:firstLine="0"/>
              <w:rPr>
                <w:rFonts w:hint="eastAsia" w:ascii="宋体" w:hAnsi="宋体" w:eastAsia="宋体" w:cs="宋体"/>
                <w:color w:val="auto"/>
                <w:highlight w:val="none"/>
              </w:rPr>
            </w:pPr>
          </w:p>
        </w:tc>
        <w:tc>
          <w:tcPr>
            <w:tcW w:w="900" w:type="dxa"/>
          </w:tcPr>
          <w:p w14:paraId="2C7E9C03">
            <w:pPr>
              <w:pStyle w:val="7"/>
              <w:spacing w:line="360" w:lineRule="auto"/>
              <w:ind w:left="1260" w:firstLine="0"/>
              <w:rPr>
                <w:rFonts w:hint="eastAsia" w:ascii="宋体" w:hAnsi="宋体" w:eastAsia="宋体" w:cs="宋体"/>
                <w:color w:val="auto"/>
                <w:highlight w:val="none"/>
              </w:rPr>
            </w:pPr>
          </w:p>
        </w:tc>
        <w:tc>
          <w:tcPr>
            <w:tcW w:w="1100" w:type="dxa"/>
          </w:tcPr>
          <w:p w14:paraId="58D14EDB">
            <w:pPr>
              <w:pStyle w:val="7"/>
              <w:spacing w:line="360" w:lineRule="auto"/>
              <w:ind w:left="1260" w:firstLine="0"/>
              <w:rPr>
                <w:rFonts w:hint="eastAsia" w:ascii="宋体" w:hAnsi="宋体" w:eastAsia="宋体" w:cs="宋体"/>
                <w:color w:val="auto"/>
                <w:highlight w:val="none"/>
              </w:rPr>
            </w:pPr>
          </w:p>
        </w:tc>
        <w:tc>
          <w:tcPr>
            <w:tcW w:w="1100" w:type="dxa"/>
          </w:tcPr>
          <w:p w14:paraId="007623BB">
            <w:pPr>
              <w:pStyle w:val="7"/>
              <w:spacing w:line="360" w:lineRule="auto"/>
              <w:ind w:left="1260" w:firstLine="0"/>
              <w:rPr>
                <w:rFonts w:hint="eastAsia" w:ascii="宋体" w:hAnsi="宋体" w:eastAsia="宋体" w:cs="宋体"/>
                <w:color w:val="auto"/>
                <w:highlight w:val="none"/>
              </w:rPr>
            </w:pPr>
          </w:p>
        </w:tc>
        <w:tc>
          <w:tcPr>
            <w:tcW w:w="700" w:type="dxa"/>
          </w:tcPr>
          <w:p w14:paraId="520A467E">
            <w:pPr>
              <w:pStyle w:val="7"/>
              <w:spacing w:line="360" w:lineRule="auto"/>
              <w:ind w:left="1260" w:firstLine="0"/>
              <w:rPr>
                <w:rFonts w:hint="eastAsia" w:ascii="宋体" w:hAnsi="宋体" w:eastAsia="宋体" w:cs="宋体"/>
                <w:color w:val="auto"/>
                <w:highlight w:val="none"/>
              </w:rPr>
            </w:pPr>
          </w:p>
        </w:tc>
      </w:tr>
    </w:tbl>
    <w:p w14:paraId="06280E48">
      <w:pPr>
        <w:pStyle w:val="7"/>
        <w:spacing w:line="300" w:lineRule="auto"/>
        <w:ind w:firstLine="602" w:firstLineChars="200"/>
        <w:jc w:val="left"/>
        <w:rPr>
          <w:rFonts w:hint="eastAsia" w:ascii="宋体" w:hAnsi="宋体" w:eastAsia="宋体" w:cs="宋体"/>
          <w:b/>
          <w:bCs/>
          <w:color w:val="auto"/>
          <w:sz w:val="30"/>
          <w:szCs w:val="30"/>
          <w:highlight w:val="none"/>
        </w:rPr>
      </w:pPr>
    </w:p>
    <w:p w14:paraId="1182BDB6">
      <w:pPr>
        <w:pStyle w:val="7"/>
        <w:spacing w:line="300" w:lineRule="auto"/>
        <w:ind w:firstLine="602" w:firstLineChars="200"/>
        <w:jc w:val="left"/>
        <w:rPr>
          <w:rFonts w:hint="eastAsia" w:ascii="宋体" w:hAnsi="宋体" w:eastAsia="宋体" w:cs="宋体"/>
          <w:b/>
          <w:bCs/>
          <w:color w:val="auto"/>
          <w:sz w:val="30"/>
          <w:szCs w:val="30"/>
          <w:highlight w:val="none"/>
        </w:rPr>
      </w:pPr>
    </w:p>
    <w:p w14:paraId="024C2DB6">
      <w:pPr>
        <w:pStyle w:val="7"/>
        <w:spacing w:line="300" w:lineRule="auto"/>
        <w:ind w:firstLine="0"/>
        <w:jc w:val="left"/>
        <w:rPr>
          <w:rFonts w:hint="default" w:ascii="宋体" w:hAnsi="宋体" w:eastAsia="宋体" w:cs="宋体"/>
          <w:color w:val="auto"/>
          <w:sz w:val="30"/>
          <w:szCs w:val="30"/>
          <w:highlight w:val="none"/>
          <w:lang w:val="en-US" w:eastAsia="zh-CN"/>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1</w:t>
      </w:r>
      <w:r>
        <w:rPr>
          <w:rFonts w:hint="eastAsia" w:ascii="宋体" w:hAnsi="宋体" w:cs="宋体"/>
          <w:b/>
          <w:bCs/>
          <w:color w:val="auto"/>
          <w:sz w:val="30"/>
          <w:szCs w:val="30"/>
          <w:highlight w:val="none"/>
          <w:lang w:val="en-US" w:eastAsia="zh-CN"/>
        </w:rPr>
        <w:t>2</w:t>
      </w:r>
    </w:p>
    <w:p w14:paraId="6A57FD0F">
      <w:pPr>
        <w:pStyle w:val="5"/>
        <w:spacing w:before="0" w:after="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主要施工管理人员表</w:t>
      </w:r>
      <w:bookmarkEnd w:id="110"/>
      <w:bookmarkEnd w:id="11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14:paraId="21E9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26B96310">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机构</w:t>
            </w:r>
          </w:p>
        </w:tc>
        <w:tc>
          <w:tcPr>
            <w:tcW w:w="1632" w:type="dxa"/>
          </w:tcPr>
          <w:p w14:paraId="75E456CF">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项目工程师</w:t>
            </w:r>
          </w:p>
        </w:tc>
        <w:tc>
          <w:tcPr>
            <w:tcW w:w="709" w:type="dxa"/>
          </w:tcPr>
          <w:p w14:paraId="7AAE01EF">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姓名</w:t>
            </w:r>
          </w:p>
        </w:tc>
        <w:tc>
          <w:tcPr>
            <w:tcW w:w="851" w:type="dxa"/>
          </w:tcPr>
          <w:p w14:paraId="55C55B48">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职务</w:t>
            </w:r>
          </w:p>
        </w:tc>
        <w:tc>
          <w:tcPr>
            <w:tcW w:w="850" w:type="dxa"/>
          </w:tcPr>
          <w:p w14:paraId="5FA89EA8">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职称</w:t>
            </w:r>
          </w:p>
        </w:tc>
        <w:tc>
          <w:tcPr>
            <w:tcW w:w="3557" w:type="dxa"/>
          </w:tcPr>
          <w:p w14:paraId="21FBF4E2">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主要资历、经验及承担过的工程</w:t>
            </w:r>
          </w:p>
        </w:tc>
      </w:tr>
      <w:tr w14:paraId="345E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43BB2F50">
            <w:pPr>
              <w:spacing w:line="360" w:lineRule="auto"/>
              <w:jc w:val="center"/>
              <w:rPr>
                <w:rFonts w:hint="eastAsia" w:ascii="宋体" w:hAnsi="宋体" w:eastAsia="宋体" w:cs="宋体"/>
                <w:color w:val="auto"/>
                <w:position w:val="-42"/>
                <w:sz w:val="24"/>
                <w:highlight w:val="none"/>
              </w:rPr>
            </w:pPr>
          </w:p>
          <w:p w14:paraId="3FA5FDF8">
            <w:pPr>
              <w:spacing w:line="360" w:lineRule="auto"/>
              <w:jc w:val="center"/>
              <w:rPr>
                <w:rFonts w:hint="eastAsia" w:ascii="宋体" w:hAnsi="宋体" w:eastAsia="宋体" w:cs="宋体"/>
                <w:color w:val="auto"/>
                <w:position w:val="-42"/>
                <w:sz w:val="24"/>
                <w:highlight w:val="none"/>
              </w:rPr>
            </w:pPr>
          </w:p>
          <w:p w14:paraId="6BA90020">
            <w:pPr>
              <w:spacing w:line="360" w:lineRule="auto"/>
              <w:jc w:val="center"/>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总</w:t>
            </w:r>
          </w:p>
          <w:p w14:paraId="33CC1DB2">
            <w:pPr>
              <w:spacing w:line="360" w:lineRule="auto"/>
              <w:jc w:val="center"/>
              <w:rPr>
                <w:rFonts w:hint="eastAsia" w:ascii="宋体" w:hAnsi="宋体" w:eastAsia="宋体" w:cs="宋体"/>
                <w:color w:val="auto"/>
                <w:position w:val="-42"/>
                <w:sz w:val="24"/>
                <w:highlight w:val="none"/>
              </w:rPr>
            </w:pPr>
          </w:p>
          <w:p w14:paraId="48CC1483">
            <w:pPr>
              <w:spacing w:line="360" w:lineRule="auto"/>
              <w:jc w:val="center"/>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部</w:t>
            </w:r>
          </w:p>
        </w:tc>
        <w:tc>
          <w:tcPr>
            <w:tcW w:w="1632" w:type="dxa"/>
          </w:tcPr>
          <w:p w14:paraId="672500D1">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项目主管</w:t>
            </w:r>
          </w:p>
        </w:tc>
        <w:tc>
          <w:tcPr>
            <w:tcW w:w="709" w:type="dxa"/>
          </w:tcPr>
          <w:p w14:paraId="00C8CE2E">
            <w:pPr>
              <w:spacing w:line="360" w:lineRule="auto"/>
              <w:rPr>
                <w:rFonts w:hint="eastAsia" w:ascii="宋体" w:hAnsi="宋体" w:eastAsia="宋体" w:cs="宋体"/>
                <w:color w:val="auto"/>
                <w:position w:val="-42"/>
                <w:sz w:val="24"/>
                <w:highlight w:val="none"/>
              </w:rPr>
            </w:pPr>
          </w:p>
        </w:tc>
        <w:tc>
          <w:tcPr>
            <w:tcW w:w="851" w:type="dxa"/>
          </w:tcPr>
          <w:p w14:paraId="33D7880A">
            <w:pPr>
              <w:spacing w:line="360" w:lineRule="auto"/>
              <w:rPr>
                <w:rFonts w:hint="eastAsia" w:ascii="宋体" w:hAnsi="宋体" w:eastAsia="宋体" w:cs="宋体"/>
                <w:color w:val="auto"/>
                <w:position w:val="-42"/>
                <w:sz w:val="24"/>
                <w:highlight w:val="none"/>
              </w:rPr>
            </w:pPr>
          </w:p>
        </w:tc>
        <w:tc>
          <w:tcPr>
            <w:tcW w:w="850" w:type="dxa"/>
          </w:tcPr>
          <w:p w14:paraId="25C1A2EF">
            <w:pPr>
              <w:spacing w:line="360" w:lineRule="auto"/>
              <w:rPr>
                <w:rFonts w:hint="eastAsia" w:ascii="宋体" w:hAnsi="宋体" w:eastAsia="宋体" w:cs="宋体"/>
                <w:color w:val="auto"/>
                <w:position w:val="-42"/>
                <w:sz w:val="24"/>
                <w:highlight w:val="none"/>
              </w:rPr>
            </w:pPr>
          </w:p>
        </w:tc>
        <w:tc>
          <w:tcPr>
            <w:tcW w:w="3557" w:type="dxa"/>
          </w:tcPr>
          <w:p w14:paraId="5625C5DD">
            <w:pPr>
              <w:spacing w:line="360" w:lineRule="auto"/>
              <w:rPr>
                <w:rFonts w:hint="eastAsia" w:ascii="宋体" w:hAnsi="宋体" w:eastAsia="宋体" w:cs="宋体"/>
                <w:color w:val="auto"/>
                <w:position w:val="-42"/>
                <w:sz w:val="24"/>
                <w:highlight w:val="none"/>
              </w:rPr>
            </w:pPr>
          </w:p>
        </w:tc>
      </w:tr>
      <w:tr w14:paraId="6BC4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4A02270">
            <w:pPr>
              <w:spacing w:line="360" w:lineRule="auto"/>
              <w:rPr>
                <w:rFonts w:hint="eastAsia" w:ascii="宋体" w:hAnsi="宋体" w:eastAsia="宋体" w:cs="宋体"/>
                <w:color w:val="auto"/>
                <w:position w:val="-42"/>
                <w:sz w:val="24"/>
                <w:highlight w:val="none"/>
              </w:rPr>
            </w:pPr>
          </w:p>
        </w:tc>
        <w:tc>
          <w:tcPr>
            <w:tcW w:w="1632" w:type="dxa"/>
          </w:tcPr>
          <w:p w14:paraId="6D15B8D9">
            <w:pPr>
              <w:spacing w:line="360" w:lineRule="auto"/>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技术负责人</w:t>
            </w:r>
          </w:p>
        </w:tc>
        <w:tc>
          <w:tcPr>
            <w:tcW w:w="709" w:type="dxa"/>
          </w:tcPr>
          <w:p w14:paraId="322AC69D">
            <w:pPr>
              <w:spacing w:line="360" w:lineRule="auto"/>
              <w:rPr>
                <w:rFonts w:hint="eastAsia" w:ascii="宋体" w:hAnsi="宋体" w:eastAsia="宋体" w:cs="宋体"/>
                <w:color w:val="auto"/>
                <w:position w:val="-42"/>
                <w:sz w:val="24"/>
                <w:highlight w:val="none"/>
              </w:rPr>
            </w:pPr>
          </w:p>
        </w:tc>
        <w:tc>
          <w:tcPr>
            <w:tcW w:w="851" w:type="dxa"/>
          </w:tcPr>
          <w:p w14:paraId="45E887F8">
            <w:pPr>
              <w:spacing w:line="360" w:lineRule="auto"/>
              <w:rPr>
                <w:rFonts w:hint="eastAsia" w:ascii="宋体" w:hAnsi="宋体" w:eastAsia="宋体" w:cs="宋体"/>
                <w:color w:val="auto"/>
                <w:position w:val="-42"/>
                <w:sz w:val="24"/>
                <w:highlight w:val="none"/>
              </w:rPr>
            </w:pPr>
          </w:p>
        </w:tc>
        <w:tc>
          <w:tcPr>
            <w:tcW w:w="850" w:type="dxa"/>
          </w:tcPr>
          <w:p w14:paraId="1433784C">
            <w:pPr>
              <w:spacing w:line="360" w:lineRule="auto"/>
              <w:rPr>
                <w:rFonts w:hint="eastAsia" w:ascii="宋体" w:hAnsi="宋体" w:eastAsia="宋体" w:cs="宋体"/>
                <w:color w:val="auto"/>
                <w:position w:val="-42"/>
                <w:sz w:val="24"/>
                <w:highlight w:val="none"/>
              </w:rPr>
            </w:pPr>
          </w:p>
        </w:tc>
        <w:tc>
          <w:tcPr>
            <w:tcW w:w="3557" w:type="dxa"/>
          </w:tcPr>
          <w:p w14:paraId="5487A084">
            <w:pPr>
              <w:spacing w:line="360" w:lineRule="auto"/>
              <w:rPr>
                <w:rFonts w:hint="eastAsia" w:ascii="宋体" w:hAnsi="宋体" w:eastAsia="宋体" w:cs="宋体"/>
                <w:color w:val="auto"/>
                <w:position w:val="-42"/>
                <w:sz w:val="24"/>
                <w:highlight w:val="none"/>
              </w:rPr>
            </w:pPr>
          </w:p>
        </w:tc>
      </w:tr>
      <w:tr w14:paraId="54FB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B7ED6A8">
            <w:pPr>
              <w:spacing w:line="360" w:lineRule="auto"/>
              <w:rPr>
                <w:rFonts w:hint="eastAsia" w:ascii="宋体" w:hAnsi="宋体" w:eastAsia="宋体" w:cs="宋体"/>
                <w:color w:val="auto"/>
                <w:position w:val="-42"/>
                <w:sz w:val="24"/>
                <w:highlight w:val="none"/>
              </w:rPr>
            </w:pPr>
          </w:p>
        </w:tc>
        <w:tc>
          <w:tcPr>
            <w:tcW w:w="1632" w:type="dxa"/>
          </w:tcPr>
          <w:p w14:paraId="2FFB3310">
            <w:pPr>
              <w:spacing w:line="360" w:lineRule="auto"/>
              <w:rPr>
                <w:rFonts w:hint="eastAsia" w:ascii="宋体" w:hAnsi="宋体" w:eastAsia="宋体" w:cs="宋体"/>
                <w:color w:val="auto"/>
                <w:position w:val="-42"/>
                <w:sz w:val="24"/>
                <w:highlight w:val="none"/>
              </w:rPr>
            </w:pPr>
          </w:p>
        </w:tc>
        <w:tc>
          <w:tcPr>
            <w:tcW w:w="709" w:type="dxa"/>
          </w:tcPr>
          <w:p w14:paraId="58F440A6">
            <w:pPr>
              <w:spacing w:line="360" w:lineRule="auto"/>
              <w:rPr>
                <w:rFonts w:hint="eastAsia" w:ascii="宋体" w:hAnsi="宋体" w:eastAsia="宋体" w:cs="宋体"/>
                <w:color w:val="auto"/>
                <w:position w:val="-42"/>
                <w:sz w:val="24"/>
                <w:highlight w:val="none"/>
              </w:rPr>
            </w:pPr>
          </w:p>
        </w:tc>
        <w:tc>
          <w:tcPr>
            <w:tcW w:w="851" w:type="dxa"/>
          </w:tcPr>
          <w:p w14:paraId="6D3522A6">
            <w:pPr>
              <w:spacing w:line="360" w:lineRule="auto"/>
              <w:rPr>
                <w:rFonts w:hint="eastAsia" w:ascii="宋体" w:hAnsi="宋体" w:eastAsia="宋体" w:cs="宋体"/>
                <w:color w:val="auto"/>
                <w:position w:val="-42"/>
                <w:sz w:val="24"/>
                <w:highlight w:val="none"/>
              </w:rPr>
            </w:pPr>
          </w:p>
        </w:tc>
        <w:tc>
          <w:tcPr>
            <w:tcW w:w="850" w:type="dxa"/>
          </w:tcPr>
          <w:p w14:paraId="31A8EEC8">
            <w:pPr>
              <w:spacing w:line="360" w:lineRule="auto"/>
              <w:rPr>
                <w:rFonts w:hint="eastAsia" w:ascii="宋体" w:hAnsi="宋体" w:eastAsia="宋体" w:cs="宋体"/>
                <w:color w:val="auto"/>
                <w:position w:val="-42"/>
                <w:sz w:val="24"/>
                <w:highlight w:val="none"/>
              </w:rPr>
            </w:pPr>
          </w:p>
        </w:tc>
        <w:tc>
          <w:tcPr>
            <w:tcW w:w="3557" w:type="dxa"/>
          </w:tcPr>
          <w:p w14:paraId="31691971">
            <w:pPr>
              <w:spacing w:line="360" w:lineRule="auto"/>
              <w:rPr>
                <w:rFonts w:hint="eastAsia" w:ascii="宋体" w:hAnsi="宋体" w:eastAsia="宋体" w:cs="宋体"/>
                <w:color w:val="auto"/>
                <w:position w:val="-42"/>
                <w:sz w:val="24"/>
                <w:highlight w:val="none"/>
              </w:rPr>
            </w:pPr>
          </w:p>
        </w:tc>
      </w:tr>
      <w:tr w14:paraId="2122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10C140C">
            <w:pPr>
              <w:spacing w:line="360" w:lineRule="auto"/>
              <w:rPr>
                <w:rFonts w:hint="eastAsia" w:ascii="宋体" w:hAnsi="宋体" w:eastAsia="宋体" w:cs="宋体"/>
                <w:color w:val="auto"/>
                <w:position w:val="-42"/>
                <w:sz w:val="24"/>
                <w:highlight w:val="none"/>
              </w:rPr>
            </w:pPr>
          </w:p>
        </w:tc>
        <w:tc>
          <w:tcPr>
            <w:tcW w:w="1632" w:type="dxa"/>
          </w:tcPr>
          <w:p w14:paraId="2EB12FAB">
            <w:pPr>
              <w:spacing w:line="360" w:lineRule="auto"/>
              <w:rPr>
                <w:rFonts w:hint="eastAsia" w:ascii="宋体" w:hAnsi="宋体" w:eastAsia="宋体" w:cs="宋体"/>
                <w:color w:val="auto"/>
                <w:position w:val="-42"/>
                <w:sz w:val="24"/>
                <w:highlight w:val="none"/>
              </w:rPr>
            </w:pPr>
          </w:p>
        </w:tc>
        <w:tc>
          <w:tcPr>
            <w:tcW w:w="709" w:type="dxa"/>
          </w:tcPr>
          <w:p w14:paraId="1524AF98">
            <w:pPr>
              <w:spacing w:line="360" w:lineRule="auto"/>
              <w:rPr>
                <w:rFonts w:hint="eastAsia" w:ascii="宋体" w:hAnsi="宋体" w:eastAsia="宋体" w:cs="宋体"/>
                <w:color w:val="auto"/>
                <w:position w:val="-42"/>
                <w:sz w:val="24"/>
                <w:highlight w:val="none"/>
              </w:rPr>
            </w:pPr>
          </w:p>
        </w:tc>
        <w:tc>
          <w:tcPr>
            <w:tcW w:w="851" w:type="dxa"/>
          </w:tcPr>
          <w:p w14:paraId="2113CB95">
            <w:pPr>
              <w:spacing w:line="360" w:lineRule="auto"/>
              <w:rPr>
                <w:rFonts w:hint="eastAsia" w:ascii="宋体" w:hAnsi="宋体" w:eastAsia="宋体" w:cs="宋体"/>
                <w:color w:val="auto"/>
                <w:position w:val="-42"/>
                <w:sz w:val="24"/>
                <w:highlight w:val="none"/>
              </w:rPr>
            </w:pPr>
          </w:p>
        </w:tc>
        <w:tc>
          <w:tcPr>
            <w:tcW w:w="850" w:type="dxa"/>
          </w:tcPr>
          <w:p w14:paraId="3A94EC0D">
            <w:pPr>
              <w:spacing w:line="360" w:lineRule="auto"/>
              <w:rPr>
                <w:rFonts w:hint="eastAsia" w:ascii="宋体" w:hAnsi="宋体" w:eastAsia="宋体" w:cs="宋体"/>
                <w:color w:val="auto"/>
                <w:position w:val="-42"/>
                <w:sz w:val="24"/>
                <w:highlight w:val="none"/>
              </w:rPr>
            </w:pPr>
          </w:p>
        </w:tc>
        <w:tc>
          <w:tcPr>
            <w:tcW w:w="3557" w:type="dxa"/>
          </w:tcPr>
          <w:p w14:paraId="29C2752F">
            <w:pPr>
              <w:spacing w:line="360" w:lineRule="auto"/>
              <w:rPr>
                <w:rFonts w:hint="eastAsia" w:ascii="宋体" w:hAnsi="宋体" w:eastAsia="宋体" w:cs="宋体"/>
                <w:color w:val="auto"/>
                <w:position w:val="-42"/>
                <w:sz w:val="24"/>
                <w:highlight w:val="none"/>
              </w:rPr>
            </w:pPr>
          </w:p>
        </w:tc>
      </w:tr>
      <w:tr w14:paraId="1C8D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46613B1">
            <w:pPr>
              <w:spacing w:line="360" w:lineRule="auto"/>
              <w:rPr>
                <w:rFonts w:hint="eastAsia" w:ascii="宋体" w:hAnsi="宋体" w:eastAsia="宋体" w:cs="宋体"/>
                <w:color w:val="auto"/>
                <w:position w:val="-42"/>
                <w:sz w:val="24"/>
                <w:highlight w:val="none"/>
              </w:rPr>
            </w:pPr>
          </w:p>
        </w:tc>
        <w:tc>
          <w:tcPr>
            <w:tcW w:w="1632" w:type="dxa"/>
          </w:tcPr>
          <w:p w14:paraId="32236A99">
            <w:pPr>
              <w:spacing w:line="360" w:lineRule="auto"/>
              <w:rPr>
                <w:rFonts w:hint="eastAsia" w:ascii="宋体" w:hAnsi="宋体" w:eastAsia="宋体" w:cs="宋体"/>
                <w:color w:val="auto"/>
                <w:position w:val="-42"/>
                <w:sz w:val="24"/>
                <w:highlight w:val="none"/>
              </w:rPr>
            </w:pPr>
          </w:p>
        </w:tc>
        <w:tc>
          <w:tcPr>
            <w:tcW w:w="709" w:type="dxa"/>
          </w:tcPr>
          <w:p w14:paraId="3F4B2950">
            <w:pPr>
              <w:spacing w:line="360" w:lineRule="auto"/>
              <w:rPr>
                <w:rFonts w:hint="eastAsia" w:ascii="宋体" w:hAnsi="宋体" w:eastAsia="宋体" w:cs="宋体"/>
                <w:color w:val="auto"/>
                <w:position w:val="-42"/>
                <w:sz w:val="24"/>
                <w:highlight w:val="none"/>
              </w:rPr>
            </w:pPr>
          </w:p>
        </w:tc>
        <w:tc>
          <w:tcPr>
            <w:tcW w:w="851" w:type="dxa"/>
          </w:tcPr>
          <w:p w14:paraId="7A55C7BD">
            <w:pPr>
              <w:spacing w:line="360" w:lineRule="auto"/>
              <w:rPr>
                <w:rFonts w:hint="eastAsia" w:ascii="宋体" w:hAnsi="宋体" w:eastAsia="宋体" w:cs="宋体"/>
                <w:color w:val="auto"/>
                <w:position w:val="-42"/>
                <w:sz w:val="24"/>
                <w:highlight w:val="none"/>
              </w:rPr>
            </w:pPr>
          </w:p>
        </w:tc>
        <w:tc>
          <w:tcPr>
            <w:tcW w:w="850" w:type="dxa"/>
          </w:tcPr>
          <w:p w14:paraId="5D3E9BC9">
            <w:pPr>
              <w:spacing w:line="360" w:lineRule="auto"/>
              <w:rPr>
                <w:rFonts w:hint="eastAsia" w:ascii="宋体" w:hAnsi="宋体" w:eastAsia="宋体" w:cs="宋体"/>
                <w:color w:val="auto"/>
                <w:position w:val="-42"/>
                <w:sz w:val="24"/>
                <w:highlight w:val="none"/>
              </w:rPr>
            </w:pPr>
          </w:p>
        </w:tc>
        <w:tc>
          <w:tcPr>
            <w:tcW w:w="3557" w:type="dxa"/>
          </w:tcPr>
          <w:p w14:paraId="3CD7EAAE">
            <w:pPr>
              <w:spacing w:line="360" w:lineRule="auto"/>
              <w:rPr>
                <w:rFonts w:hint="eastAsia" w:ascii="宋体" w:hAnsi="宋体" w:eastAsia="宋体" w:cs="宋体"/>
                <w:color w:val="auto"/>
                <w:position w:val="-42"/>
                <w:sz w:val="24"/>
                <w:highlight w:val="none"/>
              </w:rPr>
            </w:pPr>
          </w:p>
        </w:tc>
      </w:tr>
      <w:tr w14:paraId="6F8E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2B563F">
            <w:pPr>
              <w:spacing w:line="360" w:lineRule="auto"/>
              <w:rPr>
                <w:rFonts w:hint="eastAsia" w:ascii="宋体" w:hAnsi="宋体" w:eastAsia="宋体" w:cs="宋体"/>
                <w:color w:val="auto"/>
                <w:position w:val="-42"/>
                <w:sz w:val="24"/>
                <w:highlight w:val="none"/>
              </w:rPr>
            </w:pPr>
          </w:p>
        </w:tc>
        <w:tc>
          <w:tcPr>
            <w:tcW w:w="1632" w:type="dxa"/>
          </w:tcPr>
          <w:p w14:paraId="1E3D3821">
            <w:pPr>
              <w:spacing w:line="360" w:lineRule="auto"/>
              <w:rPr>
                <w:rFonts w:hint="eastAsia" w:ascii="宋体" w:hAnsi="宋体" w:eastAsia="宋体" w:cs="宋体"/>
                <w:color w:val="auto"/>
                <w:position w:val="-42"/>
                <w:sz w:val="24"/>
                <w:highlight w:val="none"/>
              </w:rPr>
            </w:pPr>
          </w:p>
        </w:tc>
        <w:tc>
          <w:tcPr>
            <w:tcW w:w="709" w:type="dxa"/>
          </w:tcPr>
          <w:p w14:paraId="5031F73B">
            <w:pPr>
              <w:spacing w:line="360" w:lineRule="auto"/>
              <w:rPr>
                <w:rFonts w:hint="eastAsia" w:ascii="宋体" w:hAnsi="宋体" w:eastAsia="宋体" w:cs="宋体"/>
                <w:color w:val="auto"/>
                <w:position w:val="-42"/>
                <w:sz w:val="24"/>
                <w:highlight w:val="none"/>
              </w:rPr>
            </w:pPr>
          </w:p>
        </w:tc>
        <w:tc>
          <w:tcPr>
            <w:tcW w:w="851" w:type="dxa"/>
          </w:tcPr>
          <w:p w14:paraId="3B190A10">
            <w:pPr>
              <w:spacing w:line="360" w:lineRule="auto"/>
              <w:rPr>
                <w:rFonts w:hint="eastAsia" w:ascii="宋体" w:hAnsi="宋体" w:eastAsia="宋体" w:cs="宋体"/>
                <w:color w:val="auto"/>
                <w:position w:val="-42"/>
                <w:sz w:val="24"/>
                <w:highlight w:val="none"/>
              </w:rPr>
            </w:pPr>
          </w:p>
        </w:tc>
        <w:tc>
          <w:tcPr>
            <w:tcW w:w="850" w:type="dxa"/>
          </w:tcPr>
          <w:p w14:paraId="03602BA8">
            <w:pPr>
              <w:spacing w:line="360" w:lineRule="auto"/>
              <w:rPr>
                <w:rFonts w:hint="eastAsia" w:ascii="宋体" w:hAnsi="宋体" w:eastAsia="宋体" w:cs="宋体"/>
                <w:color w:val="auto"/>
                <w:position w:val="-42"/>
                <w:sz w:val="24"/>
                <w:highlight w:val="none"/>
              </w:rPr>
            </w:pPr>
          </w:p>
        </w:tc>
        <w:tc>
          <w:tcPr>
            <w:tcW w:w="3557" w:type="dxa"/>
          </w:tcPr>
          <w:p w14:paraId="247A5AC8">
            <w:pPr>
              <w:spacing w:line="360" w:lineRule="auto"/>
              <w:rPr>
                <w:rFonts w:hint="eastAsia" w:ascii="宋体" w:hAnsi="宋体" w:eastAsia="宋体" w:cs="宋体"/>
                <w:color w:val="auto"/>
                <w:position w:val="-42"/>
                <w:sz w:val="24"/>
                <w:highlight w:val="none"/>
              </w:rPr>
            </w:pPr>
          </w:p>
        </w:tc>
      </w:tr>
      <w:tr w14:paraId="7492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351D22">
            <w:pPr>
              <w:spacing w:line="360" w:lineRule="auto"/>
              <w:rPr>
                <w:rFonts w:hint="eastAsia" w:ascii="宋体" w:hAnsi="宋体" w:eastAsia="宋体" w:cs="宋体"/>
                <w:color w:val="auto"/>
                <w:position w:val="-42"/>
                <w:sz w:val="24"/>
                <w:highlight w:val="none"/>
              </w:rPr>
            </w:pPr>
          </w:p>
        </w:tc>
        <w:tc>
          <w:tcPr>
            <w:tcW w:w="1632" w:type="dxa"/>
          </w:tcPr>
          <w:p w14:paraId="6B7C4B33">
            <w:pPr>
              <w:spacing w:line="360" w:lineRule="auto"/>
              <w:rPr>
                <w:rFonts w:hint="eastAsia" w:ascii="宋体" w:hAnsi="宋体" w:eastAsia="宋体" w:cs="宋体"/>
                <w:color w:val="auto"/>
                <w:position w:val="-42"/>
                <w:sz w:val="24"/>
                <w:highlight w:val="none"/>
              </w:rPr>
            </w:pPr>
          </w:p>
        </w:tc>
        <w:tc>
          <w:tcPr>
            <w:tcW w:w="709" w:type="dxa"/>
          </w:tcPr>
          <w:p w14:paraId="550EFB87">
            <w:pPr>
              <w:spacing w:line="360" w:lineRule="auto"/>
              <w:rPr>
                <w:rFonts w:hint="eastAsia" w:ascii="宋体" w:hAnsi="宋体" w:eastAsia="宋体" w:cs="宋体"/>
                <w:color w:val="auto"/>
                <w:position w:val="-42"/>
                <w:sz w:val="24"/>
                <w:highlight w:val="none"/>
              </w:rPr>
            </w:pPr>
          </w:p>
        </w:tc>
        <w:tc>
          <w:tcPr>
            <w:tcW w:w="851" w:type="dxa"/>
          </w:tcPr>
          <w:p w14:paraId="4E7CA9F1">
            <w:pPr>
              <w:spacing w:line="360" w:lineRule="auto"/>
              <w:rPr>
                <w:rFonts w:hint="eastAsia" w:ascii="宋体" w:hAnsi="宋体" w:eastAsia="宋体" w:cs="宋体"/>
                <w:color w:val="auto"/>
                <w:position w:val="-42"/>
                <w:sz w:val="24"/>
                <w:highlight w:val="none"/>
              </w:rPr>
            </w:pPr>
          </w:p>
        </w:tc>
        <w:tc>
          <w:tcPr>
            <w:tcW w:w="850" w:type="dxa"/>
          </w:tcPr>
          <w:p w14:paraId="2F8E99EE">
            <w:pPr>
              <w:spacing w:line="360" w:lineRule="auto"/>
              <w:rPr>
                <w:rFonts w:hint="eastAsia" w:ascii="宋体" w:hAnsi="宋体" w:eastAsia="宋体" w:cs="宋体"/>
                <w:color w:val="auto"/>
                <w:position w:val="-42"/>
                <w:sz w:val="24"/>
                <w:highlight w:val="none"/>
              </w:rPr>
            </w:pPr>
          </w:p>
        </w:tc>
        <w:tc>
          <w:tcPr>
            <w:tcW w:w="3557" w:type="dxa"/>
          </w:tcPr>
          <w:p w14:paraId="54A5764A">
            <w:pPr>
              <w:spacing w:line="360" w:lineRule="auto"/>
              <w:rPr>
                <w:rFonts w:hint="eastAsia" w:ascii="宋体" w:hAnsi="宋体" w:eastAsia="宋体" w:cs="宋体"/>
                <w:color w:val="auto"/>
                <w:position w:val="-42"/>
                <w:sz w:val="24"/>
                <w:highlight w:val="none"/>
              </w:rPr>
            </w:pPr>
          </w:p>
        </w:tc>
      </w:tr>
      <w:tr w14:paraId="11A1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612F1350">
            <w:pPr>
              <w:spacing w:line="360" w:lineRule="auto"/>
              <w:jc w:val="center"/>
              <w:rPr>
                <w:rFonts w:hint="eastAsia" w:ascii="宋体" w:hAnsi="宋体" w:eastAsia="宋体" w:cs="宋体"/>
                <w:color w:val="auto"/>
                <w:position w:val="-42"/>
                <w:sz w:val="24"/>
                <w:highlight w:val="none"/>
              </w:rPr>
            </w:pPr>
          </w:p>
          <w:p w14:paraId="2D4EB58D">
            <w:pPr>
              <w:spacing w:line="360" w:lineRule="auto"/>
              <w:jc w:val="center"/>
              <w:rPr>
                <w:rFonts w:hint="eastAsia" w:ascii="宋体" w:hAnsi="宋体" w:eastAsia="宋体" w:cs="宋体"/>
                <w:color w:val="auto"/>
                <w:position w:val="-42"/>
                <w:sz w:val="24"/>
                <w:highlight w:val="none"/>
              </w:rPr>
            </w:pPr>
          </w:p>
          <w:p w14:paraId="78C57B92">
            <w:pPr>
              <w:spacing w:line="360" w:lineRule="auto"/>
              <w:jc w:val="center"/>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现</w:t>
            </w:r>
          </w:p>
          <w:p w14:paraId="682C88EA">
            <w:pPr>
              <w:spacing w:line="360" w:lineRule="auto"/>
              <w:jc w:val="center"/>
              <w:rPr>
                <w:rFonts w:hint="eastAsia" w:ascii="宋体" w:hAnsi="宋体" w:eastAsia="宋体" w:cs="宋体"/>
                <w:color w:val="auto"/>
                <w:position w:val="-42"/>
                <w:sz w:val="24"/>
                <w:highlight w:val="none"/>
              </w:rPr>
            </w:pPr>
          </w:p>
          <w:p w14:paraId="48DE94B8">
            <w:pPr>
              <w:spacing w:line="360" w:lineRule="auto"/>
              <w:jc w:val="center"/>
              <w:rPr>
                <w:rFonts w:hint="eastAsia" w:ascii="宋体" w:hAnsi="宋体" w:eastAsia="宋体" w:cs="宋体"/>
                <w:color w:val="auto"/>
                <w:position w:val="-42"/>
                <w:sz w:val="24"/>
                <w:highlight w:val="none"/>
              </w:rPr>
            </w:pPr>
          </w:p>
          <w:p w14:paraId="758DE9CB">
            <w:pPr>
              <w:spacing w:line="360" w:lineRule="auto"/>
              <w:jc w:val="center"/>
              <w:rPr>
                <w:rFonts w:hint="eastAsia" w:ascii="宋体" w:hAnsi="宋体" w:eastAsia="宋体" w:cs="宋体"/>
                <w:color w:val="auto"/>
                <w:position w:val="-42"/>
                <w:sz w:val="24"/>
                <w:highlight w:val="none"/>
              </w:rPr>
            </w:pPr>
            <w:r>
              <w:rPr>
                <w:rFonts w:hint="eastAsia" w:ascii="宋体" w:hAnsi="宋体" w:eastAsia="宋体" w:cs="宋体"/>
                <w:color w:val="auto"/>
                <w:position w:val="-42"/>
                <w:sz w:val="24"/>
                <w:highlight w:val="none"/>
              </w:rPr>
              <w:t>场</w:t>
            </w:r>
          </w:p>
        </w:tc>
        <w:tc>
          <w:tcPr>
            <w:tcW w:w="1632" w:type="dxa"/>
            <w:vAlign w:val="center"/>
          </w:tcPr>
          <w:p w14:paraId="39AF7955">
            <w:pPr>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709" w:type="dxa"/>
          </w:tcPr>
          <w:p w14:paraId="641D944C">
            <w:pPr>
              <w:spacing w:line="360" w:lineRule="auto"/>
              <w:rPr>
                <w:rFonts w:hint="eastAsia" w:ascii="宋体" w:hAnsi="宋体" w:eastAsia="宋体" w:cs="宋体"/>
                <w:color w:val="auto"/>
                <w:position w:val="-42"/>
                <w:sz w:val="24"/>
                <w:highlight w:val="none"/>
              </w:rPr>
            </w:pPr>
          </w:p>
        </w:tc>
        <w:tc>
          <w:tcPr>
            <w:tcW w:w="851" w:type="dxa"/>
          </w:tcPr>
          <w:p w14:paraId="28AD5081">
            <w:pPr>
              <w:spacing w:line="360" w:lineRule="auto"/>
              <w:rPr>
                <w:rFonts w:hint="eastAsia" w:ascii="宋体" w:hAnsi="宋体" w:eastAsia="宋体" w:cs="宋体"/>
                <w:color w:val="auto"/>
                <w:position w:val="-42"/>
                <w:sz w:val="24"/>
                <w:highlight w:val="none"/>
              </w:rPr>
            </w:pPr>
          </w:p>
        </w:tc>
        <w:tc>
          <w:tcPr>
            <w:tcW w:w="850" w:type="dxa"/>
          </w:tcPr>
          <w:p w14:paraId="57EFDD78">
            <w:pPr>
              <w:spacing w:line="360" w:lineRule="auto"/>
              <w:rPr>
                <w:rFonts w:hint="eastAsia" w:ascii="宋体" w:hAnsi="宋体" w:eastAsia="宋体" w:cs="宋体"/>
                <w:color w:val="auto"/>
                <w:position w:val="-42"/>
                <w:sz w:val="24"/>
                <w:highlight w:val="none"/>
              </w:rPr>
            </w:pPr>
          </w:p>
        </w:tc>
        <w:tc>
          <w:tcPr>
            <w:tcW w:w="3557" w:type="dxa"/>
          </w:tcPr>
          <w:p w14:paraId="7685801C">
            <w:pPr>
              <w:spacing w:line="360" w:lineRule="auto"/>
              <w:rPr>
                <w:rFonts w:hint="eastAsia" w:ascii="宋体" w:hAnsi="宋体" w:eastAsia="宋体" w:cs="宋体"/>
                <w:color w:val="auto"/>
                <w:position w:val="-42"/>
                <w:sz w:val="24"/>
                <w:highlight w:val="none"/>
              </w:rPr>
            </w:pPr>
          </w:p>
        </w:tc>
      </w:tr>
      <w:tr w14:paraId="0561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71A8AA9">
            <w:pPr>
              <w:spacing w:line="360" w:lineRule="auto"/>
              <w:rPr>
                <w:rFonts w:hint="eastAsia" w:ascii="宋体" w:hAnsi="宋体" w:eastAsia="宋体" w:cs="宋体"/>
                <w:color w:val="auto"/>
                <w:position w:val="-42"/>
                <w:sz w:val="24"/>
                <w:highlight w:val="none"/>
              </w:rPr>
            </w:pPr>
          </w:p>
        </w:tc>
        <w:tc>
          <w:tcPr>
            <w:tcW w:w="1632" w:type="dxa"/>
            <w:vAlign w:val="center"/>
          </w:tcPr>
          <w:p w14:paraId="2F7443D5">
            <w:pPr>
              <w:jc w:val="center"/>
              <w:rPr>
                <w:rFonts w:hint="eastAsia" w:ascii="宋体" w:hAnsi="宋体" w:eastAsia="宋体" w:cs="宋体"/>
                <w:color w:val="auto"/>
                <w:highlight w:val="none"/>
              </w:rPr>
            </w:pPr>
            <w:r>
              <w:rPr>
                <w:rFonts w:hint="eastAsia" w:ascii="宋体" w:hAnsi="宋体" w:eastAsia="宋体" w:cs="宋体"/>
                <w:color w:val="auto"/>
                <w:highlight w:val="none"/>
              </w:rPr>
              <w:t>项目技术负责人</w:t>
            </w:r>
          </w:p>
        </w:tc>
        <w:tc>
          <w:tcPr>
            <w:tcW w:w="709" w:type="dxa"/>
          </w:tcPr>
          <w:p w14:paraId="44BC360F">
            <w:pPr>
              <w:spacing w:line="360" w:lineRule="auto"/>
              <w:rPr>
                <w:rFonts w:hint="eastAsia" w:ascii="宋体" w:hAnsi="宋体" w:eastAsia="宋体" w:cs="宋体"/>
                <w:color w:val="auto"/>
                <w:position w:val="-42"/>
                <w:sz w:val="24"/>
                <w:highlight w:val="none"/>
              </w:rPr>
            </w:pPr>
          </w:p>
        </w:tc>
        <w:tc>
          <w:tcPr>
            <w:tcW w:w="851" w:type="dxa"/>
          </w:tcPr>
          <w:p w14:paraId="519FE83C">
            <w:pPr>
              <w:spacing w:line="360" w:lineRule="auto"/>
              <w:rPr>
                <w:rFonts w:hint="eastAsia" w:ascii="宋体" w:hAnsi="宋体" w:eastAsia="宋体" w:cs="宋体"/>
                <w:color w:val="auto"/>
                <w:position w:val="-42"/>
                <w:sz w:val="24"/>
                <w:highlight w:val="none"/>
              </w:rPr>
            </w:pPr>
          </w:p>
        </w:tc>
        <w:tc>
          <w:tcPr>
            <w:tcW w:w="850" w:type="dxa"/>
          </w:tcPr>
          <w:p w14:paraId="67591B10">
            <w:pPr>
              <w:spacing w:line="360" w:lineRule="auto"/>
              <w:rPr>
                <w:rFonts w:hint="eastAsia" w:ascii="宋体" w:hAnsi="宋体" w:eastAsia="宋体" w:cs="宋体"/>
                <w:color w:val="auto"/>
                <w:position w:val="-42"/>
                <w:sz w:val="24"/>
                <w:highlight w:val="none"/>
              </w:rPr>
            </w:pPr>
          </w:p>
        </w:tc>
        <w:tc>
          <w:tcPr>
            <w:tcW w:w="3557" w:type="dxa"/>
          </w:tcPr>
          <w:p w14:paraId="577C870F">
            <w:pPr>
              <w:spacing w:line="360" w:lineRule="auto"/>
              <w:rPr>
                <w:rFonts w:hint="eastAsia" w:ascii="宋体" w:hAnsi="宋体" w:eastAsia="宋体" w:cs="宋体"/>
                <w:color w:val="auto"/>
                <w:position w:val="-42"/>
                <w:sz w:val="24"/>
                <w:highlight w:val="none"/>
              </w:rPr>
            </w:pPr>
          </w:p>
        </w:tc>
      </w:tr>
      <w:tr w14:paraId="6EB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093C6314">
            <w:pPr>
              <w:spacing w:line="360" w:lineRule="auto"/>
              <w:rPr>
                <w:rFonts w:hint="eastAsia" w:ascii="宋体" w:hAnsi="宋体" w:eastAsia="宋体" w:cs="宋体"/>
                <w:color w:val="auto"/>
                <w:position w:val="-42"/>
                <w:sz w:val="24"/>
                <w:highlight w:val="none"/>
              </w:rPr>
            </w:pPr>
          </w:p>
        </w:tc>
        <w:tc>
          <w:tcPr>
            <w:tcW w:w="1632" w:type="dxa"/>
            <w:vAlign w:val="center"/>
          </w:tcPr>
          <w:p w14:paraId="3C324B78">
            <w:pPr>
              <w:jc w:val="center"/>
              <w:rPr>
                <w:rFonts w:hint="eastAsia" w:ascii="宋体" w:hAnsi="宋体" w:eastAsia="宋体" w:cs="宋体"/>
                <w:color w:val="auto"/>
                <w:highlight w:val="none"/>
              </w:rPr>
            </w:pPr>
            <w:r>
              <w:rPr>
                <w:rFonts w:hint="eastAsia" w:ascii="宋体" w:hAnsi="宋体" w:eastAsia="宋体" w:cs="宋体"/>
                <w:color w:val="auto"/>
                <w:highlight w:val="none"/>
              </w:rPr>
              <w:t>质量管理</w:t>
            </w:r>
          </w:p>
        </w:tc>
        <w:tc>
          <w:tcPr>
            <w:tcW w:w="709" w:type="dxa"/>
          </w:tcPr>
          <w:p w14:paraId="296EFEDD">
            <w:pPr>
              <w:spacing w:line="360" w:lineRule="auto"/>
              <w:rPr>
                <w:rFonts w:hint="eastAsia" w:ascii="宋体" w:hAnsi="宋体" w:eastAsia="宋体" w:cs="宋体"/>
                <w:color w:val="auto"/>
                <w:position w:val="-42"/>
                <w:sz w:val="24"/>
                <w:highlight w:val="none"/>
              </w:rPr>
            </w:pPr>
          </w:p>
        </w:tc>
        <w:tc>
          <w:tcPr>
            <w:tcW w:w="851" w:type="dxa"/>
          </w:tcPr>
          <w:p w14:paraId="27B8D442">
            <w:pPr>
              <w:spacing w:line="360" w:lineRule="auto"/>
              <w:rPr>
                <w:rFonts w:hint="eastAsia" w:ascii="宋体" w:hAnsi="宋体" w:eastAsia="宋体" w:cs="宋体"/>
                <w:color w:val="auto"/>
                <w:position w:val="-42"/>
                <w:sz w:val="24"/>
                <w:highlight w:val="none"/>
              </w:rPr>
            </w:pPr>
          </w:p>
        </w:tc>
        <w:tc>
          <w:tcPr>
            <w:tcW w:w="850" w:type="dxa"/>
          </w:tcPr>
          <w:p w14:paraId="6007DCEC">
            <w:pPr>
              <w:spacing w:line="360" w:lineRule="auto"/>
              <w:rPr>
                <w:rFonts w:hint="eastAsia" w:ascii="宋体" w:hAnsi="宋体" w:eastAsia="宋体" w:cs="宋体"/>
                <w:color w:val="auto"/>
                <w:position w:val="-42"/>
                <w:sz w:val="24"/>
                <w:highlight w:val="none"/>
              </w:rPr>
            </w:pPr>
          </w:p>
        </w:tc>
        <w:tc>
          <w:tcPr>
            <w:tcW w:w="3557" w:type="dxa"/>
          </w:tcPr>
          <w:p w14:paraId="61E0CD3F">
            <w:pPr>
              <w:spacing w:line="360" w:lineRule="auto"/>
              <w:rPr>
                <w:rFonts w:hint="eastAsia" w:ascii="宋体" w:hAnsi="宋体" w:eastAsia="宋体" w:cs="宋体"/>
                <w:color w:val="auto"/>
                <w:position w:val="-42"/>
                <w:sz w:val="24"/>
                <w:highlight w:val="none"/>
              </w:rPr>
            </w:pPr>
          </w:p>
        </w:tc>
      </w:tr>
      <w:tr w14:paraId="4182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3B12DF8">
            <w:pPr>
              <w:spacing w:line="360" w:lineRule="auto"/>
              <w:rPr>
                <w:rFonts w:hint="eastAsia" w:ascii="宋体" w:hAnsi="宋体" w:eastAsia="宋体" w:cs="宋体"/>
                <w:color w:val="auto"/>
                <w:position w:val="-42"/>
                <w:sz w:val="24"/>
                <w:highlight w:val="none"/>
              </w:rPr>
            </w:pPr>
          </w:p>
        </w:tc>
        <w:tc>
          <w:tcPr>
            <w:tcW w:w="1632" w:type="dxa"/>
            <w:vAlign w:val="center"/>
          </w:tcPr>
          <w:p w14:paraId="2E7773CD">
            <w:pPr>
              <w:jc w:val="center"/>
              <w:rPr>
                <w:rFonts w:hint="eastAsia" w:ascii="宋体" w:hAnsi="宋体" w:eastAsia="宋体" w:cs="宋体"/>
                <w:color w:val="auto"/>
                <w:highlight w:val="none"/>
              </w:rPr>
            </w:pPr>
            <w:r>
              <w:rPr>
                <w:rFonts w:hint="eastAsia" w:ascii="宋体" w:hAnsi="宋体" w:eastAsia="宋体" w:cs="宋体"/>
                <w:color w:val="auto"/>
                <w:highlight w:val="none"/>
              </w:rPr>
              <w:t>安全管理</w:t>
            </w:r>
          </w:p>
        </w:tc>
        <w:tc>
          <w:tcPr>
            <w:tcW w:w="709" w:type="dxa"/>
          </w:tcPr>
          <w:p w14:paraId="2C30BF70">
            <w:pPr>
              <w:spacing w:line="360" w:lineRule="auto"/>
              <w:rPr>
                <w:rFonts w:hint="eastAsia" w:ascii="宋体" w:hAnsi="宋体" w:eastAsia="宋体" w:cs="宋体"/>
                <w:color w:val="auto"/>
                <w:position w:val="-42"/>
                <w:sz w:val="24"/>
                <w:highlight w:val="none"/>
              </w:rPr>
            </w:pPr>
          </w:p>
        </w:tc>
        <w:tc>
          <w:tcPr>
            <w:tcW w:w="851" w:type="dxa"/>
          </w:tcPr>
          <w:p w14:paraId="67BB02C7">
            <w:pPr>
              <w:spacing w:line="360" w:lineRule="auto"/>
              <w:rPr>
                <w:rFonts w:hint="eastAsia" w:ascii="宋体" w:hAnsi="宋体" w:eastAsia="宋体" w:cs="宋体"/>
                <w:color w:val="auto"/>
                <w:position w:val="-42"/>
                <w:sz w:val="24"/>
                <w:highlight w:val="none"/>
              </w:rPr>
            </w:pPr>
          </w:p>
        </w:tc>
        <w:tc>
          <w:tcPr>
            <w:tcW w:w="850" w:type="dxa"/>
          </w:tcPr>
          <w:p w14:paraId="5ACC9250">
            <w:pPr>
              <w:spacing w:line="360" w:lineRule="auto"/>
              <w:rPr>
                <w:rFonts w:hint="eastAsia" w:ascii="宋体" w:hAnsi="宋体" w:eastAsia="宋体" w:cs="宋体"/>
                <w:color w:val="auto"/>
                <w:position w:val="-42"/>
                <w:sz w:val="24"/>
                <w:highlight w:val="none"/>
              </w:rPr>
            </w:pPr>
          </w:p>
        </w:tc>
        <w:tc>
          <w:tcPr>
            <w:tcW w:w="3557" w:type="dxa"/>
          </w:tcPr>
          <w:p w14:paraId="42446E75">
            <w:pPr>
              <w:spacing w:line="360" w:lineRule="auto"/>
              <w:rPr>
                <w:rFonts w:hint="eastAsia" w:ascii="宋体" w:hAnsi="宋体" w:eastAsia="宋体" w:cs="宋体"/>
                <w:color w:val="auto"/>
                <w:position w:val="-42"/>
                <w:sz w:val="24"/>
                <w:highlight w:val="none"/>
              </w:rPr>
            </w:pPr>
          </w:p>
        </w:tc>
      </w:tr>
      <w:tr w14:paraId="2BAA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1068AF9">
            <w:pPr>
              <w:spacing w:line="360" w:lineRule="auto"/>
              <w:rPr>
                <w:rFonts w:hint="eastAsia" w:ascii="宋体" w:hAnsi="宋体" w:eastAsia="宋体" w:cs="宋体"/>
                <w:color w:val="auto"/>
                <w:position w:val="-42"/>
                <w:sz w:val="24"/>
                <w:highlight w:val="none"/>
              </w:rPr>
            </w:pPr>
          </w:p>
        </w:tc>
        <w:tc>
          <w:tcPr>
            <w:tcW w:w="1632" w:type="dxa"/>
            <w:vAlign w:val="center"/>
          </w:tcPr>
          <w:p w14:paraId="68F47E6C">
            <w:pPr>
              <w:jc w:val="center"/>
              <w:rPr>
                <w:rFonts w:hint="eastAsia" w:ascii="宋体" w:hAnsi="宋体" w:eastAsia="宋体" w:cs="宋体"/>
                <w:color w:val="auto"/>
                <w:highlight w:val="none"/>
              </w:rPr>
            </w:pPr>
            <w:r>
              <w:rPr>
                <w:rFonts w:hint="eastAsia" w:ascii="宋体" w:hAnsi="宋体" w:eastAsia="宋体" w:cs="宋体"/>
                <w:color w:val="auto"/>
                <w:highlight w:val="none"/>
              </w:rPr>
              <w:t>施工管理</w:t>
            </w:r>
          </w:p>
        </w:tc>
        <w:tc>
          <w:tcPr>
            <w:tcW w:w="709" w:type="dxa"/>
          </w:tcPr>
          <w:p w14:paraId="0C2DC0C0">
            <w:pPr>
              <w:spacing w:line="360" w:lineRule="auto"/>
              <w:rPr>
                <w:rFonts w:hint="eastAsia" w:ascii="宋体" w:hAnsi="宋体" w:eastAsia="宋体" w:cs="宋体"/>
                <w:color w:val="auto"/>
                <w:position w:val="-42"/>
                <w:sz w:val="24"/>
                <w:highlight w:val="none"/>
              </w:rPr>
            </w:pPr>
          </w:p>
        </w:tc>
        <w:tc>
          <w:tcPr>
            <w:tcW w:w="851" w:type="dxa"/>
          </w:tcPr>
          <w:p w14:paraId="07D9C102">
            <w:pPr>
              <w:spacing w:line="360" w:lineRule="auto"/>
              <w:rPr>
                <w:rFonts w:hint="eastAsia" w:ascii="宋体" w:hAnsi="宋体" w:eastAsia="宋体" w:cs="宋体"/>
                <w:color w:val="auto"/>
                <w:position w:val="-42"/>
                <w:sz w:val="24"/>
                <w:highlight w:val="none"/>
              </w:rPr>
            </w:pPr>
          </w:p>
        </w:tc>
        <w:tc>
          <w:tcPr>
            <w:tcW w:w="850" w:type="dxa"/>
          </w:tcPr>
          <w:p w14:paraId="5F72F556">
            <w:pPr>
              <w:spacing w:line="360" w:lineRule="auto"/>
              <w:rPr>
                <w:rFonts w:hint="eastAsia" w:ascii="宋体" w:hAnsi="宋体" w:eastAsia="宋体" w:cs="宋体"/>
                <w:color w:val="auto"/>
                <w:position w:val="-42"/>
                <w:sz w:val="24"/>
                <w:highlight w:val="none"/>
              </w:rPr>
            </w:pPr>
          </w:p>
        </w:tc>
        <w:tc>
          <w:tcPr>
            <w:tcW w:w="3557" w:type="dxa"/>
          </w:tcPr>
          <w:p w14:paraId="0B45E409">
            <w:pPr>
              <w:spacing w:line="360" w:lineRule="auto"/>
              <w:rPr>
                <w:rFonts w:hint="eastAsia" w:ascii="宋体" w:hAnsi="宋体" w:eastAsia="宋体" w:cs="宋体"/>
                <w:color w:val="auto"/>
                <w:position w:val="-42"/>
                <w:sz w:val="24"/>
                <w:highlight w:val="none"/>
              </w:rPr>
            </w:pPr>
          </w:p>
        </w:tc>
      </w:tr>
      <w:tr w14:paraId="1298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B28D1DD">
            <w:pPr>
              <w:spacing w:line="360" w:lineRule="auto"/>
              <w:rPr>
                <w:rFonts w:hint="eastAsia" w:ascii="宋体" w:hAnsi="宋体" w:eastAsia="宋体" w:cs="宋体"/>
                <w:color w:val="auto"/>
                <w:position w:val="-42"/>
                <w:sz w:val="24"/>
                <w:highlight w:val="none"/>
              </w:rPr>
            </w:pPr>
          </w:p>
        </w:tc>
        <w:tc>
          <w:tcPr>
            <w:tcW w:w="1632" w:type="dxa"/>
            <w:vAlign w:val="center"/>
          </w:tcPr>
          <w:p w14:paraId="3F6381A7">
            <w:pPr>
              <w:jc w:val="center"/>
              <w:rPr>
                <w:rFonts w:hint="eastAsia" w:ascii="宋体" w:hAnsi="宋体" w:eastAsia="宋体" w:cs="宋体"/>
                <w:color w:val="auto"/>
                <w:highlight w:val="none"/>
              </w:rPr>
            </w:pPr>
            <w:r>
              <w:rPr>
                <w:rFonts w:hint="eastAsia" w:ascii="宋体" w:hAnsi="宋体" w:eastAsia="宋体" w:cs="宋体"/>
                <w:color w:val="auto"/>
                <w:highlight w:val="none"/>
              </w:rPr>
              <w:t>计划管理</w:t>
            </w:r>
          </w:p>
        </w:tc>
        <w:tc>
          <w:tcPr>
            <w:tcW w:w="709" w:type="dxa"/>
          </w:tcPr>
          <w:p w14:paraId="58965216">
            <w:pPr>
              <w:spacing w:line="360" w:lineRule="auto"/>
              <w:rPr>
                <w:rFonts w:hint="eastAsia" w:ascii="宋体" w:hAnsi="宋体" w:eastAsia="宋体" w:cs="宋体"/>
                <w:color w:val="auto"/>
                <w:position w:val="-42"/>
                <w:sz w:val="24"/>
                <w:highlight w:val="none"/>
              </w:rPr>
            </w:pPr>
          </w:p>
        </w:tc>
        <w:tc>
          <w:tcPr>
            <w:tcW w:w="851" w:type="dxa"/>
          </w:tcPr>
          <w:p w14:paraId="575E524C">
            <w:pPr>
              <w:spacing w:line="360" w:lineRule="auto"/>
              <w:rPr>
                <w:rFonts w:hint="eastAsia" w:ascii="宋体" w:hAnsi="宋体" w:eastAsia="宋体" w:cs="宋体"/>
                <w:color w:val="auto"/>
                <w:position w:val="-42"/>
                <w:sz w:val="24"/>
                <w:highlight w:val="none"/>
              </w:rPr>
            </w:pPr>
          </w:p>
        </w:tc>
        <w:tc>
          <w:tcPr>
            <w:tcW w:w="850" w:type="dxa"/>
          </w:tcPr>
          <w:p w14:paraId="2D2B9443">
            <w:pPr>
              <w:spacing w:line="360" w:lineRule="auto"/>
              <w:rPr>
                <w:rFonts w:hint="eastAsia" w:ascii="宋体" w:hAnsi="宋体" w:eastAsia="宋体" w:cs="宋体"/>
                <w:color w:val="auto"/>
                <w:position w:val="-42"/>
                <w:sz w:val="24"/>
                <w:highlight w:val="none"/>
              </w:rPr>
            </w:pPr>
          </w:p>
        </w:tc>
        <w:tc>
          <w:tcPr>
            <w:tcW w:w="3557" w:type="dxa"/>
          </w:tcPr>
          <w:p w14:paraId="54038DE9">
            <w:pPr>
              <w:spacing w:line="360" w:lineRule="auto"/>
              <w:rPr>
                <w:rFonts w:hint="eastAsia" w:ascii="宋体" w:hAnsi="宋体" w:eastAsia="宋体" w:cs="宋体"/>
                <w:color w:val="auto"/>
                <w:position w:val="-42"/>
                <w:sz w:val="24"/>
                <w:highlight w:val="none"/>
              </w:rPr>
            </w:pPr>
          </w:p>
        </w:tc>
      </w:tr>
      <w:tr w14:paraId="0B4C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86ADFDA">
            <w:pPr>
              <w:spacing w:line="360" w:lineRule="auto"/>
              <w:rPr>
                <w:rFonts w:hint="eastAsia" w:ascii="宋体" w:hAnsi="宋体" w:eastAsia="宋体" w:cs="宋体"/>
                <w:color w:val="auto"/>
                <w:position w:val="-30"/>
                <w:sz w:val="24"/>
                <w:highlight w:val="none"/>
              </w:rPr>
            </w:pPr>
          </w:p>
        </w:tc>
        <w:tc>
          <w:tcPr>
            <w:tcW w:w="1632" w:type="dxa"/>
            <w:vAlign w:val="center"/>
          </w:tcPr>
          <w:p w14:paraId="0A2432F8">
            <w:pPr>
              <w:spacing w:line="360" w:lineRule="auto"/>
              <w:jc w:val="center"/>
              <w:rPr>
                <w:rFonts w:hint="eastAsia" w:ascii="宋体" w:hAnsi="宋体" w:eastAsia="宋体" w:cs="宋体"/>
                <w:color w:val="auto"/>
                <w:position w:val="-30"/>
                <w:sz w:val="24"/>
                <w:highlight w:val="none"/>
              </w:rPr>
            </w:pPr>
            <w:r>
              <w:rPr>
                <w:rFonts w:hint="eastAsia" w:ascii="宋体" w:hAnsi="宋体" w:eastAsia="宋体" w:cs="宋体"/>
                <w:color w:val="auto"/>
                <w:highlight w:val="none"/>
              </w:rPr>
              <w:t>材料管理</w:t>
            </w:r>
          </w:p>
        </w:tc>
        <w:tc>
          <w:tcPr>
            <w:tcW w:w="709" w:type="dxa"/>
          </w:tcPr>
          <w:p w14:paraId="78B3B832">
            <w:pPr>
              <w:spacing w:line="360" w:lineRule="auto"/>
              <w:rPr>
                <w:rFonts w:hint="eastAsia" w:ascii="宋体" w:hAnsi="宋体" w:eastAsia="宋体" w:cs="宋体"/>
                <w:color w:val="auto"/>
                <w:position w:val="-30"/>
                <w:sz w:val="24"/>
                <w:highlight w:val="none"/>
              </w:rPr>
            </w:pPr>
          </w:p>
        </w:tc>
        <w:tc>
          <w:tcPr>
            <w:tcW w:w="851" w:type="dxa"/>
          </w:tcPr>
          <w:p w14:paraId="4F0F5C9E">
            <w:pPr>
              <w:spacing w:line="360" w:lineRule="auto"/>
              <w:rPr>
                <w:rFonts w:hint="eastAsia" w:ascii="宋体" w:hAnsi="宋体" w:eastAsia="宋体" w:cs="宋体"/>
                <w:color w:val="auto"/>
                <w:position w:val="-30"/>
                <w:sz w:val="24"/>
                <w:highlight w:val="none"/>
              </w:rPr>
            </w:pPr>
          </w:p>
        </w:tc>
        <w:tc>
          <w:tcPr>
            <w:tcW w:w="850" w:type="dxa"/>
          </w:tcPr>
          <w:p w14:paraId="669A1A37">
            <w:pPr>
              <w:spacing w:line="360" w:lineRule="auto"/>
              <w:rPr>
                <w:rFonts w:hint="eastAsia" w:ascii="宋体" w:hAnsi="宋体" w:eastAsia="宋体" w:cs="宋体"/>
                <w:color w:val="auto"/>
                <w:position w:val="-30"/>
                <w:sz w:val="24"/>
                <w:highlight w:val="none"/>
              </w:rPr>
            </w:pPr>
          </w:p>
        </w:tc>
        <w:tc>
          <w:tcPr>
            <w:tcW w:w="3557" w:type="dxa"/>
          </w:tcPr>
          <w:p w14:paraId="6A226CCD">
            <w:pPr>
              <w:spacing w:line="360" w:lineRule="auto"/>
              <w:rPr>
                <w:rFonts w:hint="eastAsia" w:ascii="宋体" w:hAnsi="宋体" w:eastAsia="宋体" w:cs="宋体"/>
                <w:color w:val="auto"/>
                <w:position w:val="-30"/>
                <w:sz w:val="24"/>
                <w:highlight w:val="none"/>
              </w:rPr>
            </w:pPr>
          </w:p>
        </w:tc>
      </w:tr>
      <w:tr w14:paraId="4A71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6CA59D5">
            <w:pPr>
              <w:spacing w:line="360" w:lineRule="auto"/>
              <w:rPr>
                <w:rFonts w:hint="eastAsia" w:ascii="宋体" w:hAnsi="宋体" w:eastAsia="宋体" w:cs="宋体"/>
                <w:color w:val="auto"/>
                <w:position w:val="-30"/>
                <w:sz w:val="24"/>
                <w:highlight w:val="none"/>
              </w:rPr>
            </w:pPr>
          </w:p>
        </w:tc>
        <w:tc>
          <w:tcPr>
            <w:tcW w:w="1632" w:type="dxa"/>
          </w:tcPr>
          <w:p w14:paraId="0316CC6D">
            <w:pPr>
              <w:spacing w:line="360" w:lineRule="auto"/>
              <w:rPr>
                <w:rFonts w:hint="eastAsia" w:ascii="宋体" w:hAnsi="宋体" w:eastAsia="宋体" w:cs="宋体"/>
                <w:color w:val="auto"/>
                <w:position w:val="-30"/>
                <w:sz w:val="24"/>
                <w:highlight w:val="none"/>
              </w:rPr>
            </w:pPr>
          </w:p>
        </w:tc>
        <w:tc>
          <w:tcPr>
            <w:tcW w:w="709" w:type="dxa"/>
          </w:tcPr>
          <w:p w14:paraId="70C4F94B">
            <w:pPr>
              <w:spacing w:line="360" w:lineRule="auto"/>
              <w:rPr>
                <w:rFonts w:hint="eastAsia" w:ascii="宋体" w:hAnsi="宋体" w:eastAsia="宋体" w:cs="宋体"/>
                <w:color w:val="auto"/>
                <w:position w:val="-30"/>
                <w:sz w:val="24"/>
                <w:highlight w:val="none"/>
              </w:rPr>
            </w:pPr>
          </w:p>
        </w:tc>
        <w:tc>
          <w:tcPr>
            <w:tcW w:w="851" w:type="dxa"/>
          </w:tcPr>
          <w:p w14:paraId="47351AE6">
            <w:pPr>
              <w:spacing w:line="360" w:lineRule="auto"/>
              <w:rPr>
                <w:rFonts w:hint="eastAsia" w:ascii="宋体" w:hAnsi="宋体" w:eastAsia="宋体" w:cs="宋体"/>
                <w:color w:val="auto"/>
                <w:position w:val="-30"/>
                <w:sz w:val="24"/>
                <w:highlight w:val="none"/>
              </w:rPr>
            </w:pPr>
          </w:p>
        </w:tc>
        <w:tc>
          <w:tcPr>
            <w:tcW w:w="850" w:type="dxa"/>
          </w:tcPr>
          <w:p w14:paraId="2F7DB4A3">
            <w:pPr>
              <w:spacing w:line="360" w:lineRule="auto"/>
              <w:rPr>
                <w:rFonts w:hint="eastAsia" w:ascii="宋体" w:hAnsi="宋体" w:eastAsia="宋体" w:cs="宋体"/>
                <w:color w:val="auto"/>
                <w:position w:val="-30"/>
                <w:sz w:val="24"/>
                <w:highlight w:val="none"/>
              </w:rPr>
            </w:pPr>
          </w:p>
        </w:tc>
        <w:tc>
          <w:tcPr>
            <w:tcW w:w="3557" w:type="dxa"/>
          </w:tcPr>
          <w:p w14:paraId="328CC7EC">
            <w:pPr>
              <w:spacing w:line="360" w:lineRule="auto"/>
              <w:rPr>
                <w:rFonts w:hint="eastAsia" w:ascii="宋体" w:hAnsi="宋体" w:eastAsia="宋体" w:cs="宋体"/>
                <w:color w:val="auto"/>
                <w:position w:val="-30"/>
                <w:sz w:val="24"/>
                <w:highlight w:val="none"/>
              </w:rPr>
            </w:pPr>
          </w:p>
        </w:tc>
      </w:tr>
    </w:tbl>
    <w:p w14:paraId="7F5E867F">
      <w:pPr>
        <w:spacing w:line="300" w:lineRule="auto"/>
        <w:contextualSpacing/>
        <w:jc w:val="left"/>
        <w:rPr>
          <w:rFonts w:hint="eastAsia" w:ascii="宋体" w:hAnsi="宋体" w:eastAsia="宋体" w:cs="宋体"/>
          <w:bCs/>
          <w:color w:val="auto"/>
          <w:sz w:val="32"/>
          <w:szCs w:val="32"/>
          <w:highlight w:val="none"/>
        </w:rPr>
      </w:pPr>
    </w:p>
    <w:p w14:paraId="24CB7DAC">
      <w:pPr>
        <w:spacing w:line="300" w:lineRule="auto"/>
        <w:contextualSpacing/>
        <w:jc w:val="left"/>
        <w:rPr>
          <w:rFonts w:hint="eastAsia" w:ascii="宋体" w:hAnsi="宋体" w:eastAsia="宋体" w:cs="宋体"/>
          <w:bCs/>
          <w:color w:val="auto"/>
          <w:sz w:val="32"/>
          <w:szCs w:val="32"/>
          <w:highlight w:val="none"/>
        </w:rPr>
      </w:pPr>
    </w:p>
    <w:p w14:paraId="5BDC8ACE">
      <w:pPr>
        <w:spacing w:line="300" w:lineRule="auto"/>
        <w:contextualSpacing/>
        <w:jc w:val="left"/>
        <w:rPr>
          <w:rFonts w:hint="eastAsia" w:ascii="宋体" w:hAnsi="宋体" w:eastAsia="宋体" w:cs="宋体"/>
          <w:bCs/>
          <w:color w:val="auto"/>
          <w:sz w:val="32"/>
          <w:szCs w:val="32"/>
          <w:highlight w:val="none"/>
        </w:rPr>
      </w:pPr>
    </w:p>
    <w:p w14:paraId="57EBF2A2">
      <w:pPr>
        <w:spacing w:line="300" w:lineRule="auto"/>
        <w:contextualSpacing/>
        <w:jc w:val="left"/>
        <w:rPr>
          <w:rFonts w:hint="default" w:ascii="宋体" w:hAnsi="宋体" w:eastAsia="宋体" w:cs="宋体"/>
          <w:b/>
          <w:color w:val="auto"/>
          <w:sz w:val="32"/>
          <w:szCs w:val="32"/>
          <w:highlight w:val="none"/>
          <w:lang w:val="en-US" w:eastAsia="zh-CN"/>
        </w:rPr>
      </w:pPr>
      <w:r>
        <w:rPr>
          <w:rFonts w:hint="eastAsia" w:ascii="宋体" w:hAnsi="宋体" w:eastAsia="宋体" w:cs="宋体"/>
          <w:bCs/>
          <w:color w:val="auto"/>
          <w:sz w:val="32"/>
          <w:szCs w:val="32"/>
          <w:highlight w:val="none"/>
        </w:rPr>
        <w:t>附件</w:t>
      </w:r>
      <w:r>
        <w:rPr>
          <w:rFonts w:hint="eastAsia" w:ascii="宋体" w:hAnsi="宋体" w:eastAsia="宋体" w:cs="宋体"/>
          <w:bCs/>
          <w:color w:val="auto"/>
          <w:sz w:val="32"/>
          <w:szCs w:val="32"/>
          <w:highlight w:val="none"/>
          <w:lang w:val="en-US" w:eastAsia="zh-CN"/>
        </w:rPr>
        <w:t>1</w:t>
      </w:r>
      <w:r>
        <w:rPr>
          <w:rFonts w:hint="eastAsia" w:ascii="宋体" w:hAnsi="宋体" w:cs="宋体"/>
          <w:bCs/>
          <w:color w:val="auto"/>
          <w:sz w:val="32"/>
          <w:szCs w:val="32"/>
          <w:highlight w:val="none"/>
          <w:lang w:val="en-US" w:eastAsia="zh-CN"/>
        </w:rPr>
        <w:t>3</w:t>
      </w:r>
    </w:p>
    <w:p w14:paraId="2260D8C7">
      <w:pPr>
        <w:pStyle w:val="7"/>
        <w:spacing w:line="360" w:lineRule="auto"/>
        <w:ind w:firstLine="0"/>
        <w:jc w:val="center"/>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rPr>
        <w:t>响应函</w:t>
      </w:r>
    </w:p>
    <w:p w14:paraId="649F1040">
      <w:pPr>
        <w:widowControl/>
        <w:spacing w:after="160" w:line="288"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（采购人名称）：</w:t>
      </w:r>
    </w:p>
    <w:p w14:paraId="1D9E09B7">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（一）根据已收到的</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(工程名称)项目的采购文件，我方经仔细研究采购文件全部内容并对现场进行踏勘后，愿遵守《中华人民共和国政府采购法》等有关法律文件的规定，并愿以人民币</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（大写）（￥</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（小写））元的总价，按采购文件的要求承包本次采购范围内的全部工程，修补工程中的任何缺陷。项目负责人（项目经理）为</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14:paraId="758E80F4">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（二）我方保证在收到贵单位发出的书面开工令后立即开工，并保证在工期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天内竣工并移交整个工程及相关资料。 </w:t>
      </w:r>
    </w:p>
    <w:p w14:paraId="50B5ED4E">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（三）我方保证本工程质量达到</w:t>
      </w:r>
      <w:r>
        <w:rPr>
          <w:rFonts w:hint="eastAsia" w:ascii="宋体" w:hAnsi="宋体" w:eastAsia="宋体" w:cs="宋体"/>
          <w:color w:val="auto"/>
          <w:kern w:val="0"/>
          <w:sz w:val="28"/>
          <w:szCs w:val="28"/>
          <w:highlight w:val="none"/>
          <w:u w:val="single"/>
        </w:rPr>
        <w:t xml:space="preserve">  合格    </w:t>
      </w:r>
      <w:r>
        <w:rPr>
          <w:rFonts w:hint="eastAsia" w:ascii="宋体" w:hAnsi="宋体" w:eastAsia="宋体" w:cs="宋体"/>
          <w:color w:val="auto"/>
          <w:kern w:val="0"/>
          <w:sz w:val="28"/>
          <w:szCs w:val="28"/>
          <w:highlight w:val="none"/>
        </w:rPr>
        <w:t xml:space="preserve"> </w:t>
      </w:r>
    </w:p>
    <w:p w14:paraId="5494BA49">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（四）如果我方成交，我方承诺在收到成交通知书后，在成交通知书规定的期限内与贵方签订合同，并将按照采购文件规定的时间、数额提交履约保证金。</w:t>
      </w:r>
    </w:p>
    <w:p w14:paraId="3EB2FBD8">
      <w:pPr>
        <w:widowControl/>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（五）贵单位的采购文件、成交通知书和本响应文件将构成约束我们双方的合同。  </w:t>
      </w:r>
    </w:p>
    <w:p w14:paraId="0EDB3A81">
      <w:pPr>
        <w:widowControl/>
        <w:spacing w:line="520" w:lineRule="atLeast"/>
        <w:ind w:firstLine="560" w:firstLineChars="200"/>
        <w:jc w:val="left"/>
        <w:rPr>
          <w:rFonts w:hint="eastAsia" w:ascii="宋体" w:hAnsi="宋体" w:eastAsia="宋体" w:cs="宋体"/>
          <w:color w:val="auto"/>
          <w:kern w:val="0"/>
          <w:sz w:val="28"/>
          <w:szCs w:val="28"/>
          <w:highlight w:val="none"/>
        </w:rPr>
      </w:pPr>
    </w:p>
    <w:p w14:paraId="0386C4ED">
      <w:pPr>
        <w:widowControl/>
        <w:spacing w:line="520" w:lineRule="atLeast"/>
        <w:ind w:firstLine="560" w:firstLineChars="200"/>
        <w:jc w:val="left"/>
        <w:rPr>
          <w:rFonts w:hint="eastAsia" w:ascii="宋体" w:hAnsi="宋体" w:eastAsia="宋体" w:cs="宋体"/>
          <w:color w:val="auto"/>
          <w:kern w:val="0"/>
          <w:sz w:val="28"/>
          <w:szCs w:val="28"/>
          <w:highlight w:val="none"/>
        </w:rPr>
      </w:pPr>
    </w:p>
    <w:p w14:paraId="782B6880">
      <w:pPr>
        <w:widowControl/>
        <w:spacing w:line="520" w:lineRule="atLeast"/>
        <w:ind w:firstLine="560" w:firstLineChars="200"/>
        <w:jc w:val="left"/>
        <w:rPr>
          <w:rFonts w:hint="eastAsia" w:ascii="宋体" w:hAnsi="宋体" w:eastAsia="宋体" w:cs="宋体"/>
          <w:color w:val="auto"/>
          <w:kern w:val="0"/>
          <w:sz w:val="28"/>
          <w:szCs w:val="28"/>
          <w:highlight w:val="none"/>
        </w:rPr>
      </w:pPr>
    </w:p>
    <w:p w14:paraId="6FAB625E">
      <w:pPr>
        <w:widowControl/>
        <w:spacing w:line="520" w:lineRule="atLeas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供应商（盖法人章）：</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25BDDCA7">
      <w:pPr>
        <w:widowControl/>
        <w:spacing w:line="520" w:lineRule="atLeas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法定代表人或授权委托人（签字或盖章）：</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7C83C962">
      <w:pPr>
        <w:widowControl/>
        <w:spacing w:line="520" w:lineRule="atLeas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 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14:paraId="78335D38">
      <w:pPr>
        <w:pStyle w:val="94"/>
        <w:rPr>
          <w:rFonts w:hint="eastAsia" w:ascii="宋体" w:hAnsi="宋体" w:eastAsia="宋体" w:cs="宋体"/>
          <w:color w:val="auto"/>
          <w:kern w:val="0"/>
          <w:sz w:val="28"/>
          <w:szCs w:val="28"/>
          <w:highlight w:val="none"/>
        </w:rPr>
      </w:pPr>
    </w:p>
    <w:p w14:paraId="792637F7">
      <w:pPr>
        <w:pStyle w:val="94"/>
        <w:rPr>
          <w:rFonts w:hint="eastAsia" w:ascii="宋体" w:hAnsi="宋体" w:eastAsia="宋体" w:cs="宋体"/>
          <w:color w:val="auto"/>
          <w:kern w:val="0"/>
          <w:sz w:val="28"/>
          <w:szCs w:val="28"/>
          <w:highlight w:val="none"/>
        </w:rPr>
      </w:pPr>
    </w:p>
    <w:p w14:paraId="26D72214">
      <w:pPr>
        <w:pStyle w:val="94"/>
        <w:rPr>
          <w:rFonts w:hint="eastAsia" w:ascii="宋体" w:hAnsi="宋体" w:eastAsia="宋体" w:cs="宋体"/>
          <w:color w:val="auto"/>
          <w:kern w:val="0"/>
          <w:sz w:val="28"/>
          <w:szCs w:val="28"/>
          <w:highlight w:val="none"/>
        </w:rPr>
      </w:pPr>
    </w:p>
    <w:p w14:paraId="3706F801">
      <w:pPr>
        <w:pStyle w:val="94"/>
        <w:rPr>
          <w:rFonts w:hint="eastAsia" w:ascii="宋体" w:hAnsi="宋体" w:eastAsia="宋体" w:cs="宋体"/>
          <w:color w:val="auto"/>
          <w:kern w:val="0"/>
          <w:sz w:val="28"/>
          <w:szCs w:val="28"/>
          <w:highlight w:val="none"/>
        </w:rPr>
      </w:pPr>
    </w:p>
    <w:p w14:paraId="77174356">
      <w:pPr>
        <w:snapToGrid w:val="0"/>
        <w:spacing w:line="360" w:lineRule="auto"/>
        <w:contextualSpacing/>
        <w:rPr>
          <w:rFonts w:hint="eastAsia" w:ascii="宋体" w:hAnsi="宋体" w:eastAsia="宋体" w:cs="宋体"/>
          <w:b/>
          <w:color w:val="auto"/>
          <w:kern w:val="0"/>
          <w:sz w:val="28"/>
          <w:szCs w:val="28"/>
          <w:highlight w:val="none"/>
        </w:rPr>
      </w:pPr>
    </w:p>
    <w:p w14:paraId="7C1A4072">
      <w:pPr>
        <w:snapToGrid w:val="0"/>
        <w:spacing w:line="300" w:lineRule="auto"/>
        <w:contextualSpacing/>
        <w:jc w:val="both"/>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1</w:t>
      </w:r>
      <w:r>
        <w:rPr>
          <w:rFonts w:hint="eastAsia" w:ascii="宋体" w:hAnsi="宋体" w:cs="宋体"/>
          <w:color w:val="auto"/>
          <w:kern w:val="0"/>
          <w:sz w:val="32"/>
          <w:szCs w:val="32"/>
          <w:highlight w:val="none"/>
          <w:lang w:val="en-US" w:eastAsia="zh-CN"/>
        </w:rPr>
        <w:t>4</w:t>
      </w:r>
    </w:p>
    <w:p w14:paraId="7567B0F1">
      <w:pPr>
        <w:spacing w:line="460" w:lineRule="exact"/>
        <w:ind w:firstLine="560"/>
        <w:jc w:val="center"/>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rPr>
        <w:t>已标价工程量清单，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eastAsia="宋体" w:cs="宋体"/>
          <w:color w:val="auto"/>
          <w:kern w:val="0"/>
          <w:sz w:val="28"/>
          <w:szCs w:val="28"/>
          <w:highlight w:val="none"/>
          <w:lang w:val="zh-CN"/>
        </w:rPr>
        <w:t>；</w:t>
      </w:r>
    </w:p>
    <w:p w14:paraId="1231B4F3">
      <w:pPr>
        <w:snapToGrid w:val="0"/>
        <w:spacing w:line="360" w:lineRule="auto"/>
        <w:jc w:val="left"/>
        <w:rPr>
          <w:rFonts w:hint="eastAsia" w:ascii="宋体" w:hAnsi="宋体" w:eastAsia="宋体" w:cs="宋体"/>
          <w:color w:val="auto"/>
          <w:kern w:val="0"/>
          <w:sz w:val="32"/>
          <w:szCs w:val="32"/>
          <w:highlight w:val="none"/>
        </w:rPr>
      </w:pPr>
    </w:p>
    <w:p w14:paraId="727261EA">
      <w:pPr>
        <w:snapToGrid w:val="0"/>
        <w:spacing w:line="360" w:lineRule="auto"/>
        <w:jc w:val="left"/>
        <w:rPr>
          <w:rFonts w:hint="eastAsia" w:ascii="宋体" w:hAnsi="宋体" w:eastAsia="宋体" w:cs="宋体"/>
          <w:color w:val="auto"/>
          <w:kern w:val="0"/>
          <w:sz w:val="32"/>
          <w:szCs w:val="32"/>
          <w:highlight w:val="none"/>
        </w:rPr>
      </w:pPr>
    </w:p>
    <w:p w14:paraId="411F1AD2">
      <w:pPr>
        <w:snapToGrid w:val="0"/>
        <w:spacing w:line="360" w:lineRule="auto"/>
        <w:jc w:val="left"/>
        <w:rPr>
          <w:rFonts w:hint="eastAsia" w:ascii="宋体" w:hAnsi="宋体" w:eastAsia="宋体" w:cs="宋体"/>
          <w:color w:val="auto"/>
          <w:kern w:val="0"/>
          <w:sz w:val="32"/>
          <w:szCs w:val="32"/>
          <w:highlight w:val="none"/>
        </w:rPr>
      </w:pPr>
    </w:p>
    <w:p w14:paraId="1533974C">
      <w:pPr>
        <w:snapToGrid w:val="0"/>
        <w:spacing w:line="360" w:lineRule="auto"/>
        <w:jc w:val="left"/>
        <w:rPr>
          <w:rFonts w:hint="eastAsia" w:ascii="宋体" w:hAnsi="宋体" w:eastAsia="宋体" w:cs="宋体"/>
          <w:color w:val="auto"/>
          <w:kern w:val="0"/>
          <w:sz w:val="32"/>
          <w:szCs w:val="32"/>
          <w:highlight w:val="none"/>
        </w:rPr>
      </w:pPr>
    </w:p>
    <w:p w14:paraId="01773942">
      <w:pPr>
        <w:snapToGrid w:val="0"/>
        <w:spacing w:line="360" w:lineRule="auto"/>
        <w:jc w:val="left"/>
        <w:rPr>
          <w:rFonts w:hint="eastAsia" w:ascii="宋体" w:hAnsi="宋体" w:eastAsia="宋体" w:cs="宋体"/>
          <w:color w:val="auto"/>
          <w:kern w:val="0"/>
          <w:sz w:val="32"/>
          <w:szCs w:val="32"/>
          <w:highlight w:val="none"/>
        </w:rPr>
      </w:pPr>
    </w:p>
    <w:p w14:paraId="4EC501F8">
      <w:pPr>
        <w:snapToGrid w:val="0"/>
        <w:spacing w:line="360" w:lineRule="auto"/>
        <w:jc w:val="left"/>
        <w:rPr>
          <w:rFonts w:hint="eastAsia" w:ascii="宋体" w:hAnsi="宋体" w:eastAsia="宋体" w:cs="宋体"/>
          <w:color w:val="auto"/>
          <w:kern w:val="0"/>
          <w:sz w:val="32"/>
          <w:szCs w:val="32"/>
          <w:highlight w:val="none"/>
        </w:rPr>
      </w:pPr>
    </w:p>
    <w:p w14:paraId="7E9CFA99">
      <w:pPr>
        <w:snapToGrid w:val="0"/>
        <w:spacing w:line="360" w:lineRule="auto"/>
        <w:jc w:val="left"/>
        <w:rPr>
          <w:rFonts w:hint="eastAsia" w:ascii="宋体" w:hAnsi="宋体" w:eastAsia="宋体" w:cs="宋体"/>
          <w:color w:val="auto"/>
          <w:kern w:val="0"/>
          <w:sz w:val="32"/>
          <w:szCs w:val="32"/>
          <w:highlight w:val="none"/>
        </w:rPr>
      </w:pPr>
    </w:p>
    <w:p w14:paraId="1CE46ABA">
      <w:pPr>
        <w:snapToGrid w:val="0"/>
        <w:spacing w:line="360" w:lineRule="auto"/>
        <w:jc w:val="left"/>
        <w:rPr>
          <w:rFonts w:hint="eastAsia" w:ascii="宋体" w:hAnsi="宋体" w:eastAsia="宋体" w:cs="宋体"/>
          <w:color w:val="auto"/>
          <w:kern w:val="0"/>
          <w:sz w:val="32"/>
          <w:szCs w:val="32"/>
          <w:highlight w:val="none"/>
        </w:rPr>
      </w:pPr>
    </w:p>
    <w:p w14:paraId="342F5FE2">
      <w:pPr>
        <w:snapToGrid w:val="0"/>
        <w:spacing w:line="360" w:lineRule="auto"/>
        <w:jc w:val="left"/>
        <w:rPr>
          <w:rFonts w:hint="eastAsia" w:ascii="宋体" w:hAnsi="宋体" w:eastAsia="宋体" w:cs="宋体"/>
          <w:color w:val="auto"/>
          <w:kern w:val="0"/>
          <w:sz w:val="32"/>
          <w:szCs w:val="32"/>
          <w:highlight w:val="none"/>
        </w:rPr>
      </w:pPr>
    </w:p>
    <w:p w14:paraId="2ECB285C">
      <w:pPr>
        <w:snapToGrid w:val="0"/>
        <w:spacing w:line="360" w:lineRule="auto"/>
        <w:jc w:val="left"/>
        <w:rPr>
          <w:rFonts w:hint="eastAsia" w:ascii="宋体" w:hAnsi="宋体" w:eastAsia="宋体" w:cs="宋体"/>
          <w:color w:val="auto"/>
          <w:kern w:val="0"/>
          <w:sz w:val="32"/>
          <w:szCs w:val="32"/>
          <w:highlight w:val="none"/>
        </w:rPr>
      </w:pPr>
    </w:p>
    <w:p w14:paraId="130FDFC3">
      <w:pPr>
        <w:snapToGrid w:val="0"/>
        <w:spacing w:line="360" w:lineRule="auto"/>
        <w:jc w:val="left"/>
        <w:rPr>
          <w:rFonts w:hint="eastAsia" w:ascii="宋体" w:hAnsi="宋体" w:eastAsia="宋体" w:cs="宋体"/>
          <w:color w:val="auto"/>
          <w:kern w:val="0"/>
          <w:sz w:val="32"/>
          <w:szCs w:val="32"/>
          <w:highlight w:val="none"/>
        </w:rPr>
      </w:pPr>
    </w:p>
    <w:p w14:paraId="46AE33B7">
      <w:pPr>
        <w:snapToGrid w:val="0"/>
        <w:spacing w:line="360" w:lineRule="auto"/>
        <w:jc w:val="left"/>
        <w:rPr>
          <w:rFonts w:hint="eastAsia" w:ascii="宋体" w:hAnsi="宋体" w:eastAsia="宋体" w:cs="宋体"/>
          <w:color w:val="auto"/>
          <w:kern w:val="0"/>
          <w:sz w:val="32"/>
          <w:szCs w:val="32"/>
          <w:highlight w:val="none"/>
        </w:rPr>
      </w:pPr>
    </w:p>
    <w:p w14:paraId="278BB049">
      <w:pPr>
        <w:snapToGrid w:val="0"/>
        <w:spacing w:line="360" w:lineRule="auto"/>
        <w:jc w:val="left"/>
        <w:rPr>
          <w:rFonts w:hint="eastAsia" w:ascii="宋体" w:hAnsi="宋体" w:eastAsia="宋体" w:cs="宋体"/>
          <w:color w:val="auto"/>
          <w:kern w:val="0"/>
          <w:sz w:val="32"/>
          <w:szCs w:val="32"/>
          <w:highlight w:val="none"/>
        </w:rPr>
      </w:pPr>
    </w:p>
    <w:p w14:paraId="705E91C0">
      <w:pPr>
        <w:snapToGrid w:val="0"/>
        <w:spacing w:line="360" w:lineRule="auto"/>
        <w:jc w:val="left"/>
        <w:rPr>
          <w:rFonts w:hint="eastAsia" w:ascii="宋体" w:hAnsi="宋体" w:eastAsia="宋体" w:cs="宋体"/>
          <w:color w:val="auto"/>
          <w:kern w:val="0"/>
          <w:sz w:val="32"/>
          <w:szCs w:val="32"/>
          <w:highlight w:val="none"/>
        </w:rPr>
      </w:pPr>
    </w:p>
    <w:p w14:paraId="39AF90AB">
      <w:pPr>
        <w:snapToGrid w:val="0"/>
        <w:spacing w:line="360" w:lineRule="auto"/>
        <w:jc w:val="left"/>
        <w:rPr>
          <w:rFonts w:hint="eastAsia" w:ascii="宋体" w:hAnsi="宋体" w:eastAsia="宋体" w:cs="宋体"/>
          <w:color w:val="auto"/>
          <w:kern w:val="0"/>
          <w:sz w:val="32"/>
          <w:szCs w:val="32"/>
          <w:highlight w:val="none"/>
        </w:rPr>
      </w:pPr>
    </w:p>
    <w:p w14:paraId="742E5A78">
      <w:pPr>
        <w:snapToGrid w:val="0"/>
        <w:spacing w:line="360" w:lineRule="auto"/>
        <w:jc w:val="left"/>
        <w:rPr>
          <w:rFonts w:hint="eastAsia" w:ascii="宋体" w:hAnsi="宋体" w:eastAsia="宋体" w:cs="宋体"/>
          <w:color w:val="auto"/>
          <w:kern w:val="0"/>
          <w:sz w:val="32"/>
          <w:szCs w:val="32"/>
          <w:highlight w:val="none"/>
        </w:rPr>
      </w:pPr>
    </w:p>
    <w:p w14:paraId="6030E997">
      <w:pPr>
        <w:snapToGrid w:val="0"/>
        <w:spacing w:line="360" w:lineRule="auto"/>
        <w:jc w:val="left"/>
        <w:rPr>
          <w:rFonts w:hint="eastAsia" w:ascii="宋体" w:hAnsi="宋体" w:eastAsia="宋体" w:cs="宋体"/>
          <w:color w:val="auto"/>
          <w:kern w:val="0"/>
          <w:sz w:val="32"/>
          <w:szCs w:val="32"/>
          <w:highlight w:val="none"/>
        </w:rPr>
      </w:pPr>
    </w:p>
    <w:p w14:paraId="55BAB105">
      <w:pPr>
        <w:snapToGrid w:val="0"/>
        <w:spacing w:line="360" w:lineRule="auto"/>
        <w:jc w:val="left"/>
        <w:rPr>
          <w:rFonts w:hint="default"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1</w:t>
      </w:r>
      <w:r>
        <w:rPr>
          <w:rFonts w:hint="eastAsia" w:ascii="宋体" w:hAnsi="宋体" w:cs="宋体"/>
          <w:color w:val="auto"/>
          <w:kern w:val="0"/>
          <w:sz w:val="32"/>
          <w:szCs w:val="32"/>
          <w:highlight w:val="none"/>
          <w:lang w:val="en-US" w:eastAsia="zh-CN"/>
        </w:rPr>
        <w:t>5</w:t>
      </w:r>
    </w:p>
    <w:p w14:paraId="25BEEE14">
      <w:pPr>
        <w:spacing w:before="24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供应商信用承诺书</w:t>
      </w:r>
    </w:p>
    <w:p w14:paraId="3BE8D1A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为营造公开、公平、公正的公共资源交易环境，树立诚信守法的供应商形象，本人代表本单位作出以下承诺：</w:t>
      </w:r>
    </w:p>
    <w:p w14:paraId="67D98ED1">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6523E4E6">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二、严格依照国家和省、市、县关于政府采购等方面的法律、法规、规章、规范性文件，参加</w:t>
      </w:r>
      <w:r>
        <w:rPr>
          <w:rFonts w:hint="eastAsia" w:ascii="宋体" w:hAnsi="宋体" w:eastAsia="宋体" w:cs="宋体"/>
          <w:color w:val="auto"/>
          <w:kern w:val="0"/>
          <w:sz w:val="24"/>
          <w:highlight w:val="none"/>
        </w:rPr>
        <w:t>采购人组织的</w:t>
      </w:r>
      <w:r>
        <w:rPr>
          <w:rFonts w:hint="eastAsia" w:ascii="宋体" w:hAnsi="宋体" w:eastAsia="宋体" w:cs="宋体"/>
          <w:color w:val="auto"/>
          <w:kern w:val="0"/>
          <w:sz w:val="24"/>
          <w:highlight w:val="none"/>
          <w:lang w:val="zh-CN"/>
        </w:rPr>
        <w:t>招标投标活动；积极履行社会责任，促进廉政建设；</w:t>
      </w:r>
    </w:p>
    <w:p w14:paraId="75B0914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三、严格遵守即时信息公示规定，及时更新公共资源交易中心主体信息库中信息；</w:t>
      </w:r>
    </w:p>
    <w:p w14:paraId="35924717">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四、自我约束、自我管理，守合同、重信用，不参与围标串标、弄虚作假、骗取成交、干扰评标、违约毁约、恶意投诉等行为，主动维护公共资源交易招标投标的良好秩序；</w:t>
      </w:r>
    </w:p>
    <w:p w14:paraId="0F87BC6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37907E9B">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六、自觉接受政府部门、行业组织、社会公众、新闻舆论等监督；</w:t>
      </w:r>
    </w:p>
    <w:p w14:paraId="1F73A6C8">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七、上述承诺已向本单位员工作了宣传教育；</w:t>
      </w:r>
    </w:p>
    <w:p w14:paraId="44FBE63A">
      <w:pPr>
        <w:tabs>
          <w:tab w:val="left" w:pos="4860"/>
        </w:tabs>
        <w:spacing w:line="360" w:lineRule="auto"/>
        <w:ind w:right="156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如有违反上述承诺的不良行为，本单位同意将其予以上网公示。</w:t>
      </w:r>
    </w:p>
    <w:p w14:paraId="77C97685">
      <w:pPr>
        <w:spacing w:line="360" w:lineRule="auto"/>
        <w:ind w:firstLine="3080" w:firstLineChars="1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49E1842">
      <w:pPr>
        <w:spacing w:line="360" w:lineRule="auto"/>
        <w:ind w:firstLine="3080" w:firstLineChars="1100"/>
        <w:rPr>
          <w:rFonts w:hint="eastAsia" w:ascii="宋体" w:hAnsi="宋体" w:eastAsia="宋体" w:cs="宋体"/>
          <w:color w:val="auto"/>
          <w:kern w:val="0"/>
          <w:sz w:val="28"/>
          <w:szCs w:val="28"/>
          <w:highlight w:val="none"/>
          <w:u w:val="single"/>
          <w:lang w:val="zh-CN"/>
        </w:rPr>
      </w:pPr>
      <w:r>
        <w:rPr>
          <w:rFonts w:hint="eastAsia" w:ascii="宋体" w:hAnsi="宋体" w:eastAsia="宋体" w:cs="宋体"/>
          <w:color w:val="auto"/>
          <w:kern w:val="0"/>
          <w:sz w:val="28"/>
          <w:szCs w:val="28"/>
          <w:highlight w:val="none"/>
          <w:lang w:val="zh-CN"/>
        </w:rPr>
        <w:t>投标供应商全称(盖公章)：</w:t>
      </w:r>
    </w:p>
    <w:p w14:paraId="1DD59489">
      <w:pPr>
        <w:spacing w:line="360" w:lineRule="auto"/>
        <w:ind w:firstLine="3080" w:firstLineChars="1100"/>
        <w:rPr>
          <w:rFonts w:hint="eastAsia" w:ascii="宋体" w:hAnsi="宋体" w:eastAsia="宋体" w:cs="宋体"/>
          <w:color w:val="auto"/>
          <w:sz w:val="28"/>
          <w:szCs w:val="28"/>
          <w:highlight w:val="none"/>
          <w:u w:val="single"/>
          <w:lang w:val="zh-CN"/>
        </w:rPr>
      </w:pPr>
      <w:r>
        <w:rPr>
          <w:rFonts w:hint="eastAsia" w:ascii="宋体" w:hAnsi="宋体" w:eastAsia="宋体" w:cs="宋体"/>
          <w:color w:val="auto"/>
          <w:kern w:val="0"/>
          <w:sz w:val="28"/>
          <w:szCs w:val="28"/>
          <w:highlight w:val="none"/>
          <w:lang w:val="zh-CN"/>
        </w:rPr>
        <w:t>法定代表人（签字或盖章）：</w:t>
      </w:r>
    </w:p>
    <w:p w14:paraId="3C16B4A7">
      <w:pPr>
        <w:spacing w:line="360" w:lineRule="auto"/>
        <w:ind w:firstLine="3080" w:firstLineChars="1100"/>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时间：  年  月   日</w:t>
      </w:r>
    </w:p>
    <w:p w14:paraId="60EEA04C">
      <w:pPr>
        <w:spacing w:line="360" w:lineRule="auto"/>
        <w:rPr>
          <w:rFonts w:hint="eastAsia" w:ascii="宋体" w:hAnsi="宋体" w:eastAsia="宋体" w:cs="宋体"/>
          <w:color w:val="auto"/>
          <w:highlight w:val="none"/>
        </w:rPr>
      </w:pPr>
    </w:p>
    <w:p w14:paraId="33CB008D">
      <w:pPr>
        <w:spacing w:line="360" w:lineRule="auto"/>
        <w:rPr>
          <w:rFonts w:hint="eastAsia" w:ascii="宋体" w:hAnsi="宋体" w:eastAsia="宋体" w:cs="宋体"/>
          <w:color w:val="auto"/>
          <w:highlight w:val="none"/>
        </w:rPr>
      </w:pPr>
    </w:p>
    <w:p w14:paraId="4844F514">
      <w:pPr>
        <w:snapToGrid w:val="0"/>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cs="宋体"/>
          <w:color w:val="auto"/>
          <w:sz w:val="32"/>
          <w:szCs w:val="32"/>
          <w:highlight w:val="none"/>
          <w:lang w:val="en-US" w:eastAsia="zh-CN"/>
        </w:rPr>
        <w:t>6</w:t>
      </w:r>
    </w:p>
    <w:p w14:paraId="55E2428C">
      <w:pPr>
        <w:spacing w:line="360" w:lineRule="auto"/>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质疑函范本</w:t>
      </w:r>
    </w:p>
    <w:p w14:paraId="2B155624">
      <w:pPr>
        <w:adjustRightInd w:val="0"/>
        <w:snapToGrid w:val="0"/>
        <w:spacing w:beforeLines="100"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196E40DA">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534741F5">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61FCC818">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072D9737">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5E7EC2BF">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6CE87BF4">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0A084D82">
      <w:pPr>
        <w:adjustRightInd w:val="0"/>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4EF9747">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2F44AF23">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49D1F3E9">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47CB1FBB">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2870D010">
      <w:pPr>
        <w:adjustRightInd w:val="0"/>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1005471">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7BC0DA3B">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5A476D06">
      <w:pPr>
        <w:adjustRightInd w:val="0"/>
        <w:snapToGrid w:val="0"/>
        <w:spacing w:line="360" w:lineRule="auto"/>
        <w:rPr>
          <w:rFonts w:hint="eastAsia" w:ascii="宋体" w:hAnsi="宋体" w:eastAsia="宋体" w:cs="宋体"/>
          <w:color w:val="auto"/>
          <w:sz w:val="28"/>
          <w:szCs w:val="28"/>
          <w:highlight w:val="none"/>
        </w:rPr>
      </w:pPr>
    </w:p>
    <w:p w14:paraId="7A1F7EC1">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65A93AB4">
      <w:pPr>
        <w:adjustRightInd w:val="0"/>
        <w:snapToGrid w:val="0"/>
        <w:spacing w:line="360" w:lineRule="auto"/>
        <w:rPr>
          <w:rFonts w:hint="eastAsia" w:ascii="宋体" w:hAnsi="宋体" w:eastAsia="宋体" w:cs="宋体"/>
          <w:color w:val="auto"/>
          <w:sz w:val="28"/>
          <w:szCs w:val="28"/>
          <w:highlight w:val="none"/>
          <w:u w:val="dotted"/>
        </w:rPr>
      </w:pPr>
    </w:p>
    <w:p w14:paraId="0CC0F2EE">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6539C8E">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72118FE5">
      <w:pPr>
        <w:adjustRightInd w:val="0"/>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19582AB6">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102BE134">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7FD3CFA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1C0EDB9">
      <w:pPr>
        <w:adjustRightInd w:val="0"/>
        <w:snapToGrid w:val="0"/>
        <w:spacing w:line="360" w:lineRule="auto"/>
        <w:rPr>
          <w:rFonts w:hint="eastAsia" w:ascii="宋体" w:hAnsi="宋体" w:eastAsia="宋体" w:cs="宋体"/>
          <w:color w:val="auto"/>
          <w:sz w:val="28"/>
          <w:szCs w:val="28"/>
          <w:highlight w:val="none"/>
        </w:rPr>
      </w:pPr>
    </w:p>
    <w:p w14:paraId="0EFB8FE9">
      <w:pPr>
        <w:spacing w:line="360" w:lineRule="auto"/>
        <w:rPr>
          <w:rFonts w:hint="eastAsia" w:ascii="宋体" w:hAnsi="宋体" w:eastAsia="宋体" w:cs="宋体"/>
          <w:b/>
          <w:color w:val="auto"/>
          <w:sz w:val="28"/>
          <w:szCs w:val="28"/>
          <w:highlight w:val="none"/>
        </w:rPr>
      </w:pPr>
    </w:p>
    <w:p w14:paraId="4B29D9D6">
      <w:pPr>
        <w:spacing w:line="360" w:lineRule="auto"/>
        <w:rPr>
          <w:rFonts w:hint="eastAsia" w:ascii="宋体" w:hAnsi="宋体" w:eastAsia="宋体" w:cs="宋体"/>
          <w:b/>
          <w:color w:val="auto"/>
          <w:sz w:val="28"/>
          <w:szCs w:val="28"/>
          <w:highlight w:val="none"/>
        </w:rPr>
      </w:pPr>
    </w:p>
    <w:p w14:paraId="00ACCE4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1C388942">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1B5F05FE">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1EB5F108">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110779D0">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3D96F45D">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6B0F990F">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48DA4C61">
      <w:pPr>
        <w:widowControl/>
        <w:spacing w:line="360" w:lineRule="auto"/>
        <w:ind w:firstLine="560" w:firstLineChars="200"/>
        <w:jc w:val="left"/>
        <w:rPr>
          <w:rFonts w:hint="eastAsia" w:ascii="宋体" w:hAnsi="宋体" w:eastAsia="宋体" w:cs="宋体"/>
          <w:color w:val="auto"/>
          <w:sz w:val="28"/>
          <w:szCs w:val="28"/>
          <w:highlight w:val="none"/>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E3A9550-3C3D-4DC4-A532-7F5EA385C75D}"/>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4C9F">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A7F9">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C936">
                          <w:pPr>
                            <w:pStyle w:val="2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7A8C936">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344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0120">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8"/>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3"/>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5"/>
      <w:lvlText w:val=""/>
      <w:lvlJc w:val="left"/>
      <w:pPr>
        <w:tabs>
          <w:tab w:val="left" w:pos="780"/>
        </w:tabs>
        <w:ind w:left="780" w:hanging="360"/>
      </w:pPr>
      <w:rPr>
        <w:rFonts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3"/>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4">
    <w:nsid w:val="56898123"/>
    <w:multiLevelType w:val="singleLevel"/>
    <w:tmpl w:val="56898123"/>
    <w:lvl w:ilvl="0" w:tentative="0">
      <w:start w:val="1"/>
      <w:numFmt w:val="decimal"/>
      <w:pStyle w:val="23"/>
      <w:lvlText w:val="%1."/>
      <w:lvlJc w:val="left"/>
      <w:pPr>
        <w:tabs>
          <w:tab w:val="left" w:pos="2040"/>
        </w:tabs>
        <w:ind w:left="204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42CA"/>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9175FA"/>
    <w:rsid w:val="02A46519"/>
    <w:rsid w:val="02C34EEE"/>
    <w:rsid w:val="02F30FA1"/>
    <w:rsid w:val="030663D5"/>
    <w:rsid w:val="0319135E"/>
    <w:rsid w:val="031D75DC"/>
    <w:rsid w:val="034F46D6"/>
    <w:rsid w:val="03784CB1"/>
    <w:rsid w:val="03BE5522"/>
    <w:rsid w:val="04051239"/>
    <w:rsid w:val="04736AA8"/>
    <w:rsid w:val="04CC6B4B"/>
    <w:rsid w:val="053E2C54"/>
    <w:rsid w:val="0654321E"/>
    <w:rsid w:val="068C1FDE"/>
    <w:rsid w:val="069204DD"/>
    <w:rsid w:val="06B0131B"/>
    <w:rsid w:val="06ED1BCA"/>
    <w:rsid w:val="06F91383"/>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9B41C4"/>
    <w:rsid w:val="0CBF239A"/>
    <w:rsid w:val="0CF757AC"/>
    <w:rsid w:val="0D2C751C"/>
    <w:rsid w:val="0D57008A"/>
    <w:rsid w:val="0D7D135A"/>
    <w:rsid w:val="0D9E4C87"/>
    <w:rsid w:val="0DA56F93"/>
    <w:rsid w:val="0DB52476"/>
    <w:rsid w:val="0DCE1A94"/>
    <w:rsid w:val="0DDC0C86"/>
    <w:rsid w:val="0DDC3FD5"/>
    <w:rsid w:val="0E7E1C83"/>
    <w:rsid w:val="0E7E5E5F"/>
    <w:rsid w:val="0F3E6C33"/>
    <w:rsid w:val="0F603F8D"/>
    <w:rsid w:val="0F747D3A"/>
    <w:rsid w:val="1049527D"/>
    <w:rsid w:val="106A2B50"/>
    <w:rsid w:val="10B34976"/>
    <w:rsid w:val="110F725F"/>
    <w:rsid w:val="11163121"/>
    <w:rsid w:val="11285B62"/>
    <w:rsid w:val="11380EA0"/>
    <w:rsid w:val="11B30526"/>
    <w:rsid w:val="12214824"/>
    <w:rsid w:val="12315DC0"/>
    <w:rsid w:val="12362D47"/>
    <w:rsid w:val="12DD0C75"/>
    <w:rsid w:val="12FA67BA"/>
    <w:rsid w:val="13304B67"/>
    <w:rsid w:val="134566BC"/>
    <w:rsid w:val="135774FE"/>
    <w:rsid w:val="13A46379"/>
    <w:rsid w:val="13AD66FE"/>
    <w:rsid w:val="13F310AE"/>
    <w:rsid w:val="13FA243C"/>
    <w:rsid w:val="142011A6"/>
    <w:rsid w:val="144C6CB5"/>
    <w:rsid w:val="14564609"/>
    <w:rsid w:val="14583120"/>
    <w:rsid w:val="15215C70"/>
    <w:rsid w:val="15495F87"/>
    <w:rsid w:val="1574342C"/>
    <w:rsid w:val="15965C16"/>
    <w:rsid w:val="15A444A6"/>
    <w:rsid w:val="161326E2"/>
    <w:rsid w:val="16277A0B"/>
    <w:rsid w:val="162E6FC6"/>
    <w:rsid w:val="16852D6C"/>
    <w:rsid w:val="16884649"/>
    <w:rsid w:val="16C94348"/>
    <w:rsid w:val="17517F11"/>
    <w:rsid w:val="17B24919"/>
    <w:rsid w:val="17B4163D"/>
    <w:rsid w:val="17C9694A"/>
    <w:rsid w:val="17F94FFE"/>
    <w:rsid w:val="1813218C"/>
    <w:rsid w:val="181745F5"/>
    <w:rsid w:val="182F467F"/>
    <w:rsid w:val="185B7983"/>
    <w:rsid w:val="18AF29F3"/>
    <w:rsid w:val="18DC65B5"/>
    <w:rsid w:val="190805F5"/>
    <w:rsid w:val="19371006"/>
    <w:rsid w:val="19660714"/>
    <w:rsid w:val="197C2955"/>
    <w:rsid w:val="19E82C89"/>
    <w:rsid w:val="1A2D009F"/>
    <w:rsid w:val="1A4268EB"/>
    <w:rsid w:val="1A444411"/>
    <w:rsid w:val="1A5279E9"/>
    <w:rsid w:val="1AD43112"/>
    <w:rsid w:val="1B925650"/>
    <w:rsid w:val="1BEB63D8"/>
    <w:rsid w:val="1C78157F"/>
    <w:rsid w:val="1C8B1F64"/>
    <w:rsid w:val="1CD25790"/>
    <w:rsid w:val="1D050C0D"/>
    <w:rsid w:val="1D3544E5"/>
    <w:rsid w:val="1D787557"/>
    <w:rsid w:val="1E036392"/>
    <w:rsid w:val="1E097B16"/>
    <w:rsid w:val="1E53284B"/>
    <w:rsid w:val="1E5F512D"/>
    <w:rsid w:val="1E892E63"/>
    <w:rsid w:val="1EE70F94"/>
    <w:rsid w:val="1F352014"/>
    <w:rsid w:val="1F4F3A29"/>
    <w:rsid w:val="1F9B16E8"/>
    <w:rsid w:val="20085EE1"/>
    <w:rsid w:val="20255070"/>
    <w:rsid w:val="202B6819"/>
    <w:rsid w:val="20EE6FC1"/>
    <w:rsid w:val="20EF1D98"/>
    <w:rsid w:val="21606878"/>
    <w:rsid w:val="216F595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AF1021"/>
    <w:rsid w:val="255E9A8F"/>
    <w:rsid w:val="25625F13"/>
    <w:rsid w:val="25761FE8"/>
    <w:rsid w:val="25A55F80"/>
    <w:rsid w:val="261B3EF8"/>
    <w:rsid w:val="26B36D0C"/>
    <w:rsid w:val="26C012C4"/>
    <w:rsid w:val="26C70FC3"/>
    <w:rsid w:val="271F7DFA"/>
    <w:rsid w:val="272F3A51"/>
    <w:rsid w:val="27333F23"/>
    <w:rsid w:val="27C63A92"/>
    <w:rsid w:val="27E17743"/>
    <w:rsid w:val="27F00097"/>
    <w:rsid w:val="27F8287A"/>
    <w:rsid w:val="280803EC"/>
    <w:rsid w:val="281C69CE"/>
    <w:rsid w:val="282E0237"/>
    <w:rsid w:val="2846729E"/>
    <w:rsid w:val="28643197"/>
    <w:rsid w:val="28B44E58"/>
    <w:rsid w:val="28C01D17"/>
    <w:rsid w:val="28C661CF"/>
    <w:rsid w:val="29217386"/>
    <w:rsid w:val="29362D86"/>
    <w:rsid w:val="293E0BC6"/>
    <w:rsid w:val="29A11347"/>
    <w:rsid w:val="29D3144C"/>
    <w:rsid w:val="2A140F26"/>
    <w:rsid w:val="2A27165A"/>
    <w:rsid w:val="2A2F3040"/>
    <w:rsid w:val="2A4E3D69"/>
    <w:rsid w:val="2B5F21E3"/>
    <w:rsid w:val="2B7566BF"/>
    <w:rsid w:val="2B987F6F"/>
    <w:rsid w:val="2BAD5B8F"/>
    <w:rsid w:val="2BAE36BF"/>
    <w:rsid w:val="2BCB3F2A"/>
    <w:rsid w:val="2C102611"/>
    <w:rsid w:val="2C29369E"/>
    <w:rsid w:val="2C35294C"/>
    <w:rsid w:val="2C9B7CA1"/>
    <w:rsid w:val="2CDF7113"/>
    <w:rsid w:val="2CF27CFD"/>
    <w:rsid w:val="2D5914BC"/>
    <w:rsid w:val="2D821071"/>
    <w:rsid w:val="2DC14C40"/>
    <w:rsid w:val="2DCD2FDA"/>
    <w:rsid w:val="2DD81DDD"/>
    <w:rsid w:val="2E057444"/>
    <w:rsid w:val="2E216B3B"/>
    <w:rsid w:val="2E4A46A0"/>
    <w:rsid w:val="2E513149"/>
    <w:rsid w:val="2E7D5CEC"/>
    <w:rsid w:val="2EB07E70"/>
    <w:rsid w:val="2EB23ECC"/>
    <w:rsid w:val="2EF72DA2"/>
    <w:rsid w:val="2F0267D5"/>
    <w:rsid w:val="2F3515C3"/>
    <w:rsid w:val="2F391C13"/>
    <w:rsid w:val="2F3F38D4"/>
    <w:rsid w:val="2F723377"/>
    <w:rsid w:val="2F7970D7"/>
    <w:rsid w:val="2FD67A0A"/>
    <w:rsid w:val="2FE64400"/>
    <w:rsid w:val="301339CC"/>
    <w:rsid w:val="3083145F"/>
    <w:rsid w:val="30A7668A"/>
    <w:rsid w:val="30E958BB"/>
    <w:rsid w:val="30F20D3F"/>
    <w:rsid w:val="31320866"/>
    <w:rsid w:val="313B43AB"/>
    <w:rsid w:val="317407C0"/>
    <w:rsid w:val="31AB7E01"/>
    <w:rsid w:val="32207518"/>
    <w:rsid w:val="32821B23"/>
    <w:rsid w:val="32A45578"/>
    <w:rsid w:val="32B3311C"/>
    <w:rsid w:val="3312555B"/>
    <w:rsid w:val="33242BDA"/>
    <w:rsid w:val="33274478"/>
    <w:rsid w:val="334502B8"/>
    <w:rsid w:val="3384079C"/>
    <w:rsid w:val="33AA6EA7"/>
    <w:rsid w:val="33DC5692"/>
    <w:rsid w:val="33E54C86"/>
    <w:rsid w:val="342F6C69"/>
    <w:rsid w:val="34A00986"/>
    <w:rsid w:val="34D8684E"/>
    <w:rsid w:val="34FF1114"/>
    <w:rsid w:val="35386E11"/>
    <w:rsid w:val="35BD291C"/>
    <w:rsid w:val="35EA1EB9"/>
    <w:rsid w:val="36BE3D73"/>
    <w:rsid w:val="36E44AE2"/>
    <w:rsid w:val="372927D2"/>
    <w:rsid w:val="37741972"/>
    <w:rsid w:val="377443BF"/>
    <w:rsid w:val="37C45D5C"/>
    <w:rsid w:val="380A6843"/>
    <w:rsid w:val="380F3DCD"/>
    <w:rsid w:val="389E2A5F"/>
    <w:rsid w:val="38BD73CD"/>
    <w:rsid w:val="39243934"/>
    <w:rsid w:val="39535BFE"/>
    <w:rsid w:val="398B7F95"/>
    <w:rsid w:val="39A96F72"/>
    <w:rsid w:val="39B5458C"/>
    <w:rsid w:val="39CE38A0"/>
    <w:rsid w:val="3A1C4963"/>
    <w:rsid w:val="3A5570FB"/>
    <w:rsid w:val="3A563FC1"/>
    <w:rsid w:val="3A97759B"/>
    <w:rsid w:val="3A990BD3"/>
    <w:rsid w:val="3AC86541"/>
    <w:rsid w:val="3AF953E5"/>
    <w:rsid w:val="3B4E2FFF"/>
    <w:rsid w:val="3B6049CB"/>
    <w:rsid w:val="3B8107CA"/>
    <w:rsid w:val="3B9C47C1"/>
    <w:rsid w:val="3BAC29ED"/>
    <w:rsid w:val="3BB367AF"/>
    <w:rsid w:val="3BB40923"/>
    <w:rsid w:val="3BD03227"/>
    <w:rsid w:val="3C024B7D"/>
    <w:rsid w:val="3C4E0CC8"/>
    <w:rsid w:val="3C7F4EBC"/>
    <w:rsid w:val="3C862210"/>
    <w:rsid w:val="3D205A10"/>
    <w:rsid w:val="3D5671AA"/>
    <w:rsid w:val="3D8E2068"/>
    <w:rsid w:val="3DFF4595"/>
    <w:rsid w:val="3E1D7CAF"/>
    <w:rsid w:val="3E7E66A3"/>
    <w:rsid w:val="3EAD286A"/>
    <w:rsid w:val="3F676329"/>
    <w:rsid w:val="3F676452"/>
    <w:rsid w:val="3FE756BB"/>
    <w:rsid w:val="40972C3D"/>
    <w:rsid w:val="40B777E0"/>
    <w:rsid w:val="40C96B6F"/>
    <w:rsid w:val="40E26775"/>
    <w:rsid w:val="40FF1D3F"/>
    <w:rsid w:val="41445C3F"/>
    <w:rsid w:val="41655958"/>
    <w:rsid w:val="418954B3"/>
    <w:rsid w:val="4194717D"/>
    <w:rsid w:val="42661790"/>
    <w:rsid w:val="42AC628E"/>
    <w:rsid w:val="42E163F2"/>
    <w:rsid w:val="43087E22"/>
    <w:rsid w:val="4309548A"/>
    <w:rsid w:val="43240916"/>
    <w:rsid w:val="435528D9"/>
    <w:rsid w:val="4357078B"/>
    <w:rsid w:val="4379029A"/>
    <w:rsid w:val="4379360A"/>
    <w:rsid w:val="43A46303"/>
    <w:rsid w:val="43A7763B"/>
    <w:rsid w:val="43AC108E"/>
    <w:rsid w:val="43CA2CF3"/>
    <w:rsid w:val="43E42978"/>
    <w:rsid w:val="43F42D41"/>
    <w:rsid w:val="440A1978"/>
    <w:rsid w:val="441962C2"/>
    <w:rsid w:val="4440689F"/>
    <w:rsid w:val="447E0969"/>
    <w:rsid w:val="44D2503A"/>
    <w:rsid w:val="44DA1D47"/>
    <w:rsid w:val="45647867"/>
    <w:rsid w:val="4582210E"/>
    <w:rsid w:val="45C86CE6"/>
    <w:rsid w:val="45F14B9E"/>
    <w:rsid w:val="45FA5F64"/>
    <w:rsid w:val="460743C1"/>
    <w:rsid w:val="46144D30"/>
    <w:rsid w:val="467F21AA"/>
    <w:rsid w:val="46BF4C9C"/>
    <w:rsid w:val="46CA7C8C"/>
    <w:rsid w:val="47883ED1"/>
    <w:rsid w:val="47986C63"/>
    <w:rsid w:val="47D6229D"/>
    <w:rsid w:val="47FE7A46"/>
    <w:rsid w:val="48374FFD"/>
    <w:rsid w:val="487E1EBD"/>
    <w:rsid w:val="48EE6CFE"/>
    <w:rsid w:val="48F13299"/>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F27B79"/>
    <w:rsid w:val="4E1729CD"/>
    <w:rsid w:val="4E296E9F"/>
    <w:rsid w:val="4EE942B4"/>
    <w:rsid w:val="4F0227BF"/>
    <w:rsid w:val="4F31106F"/>
    <w:rsid w:val="4F55619D"/>
    <w:rsid w:val="4F633558"/>
    <w:rsid w:val="4F8E1D24"/>
    <w:rsid w:val="50257DA7"/>
    <w:rsid w:val="50266D04"/>
    <w:rsid w:val="50504182"/>
    <w:rsid w:val="505C5D66"/>
    <w:rsid w:val="50753163"/>
    <w:rsid w:val="50817137"/>
    <w:rsid w:val="509E5922"/>
    <w:rsid w:val="50B11EC2"/>
    <w:rsid w:val="50C37CBB"/>
    <w:rsid w:val="50C71A45"/>
    <w:rsid w:val="510451A5"/>
    <w:rsid w:val="51410B71"/>
    <w:rsid w:val="51A554F3"/>
    <w:rsid w:val="51E62D24"/>
    <w:rsid w:val="51E91E61"/>
    <w:rsid w:val="51ED50E8"/>
    <w:rsid w:val="523D7A9D"/>
    <w:rsid w:val="526F57C8"/>
    <w:rsid w:val="52C15655"/>
    <w:rsid w:val="52C250C7"/>
    <w:rsid w:val="52CB62CE"/>
    <w:rsid w:val="52E1539C"/>
    <w:rsid w:val="530B344E"/>
    <w:rsid w:val="5314011E"/>
    <w:rsid w:val="53B44FB9"/>
    <w:rsid w:val="53C733E2"/>
    <w:rsid w:val="53FF0DCE"/>
    <w:rsid w:val="54066594"/>
    <w:rsid w:val="54154F71"/>
    <w:rsid w:val="544C01DA"/>
    <w:rsid w:val="54826A6F"/>
    <w:rsid w:val="548E6FCC"/>
    <w:rsid w:val="54B41BB8"/>
    <w:rsid w:val="54BC3371"/>
    <w:rsid w:val="54EC13E3"/>
    <w:rsid w:val="55985036"/>
    <w:rsid w:val="55E54A69"/>
    <w:rsid w:val="55F00D79"/>
    <w:rsid w:val="560358E7"/>
    <w:rsid w:val="56682C5A"/>
    <w:rsid w:val="56905D0D"/>
    <w:rsid w:val="5737456A"/>
    <w:rsid w:val="573D3418"/>
    <w:rsid w:val="578C3B2F"/>
    <w:rsid w:val="57CE5A99"/>
    <w:rsid w:val="57E1275E"/>
    <w:rsid w:val="57FD3B20"/>
    <w:rsid w:val="583730A7"/>
    <w:rsid w:val="589D4368"/>
    <w:rsid w:val="58CB74D0"/>
    <w:rsid w:val="595F6971"/>
    <w:rsid w:val="597C1F53"/>
    <w:rsid w:val="597F295B"/>
    <w:rsid w:val="59896DA8"/>
    <w:rsid w:val="5A170196"/>
    <w:rsid w:val="5A36306F"/>
    <w:rsid w:val="5A473E48"/>
    <w:rsid w:val="5A6E45B7"/>
    <w:rsid w:val="5A7D0C9E"/>
    <w:rsid w:val="5B0740EA"/>
    <w:rsid w:val="5B247141"/>
    <w:rsid w:val="5B603133"/>
    <w:rsid w:val="5B9837E7"/>
    <w:rsid w:val="5BA734AB"/>
    <w:rsid w:val="5BB168EF"/>
    <w:rsid w:val="5BB40E40"/>
    <w:rsid w:val="5BC30933"/>
    <w:rsid w:val="5BE95C7A"/>
    <w:rsid w:val="5BEF76E9"/>
    <w:rsid w:val="5C0D2A63"/>
    <w:rsid w:val="5C3D2493"/>
    <w:rsid w:val="5C5D0A1B"/>
    <w:rsid w:val="5C5F065B"/>
    <w:rsid w:val="5CB079DC"/>
    <w:rsid w:val="5CBD7200"/>
    <w:rsid w:val="5CC70097"/>
    <w:rsid w:val="5CE337FB"/>
    <w:rsid w:val="5D437F7D"/>
    <w:rsid w:val="5D706898"/>
    <w:rsid w:val="5D7B40D5"/>
    <w:rsid w:val="5DCFAE16"/>
    <w:rsid w:val="5EA21F2F"/>
    <w:rsid w:val="5EA91689"/>
    <w:rsid w:val="5F0822F6"/>
    <w:rsid w:val="5F1662FE"/>
    <w:rsid w:val="5F3A0F0C"/>
    <w:rsid w:val="5F57386C"/>
    <w:rsid w:val="5F803FFB"/>
    <w:rsid w:val="5FDD3055"/>
    <w:rsid w:val="60134695"/>
    <w:rsid w:val="60464B44"/>
    <w:rsid w:val="60625971"/>
    <w:rsid w:val="60BB3DF4"/>
    <w:rsid w:val="60F670B5"/>
    <w:rsid w:val="61FE0917"/>
    <w:rsid w:val="62375736"/>
    <w:rsid w:val="62834BFD"/>
    <w:rsid w:val="62B95263"/>
    <w:rsid w:val="63070B25"/>
    <w:rsid w:val="63312CBB"/>
    <w:rsid w:val="634C5B54"/>
    <w:rsid w:val="635A4871"/>
    <w:rsid w:val="635F44F0"/>
    <w:rsid w:val="639A641D"/>
    <w:rsid w:val="64CE4547"/>
    <w:rsid w:val="65007790"/>
    <w:rsid w:val="65071890"/>
    <w:rsid w:val="65362175"/>
    <w:rsid w:val="655A4F13"/>
    <w:rsid w:val="65624D19"/>
    <w:rsid w:val="65735178"/>
    <w:rsid w:val="657A7089"/>
    <w:rsid w:val="65B6317D"/>
    <w:rsid w:val="66416381"/>
    <w:rsid w:val="6688682D"/>
    <w:rsid w:val="66AB22D9"/>
    <w:rsid w:val="66D41533"/>
    <w:rsid w:val="66DC6D4D"/>
    <w:rsid w:val="673D49E3"/>
    <w:rsid w:val="674072DB"/>
    <w:rsid w:val="675532C8"/>
    <w:rsid w:val="679F7DEF"/>
    <w:rsid w:val="67EB657A"/>
    <w:rsid w:val="680633E1"/>
    <w:rsid w:val="68226616"/>
    <w:rsid w:val="6844104D"/>
    <w:rsid w:val="68474112"/>
    <w:rsid w:val="684921C0"/>
    <w:rsid w:val="68576F69"/>
    <w:rsid w:val="68B00491"/>
    <w:rsid w:val="68B735CD"/>
    <w:rsid w:val="68B84DB4"/>
    <w:rsid w:val="69005E96"/>
    <w:rsid w:val="694035C3"/>
    <w:rsid w:val="6A2054D5"/>
    <w:rsid w:val="6A4F42B1"/>
    <w:rsid w:val="6A693B40"/>
    <w:rsid w:val="6A775FD1"/>
    <w:rsid w:val="6AB53B3C"/>
    <w:rsid w:val="6AF74155"/>
    <w:rsid w:val="6AFD34C8"/>
    <w:rsid w:val="6B0B7C86"/>
    <w:rsid w:val="6B80414A"/>
    <w:rsid w:val="6B883D6D"/>
    <w:rsid w:val="6B97675D"/>
    <w:rsid w:val="6C3F7AD0"/>
    <w:rsid w:val="6CCE6403"/>
    <w:rsid w:val="6CDA7624"/>
    <w:rsid w:val="6CE81713"/>
    <w:rsid w:val="6D070BEB"/>
    <w:rsid w:val="6D0B6015"/>
    <w:rsid w:val="6D3276C6"/>
    <w:rsid w:val="6D7B2E1B"/>
    <w:rsid w:val="6D7B76B4"/>
    <w:rsid w:val="6D857ACC"/>
    <w:rsid w:val="6D8F2D6B"/>
    <w:rsid w:val="6D9143ED"/>
    <w:rsid w:val="6DB74CDB"/>
    <w:rsid w:val="6DB91B96"/>
    <w:rsid w:val="6DB932C1"/>
    <w:rsid w:val="6E1437DA"/>
    <w:rsid w:val="6E1F0847"/>
    <w:rsid w:val="6E3520A2"/>
    <w:rsid w:val="6E3A43BC"/>
    <w:rsid w:val="6EF6485A"/>
    <w:rsid w:val="6F394D3C"/>
    <w:rsid w:val="6F572DF1"/>
    <w:rsid w:val="6F7264A0"/>
    <w:rsid w:val="6FA843BB"/>
    <w:rsid w:val="6FBC771B"/>
    <w:rsid w:val="6FF4591D"/>
    <w:rsid w:val="701C5FC7"/>
    <w:rsid w:val="70A66401"/>
    <w:rsid w:val="713F6A92"/>
    <w:rsid w:val="71877781"/>
    <w:rsid w:val="71B66B18"/>
    <w:rsid w:val="722C52AF"/>
    <w:rsid w:val="728C5ACB"/>
    <w:rsid w:val="72944086"/>
    <w:rsid w:val="72954F16"/>
    <w:rsid w:val="72D82ABE"/>
    <w:rsid w:val="733B0CDF"/>
    <w:rsid w:val="7350785D"/>
    <w:rsid w:val="7354438F"/>
    <w:rsid w:val="73852C46"/>
    <w:rsid w:val="73A07A74"/>
    <w:rsid w:val="73C86E78"/>
    <w:rsid w:val="73CB43D1"/>
    <w:rsid w:val="747D391D"/>
    <w:rsid w:val="74CD211B"/>
    <w:rsid w:val="74DD1DA7"/>
    <w:rsid w:val="74DD75B1"/>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633752"/>
    <w:rsid w:val="77646A47"/>
    <w:rsid w:val="778B45A3"/>
    <w:rsid w:val="77E638B0"/>
    <w:rsid w:val="77EF7281"/>
    <w:rsid w:val="786170B2"/>
    <w:rsid w:val="788D4480"/>
    <w:rsid w:val="78A32008"/>
    <w:rsid w:val="78C57F86"/>
    <w:rsid w:val="78D11888"/>
    <w:rsid w:val="78F53F2C"/>
    <w:rsid w:val="796912D5"/>
    <w:rsid w:val="796C36EE"/>
    <w:rsid w:val="79C344AC"/>
    <w:rsid w:val="79DA1E2B"/>
    <w:rsid w:val="79F62C66"/>
    <w:rsid w:val="7A9B4AFD"/>
    <w:rsid w:val="7ADB314B"/>
    <w:rsid w:val="7AE04C06"/>
    <w:rsid w:val="7AFD2666"/>
    <w:rsid w:val="7AFD7B90"/>
    <w:rsid w:val="7AFE6E3A"/>
    <w:rsid w:val="7B2033F0"/>
    <w:rsid w:val="7B2D0AFC"/>
    <w:rsid w:val="7B4A02D1"/>
    <w:rsid w:val="7B4A6DD9"/>
    <w:rsid w:val="7C4A67DB"/>
    <w:rsid w:val="7CA848E7"/>
    <w:rsid w:val="7CDB5685"/>
    <w:rsid w:val="7CE915AD"/>
    <w:rsid w:val="7D0821F2"/>
    <w:rsid w:val="7D3A560F"/>
    <w:rsid w:val="7DCF0593"/>
    <w:rsid w:val="7DD74128"/>
    <w:rsid w:val="7E1F194A"/>
    <w:rsid w:val="7E7A1CAE"/>
    <w:rsid w:val="7EC34622"/>
    <w:rsid w:val="7EFC7B34"/>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jc w:val="center"/>
      <w:outlineLvl w:val="3"/>
    </w:pPr>
    <w:rPr>
      <w:rFonts w:eastAsia="新宋体"/>
      <w:sz w:val="3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ind w:left="1440" w:leftChars="700" w:right="700" w:rightChars="700"/>
    </w:pPr>
    <w:rPr>
      <w:color w:val="FF0000"/>
      <w:sz w:val="18"/>
    </w:rPr>
  </w:style>
  <w:style w:type="paragraph" w:styleId="7">
    <w:name w:val="Normal Indent"/>
    <w:basedOn w:val="1"/>
    <w:link w:val="51"/>
    <w:qFormat/>
    <w:uiPriority w:val="0"/>
    <w:pPr>
      <w:ind w:firstLine="420"/>
    </w:pPr>
    <w:rPr>
      <w:szCs w:val="20"/>
    </w:rPr>
  </w:style>
  <w:style w:type="paragraph" w:styleId="8">
    <w:name w:val="Document Map"/>
    <w:basedOn w:val="1"/>
    <w:link w:val="52"/>
    <w:semiHidden/>
    <w:qFormat/>
    <w:uiPriority w:val="0"/>
    <w:pPr>
      <w:shd w:val="clear" w:color="auto" w:fill="000080"/>
    </w:pPr>
  </w:style>
  <w:style w:type="paragraph" w:styleId="9">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0">
    <w:name w:val="annotation text"/>
    <w:basedOn w:val="1"/>
    <w:link w:val="53"/>
    <w:unhideWhenUsed/>
    <w:qFormat/>
    <w:uiPriority w:val="99"/>
    <w:pPr>
      <w:jc w:val="left"/>
    </w:pPr>
  </w:style>
  <w:style w:type="paragraph" w:styleId="11">
    <w:name w:val="Body Text"/>
    <w:basedOn w:val="1"/>
    <w:qFormat/>
    <w:uiPriority w:val="0"/>
    <w:pPr>
      <w:spacing w:line="400" w:lineRule="exact"/>
    </w:pPr>
    <w:rPr>
      <w:rFonts w:ascii="楷体_GB2312"/>
      <w:sz w:val="28"/>
    </w:rPr>
  </w:style>
  <w:style w:type="paragraph" w:styleId="12">
    <w:name w:val="Body Text Indent"/>
    <w:basedOn w:val="1"/>
    <w:next w:val="13"/>
    <w:link w:val="54"/>
    <w:qFormat/>
    <w:uiPriority w:val="0"/>
    <w:pPr>
      <w:spacing w:after="120"/>
      <w:ind w:left="420" w:leftChars="200"/>
    </w:pPr>
  </w:style>
  <w:style w:type="paragraph" w:styleId="13">
    <w:name w:val="Body Text First Indent 2"/>
    <w:basedOn w:val="12"/>
    <w:next w:val="14"/>
    <w:unhideWhenUsed/>
    <w:qFormat/>
    <w:uiPriority w:val="99"/>
    <w:pPr>
      <w:ind w:firstLine="200" w:firstLineChars="200"/>
    </w:pPr>
  </w:style>
  <w:style w:type="paragraph" w:styleId="14">
    <w:name w:val="Body Text First Indent"/>
    <w:basedOn w:val="11"/>
    <w:unhideWhenUsed/>
    <w:qFormat/>
    <w:uiPriority w:val="99"/>
    <w:pPr>
      <w:spacing w:line="440" w:lineRule="exact"/>
      <w:ind w:firstLine="420" w:firstLineChars="100"/>
    </w:pPr>
    <w:rPr>
      <w:rFonts w:ascii="宋体" w:hAnsi="Times New Roman" w:eastAsia="宋体"/>
      <w:sz w:val="24"/>
      <w:szCs w:val="28"/>
    </w:rPr>
  </w:style>
  <w:style w:type="paragraph" w:styleId="15">
    <w:name w:val="index 4"/>
    <w:basedOn w:val="1"/>
    <w:next w:val="1"/>
    <w:semiHidden/>
    <w:qFormat/>
    <w:uiPriority w:val="0"/>
    <w:pPr>
      <w:ind w:left="1260"/>
    </w:pPr>
  </w:style>
  <w:style w:type="paragraph" w:styleId="16">
    <w:name w:val="Plain Text"/>
    <w:basedOn w:val="1"/>
    <w:qFormat/>
    <w:uiPriority w:val="0"/>
    <w:rPr>
      <w:rFonts w:ascii="宋体" w:hAnsi="Courier New"/>
      <w:szCs w:val="20"/>
    </w:rPr>
  </w:style>
  <w:style w:type="paragraph" w:styleId="17">
    <w:name w:val="Date"/>
    <w:basedOn w:val="1"/>
    <w:next w:val="1"/>
    <w:link w:val="55"/>
    <w:qFormat/>
    <w:uiPriority w:val="0"/>
    <w:pPr>
      <w:ind w:left="100" w:leftChars="2500"/>
    </w:pPr>
  </w:style>
  <w:style w:type="paragraph" w:styleId="18">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9">
    <w:name w:val="Balloon Text"/>
    <w:basedOn w:val="1"/>
    <w:link w:val="56"/>
    <w:semiHidden/>
    <w:qFormat/>
    <w:uiPriority w:val="0"/>
    <w:rPr>
      <w:sz w:val="18"/>
      <w:szCs w:val="18"/>
    </w:rPr>
  </w:style>
  <w:style w:type="paragraph" w:styleId="20">
    <w:name w:val="footer"/>
    <w:basedOn w:val="1"/>
    <w:link w:val="57"/>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List Number 5"/>
    <w:basedOn w:val="1"/>
    <w:unhideWhenUsed/>
    <w:qFormat/>
    <w:uiPriority w:val="99"/>
    <w:pPr>
      <w:numPr>
        <w:ilvl w:val="0"/>
        <w:numId w:val="1"/>
      </w:numPr>
    </w:pPr>
  </w:style>
  <w:style w:type="paragraph" w:styleId="24">
    <w:name w:val="Body Text Indent 3"/>
    <w:basedOn w:val="1"/>
    <w:next w:val="9"/>
    <w:link w:val="61"/>
    <w:qFormat/>
    <w:uiPriority w:val="0"/>
    <w:pPr>
      <w:spacing w:line="520" w:lineRule="exact"/>
      <w:ind w:firstLine="539" w:firstLineChars="184"/>
    </w:pPr>
    <w:rPr>
      <w:rFonts w:ascii="宋体"/>
      <w:b/>
      <w:spacing w:val="6"/>
      <w:sz w:val="28"/>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qFormat/>
    <w:uiPriority w:val="10"/>
    <w:pPr>
      <w:spacing w:before="240" w:after="60"/>
      <w:jc w:val="center"/>
      <w:outlineLvl w:val="0"/>
    </w:pPr>
    <w:rPr>
      <w:rFonts w:ascii="Cambria" w:hAnsi="Cambria"/>
      <w:b/>
      <w:bCs/>
      <w:sz w:val="32"/>
      <w:szCs w:val="32"/>
    </w:rPr>
  </w:style>
  <w:style w:type="paragraph" w:styleId="28">
    <w:name w:val="annotation subject"/>
    <w:basedOn w:val="10"/>
    <w:next w:val="10"/>
    <w:link w:val="62"/>
    <w:unhideWhenUsed/>
    <w:qFormat/>
    <w:uiPriority w:val="99"/>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style>
  <w:style w:type="character" w:styleId="34">
    <w:name w:val="Emphasis"/>
    <w:qFormat/>
    <w:uiPriority w:val="0"/>
    <w:rPr>
      <w:b/>
      <w:bCs/>
    </w:rPr>
  </w:style>
  <w:style w:type="character" w:styleId="35">
    <w:name w:val="HTML Definition"/>
    <w:unhideWhenUsed/>
    <w:qFormat/>
    <w:uiPriority w:val="99"/>
  </w:style>
  <w:style w:type="character" w:styleId="36">
    <w:name w:val="HTML Typewriter"/>
    <w:unhideWhenUsed/>
    <w:qFormat/>
    <w:uiPriority w:val="99"/>
    <w:rPr>
      <w:rFonts w:hint="default" w:ascii="monospace" w:hAnsi="monospace" w:eastAsia="monospace" w:cs="monospace"/>
      <w:sz w:val="20"/>
    </w:rPr>
  </w:style>
  <w:style w:type="character" w:styleId="37">
    <w:name w:val="HTML Acronym"/>
    <w:unhideWhenUsed/>
    <w:qFormat/>
    <w:uiPriority w:val="99"/>
  </w:style>
  <w:style w:type="character" w:styleId="38">
    <w:name w:val="HTML Variable"/>
    <w:unhideWhenUsed/>
    <w:qFormat/>
    <w:uiPriority w:val="99"/>
  </w:style>
  <w:style w:type="character" w:styleId="39">
    <w:name w:val="Hyperlink"/>
    <w:unhideWhenUsed/>
    <w:qFormat/>
    <w:uiPriority w:val="99"/>
    <w:rPr>
      <w:color w:val="0000FF"/>
      <w:u w:val="none"/>
    </w:rPr>
  </w:style>
  <w:style w:type="character" w:styleId="40">
    <w:name w:val="HTML Code"/>
    <w:unhideWhenUsed/>
    <w:qFormat/>
    <w:uiPriority w:val="99"/>
    <w:rPr>
      <w:rFonts w:hint="default" w:ascii="monospace" w:hAnsi="monospace" w:eastAsia="monospace" w:cs="monospace"/>
      <w:sz w:val="20"/>
    </w:rPr>
  </w:style>
  <w:style w:type="character" w:styleId="41">
    <w:name w:val="annotation reference"/>
    <w:unhideWhenUsed/>
    <w:qFormat/>
    <w:uiPriority w:val="99"/>
    <w:rPr>
      <w:sz w:val="21"/>
      <w:szCs w:val="21"/>
    </w:rPr>
  </w:style>
  <w:style w:type="character" w:styleId="42">
    <w:name w:val="HTML Cite"/>
    <w:unhideWhenUsed/>
    <w:qFormat/>
    <w:uiPriority w:val="99"/>
  </w:style>
  <w:style w:type="character" w:styleId="43">
    <w:name w:val="HTML Keyboard"/>
    <w:unhideWhenUsed/>
    <w:qFormat/>
    <w:uiPriority w:val="99"/>
    <w:rPr>
      <w:rFonts w:ascii="monospace" w:hAnsi="monospace" w:eastAsia="monospace" w:cs="monospace"/>
      <w:sz w:val="20"/>
    </w:rPr>
  </w:style>
  <w:style w:type="character" w:styleId="44">
    <w:name w:val="HTML Sample"/>
    <w:unhideWhenUsed/>
    <w:qFormat/>
    <w:uiPriority w:val="99"/>
    <w:rPr>
      <w:rFonts w:hint="default" w:ascii="monospace" w:hAnsi="monospace" w:eastAsia="monospace" w:cs="monospace"/>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7">
    <w:name w:val="标题 1 Char"/>
    <w:link w:val="3"/>
    <w:qFormat/>
    <w:uiPriority w:val="0"/>
    <w:rPr>
      <w:b/>
      <w:bCs/>
      <w:kern w:val="44"/>
      <w:sz w:val="44"/>
      <w:szCs w:val="44"/>
    </w:rPr>
  </w:style>
  <w:style w:type="character" w:customStyle="1" w:styleId="48">
    <w:name w:val="标题 2 Char"/>
    <w:link w:val="4"/>
    <w:qFormat/>
    <w:uiPriority w:val="0"/>
    <w:rPr>
      <w:rFonts w:ascii="Arial" w:hAnsi="Arial" w:eastAsia="黑体"/>
      <w:b/>
      <w:bCs/>
      <w:kern w:val="2"/>
      <w:sz w:val="32"/>
      <w:szCs w:val="32"/>
    </w:rPr>
  </w:style>
  <w:style w:type="character" w:customStyle="1" w:styleId="49">
    <w:name w:val="标题 3 Char"/>
    <w:link w:val="5"/>
    <w:qFormat/>
    <w:uiPriority w:val="0"/>
    <w:rPr>
      <w:b/>
      <w:bCs/>
      <w:kern w:val="2"/>
      <w:sz w:val="32"/>
      <w:szCs w:val="32"/>
    </w:rPr>
  </w:style>
  <w:style w:type="character" w:customStyle="1" w:styleId="50">
    <w:name w:val="标题 4 Char"/>
    <w:link w:val="6"/>
    <w:qFormat/>
    <w:uiPriority w:val="0"/>
    <w:rPr>
      <w:rFonts w:eastAsia="新宋体"/>
      <w:kern w:val="2"/>
      <w:sz w:val="30"/>
      <w:szCs w:val="21"/>
    </w:rPr>
  </w:style>
  <w:style w:type="character" w:customStyle="1" w:styleId="51">
    <w:name w:val="正文缩进 Char"/>
    <w:link w:val="7"/>
    <w:qFormat/>
    <w:uiPriority w:val="0"/>
    <w:rPr>
      <w:kern w:val="2"/>
      <w:sz w:val="21"/>
    </w:rPr>
  </w:style>
  <w:style w:type="character" w:customStyle="1" w:styleId="52">
    <w:name w:val="文档结构图 Char"/>
    <w:link w:val="8"/>
    <w:semiHidden/>
    <w:qFormat/>
    <w:uiPriority w:val="0"/>
    <w:rPr>
      <w:kern w:val="2"/>
      <w:sz w:val="21"/>
      <w:szCs w:val="24"/>
      <w:shd w:val="clear" w:color="auto" w:fill="000080"/>
    </w:rPr>
  </w:style>
  <w:style w:type="character" w:customStyle="1" w:styleId="53">
    <w:name w:val="批注文字 Char"/>
    <w:link w:val="10"/>
    <w:qFormat/>
    <w:uiPriority w:val="99"/>
    <w:rPr>
      <w:kern w:val="2"/>
      <w:sz w:val="21"/>
      <w:szCs w:val="24"/>
    </w:rPr>
  </w:style>
  <w:style w:type="character" w:customStyle="1" w:styleId="54">
    <w:name w:val="正文文本缩进 Char"/>
    <w:link w:val="12"/>
    <w:qFormat/>
    <w:uiPriority w:val="0"/>
    <w:rPr>
      <w:kern w:val="2"/>
      <w:sz w:val="21"/>
      <w:szCs w:val="24"/>
    </w:rPr>
  </w:style>
  <w:style w:type="character" w:customStyle="1" w:styleId="55">
    <w:name w:val="日期 Char"/>
    <w:link w:val="17"/>
    <w:qFormat/>
    <w:uiPriority w:val="0"/>
    <w:rPr>
      <w:kern w:val="2"/>
      <w:sz w:val="21"/>
      <w:szCs w:val="24"/>
    </w:rPr>
  </w:style>
  <w:style w:type="character" w:customStyle="1" w:styleId="56">
    <w:name w:val="批注框文本 Char"/>
    <w:link w:val="19"/>
    <w:semiHidden/>
    <w:qFormat/>
    <w:uiPriority w:val="0"/>
    <w:rPr>
      <w:kern w:val="2"/>
      <w:sz w:val="18"/>
      <w:szCs w:val="18"/>
    </w:rPr>
  </w:style>
  <w:style w:type="character" w:customStyle="1" w:styleId="57">
    <w:name w:val="页脚 Char"/>
    <w:link w:val="20"/>
    <w:qFormat/>
    <w:uiPriority w:val="99"/>
    <w:rPr>
      <w:kern w:val="2"/>
      <w:sz w:val="18"/>
      <w:szCs w:val="18"/>
    </w:rPr>
  </w:style>
  <w:style w:type="character" w:customStyle="1" w:styleId="58">
    <w:name w:val="页眉 Char"/>
    <w:link w:val="22"/>
    <w:qFormat/>
    <w:uiPriority w:val="0"/>
    <w:rPr>
      <w:kern w:val="2"/>
      <w:sz w:val="18"/>
      <w:szCs w:val="18"/>
    </w:rPr>
  </w:style>
  <w:style w:type="paragraph" w:customStyle="1" w:styleId="59">
    <w:name w:val="TOC 1"/>
    <w:basedOn w:val="1"/>
    <w:next w:val="1"/>
    <w:qFormat/>
    <w:uiPriority w:val="0"/>
    <w:pPr>
      <w:tabs>
        <w:tab w:val="right" w:leader="dot" w:pos="8296"/>
      </w:tabs>
      <w:spacing w:line="360" w:lineRule="auto"/>
    </w:pPr>
  </w:style>
  <w:style w:type="paragraph" w:customStyle="1" w:styleId="60">
    <w:name w:val="TOC 6"/>
    <w:basedOn w:val="1"/>
    <w:next w:val="1"/>
    <w:qFormat/>
    <w:uiPriority w:val="0"/>
    <w:pPr>
      <w:ind w:left="2100"/>
    </w:pPr>
  </w:style>
  <w:style w:type="character" w:customStyle="1" w:styleId="61">
    <w:name w:val="正文文本缩进 3 Char"/>
    <w:link w:val="24"/>
    <w:qFormat/>
    <w:uiPriority w:val="0"/>
    <w:rPr>
      <w:rFonts w:ascii="宋体"/>
      <w:b/>
      <w:spacing w:val="6"/>
      <w:kern w:val="2"/>
      <w:sz w:val="28"/>
      <w:szCs w:val="24"/>
    </w:rPr>
  </w:style>
  <w:style w:type="character" w:customStyle="1" w:styleId="62">
    <w:name w:val="批注主题 Char"/>
    <w:link w:val="28"/>
    <w:semiHidden/>
    <w:qFormat/>
    <w:uiPriority w:val="99"/>
    <w:rPr>
      <w:b/>
      <w:bCs/>
      <w:kern w:val="2"/>
      <w:sz w:val="21"/>
      <w:szCs w:val="24"/>
    </w:rPr>
  </w:style>
  <w:style w:type="paragraph" w:customStyle="1" w:styleId="63">
    <w:name w:val="正文文本首行缩进"/>
    <w:basedOn w:val="11"/>
    <w:next w:val="60"/>
    <w:qFormat/>
    <w:uiPriority w:val="0"/>
    <w:pPr>
      <w:spacing w:line="360" w:lineRule="auto"/>
      <w:ind w:firstLine="200" w:firstLineChars="200"/>
    </w:pPr>
    <w:rPr>
      <w:rFonts w:ascii="仿宋_GB2312" w:eastAsia="仿宋_GB2312"/>
      <w:kern w:val="0"/>
      <w:sz w:val="30"/>
      <w:szCs w:val="30"/>
    </w:rPr>
  </w:style>
  <w:style w:type="paragraph" w:customStyle="1" w:styleId="64">
    <w:name w:val="正文文本首行缩进 2"/>
    <w:basedOn w:val="12"/>
    <w:next w:val="1"/>
    <w:link w:val="65"/>
    <w:unhideWhenUsed/>
    <w:qFormat/>
    <w:uiPriority w:val="99"/>
    <w:pPr>
      <w:ind w:firstLine="200" w:firstLineChars="200"/>
    </w:pPr>
  </w:style>
  <w:style w:type="character" w:customStyle="1" w:styleId="65">
    <w:name w:val="正文文本首行缩进 2 字符"/>
    <w:link w:val="64"/>
    <w:qFormat/>
    <w:uiPriority w:val="99"/>
  </w:style>
  <w:style w:type="character" w:customStyle="1" w:styleId="66">
    <w:name w:val="访问过的超链接"/>
    <w:unhideWhenUsed/>
    <w:qFormat/>
    <w:uiPriority w:val="99"/>
    <w:rPr>
      <w:color w:val="800080"/>
      <w:u w:val="none"/>
    </w:rPr>
  </w:style>
  <w:style w:type="paragraph" w:customStyle="1" w:styleId="67">
    <w:name w:val="正文缩进1"/>
    <w:basedOn w:val="1"/>
    <w:qFormat/>
    <w:uiPriority w:val="0"/>
    <w:pPr>
      <w:widowControl/>
      <w:ind w:firstLine="420"/>
      <w:jc w:val="left"/>
    </w:pPr>
    <w:rPr>
      <w:kern w:val="0"/>
    </w:rPr>
  </w:style>
  <w:style w:type="paragraph" w:customStyle="1" w:styleId="68">
    <w:name w:val="Default"/>
    <w:basedOn w:val="1"/>
    <w:next w:val="69"/>
    <w:qFormat/>
    <w:uiPriority w:val="0"/>
    <w:pPr>
      <w:autoSpaceDE w:val="0"/>
      <w:autoSpaceDN w:val="0"/>
      <w:adjustRightInd w:val="0"/>
      <w:jc w:val="left"/>
    </w:pPr>
    <w:rPr>
      <w:rFonts w:ascii="Arial" w:hAnsi="Arial" w:eastAsia="PMingLiU"/>
      <w:kern w:val="0"/>
      <w:sz w:val="20"/>
      <w:szCs w:val="20"/>
    </w:rPr>
  </w:style>
  <w:style w:type="paragraph" w:customStyle="1" w:styleId="6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0">
    <w:name w:val="正文缩进2格 Char"/>
    <w:link w:val="71"/>
    <w:qFormat/>
    <w:locked/>
    <w:uiPriority w:val="0"/>
    <w:rPr>
      <w:rFonts w:ascii="仿宋_GB2312" w:hAnsi="宋体" w:eastAsia="仿宋_GB2312"/>
      <w:kern w:val="2"/>
      <w:sz w:val="31"/>
      <w:szCs w:val="28"/>
    </w:rPr>
  </w:style>
  <w:style w:type="paragraph" w:customStyle="1" w:styleId="71">
    <w:name w:val="正文缩进2格"/>
    <w:basedOn w:val="1"/>
    <w:link w:val="70"/>
    <w:qFormat/>
    <w:uiPriority w:val="0"/>
    <w:pPr>
      <w:spacing w:line="600" w:lineRule="exact"/>
      <w:ind w:firstLine="639" w:firstLineChars="206"/>
    </w:pPr>
    <w:rPr>
      <w:rFonts w:ascii="仿宋_GB2312" w:hAnsi="宋体" w:eastAsia="仿宋_GB2312"/>
      <w:sz w:val="31"/>
      <w:szCs w:val="28"/>
    </w:rPr>
  </w:style>
  <w:style w:type="character" w:customStyle="1" w:styleId="72">
    <w:name w:val="标题 3.1 Char"/>
    <w:link w:val="73"/>
    <w:qFormat/>
    <w:locked/>
    <w:uiPriority w:val="0"/>
    <w:rPr>
      <w:rFonts w:ascii="宋体" w:hAnsi="宋体"/>
      <w:b/>
      <w:bCs/>
      <w:color w:val="000000"/>
      <w:kern w:val="2"/>
      <w:sz w:val="32"/>
      <w:szCs w:val="32"/>
    </w:rPr>
  </w:style>
  <w:style w:type="paragraph" w:customStyle="1" w:styleId="73">
    <w:name w:val="标题 3.1"/>
    <w:basedOn w:val="5"/>
    <w:link w:val="72"/>
    <w:qFormat/>
    <w:uiPriority w:val="0"/>
    <w:pPr>
      <w:tabs>
        <w:tab w:val="left" w:pos="1440"/>
        <w:tab w:val="left" w:pos="1620"/>
      </w:tabs>
      <w:spacing w:line="600" w:lineRule="exact"/>
    </w:pPr>
    <w:rPr>
      <w:rFonts w:ascii="宋体" w:hAnsi="宋体"/>
      <w:color w:val="000000"/>
    </w:rPr>
  </w:style>
  <w:style w:type="paragraph" w:customStyle="1" w:styleId="74">
    <w:name w:val="Char"/>
    <w:basedOn w:val="1"/>
    <w:qFormat/>
    <w:uiPriority w:val="0"/>
    <w:rPr>
      <w:rFonts w:ascii="Tahoma" w:hAnsi="Tahoma"/>
      <w:sz w:val="24"/>
      <w:szCs w:val="20"/>
    </w:rPr>
  </w:style>
  <w:style w:type="paragraph" w:customStyle="1" w:styleId="75">
    <w:name w:val="正文缩进4格"/>
    <w:basedOn w:val="71"/>
    <w:qFormat/>
    <w:uiPriority w:val="0"/>
    <w:pPr>
      <w:ind w:left="2" w:firstLine="538" w:firstLineChars="192"/>
    </w:pPr>
    <w:rPr>
      <w:color w:val="000000"/>
      <w:sz w:val="28"/>
    </w:rPr>
  </w:style>
  <w:style w:type="paragraph" w:customStyle="1" w:styleId="76">
    <w:name w:val="Char Char Char Char"/>
    <w:basedOn w:val="1"/>
    <w:qFormat/>
    <w:uiPriority w:val="0"/>
    <w:rPr>
      <w:rFonts w:ascii="Tahoma" w:hAnsi="Tahoma"/>
      <w:sz w:val="24"/>
      <w:szCs w:val="20"/>
    </w:rPr>
  </w:style>
  <w:style w:type="paragraph" w:customStyle="1" w:styleId="77">
    <w:name w:val="Char1"/>
    <w:basedOn w:val="1"/>
    <w:qFormat/>
    <w:uiPriority w:val="0"/>
    <w:pPr>
      <w:tabs>
        <w:tab w:val="left" w:pos="840"/>
      </w:tabs>
      <w:ind w:left="840" w:hanging="420"/>
    </w:pPr>
    <w:rPr>
      <w:sz w:val="24"/>
    </w:rPr>
  </w:style>
  <w:style w:type="paragraph" w:customStyle="1" w:styleId="7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Char Char 字元 字元 字元 Char Char Char Char"/>
    <w:basedOn w:val="1"/>
    <w:qFormat/>
    <w:uiPriority w:val="0"/>
    <w:pPr>
      <w:adjustRightInd w:val="0"/>
      <w:spacing w:line="360" w:lineRule="auto"/>
    </w:pPr>
    <w:rPr>
      <w:kern w:val="0"/>
      <w:sz w:val="24"/>
      <w:szCs w:val="20"/>
    </w:rPr>
  </w:style>
  <w:style w:type="paragraph" w:customStyle="1" w:styleId="81">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2">
    <w:name w:val="Char2"/>
    <w:basedOn w:val="1"/>
    <w:qFormat/>
    <w:uiPriority w:val="0"/>
    <w:rPr>
      <w:rFonts w:ascii="Tahoma" w:hAnsi="Tahoma"/>
      <w:sz w:val="24"/>
      <w:szCs w:val="20"/>
    </w:rPr>
  </w:style>
  <w:style w:type="paragraph" w:customStyle="1" w:styleId="83">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4">
    <w:name w:val="普通正文 Char"/>
    <w:link w:val="85"/>
    <w:qFormat/>
    <w:uiPriority w:val="0"/>
    <w:rPr>
      <w:rFonts w:ascii="Arial" w:hAnsi="Arial"/>
      <w:sz w:val="24"/>
      <w:szCs w:val="24"/>
    </w:rPr>
  </w:style>
  <w:style w:type="paragraph" w:customStyle="1" w:styleId="85">
    <w:name w:val="普通正文"/>
    <w:basedOn w:val="1"/>
    <w:link w:val="8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6">
    <w:name w:val="mini-outputtext1"/>
    <w:qFormat/>
    <w:uiPriority w:val="0"/>
  </w:style>
  <w:style w:type="character" w:customStyle="1" w:styleId="87">
    <w:name w:val="font31"/>
    <w:qFormat/>
    <w:uiPriority w:val="0"/>
    <w:rPr>
      <w:rFonts w:hint="eastAsia" w:ascii="宋体" w:hAnsi="宋体" w:eastAsia="宋体" w:cs="宋体"/>
      <w:color w:val="000000"/>
      <w:sz w:val="21"/>
      <w:szCs w:val="21"/>
      <w:u w:val="none"/>
    </w:rPr>
  </w:style>
  <w:style w:type="character" w:customStyle="1" w:styleId="88">
    <w:name w:val="font61"/>
    <w:qFormat/>
    <w:uiPriority w:val="0"/>
    <w:rPr>
      <w:rFonts w:hint="default" w:ascii="Times New Roman" w:hAnsi="Times New Roman" w:cs="Times New Roman"/>
      <w:color w:val="000000"/>
      <w:sz w:val="21"/>
      <w:szCs w:val="21"/>
      <w:u w:val="none"/>
    </w:rPr>
  </w:style>
  <w:style w:type="character" w:customStyle="1" w:styleId="89">
    <w:name w:val="font01"/>
    <w:qFormat/>
    <w:uiPriority w:val="0"/>
    <w:rPr>
      <w:rFonts w:hint="default" w:ascii="等线" w:hAnsi="等线" w:eastAsia="等线" w:cs="等线"/>
      <w:color w:val="000000"/>
      <w:sz w:val="22"/>
      <w:szCs w:val="22"/>
      <w:u w:val="none"/>
    </w:rPr>
  </w:style>
  <w:style w:type="character" w:customStyle="1" w:styleId="90">
    <w:name w:val="font51"/>
    <w:qFormat/>
    <w:uiPriority w:val="0"/>
    <w:rPr>
      <w:rFonts w:hint="default" w:ascii="等线" w:hAnsi="等线" w:eastAsia="等线" w:cs="等线"/>
      <w:b/>
      <w:bCs/>
      <w:color w:val="000000"/>
      <w:sz w:val="22"/>
      <w:szCs w:val="22"/>
      <w:u w:val="none"/>
    </w:rPr>
  </w:style>
  <w:style w:type="paragraph" w:customStyle="1" w:styleId="91">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2">
    <w:name w:val="sh1"/>
    <w:basedOn w:val="27"/>
    <w:qFormat/>
    <w:uiPriority w:val="0"/>
    <w:pPr>
      <w:adjustRightInd w:val="0"/>
      <w:spacing w:before="0"/>
    </w:pPr>
    <w:rPr>
      <w:rFonts w:ascii="Arial" w:hAnsi="Arial"/>
      <w:bCs w:val="0"/>
    </w:rPr>
  </w:style>
  <w:style w:type="paragraph" w:customStyle="1" w:styleId="93">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4">
    <w:name w:val="正文1"/>
    <w:basedOn w:val="1"/>
    <w:qFormat/>
    <w:uiPriority w:val="0"/>
    <w:pPr>
      <w:spacing w:line="360" w:lineRule="auto"/>
      <w:ind w:firstLine="361"/>
    </w:pPr>
    <w:rPr>
      <w:rFonts w:ascii="宋体" w:hAnsi="宋体"/>
    </w:rPr>
  </w:style>
  <w:style w:type="paragraph" w:customStyle="1" w:styleId="95">
    <w:name w:val="首行缩进"/>
    <w:basedOn w:val="1"/>
    <w:next w:val="1"/>
    <w:qFormat/>
    <w:uiPriority w:val="0"/>
    <w:pPr>
      <w:ind w:firstLine="480" w:firstLineChars="200"/>
    </w:pPr>
    <w:rPr>
      <w:rFonts w:ascii="Calibri" w:hAnsi="Calibri"/>
      <w:szCs w:val="21"/>
    </w:rPr>
  </w:style>
  <w:style w:type="paragraph" w:customStyle="1" w:styleId="96">
    <w:name w:val="Table Paragraph"/>
    <w:basedOn w:val="1"/>
    <w:qFormat/>
    <w:uiPriority w:val="1"/>
    <w:rPr>
      <w:rFonts w:ascii="宋体" w:hAnsi="宋体" w:cs="宋体"/>
      <w:lang w:val="zh-CN" w:bidi="zh-CN"/>
    </w:rPr>
  </w:style>
  <w:style w:type="paragraph" w:customStyle="1" w:styleId="97">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98">
    <w:name w:val="Table Normal"/>
    <w:unhideWhenUsed/>
    <w:qFormat/>
    <w:uiPriority w:val="0"/>
    <w:tblPr>
      <w:tblCellMar>
        <w:top w:w="0" w:type="dxa"/>
        <w:left w:w="0" w:type="dxa"/>
        <w:bottom w:w="0" w:type="dxa"/>
        <w:right w:w="0" w:type="dxa"/>
      </w:tblCellMar>
    </w:tblPr>
  </w:style>
  <w:style w:type="table" w:customStyle="1" w:styleId="99">
    <w:name w:val="网格型4"/>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
    <w:name w:val="列表段落"/>
    <w:basedOn w:val="1"/>
    <w:qFormat/>
    <w:uiPriority w:val="34"/>
    <w:pPr>
      <w:ind w:firstLine="420" w:firstLineChars="200"/>
    </w:pPr>
  </w:style>
  <w:style w:type="paragraph" w:customStyle="1" w:styleId="101">
    <w:name w:val="Table Text"/>
    <w:basedOn w:val="1"/>
    <w:semiHidden/>
    <w:qFormat/>
    <w:uiPriority w:val="0"/>
    <w:rPr>
      <w:rFonts w:ascii="宋体" w:hAnsi="宋体" w:cs="宋体"/>
      <w:sz w:val="19"/>
      <w:szCs w:val="19"/>
      <w:lang w:eastAsia="en-US"/>
    </w:rPr>
  </w:style>
  <w:style w:type="paragraph" w:customStyle="1" w:styleId="102">
    <w:name w:val="*正文"/>
    <w:basedOn w:val="1"/>
    <w:qFormat/>
    <w:uiPriority w:val="0"/>
    <w:pPr>
      <w:spacing w:line="360" w:lineRule="auto"/>
    </w:pPr>
    <w:rPr>
      <w:sz w:val="24"/>
    </w:rPr>
  </w:style>
  <w:style w:type="paragraph" w:customStyle="1" w:styleId="103">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4">
    <w:name w:val="列出段落1"/>
    <w:basedOn w:val="1"/>
    <w:qFormat/>
    <w:uiPriority w:val="34"/>
    <w:pPr>
      <w:widowControl/>
      <w:ind w:left="720"/>
      <w:contextualSpacing/>
      <w:jc w:val="left"/>
    </w:pPr>
    <w:rPr>
      <w:kern w:val="0"/>
      <w:sz w:val="24"/>
      <w:lang w:eastAsia="en-US" w:bidi="en-US"/>
    </w:rPr>
  </w:style>
  <w:style w:type="paragraph" w:customStyle="1" w:styleId="105">
    <w:name w:val="样式 正文（缩进） + (中文) 楷体_GB2312"/>
    <w:basedOn w:val="106"/>
    <w:qFormat/>
    <w:uiPriority w:val="0"/>
    <w:pPr>
      <w:ind w:left="-2" w:leftChars="-1" w:firstLine="567" w:firstLineChars="0"/>
      <w:jc w:val="left"/>
    </w:pPr>
    <w:rPr>
      <w:rFonts w:eastAsia="楷体_GB2312"/>
      <w:sz w:val="28"/>
      <w:szCs w:val="28"/>
    </w:rPr>
  </w:style>
  <w:style w:type="paragraph" w:customStyle="1" w:styleId="106">
    <w:name w:val="正文（缩进）"/>
    <w:basedOn w:val="1"/>
    <w:qFormat/>
    <w:uiPriority w:val="0"/>
    <w:pPr>
      <w:spacing w:beforeLines="50" w:afterLines="50" w:line="360" w:lineRule="auto"/>
      <w:ind w:firstLine="480" w:firstLineChars="200"/>
    </w:pPr>
    <w:rPr>
      <w:sz w:val="24"/>
    </w:rPr>
  </w:style>
  <w:style w:type="paragraph" w:customStyle="1" w:styleId="107">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8">
    <w:name w:val="正文表标题"/>
    <w:next w:val="109"/>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0">
    <w:name w:val="二级无"/>
    <w:basedOn w:val="111"/>
    <w:qFormat/>
    <w:uiPriority w:val="0"/>
    <w:pPr>
      <w:spacing w:beforeLines="0" w:afterLines="0"/>
    </w:pPr>
    <w:rPr>
      <w:rFonts w:ascii="宋体" w:eastAsia="宋体"/>
    </w:rPr>
  </w:style>
  <w:style w:type="paragraph" w:customStyle="1" w:styleId="111">
    <w:name w:val="二级条标题"/>
    <w:basedOn w:val="112"/>
    <w:next w:val="109"/>
    <w:qFormat/>
    <w:uiPriority w:val="0"/>
    <w:pPr>
      <w:numPr>
        <w:ilvl w:val="0"/>
        <w:numId w:val="0"/>
      </w:numPr>
      <w:spacing w:before="50" w:after="50"/>
      <w:ind w:left="850"/>
      <w:outlineLvl w:val="3"/>
    </w:pPr>
  </w:style>
  <w:style w:type="paragraph" w:customStyle="1" w:styleId="112">
    <w:name w:val="一级条标题"/>
    <w:next w:val="109"/>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3">
    <w:name w:val="三级无"/>
    <w:basedOn w:val="114"/>
    <w:qFormat/>
    <w:uiPriority w:val="0"/>
    <w:pPr>
      <w:numPr>
        <w:numId w:val="3"/>
      </w:numPr>
      <w:tabs>
        <w:tab w:val="left" w:pos="1984"/>
      </w:tabs>
      <w:spacing w:beforeLines="0" w:afterLines="0"/>
    </w:pPr>
    <w:rPr>
      <w:rFonts w:ascii="宋体" w:eastAsia="宋体"/>
    </w:rPr>
  </w:style>
  <w:style w:type="paragraph" w:customStyle="1" w:styleId="114">
    <w:name w:val="三级条标题"/>
    <w:basedOn w:val="111"/>
    <w:next w:val="109"/>
    <w:qFormat/>
    <w:uiPriority w:val="0"/>
    <w:pPr>
      <w:numPr>
        <w:ilvl w:val="3"/>
      </w:numPr>
      <w:ind w:left="850"/>
      <w:outlineLvl w:val="4"/>
    </w:pPr>
  </w:style>
  <w:style w:type="paragraph" w:customStyle="1" w:styleId="115">
    <w:name w:val="ListBullet2"/>
    <w:basedOn w:val="1"/>
    <w:qFormat/>
    <w:uiPriority w:val="0"/>
    <w:pPr>
      <w:numPr>
        <w:ilvl w:val="0"/>
        <w:numId w:val="5"/>
      </w:numPr>
    </w:pPr>
  </w:style>
  <w:style w:type="paragraph" w:customStyle="1" w:styleId="116">
    <w:name w:val="正文首行缩进1"/>
    <w:basedOn w:val="117"/>
    <w:qFormat/>
    <w:uiPriority w:val="0"/>
    <w:pPr>
      <w:spacing w:line="360" w:lineRule="auto"/>
      <w:ind w:firstLine="200"/>
    </w:pPr>
    <w:rPr>
      <w:rFonts w:ascii="仿宋_GB2312" w:hAnsi="Times New Roman" w:eastAsia="仿宋_GB2312"/>
      <w:sz w:val="30"/>
      <w:szCs w:val="30"/>
    </w:rPr>
  </w:style>
  <w:style w:type="paragraph" w:customStyle="1" w:styleId="117">
    <w:name w:val="正文文本1"/>
    <w:basedOn w:val="1"/>
    <w:next w:val="1"/>
    <w:qFormat/>
    <w:uiPriority w:val="0"/>
    <w:rPr>
      <w:rFonts w:ascii="楷体_GB2312" w:hAnsi="Arial" w:eastAsia="楷体_GB2312"/>
      <w:sz w:val="28"/>
      <w:szCs w:val="28"/>
    </w:rPr>
  </w:style>
  <w:style w:type="paragraph" w:customStyle="1" w:styleId="118">
    <w:name w:val="正文文本11"/>
    <w:basedOn w:val="1"/>
    <w:next w:val="1"/>
    <w:qFormat/>
    <w:uiPriority w:val="0"/>
    <w:rPr>
      <w:rFonts w:ascii="楷体_GB2312" w:hAnsi="Arial" w:eastAsia="楷体_GB2312"/>
      <w:sz w:val="28"/>
      <w:szCs w:val="28"/>
    </w:rPr>
  </w:style>
  <w:style w:type="character" w:customStyle="1" w:styleId="119">
    <w:name w:val="NormalCharacter"/>
    <w:qFormat/>
    <w:uiPriority w:val="0"/>
    <w:rPr>
      <w:rFonts w:ascii="Calibri" w:hAnsi="Calibri" w:eastAsia="宋体" w:cs="Times New Roman"/>
    </w:rPr>
  </w:style>
  <w:style w:type="paragraph" w:customStyle="1" w:styleId="120">
    <w:name w:val="正文首行缩进 21"/>
    <w:basedOn w:val="12"/>
    <w:unhideWhenUsed/>
    <w:qFormat/>
    <w:uiPriority w:val="99"/>
    <w:pPr>
      <w:ind w:firstLine="200"/>
    </w:pPr>
  </w:style>
  <w:style w:type="paragraph" w:styleId="121">
    <w:name w:val="List Paragraph"/>
    <w:basedOn w:val="1"/>
    <w:qFormat/>
    <w:uiPriority w:val="34"/>
    <w:pPr>
      <w:ind w:firstLine="420" w:firstLineChars="200"/>
    </w:pPr>
  </w:style>
  <w:style w:type="paragraph" w:customStyle="1" w:styleId="122">
    <w:name w:val="正文文本缩进 21"/>
    <w:basedOn w:val="1"/>
    <w:qFormat/>
    <w:uiPriority w:val="0"/>
    <w:pPr>
      <w:spacing w:after="120" w:line="480" w:lineRule="auto"/>
      <w:ind w:left="420"/>
    </w:pPr>
  </w:style>
  <w:style w:type="paragraph" w:customStyle="1" w:styleId="123">
    <w:name w:val="sh4"/>
    <w:basedOn w:val="1"/>
    <w:qFormat/>
    <w:uiPriority w:val="0"/>
    <w:pPr>
      <w:spacing w:line="460" w:lineRule="exact"/>
      <w:ind w:firstLine="420" w:firstLineChars="200"/>
    </w:pPr>
    <w:rPr>
      <w:rFonts w:ascii="宋体" w:hAnsi="宋体" w:eastAsia="宋体" w:cs="Times New Roman"/>
      <w:kern w:val="0"/>
      <w:szCs w:val="21"/>
      <w:lang w:val="zh-CN" w:eastAsia="zh-CN"/>
    </w:rPr>
  </w:style>
  <w:style w:type="character" w:customStyle="1" w:styleId="124">
    <w:name w:val="样式 小四 加粗"/>
    <w:basedOn w:val="31"/>
    <w:autoRedefine/>
    <w:qFormat/>
    <w:uiPriority w:val="0"/>
    <w:rPr>
      <w:rFonts w:eastAsia="黑体"/>
      <w:b/>
      <w:bCs/>
      <w:sz w:val="24"/>
    </w:rPr>
  </w:style>
  <w:style w:type="paragraph" w:customStyle="1" w:styleId="125">
    <w:name w:val="标题 41"/>
    <w:basedOn w:val="1"/>
    <w:next w:val="1"/>
    <w:qFormat/>
    <w:uiPriority w:val="0"/>
    <w:pPr>
      <w:keepNext/>
      <w:jc w:val="center"/>
      <w:outlineLvl w:val="3"/>
    </w:pPr>
    <w:rPr>
      <w:rFonts w:eastAsia="新宋体"/>
      <w:sz w:val="30"/>
      <w:szCs w:val="21"/>
    </w:rPr>
  </w:style>
  <w:style w:type="paragraph" w:styleId="12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标准正文"/>
    <w:basedOn w:val="1"/>
    <w:qFormat/>
    <w:uiPriority w:val="0"/>
    <w:pPr>
      <w:snapToGrid w:val="0"/>
      <w:spacing w:line="312" w:lineRule="auto"/>
      <w:ind w:firstLine="482"/>
    </w:pPr>
    <w:rPr>
      <w:rFonts w:ascii="Calibri" w:hAnsi="Calibri"/>
      <w:sz w:val="24"/>
      <w:szCs w:val="20"/>
    </w:rPr>
  </w:style>
  <w:style w:type="paragraph" w:customStyle="1" w:styleId="128">
    <w:name w:val="p0"/>
    <w:basedOn w:val="1"/>
    <w:qFormat/>
    <w:uiPriority w:val="0"/>
    <w:pPr>
      <w:widowControl/>
    </w:pPr>
    <w:rPr>
      <w:kern w:val="0"/>
      <w:szCs w:val="21"/>
    </w:rPr>
  </w:style>
  <w:style w:type="paragraph" w:customStyle="1" w:styleId="129">
    <w:name w:val="正文缩进11"/>
    <w:basedOn w:val="1"/>
    <w:qFormat/>
    <w:uiPriority w:val="0"/>
    <w:pPr>
      <w:ind w:firstLine="420"/>
    </w:pPr>
    <w:rPr>
      <w:szCs w:val="20"/>
    </w:rPr>
  </w:style>
  <w:style w:type="character" w:customStyle="1" w:styleId="130">
    <w:name w:val="font8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83</Pages>
  <Words>17329</Words>
  <Characters>18336</Characters>
  <Lines>155</Lines>
  <Paragraphs>43</Paragraphs>
  <TotalTime>20</TotalTime>
  <ScaleCrop>false</ScaleCrop>
  <LinksUpToDate>false</LinksUpToDate>
  <CharactersWithSpaces>19092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jessie</cp:lastModifiedBy>
  <cp:lastPrinted>2024-01-10T02:35:00Z</cp:lastPrinted>
  <dcterms:modified xsi:type="dcterms:W3CDTF">2025-10-09T08:33:22Z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AA96824EB7854C32B2D941B0C52C801C_13</vt:lpwstr>
  </property>
  <property fmtid="{D5CDD505-2E9C-101B-9397-08002B2CF9AE}" pid="4" name="KSOTemplateDocerSaveRecord">
    <vt:lpwstr>eyJoZGlkIjoiMTY2YTExYjU4MWEzY2MzM2I4OTY2NWYxMWY5ZTNlMmIiLCJ1c2VySWQiOiI2Mzc4MTQzODgifQ==</vt:lpwstr>
  </property>
</Properties>
</file>