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58436">
      <w:pPr>
        <w:pStyle w:val="57"/>
        <w:ind w:firstLine="510" w:firstLineChars="200"/>
        <w:jc w:val="center"/>
        <w:rPr>
          <w:rFonts w:hint="eastAsia" w:ascii="宋体" w:hAnsi="宋体" w:cs="宋体"/>
          <w:b/>
          <w:color w:val="333333"/>
          <w:spacing w:val="7"/>
          <w:szCs w:val="44"/>
        </w:rPr>
      </w:pPr>
    </w:p>
    <w:p w14:paraId="58F5B452">
      <w:pPr>
        <w:pStyle w:val="57"/>
        <w:ind w:firstLine="0"/>
        <w:jc w:val="both"/>
        <w:rPr>
          <w:rFonts w:hint="eastAsia" w:ascii="宋体" w:hAnsi="宋体" w:cs="宋体"/>
          <w:b/>
          <w:color w:val="333333"/>
          <w:spacing w:val="7"/>
          <w:szCs w:val="48"/>
        </w:rPr>
      </w:pPr>
    </w:p>
    <w:p w14:paraId="6067CE77">
      <w:pPr>
        <w:pStyle w:val="57"/>
        <w:ind w:firstLine="510" w:firstLineChars="200"/>
        <w:jc w:val="center"/>
        <w:rPr>
          <w:rFonts w:hint="eastAsia" w:ascii="宋体" w:hAnsi="宋体" w:cs="宋体"/>
          <w:b/>
          <w:color w:val="333333"/>
          <w:spacing w:val="7"/>
          <w:szCs w:val="48"/>
        </w:rPr>
      </w:pPr>
    </w:p>
    <w:p w14:paraId="1E3DF967">
      <w:pPr>
        <w:pStyle w:val="57"/>
        <w:ind w:firstLine="510" w:firstLineChars="200"/>
        <w:jc w:val="center"/>
        <w:rPr>
          <w:rFonts w:hint="eastAsia" w:ascii="宋体" w:hAnsi="宋体" w:cs="宋体"/>
          <w:b/>
          <w:color w:val="333333"/>
          <w:spacing w:val="7"/>
          <w:szCs w:val="56"/>
        </w:rPr>
      </w:pPr>
      <w:r>
        <w:rPr>
          <w:rFonts w:hint="eastAsia" w:ascii="宋体" w:hAnsi="宋体" w:cs="宋体"/>
          <w:b/>
          <w:color w:val="333333"/>
          <w:spacing w:val="7"/>
          <w:szCs w:val="48"/>
        </w:rPr>
        <w:t>江苏商贸职业学院电动汽车充电桩建设及维护项目</w:t>
      </w:r>
    </w:p>
    <w:p w14:paraId="34CD52DA">
      <w:pPr>
        <w:pStyle w:val="57"/>
        <w:ind w:firstLine="510" w:firstLineChars="200"/>
        <w:jc w:val="center"/>
        <w:rPr>
          <w:rFonts w:hint="eastAsia" w:ascii="宋体" w:hAnsi="宋体" w:cs="宋体"/>
          <w:b/>
          <w:color w:val="333333"/>
          <w:spacing w:val="7"/>
          <w:szCs w:val="56"/>
        </w:rPr>
      </w:pPr>
      <w:r>
        <w:rPr>
          <w:rFonts w:hint="eastAsia" w:ascii="宋体" w:hAnsi="宋体" w:cs="宋体"/>
          <w:b/>
          <w:color w:val="333333"/>
          <w:spacing w:val="7"/>
          <w:szCs w:val="72"/>
        </w:rPr>
        <w:t>询价文件</w:t>
      </w:r>
    </w:p>
    <w:p w14:paraId="139EB345">
      <w:pPr>
        <w:pStyle w:val="57"/>
        <w:ind w:firstLine="510" w:firstLineChars="200"/>
        <w:jc w:val="center"/>
        <w:rPr>
          <w:rFonts w:hint="eastAsia" w:ascii="宋体" w:hAnsi="宋体" w:cs="宋体"/>
          <w:b/>
          <w:bCs/>
          <w:color w:val="auto"/>
          <w:spacing w:val="7"/>
          <w:szCs w:val="32"/>
        </w:rPr>
      </w:pPr>
      <w:r>
        <w:rPr>
          <w:rFonts w:hint="eastAsia" w:ascii="宋体" w:hAnsi="宋体" w:cs="宋体"/>
          <w:b/>
          <w:bCs/>
          <w:color w:val="auto"/>
          <w:spacing w:val="7"/>
          <w:szCs w:val="32"/>
        </w:rPr>
        <w:t>项目编号：JSSYCG20250814047</w:t>
      </w:r>
    </w:p>
    <w:p w14:paraId="4D345808">
      <w:pPr>
        <w:pStyle w:val="57"/>
        <w:ind w:firstLine="508" w:firstLineChars="200"/>
        <w:rPr>
          <w:rFonts w:hint="eastAsia" w:ascii="宋体" w:hAnsi="宋体" w:cs="宋体"/>
          <w:color w:val="333333"/>
          <w:spacing w:val="7"/>
          <w:szCs w:val="28"/>
        </w:rPr>
      </w:pPr>
    </w:p>
    <w:p w14:paraId="5F546FA4">
      <w:pPr>
        <w:pStyle w:val="57"/>
        <w:ind w:firstLine="482" w:firstLineChars="200"/>
        <w:rPr>
          <w:rFonts w:hint="eastAsia" w:ascii="宋体" w:hAnsi="宋体" w:cs="宋体"/>
          <w:b/>
          <w:bCs/>
          <w:color w:val="000000"/>
          <w:szCs w:val="36"/>
        </w:rPr>
      </w:pPr>
    </w:p>
    <w:p w14:paraId="74DB8B54">
      <w:pPr>
        <w:pStyle w:val="57"/>
        <w:ind w:firstLine="482" w:firstLineChars="200"/>
        <w:rPr>
          <w:rFonts w:hint="eastAsia" w:ascii="宋体" w:hAnsi="宋体" w:cs="宋体"/>
          <w:b/>
          <w:bCs/>
          <w:color w:val="000000"/>
          <w:szCs w:val="36"/>
        </w:rPr>
      </w:pPr>
    </w:p>
    <w:p w14:paraId="271DEAE4">
      <w:pPr>
        <w:pStyle w:val="57"/>
        <w:ind w:firstLine="482" w:firstLineChars="200"/>
        <w:rPr>
          <w:rFonts w:hint="eastAsia" w:ascii="宋体" w:hAnsi="宋体" w:cs="宋体"/>
          <w:b/>
          <w:bCs/>
          <w:color w:val="000000"/>
          <w:szCs w:val="36"/>
        </w:rPr>
      </w:pPr>
    </w:p>
    <w:p w14:paraId="26C94429">
      <w:pPr>
        <w:spacing w:line="360" w:lineRule="auto"/>
        <w:ind w:firstLine="562" w:firstLineChars="200"/>
        <w:jc w:val="both"/>
        <w:rPr>
          <w:rFonts w:hint="eastAsia" w:ascii="宋体" w:hAnsi="宋体" w:cs="宋体"/>
          <w:b/>
          <w:bCs/>
          <w:spacing w:val="20"/>
          <w:sz w:val="24"/>
          <w:szCs w:val="32"/>
        </w:rPr>
      </w:pPr>
    </w:p>
    <w:p w14:paraId="52A7A63A">
      <w:pPr>
        <w:pStyle w:val="2"/>
        <w:rPr>
          <w:rFonts w:hint="eastAsia" w:ascii="宋体" w:hAnsi="宋体" w:cs="宋体"/>
          <w:b/>
          <w:bCs/>
          <w:spacing w:val="20"/>
          <w:sz w:val="24"/>
          <w:szCs w:val="32"/>
        </w:rPr>
      </w:pPr>
    </w:p>
    <w:p w14:paraId="4BA133F8">
      <w:pPr>
        <w:pStyle w:val="2"/>
        <w:rPr>
          <w:rFonts w:hint="eastAsia" w:ascii="宋体" w:hAnsi="宋体" w:cs="宋体"/>
          <w:b/>
          <w:bCs/>
          <w:spacing w:val="20"/>
          <w:sz w:val="24"/>
          <w:szCs w:val="32"/>
        </w:rPr>
      </w:pPr>
    </w:p>
    <w:p w14:paraId="28865A16">
      <w:pPr>
        <w:pStyle w:val="2"/>
        <w:rPr>
          <w:rFonts w:hint="eastAsia" w:ascii="宋体" w:hAnsi="宋体" w:cs="宋体"/>
          <w:b/>
          <w:bCs/>
          <w:spacing w:val="20"/>
          <w:sz w:val="24"/>
          <w:szCs w:val="32"/>
        </w:rPr>
      </w:pPr>
    </w:p>
    <w:p w14:paraId="2005A874">
      <w:pPr>
        <w:pStyle w:val="2"/>
        <w:ind w:firstLine="0"/>
        <w:rPr>
          <w:rFonts w:hint="eastAsia" w:ascii="宋体" w:hAnsi="宋体" w:cs="宋体"/>
          <w:b/>
          <w:bCs/>
          <w:spacing w:val="20"/>
          <w:sz w:val="24"/>
          <w:szCs w:val="32"/>
        </w:rPr>
      </w:pPr>
    </w:p>
    <w:p w14:paraId="2890247B">
      <w:pPr>
        <w:spacing w:line="360" w:lineRule="auto"/>
        <w:ind w:firstLine="562" w:firstLineChars="200"/>
        <w:jc w:val="center"/>
        <w:rPr>
          <w:rFonts w:hint="eastAsia" w:ascii="宋体" w:hAnsi="宋体" w:cs="宋体"/>
          <w:b/>
          <w:sz w:val="24"/>
          <w:szCs w:val="36"/>
        </w:rPr>
      </w:pPr>
      <w:r>
        <w:rPr>
          <w:rFonts w:hint="eastAsia" w:ascii="宋体" w:hAnsi="宋体" w:cs="宋体"/>
          <w:b/>
          <w:bCs/>
          <w:spacing w:val="20"/>
          <w:sz w:val="24"/>
          <w:szCs w:val="32"/>
        </w:rPr>
        <w:t>江苏商贸职业学院</w:t>
      </w:r>
    </w:p>
    <w:p w14:paraId="786E7DFF">
      <w:pPr>
        <w:spacing w:line="360" w:lineRule="auto"/>
        <w:ind w:firstLine="562" w:firstLineChars="200"/>
        <w:jc w:val="center"/>
        <w:rPr>
          <w:rFonts w:hint="eastAsia" w:ascii="宋体" w:hAnsi="宋体" w:cs="宋体"/>
          <w:b/>
          <w:bCs/>
          <w:spacing w:val="20"/>
          <w:sz w:val="24"/>
          <w:szCs w:val="32"/>
        </w:rPr>
      </w:pPr>
      <w:r>
        <w:rPr>
          <w:rFonts w:hint="eastAsia" w:ascii="宋体" w:hAnsi="宋体" w:cs="宋体"/>
          <w:b/>
          <w:bCs/>
          <w:spacing w:val="20"/>
          <w:sz w:val="24"/>
          <w:szCs w:val="32"/>
        </w:rPr>
        <w:t xml:space="preserve">二○二五年八月   </w:t>
      </w:r>
    </w:p>
    <w:p w14:paraId="5E096AAB">
      <w:pPr>
        <w:shd w:val="clear" w:color="auto" w:fill="FFFFFF"/>
        <w:spacing w:line="360" w:lineRule="auto"/>
        <w:ind w:firstLine="482" w:firstLineChars="200"/>
        <w:jc w:val="center"/>
        <w:rPr>
          <w:rFonts w:hint="eastAsia" w:ascii="宋体" w:hAnsi="宋体" w:cs="宋体"/>
          <w:b/>
          <w:bCs/>
          <w:color w:val="000000"/>
          <w:sz w:val="24"/>
          <w:szCs w:val="36"/>
        </w:rPr>
        <w:sectPr>
          <w:headerReference r:id="rId4" w:type="default"/>
          <w:footerReference r:id="rId5" w:type="default"/>
          <w:pgSz w:w="11906" w:h="16838"/>
          <w:pgMar w:top="1361" w:right="1361" w:bottom="1361" w:left="1361" w:header="708" w:footer="709" w:gutter="0"/>
          <w:cols w:space="720" w:num="1"/>
          <w:docGrid w:linePitch="360" w:charSpace="0"/>
        </w:sectPr>
      </w:pPr>
    </w:p>
    <w:p w14:paraId="173D16BF">
      <w:pPr>
        <w:shd w:val="clear" w:color="auto" w:fill="FFFFFF"/>
        <w:spacing w:line="360" w:lineRule="auto"/>
        <w:ind w:firstLine="482" w:firstLineChars="200"/>
        <w:jc w:val="center"/>
        <w:rPr>
          <w:rFonts w:hint="eastAsia" w:ascii="宋体" w:hAnsi="宋体" w:cs="宋体"/>
          <w:b/>
          <w:bCs/>
          <w:color w:val="333333"/>
          <w:spacing w:val="7"/>
          <w:sz w:val="24"/>
          <w:szCs w:val="36"/>
        </w:rPr>
      </w:pPr>
      <w:r>
        <w:rPr>
          <w:rFonts w:hint="eastAsia" w:ascii="宋体" w:hAnsi="宋体" w:cs="宋体"/>
          <w:b/>
          <w:bCs/>
          <w:color w:val="000000"/>
          <w:sz w:val="24"/>
          <w:szCs w:val="36"/>
        </w:rPr>
        <w:t>江苏商贸职业学院电动汽车充电桩建设及维护项目询价公告</w:t>
      </w:r>
    </w:p>
    <w:p w14:paraId="1A9EC1F1">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项目概况：</w:t>
      </w:r>
    </w:p>
    <w:p w14:paraId="40F5C6DF">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江苏商贸职业学院电动汽车充电桩建设及维护项目的潜在供应商应在江苏商贸职业学院网站获取采购文件，并于2025年 08月</w:t>
      </w:r>
      <w:r>
        <w:rPr>
          <w:rFonts w:hint="eastAsia" w:ascii="宋体" w:hAnsi="宋体" w:cs="宋体"/>
          <w:color w:val="333333"/>
          <w:spacing w:val="7"/>
          <w:sz w:val="24"/>
          <w:szCs w:val="28"/>
          <w:lang w:val="en-US" w:eastAsia="zh-CN"/>
        </w:rPr>
        <w:t>2</w:t>
      </w:r>
      <w:r>
        <w:rPr>
          <w:rFonts w:hint="eastAsia" w:ascii="宋体" w:hAnsi="宋体" w:cs="宋体"/>
          <w:color w:val="auto"/>
          <w:spacing w:val="7"/>
          <w:sz w:val="24"/>
          <w:szCs w:val="28"/>
          <w:lang w:val="en-US" w:eastAsia="zh-CN"/>
        </w:rPr>
        <w:t>2</w:t>
      </w:r>
      <w:r>
        <w:rPr>
          <w:rFonts w:hint="eastAsia" w:ascii="宋体" w:hAnsi="宋体" w:cs="宋体"/>
          <w:color w:val="auto"/>
          <w:spacing w:val="7"/>
          <w:sz w:val="24"/>
          <w:szCs w:val="28"/>
        </w:rPr>
        <w:t>日09点00分</w:t>
      </w:r>
      <w:r>
        <w:rPr>
          <w:rFonts w:hint="eastAsia" w:ascii="宋体" w:hAnsi="宋体" w:cs="宋体"/>
          <w:color w:val="333333"/>
          <w:spacing w:val="7"/>
          <w:sz w:val="24"/>
          <w:szCs w:val="28"/>
        </w:rPr>
        <w:t>（北京时间）前提交响应文件。</w:t>
      </w:r>
    </w:p>
    <w:p w14:paraId="0B71269E">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一、项目基本情况</w:t>
      </w:r>
    </w:p>
    <w:p w14:paraId="31FB5D59">
      <w:pPr>
        <w:shd w:val="clear" w:color="auto" w:fill="FFFFFF"/>
        <w:spacing w:after="0" w:line="360" w:lineRule="auto"/>
        <w:ind w:firstLine="508" w:firstLineChars="200"/>
        <w:rPr>
          <w:rFonts w:hint="eastAsia" w:ascii="宋体" w:hAnsi="宋体" w:cs="宋体"/>
          <w:color w:val="auto"/>
          <w:spacing w:val="7"/>
          <w:sz w:val="24"/>
          <w:szCs w:val="28"/>
        </w:rPr>
      </w:pPr>
      <w:r>
        <w:rPr>
          <w:rFonts w:hint="eastAsia" w:ascii="宋体" w:hAnsi="宋体" w:cs="宋体"/>
          <w:color w:val="auto"/>
          <w:spacing w:val="7"/>
          <w:sz w:val="24"/>
          <w:szCs w:val="28"/>
        </w:rPr>
        <w:t>项目编号：JSSYCG20250814047</w:t>
      </w:r>
    </w:p>
    <w:p w14:paraId="440F7168">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项目名称：江苏商贸职业学院电动汽车充电桩建设及维护项目</w:t>
      </w:r>
    </w:p>
    <w:p w14:paraId="61483A14">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项目类型：货物</w:t>
      </w:r>
    </w:p>
    <w:p w14:paraId="77B01FC7">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所属行业：工业</w:t>
      </w:r>
    </w:p>
    <w:p w14:paraId="47315A50">
      <w:pPr>
        <w:shd w:val="clear" w:color="auto" w:fill="FFFFFF"/>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预算金额：5.7万元</w:t>
      </w:r>
    </w:p>
    <w:p w14:paraId="027E94C9">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spacing w:val="7"/>
          <w:sz w:val="24"/>
          <w:szCs w:val="28"/>
        </w:rPr>
        <w:t>最高限价：5.7万元，</w:t>
      </w:r>
      <w:r>
        <w:rPr>
          <w:rFonts w:hint="eastAsia" w:ascii="宋体" w:hAnsi="宋体" w:cs="宋体"/>
          <w:color w:val="333333"/>
          <w:spacing w:val="7"/>
          <w:sz w:val="24"/>
          <w:szCs w:val="28"/>
        </w:rPr>
        <w:t>投标报价高于最高限价的作无效报价处理。</w:t>
      </w:r>
    </w:p>
    <w:p w14:paraId="2AC362AA">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spacing w:val="7"/>
          <w:sz w:val="24"/>
          <w:szCs w:val="28"/>
        </w:rPr>
        <w:t>合同履约期限：成交人应在合同签订后21天内，完成设备的安装、调试工作。</w:t>
      </w:r>
      <w:r>
        <w:rPr>
          <w:rFonts w:hint="eastAsia" w:ascii="宋体" w:hAnsi="宋体" w:cs="宋体"/>
          <w:color w:val="333333"/>
          <w:spacing w:val="7"/>
          <w:sz w:val="24"/>
          <w:szCs w:val="28"/>
        </w:rPr>
        <w:t xml:space="preserve">  </w:t>
      </w:r>
    </w:p>
    <w:p w14:paraId="46F67048">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本项目不接受联合体。</w:t>
      </w:r>
    </w:p>
    <w:p w14:paraId="7BFD640D">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二、申请人的资格要求：</w:t>
      </w:r>
    </w:p>
    <w:p w14:paraId="1D19CF1F">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2DD819FC">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2</w:t>
      </w:r>
      <w:r>
        <w:rPr>
          <w:rFonts w:hint="eastAsia" w:ascii="宋体" w:hAnsi="宋体" w:cs="宋体"/>
          <w:color w:val="333333"/>
          <w:spacing w:val="7"/>
          <w:sz w:val="24"/>
          <w:szCs w:val="28"/>
        </w:rPr>
        <w:t>.</w:t>
      </w:r>
      <w:r>
        <w:rPr>
          <w:rFonts w:hint="eastAsia" w:ascii="宋体" w:hAnsi="宋体" w:cs="宋体"/>
          <w:color w:val="333333"/>
          <w:spacing w:val="7"/>
          <w:sz w:val="24"/>
          <w:szCs w:val="28"/>
          <w:lang w:val="zh-CN"/>
        </w:rPr>
        <w:t>供应商其它要求：</w:t>
      </w:r>
    </w:p>
    <w:p w14:paraId="649DA946">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（1）</w:t>
      </w:r>
      <w:r>
        <w:rPr>
          <w:rFonts w:hint="eastAsia" w:ascii="宋体" w:hAnsi="宋体" w:cs="宋体"/>
          <w:color w:val="333333"/>
          <w:spacing w:val="7"/>
          <w:sz w:val="24"/>
          <w:szCs w:val="28"/>
        </w:rPr>
        <w:t>供应商必须具有有效的营业执照；</w:t>
      </w:r>
    </w:p>
    <w:p w14:paraId="38F076AB">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2）</w:t>
      </w:r>
      <w:r>
        <w:rPr>
          <w:rFonts w:hint="eastAsia" w:ascii="宋体" w:hAnsi="宋体" w:cs="宋体"/>
          <w:color w:val="333333"/>
          <w:spacing w:val="7"/>
          <w:sz w:val="24"/>
          <w:szCs w:val="28"/>
          <w:lang w:val="zh-CN"/>
        </w:rPr>
        <w:t>未被“信用中国”网站列入失信被执行人、重大税收违法案件当事人名单、采购严重失信行为记录名单；</w:t>
      </w:r>
    </w:p>
    <w:p w14:paraId="3B8C2F1F">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）法定代表人为同一个人的两个及两个以上法人，母公司、全资子公司及其控股公司，都不得在同一采购项目相同标段中同时投标，一经发现，将视同围标处理。</w:t>
      </w:r>
    </w:p>
    <w:p w14:paraId="246AB8E3">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.本项目的特定资格要求：</w:t>
      </w:r>
      <w:r>
        <w:rPr>
          <w:rFonts w:hint="eastAsia"/>
          <w:sz w:val="24"/>
          <w:lang w:val="en-US" w:eastAsia="zh-CN"/>
        </w:rPr>
        <w:t>响应</w:t>
      </w:r>
      <w:r>
        <w:rPr>
          <w:rFonts w:hint="eastAsia"/>
          <w:sz w:val="24"/>
        </w:rPr>
        <w:t>单位具有电力工程施工总承包三级及</w:t>
      </w:r>
      <w:r>
        <w:rPr>
          <w:sz w:val="24"/>
        </w:rPr>
        <w:t>以上</w:t>
      </w:r>
      <w:r>
        <w:rPr>
          <w:rFonts w:hint="eastAsia"/>
          <w:sz w:val="24"/>
        </w:rPr>
        <w:t>资质且具有承装、修、试电力四级及以上资质</w:t>
      </w:r>
      <w:r>
        <w:rPr>
          <w:rFonts w:hint="eastAsia" w:ascii="宋体" w:hAnsi="宋体" w:cs="宋体"/>
          <w:color w:val="333333"/>
          <w:spacing w:val="7"/>
          <w:sz w:val="24"/>
          <w:szCs w:val="28"/>
          <w:lang w:val="zh-CN"/>
        </w:rPr>
        <w:t>。</w:t>
      </w:r>
      <w:bookmarkStart w:id="5" w:name="_GoBack"/>
      <w:bookmarkEnd w:id="5"/>
    </w:p>
    <w:p w14:paraId="45D7D6D9">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三、获取采购文件</w:t>
      </w:r>
    </w:p>
    <w:p w14:paraId="51186242">
      <w:pPr>
        <w:shd w:val="clear" w:color="auto" w:fill="FFFFFF"/>
        <w:spacing w:after="0" w:line="360" w:lineRule="auto"/>
        <w:ind w:firstLine="482" w:firstLineChars="200"/>
        <w:rPr>
          <w:rFonts w:hint="eastAsia" w:ascii="宋体" w:hAnsi="宋体" w:cs="宋体"/>
          <w:b/>
          <w:bCs/>
          <w:color w:val="FF0000"/>
          <w:sz w:val="24"/>
          <w:szCs w:val="28"/>
        </w:rPr>
      </w:pPr>
      <w:r>
        <w:rPr>
          <w:rFonts w:hint="eastAsia" w:ascii="宋体" w:hAnsi="宋体" w:cs="宋体"/>
          <w:b/>
          <w:bCs/>
          <w:sz w:val="24"/>
          <w:szCs w:val="28"/>
        </w:rPr>
        <w:t>时间：公告发布之日起至2025</w:t>
      </w:r>
      <w:r>
        <w:rPr>
          <w:rFonts w:hint="eastAsia" w:ascii="宋体" w:hAnsi="宋体" w:cs="宋体"/>
          <w:b/>
          <w:bCs/>
          <w:color w:val="auto"/>
          <w:sz w:val="24"/>
          <w:szCs w:val="28"/>
        </w:rPr>
        <w:t>年08</w:t>
      </w:r>
      <w:r>
        <w:rPr>
          <w:rFonts w:hint="eastAsia" w:ascii="宋体" w:hAnsi="宋体" w:cs="宋体"/>
          <w:b/>
          <w:bCs/>
          <w:color w:val="auto"/>
          <w:sz w:val="24"/>
          <w:szCs w:val="28"/>
          <w:lang w:val="en-US" w:eastAsia="zh-CN"/>
        </w:rPr>
        <w:t>月21</w:t>
      </w:r>
      <w:r>
        <w:rPr>
          <w:rFonts w:hint="eastAsia" w:ascii="宋体" w:hAnsi="宋体" w:cs="宋体"/>
          <w:b/>
          <w:bCs/>
          <w:color w:val="auto"/>
          <w:sz w:val="24"/>
          <w:szCs w:val="28"/>
        </w:rPr>
        <w:t>日</w:t>
      </w:r>
    </w:p>
    <w:p w14:paraId="0595EEFD">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 xml:space="preserve">地点：江苏商贸职业学院官网  </w:t>
      </w:r>
    </w:p>
    <w:p w14:paraId="416860B6">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方式：自行下载</w:t>
      </w:r>
    </w:p>
    <w:p w14:paraId="260394A5">
      <w:pPr>
        <w:shd w:val="clear" w:color="auto" w:fill="FFFFFF"/>
        <w:spacing w:after="0" w:line="360" w:lineRule="auto"/>
        <w:ind w:firstLine="508" w:firstLineChars="200"/>
        <w:outlineLvl w:val="1"/>
        <w:rPr>
          <w:rFonts w:hint="eastAsia" w:ascii="宋体" w:hAnsi="宋体" w:cs="宋体"/>
          <w:color w:val="auto"/>
          <w:spacing w:val="7"/>
          <w:sz w:val="24"/>
          <w:szCs w:val="28"/>
        </w:rPr>
      </w:pPr>
      <w:r>
        <w:rPr>
          <w:rFonts w:hint="eastAsia" w:ascii="宋体" w:hAnsi="宋体" w:cs="宋体"/>
          <w:color w:val="333333"/>
          <w:spacing w:val="7"/>
          <w:sz w:val="24"/>
          <w:szCs w:val="28"/>
        </w:rPr>
        <w:t>四、响应文件</w:t>
      </w:r>
      <w:r>
        <w:rPr>
          <w:rFonts w:hint="eastAsia" w:ascii="宋体" w:hAnsi="宋体" w:cs="宋体"/>
          <w:color w:val="auto"/>
          <w:spacing w:val="7"/>
          <w:sz w:val="24"/>
          <w:szCs w:val="28"/>
        </w:rPr>
        <w:t>提交</w:t>
      </w:r>
    </w:p>
    <w:p w14:paraId="42CCFF8F">
      <w:pPr>
        <w:shd w:val="clear" w:color="auto" w:fill="FFFFFF"/>
        <w:spacing w:after="0" w:line="360" w:lineRule="auto"/>
        <w:ind w:firstLine="482" w:firstLineChars="200"/>
        <w:rPr>
          <w:rFonts w:hint="eastAsia" w:ascii="宋体" w:hAnsi="宋体" w:cs="宋体"/>
          <w:color w:val="auto"/>
          <w:spacing w:val="7"/>
          <w:sz w:val="24"/>
          <w:szCs w:val="28"/>
          <w:u w:val="single"/>
        </w:rPr>
      </w:pPr>
      <w:r>
        <w:rPr>
          <w:rFonts w:hint="eastAsia" w:ascii="宋体" w:hAnsi="宋体" w:cs="宋体"/>
          <w:b/>
          <w:bCs/>
          <w:color w:val="auto"/>
          <w:sz w:val="24"/>
          <w:szCs w:val="28"/>
        </w:rPr>
        <w:t>截止时间：2025年 08月</w:t>
      </w:r>
      <w:r>
        <w:rPr>
          <w:rFonts w:hint="eastAsia" w:ascii="宋体" w:hAnsi="宋体" w:cs="宋体"/>
          <w:b/>
          <w:bCs/>
          <w:color w:val="auto"/>
          <w:sz w:val="24"/>
          <w:szCs w:val="28"/>
          <w:lang w:val="en-US" w:eastAsia="zh-CN"/>
        </w:rPr>
        <w:t>22</w:t>
      </w:r>
      <w:r>
        <w:rPr>
          <w:rFonts w:hint="eastAsia" w:ascii="宋体" w:hAnsi="宋体" w:cs="宋体"/>
          <w:b/>
          <w:bCs/>
          <w:color w:val="auto"/>
          <w:sz w:val="24"/>
          <w:szCs w:val="28"/>
        </w:rPr>
        <w:t>日09点00分（北京时间）</w:t>
      </w:r>
    </w:p>
    <w:p w14:paraId="77E2C167">
      <w:pPr>
        <w:tabs>
          <w:tab w:val="left" w:pos="360"/>
        </w:tabs>
        <w:spacing w:after="60" w:line="360" w:lineRule="auto"/>
        <w:ind w:firstLine="508" w:firstLineChars="200"/>
        <w:rPr>
          <w:rFonts w:hint="eastAsia" w:ascii="宋体" w:hAnsi="宋体" w:cs="宋体"/>
          <w:kern w:val="2"/>
          <w:sz w:val="24"/>
          <w:szCs w:val="24"/>
        </w:rPr>
      </w:pPr>
      <w:r>
        <w:rPr>
          <w:rFonts w:hint="eastAsia" w:ascii="宋体" w:hAnsi="宋体" w:cs="宋体"/>
          <w:color w:val="333333"/>
          <w:spacing w:val="7"/>
          <w:sz w:val="24"/>
          <w:szCs w:val="28"/>
        </w:rPr>
        <w:t>地点：江苏省南通市江通路48号，江苏商贸职业学院资产管理处（西大门南侧）办公室，如有变动另行通知。</w:t>
      </w:r>
    </w:p>
    <w:p w14:paraId="001F4EF5">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五、开启</w:t>
      </w:r>
    </w:p>
    <w:p w14:paraId="582DF787">
      <w:pPr>
        <w:shd w:val="clear" w:color="auto" w:fill="FFFFFF"/>
        <w:spacing w:after="0" w:line="360" w:lineRule="auto"/>
        <w:ind w:firstLine="482" w:firstLineChars="200"/>
        <w:rPr>
          <w:rFonts w:hint="eastAsia" w:ascii="宋体" w:hAnsi="宋体" w:cs="宋体"/>
          <w:b/>
          <w:bCs/>
          <w:sz w:val="24"/>
          <w:szCs w:val="28"/>
        </w:rPr>
      </w:pPr>
      <w:r>
        <w:rPr>
          <w:rFonts w:hint="eastAsia" w:ascii="宋体" w:hAnsi="宋体" w:cs="宋体"/>
          <w:b/>
          <w:bCs/>
          <w:sz w:val="24"/>
          <w:szCs w:val="28"/>
        </w:rPr>
        <w:t xml:space="preserve">时间：2025年 08 </w:t>
      </w:r>
      <w:r>
        <w:rPr>
          <w:rFonts w:hint="eastAsia" w:ascii="宋体" w:hAnsi="宋体" w:cs="宋体"/>
          <w:b/>
          <w:bCs/>
          <w:color w:val="auto"/>
          <w:sz w:val="24"/>
          <w:szCs w:val="28"/>
        </w:rPr>
        <w:t xml:space="preserve">月 </w:t>
      </w:r>
      <w:r>
        <w:rPr>
          <w:rFonts w:hint="eastAsia" w:ascii="宋体" w:hAnsi="宋体" w:cs="宋体"/>
          <w:b/>
          <w:bCs/>
          <w:color w:val="auto"/>
          <w:sz w:val="24"/>
          <w:szCs w:val="28"/>
          <w:lang w:val="en-US" w:eastAsia="zh-CN"/>
        </w:rPr>
        <w:t>22</w:t>
      </w:r>
      <w:r>
        <w:rPr>
          <w:rFonts w:hint="eastAsia" w:ascii="宋体" w:hAnsi="宋体" w:cs="宋体"/>
          <w:b/>
          <w:bCs/>
          <w:color w:val="auto"/>
          <w:sz w:val="24"/>
          <w:szCs w:val="28"/>
        </w:rPr>
        <w:t>日09点00分（北京时间）</w:t>
      </w:r>
    </w:p>
    <w:p w14:paraId="423B453C">
      <w:pPr>
        <w:widowControl w:val="0"/>
        <w:adjustRightInd/>
        <w:snapToGrid/>
        <w:spacing w:after="0" w:line="360" w:lineRule="auto"/>
        <w:ind w:firstLine="480" w:firstLineChars="200"/>
        <w:rPr>
          <w:rFonts w:hint="eastAsia" w:ascii="宋体" w:hAnsi="宋体" w:cs="宋体"/>
          <w:color w:val="333333"/>
          <w:spacing w:val="7"/>
          <w:sz w:val="24"/>
          <w:szCs w:val="28"/>
        </w:rPr>
      </w:pPr>
      <w:r>
        <w:rPr>
          <w:rFonts w:hint="eastAsia" w:ascii="宋体" w:hAnsi="宋体" w:cs="宋体"/>
          <w:sz w:val="24"/>
          <w:szCs w:val="28"/>
        </w:rPr>
        <w:t>地点：</w:t>
      </w:r>
      <w:r>
        <w:rPr>
          <w:rFonts w:hint="eastAsia" w:ascii="宋体" w:hAnsi="宋体" w:cs="宋体"/>
          <w:color w:val="333333"/>
          <w:spacing w:val="7"/>
          <w:sz w:val="24"/>
          <w:szCs w:val="28"/>
        </w:rPr>
        <w:t>江苏商贸职业学院基建会议室，如有变动另行通知。</w:t>
      </w:r>
    </w:p>
    <w:p w14:paraId="4921F66D">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六、公告期限</w:t>
      </w:r>
    </w:p>
    <w:p w14:paraId="42202903">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自本公告发布之日起3个工作日。</w:t>
      </w:r>
    </w:p>
    <w:p w14:paraId="48E4A858">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七、其他补充事宜</w:t>
      </w:r>
    </w:p>
    <w:p w14:paraId="2FADA04A">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对项目需求部分的询问、质疑请向采购人提出，由采购人负责答复。对采购文件其他有关问题请向代理公司经办人员提出。</w:t>
      </w:r>
    </w:p>
    <w:p w14:paraId="7414170D">
      <w:pPr>
        <w:shd w:val="clear" w:color="auto" w:fill="FFFFFF"/>
        <w:spacing w:after="0" w:line="360" w:lineRule="auto"/>
        <w:ind w:firstLine="482" w:firstLineChars="200"/>
        <w:outlineLvl w:val="1"/>
        <w:rPr>
          <w:rFonts w:hint="eastAsia" w:ascii="宋体" w:hAnsi="宋体" w:cs="宋体"/>
          <w:color w:val="333333"/>
          <w:spacing w:val="7"/>
          <w:sz w:val="24"/>
          <w:szCs w:val="28"/>
        </w:rPr>
      </w:pPr>
      <w:r>
        <w:rPr>
          <w:rFonts w:hint="eastAsia" w:ascii="宋体" w:hAnsi="宋体" w:cs="宋体"/>
          <w:b/>
          <w:bCs/>
          <w:sz w:val="24"/>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F9D8BCB">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八、凡对本次采购提出询问，请按以下方式联系。</w:t>
      </w:r>
    </w:p>
    <w:p w14:paraId="343407C8">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1、采购人信息</w:t>
      </w:r>
    </w:p>
    <w:p w14:paraId="7A4FFEB8">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单位名称：江苏商贸职业学院</w:t>
      </w:r>
    </w:p>
    <w:p w14:paraId="6A397DD9">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单位地址：江苏省南通市江通路48号</w:t>
      </w:r>
    </w:p>
    <w:p w14:paraId="6756BAED">
      <w:pPr>
        <w:spacing w:after="0" w:line="360" w:lineRule="auto"/>
        <w:ind w:firstLine="440" w:firstLineChars="200"/>
        <w:rPr>
          <w:rFonts w:hint="eastAsia" w:ascii="宋体" w:hAnsi="宋体" w:cs="宋体"/>
          <w:spacing w:val="7"/>
          <w:sz w:val="24"/>
          <w:szCs w:val="28"/>
        </w:rPr>
      </w:pPr>
      <w:r>
        <w:rPr>
          <w:rFonts w:hint="eastAsia"/>
          <w:lang w:val="en-US" w:eastAsia="zh-CN"/>
        </w:rPr>
        <w:t>蔡老师</w:t>
      </w:r>
      <w:r>
        <w:rPr>
          <w:rFonts w:hint="eastAsia" w:ascii="宋体" w:hAnsi="宋体" w:cs="宋体"/>
          <w:color w:val="auto"/>
          <w:spacing w:val="7"/>
          <w:sz w:val="24"/>
          <w:szCs w:val="28"/>
          <w:highlight w:val="none"/>
        </w:rPr>
        <w:t>（后勤基建处）</w:t>
      </w:r>
      <w:r>
        <w:rPr>
          <w:rFonts w:hint="eastAsia" w:ascii="宋体" w:hAnsi="宋体" w:cs="宋体"/>
          <w:spacing w:val="7"/>
          <w:sz w:val="24"/>
          <w:szCs w:val="28"/>
          <w:highlight w:val="none"/>
        </w:rPr>
        <w:t xml:space="preserve"> </w:t>
      </w:r>
      <w:r>
        <w:rPr>
          <w:rFonts w:hint="eastAsia" w:ascii="宋体" w:hAnsi="宋体" w:cs="宋体"/>
          <w:spacing w:val="7"/>
          <w:sz w:val="24"/>
          <w:szCs w:val="28"/>
        </w:rPr>
        <w:t xml:space="preserve">  </w:t>
      </w:r>
      <w:r>
        <w:rPr>
          <w:rFonts w:hint="eastAsia" w:ascii="宋体" w:hAnsi="宋体" w:cs="宋体"/>
          <w:spacing w:val="7"/>
          <w:sz w:val="24"/>
          <w:szCs w:val="28"/>
          <w:lang w:val="en-US" w:eastAsia="zh-CN"/>
        </w:rPr>
        <w:t xml:space="preserve">     </w:t>
      </w:r>
      <w:r>
        <w:rPr>
          <w:rFonts w:hint="eastAsia" w:ascii="宋体" w:hAnsi="宋体" w:cs="宋体"/>
          <w:spacing w:val="7"/>
          <w:sz w:val="24"/>
          <w:szCs w:val="28"/>
        </w:rPr>
        <w:t>联系电话：0513-85679235</w:t>
      </w:r>
    </w:p>
    <w:p w14:paraId="5C38783B">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杨老师 （资产管理处）      联系电话：0513-85679264；</w:t>
      </w:r>
    </w:p>
    <w:p w14:paraId="3BCC9261">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联系邮箱：jssyzcglc@ jsbc.edu.cn</w:t>
      </w:r>
    </w:p>
    <w:p w14:paraId="4B4A4447">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2、监督、投诉联系方式</w:t>
      </w:r>
    </w:p>
    <w:p w14:paraId="0337B609">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电话：0513-85679216，联系邮箱：jssyjjjc@163.com.</w:t>
      </w:r>
    </w:p>
    <w:p w14:paraId="24165FE3">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3、采购代理机构信息</w:t>
      </w:r>
    </w:p>
    <w:p w14:paraId="47D2CEF4">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名称：东方华星建设管理（江苏）有限公司</w:t>
      </w:r>
    </w:p>
    <w:p w14:paraId="60C3A9A6">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地址：南通市崇川区北大街万科壹中心2402室</w:t>
      </w:r>
    </w:p>
    <w:p w14:paraId="47C06813">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经办人联系方式：王江 15922159523</w:t>
      </w:r>
    </w:p>
    <w:p w14:paraId="2C3A3866">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邮箱：dfhxnt@126.com</w:t>
      </w:r>
    </w:p>
    <w:p w14:paraId="2D995773">
      <w:pPr>
        <w:pStyle w:val="76"/>
        <w:adjustRightInd w:val="0"/>
        <w:snapToGrid w:val="0"/>
        <w:spacing w:line="360" w:lineRule="auto"/>
        <w:ind w:firstLine="482"/>
        <w:jc w:val="center"/>
        <w:rPr>
          <w:rFonts w:hint="eastAsia" w:ascii="宋体" w:hAnsi="宋体" w:cs="宋体"/>
          <w:b/>
          <w:bCs/>
          <w:sz w:val="24"/>
          <w:szCs w:val="32"/>
        </w:rPr>
      </w:pPr>
      <w:r>
        <w:rPr>
          <w:rFonts w:hint="eastAsia" w:ascii="宋体" w:hAnsi="宋体" w:cs="宋体"/>
          <w:b/>
          <w:bCs/>
          <w:sz w:val="24"/>
          <w:szCs w:val="32"/>
        </w:rPr>
        <w:br w:type="page"/>
      </w:r>
      <w:r>
        <w:rPr>
          <w:rFonts w:hint="eastAsia" w:ascii="宋体" w:hAnsi="宋体" w:cs="宋体"/>
          <w:b/>
          <w:bCs/>
          <w:sz w:val="24"/>
          <w:szCs w:val="32"/>
        </w:rPr>
        <w:t>第二部分  项目需求</w:t>
      </w:r>
    </w:p>
    <w:p w14:paraId="72F083E4">
      <w:pPr>
        <w:spacing w:after="0" w:line="360" w:lineRule="auto"/>
        <w:ind w:firstLine="480" w:firstLineChars="200"/>
        <w:rPr>
          <w:rFonts w:hint="eastAsia" w:ascii="宋体" w:hAnsi="宋体" w:cs="宋体"/>
          <w:spacing w:val="7"/>
          <w:sz w:val="24"/>
          <w:szCs w:val="28"/>
        </w:rPr>
      </w:pPr>
      <w:r>
        <w:rPr>
          <w:rFonts w:hint="eastAsia" w:ascii="宋体" w:hAnsi="宋体" w:cs="宋体"/>
          <w:sz w:val="24"/>
          <w:szCs w:val="28"/>
        </w:rPr>
        <w:t>采购人江苏商贸职业学院对江苏商贸职业学院电动汽车充电桩建设及维护项目进行采购招标。响应供应商需仔细研读采购文件，以充分了解招标人采购需要，作出合理的响应。具体内容如下：</w:t>
      </w:r>
    </w:p>
    <w:p w14:paraId="6B169C5A">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一、项目内容</w:t>
      </w:r>
    </w:p>
    <w:p w14:paraId="461C3A24">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1、采购人向社会公开采购一批合格的自助式电动汽车充电桩设备，同时须为采购人校内教职工提供自助式充电服务（五年维保）。</w:t>
      </w:r>
    </w:p>
    <w:p w14:paraId="50766EC3">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2、项目地址：江苏商贸职业学院（南通市崇川区江通路48号）2号楼南侧；</w:t>
      </w:r>
    </w:p>
    <w:p w14:paraId="544396F8">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3、项目内容清单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153"/>
        <w:gridCol w:w="2567"/>
        <w:gridCol w:w="1383"/>
        <w:gridCol w:w="856"/>
        <w:gridCol w:w="2027"/>
      </w:tblGrid>
      <w:tr w14:paraId="2DFF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14:paraId="7EFF26EA">
            <w:pPr>
              <w:pStyle w:val="89"/>
              <w:rPr>
                <w:rFonts w:eastAsia="等线"/>
                <w:kern w:val="2"/>
              </w:rPr>
            </w:pPr>
            <w:r>
              <w:rPr>
                <w:rFonts w:eastAsia="等线"/>
                <w:kern w:val="2"/>
              </w:rPr>
              <w:t>序号</w:t>
            </w:r>
          </w:p>
        </w:tc>
        <w:tc>
          <w:tcPr>
            <w:tcW w:w="1153" w:type="dxa"/>
            <w:vAlign w:val="center"/>
          </w:tcPr>
          <w:p w14:paraId="2DEAA1BC">
            <w:pPr>
              <w:pStyle w:val="89"/>
              <w:rPr>
                <w:rFonts w:eastAsia="等线"/>
                <w:kern w:val="2"/>
              </w:rPr>
            </w:pPr>
            <w:r>
              <w:rPr>
                <w:rFonts w:eastAsia="等线"/>
                <w:kern w:val="2"/>
              </w:rPr>
              <w:t>名称</w:t>
            </w:r>
          </w:p>
        </w:tc>
        <w:tc>
          <w:tcPr>
            <w:tcW w:w="2567" w:type="dxa"/>
            <w:vAlign w:val="center"/>
          </w:tcPr>
          <w:p w14:paraId="5FEA60D5">
            <w:pPr>
              <w:pStyle w:val="89"/>
              <w:rPr>
                <w:rFonts w:eastAsia="等线"/>
                <w:kern w:val="2"/>
              </w:rPr>
            </w:pPr>
            <w:r>
              <w:rPr>
                <w:rFonts w:eastAsia="等线"/>
                <w:kern w:val="2"/>
              </w:rPr>
              <w:t>规格型号</w:t>
            </w:r>
          </w:p>
        </w:tc>
        <w:tc>
          <w:tcPr>
            <w:tcW w:w="1383" w:type="dxa"/>
            <w:vAlign w:val="center"/>
          </w:tcPr>
          <w:p w14:paraId="0F5FF0EE">
            <w:pPr>
              <w:pStyle w:val="89"/>
              <w:rPr>
                <w:rFonts w:eastAsia="等线"/>
                <w:kern w:val="2"/>
              </w:rPr>
            </w:pPr>
            <w:r>
              <w:rPr>
                <w:rFonts w:eastAsia="等线"/>
                <w:kern w:val="2"/>
              </w:rPr>
              <w:t>位置</w:t>
            </w:r>
          </w:p>
        </w:tc>
        <w:tc>
          <w:tcPr>
            <w:tcW w:w="856" w:type="dxa"/>
            <w:vAlign w:val="center"/>
          </w:tcPr>
          <w:p w14:paraId="1268F513">
            <w:pPr>
              <w:pStyle w:val="89"/>
              <w:rPr>
                <w:rFonts w:eastAsia="等线"/>
                <w:kern w:val="2"/>
              </w:rPr>
            </w:pPr>
            <w:r>
              <w:rPr>
                <w:rFonts w:eastAsia="等线"/>
                <w:kern w:val="2"/>
              </w:rPr>
              <w:t>数量</w:t>
            </w:r>
          </w:p>
        </w:tc>
        <w:tc>
          <w:tcPr>
            <w:tcW w:w="2027" w:type="dxa"/>
            <w:vAlign w:val="center"/>
          </w:tcPr>
          <w:p w14:paraId="73C87DA7">
            <w:pPr>
              <w:pStyle w:val="89"/>
              <w:rPr>
                <w:rFonts w:eastAsia="等线"/>
                <w:kern w:val="2"/>
              </w:rPr>
            </w:pPr>
            <w:r>
              <w:rPr>
                <w:rFonts w:eastAsia="等线"/>
                <w:kern w:val="2"/>
              </w:rPr>
              <w:t>备注</w:t>
            </w:r>
          </w:p>
        </w:tc>
      </w:tr>
      <w:tr w14:paraId="13E7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jc w:val="center"/>
        </w:trPr>
        <w:tc>
          <w:tcPr>
            <w:tcW w:w="1013" w:type="dxa"/>
            <w:vAlign w:val="center"/>
          </w:tcPr>
          <w:p w14:paraId="34C94078">
            <w:pPr>
              <w:pStyle w:val="89"/>
              <w:rPr>
                <w:rFonts w:eastAsia="等线"/>
                <w:kern w:val="2"/>
              </w:rPr>
            </w:pPr>
            <w:r>
              <w:rPr>
                <w:rFonts w:eastAsia="等线"/>
                <w:kern w:val="2"/>
              </w:rPr>
              <w:t>1</w:t>
            </w:r>
          </w:p>
        </w:tc>
        <w:tc>
          <w:tcPr>
            <w:tcW w:w="1153" w:type="dxa"/>
            <w:vAlign w:val="center"/>
          </w:tcPr>
          <w:p w14:paraId="4421DAA4">
            <w:pPr>
              <w:pStyle w:val="89"/>
              <w:rPr>
                <w:rFonts w:eastAsia="等线"/>
                <w:kern w:val="2"/>
              </w:rPr>
            </w:pPr>
            <w:r>
              <w:rPr>
                <w:rFonts w:eastAsia="等线"/>
                <w:kern w:val="2"/>
              </w:rPr>
              <w:t>交流充电桩</w:t>
            </w:r>
          </w:p>
        </w:tc>
        <w:tc>
          <w:tcPr>
            <w:tcW w:w="2567" w:type="dxa"/>
            <w:vAlign w:val="center"/>
          </w:tcPr>
          <w:p w14:paraId="587BB027">
            <w:pPr>
              <w:pStyle w:val="89"/>
              <w:rPr>
                <w:rFonts w:eastAsia="等线"/>
                <w:kern w:val="2"/>
              </w:rPr>
            </w:pPr>
            <w:r>
              <w:rPr>
                <w:rFonts w:eastAsia="等线"/>
                <w:kern w:val="2"/>
              </w:rPr>
              <w:t>额定功率：7kW</w:t>
            </w:r>
          </w:p>
          <w:p w14:paraId="47E4A5C6">
            <w:pPr>
              <w:pStyle w:val="89"/>
              <w:rPr>
                <w:rFonts w:eastAsia="等线"/>
                <w:kern w:val="2"/>
              </w:rPr>
            </w:pPr>
            <w:r>
              <w:rPr>
                <w:rFonts w:eastAsia="等线"/>
                <w:kern w:val="2"/>
              </w:rPr>
              <w:t xml:space="preserve">输入电压：AC 220V </w:t>
            </w:r>
          </w:p>
          <w:p w14:paraId="5EDA3666">
            <w:pPr>
              <w:pStyle w:val="89"/>
              <w:rPr>
                <w:rFonts w:eastAsia="等线"/>
                <w:kern w:val="2"/>
              </w:rPr>
            </w:pPr>
            <w:r>
              <w:rPr>
                <w:rFonts w:eastAsia="等线"/>
                <w:kern w:val="2"/>
              </w:rPr>
              <w:t>额定输出电流：32A</w:t>
            </w:r>
          </w:p>
          <w:p w14:paraId="66D210F2">
            <w:pPr>
              <w:pStyle w:val="89"/>
              <w:rPr>
                <w:rFonts w:eastAsia="等线"/>
                <w:kern w:val="2"/>
              </w:rPr>
            </w:pPr>
            <w:r>
              <w:rPr>
                <w:rFonts w:eastAsia="等线"/>
                <w:kern w:val="2"/>
              </w:rPr>
              <w:t>防护等级：≥IP54</w:t>
            </w:r>
          </w:p>
          <w:p w14:paraId="7630332A">
            <w:pPr>
              <w:pStyle w:val="89"/>
              <w:rPr>
                <w:rFonts w:eastAsia="等线"/>
                <w:kern w:val="2"/>
              </w:rPr>
            </w:pPr>
            <w:r>
              <w:rPr>
                <w:rFonts w:eastAsia="等线"/>
                <w:kern w:val="2"/>
              </w:rPr>
              <w:t>启动方式：扫码/刷卡</w:t>
            </w:r>
          </w:p>
          <w:p w14:paraId="0D299023">
            <w:pPr>
              <w:pStyle w:val="89"/>
              <w:rPr>
                <w:rFonts w:eastAsia="等线"/>
                <w:kern w:val="2"/>
              </w:rPr>
            </w:pPr>
            <w:r>
              <w:rPr>
                <w:rFonts w:eastAsia="等线"/>
                <w:kern w:val="2"/>
              </w:rPr>
              <w:t>联网方式：4G</w:t>
            </w:r>
          </w:p>
          <w:p w14:paraId="7AF41F02">
            <w:pPr>
              <w:pStyle w:val="89"/>
              <w:rPr>
                <w:rFonts w:eastAsia="等线"/>
                <w:kern w:val="2"/>
              </w:rPr>
            </w:pPr>
            <w:r>
              <w:rPr>
                <w:rFonts w:eastAsia="等线"/>
                <w:kern w:val="2"/>
              </w:rPr>
              <w:t>安装形式：立柱式</w:t>
            </w:r>
          </w:p>
          <w:p w14:paraId="53F1F992">
            <w:pPr>
              <w:pStyle w:val="89"/>
              <w:rPr>
                <w:rFonts w:eastAsia="等线"/>
                <w:kern w:val="2"/>
              </w:rPr>
            </w:pPr>
            <w:r>
              <w:rPr>
                <w:rFonts w:eastAsia="等线"/>
                <w:kern w:val="2"/>
              </w:rPr>
              <w:t>枪线长度：≥5m</w:t>
            </w:r>
          </w:p>
        </w:tc>
        <w:tc>
          <w:tcPr>
            <w:tcW w:w="1383" w:type="dxa"/>
            <w:vAlign w:val="center"/>
          </w:tcPr>
          <w:p w14:paraId="18B2C501">
            <w:pPr>
              <w:pStyle w:val="89"/>
              <w:rPr>
                <w:rFonts w:eastAsia="等线"/>
                <w:kern w:val="2"/>
              </w:rPr>
            </w:pPr>
            <w:r>
              <w:rPr>
                <w:rFonts w:eastAsia="等线"/>
                <w:kern w:val="2"/>
              </w:rPr>
              <w:t>2号楼南侧停车场</w:t>
            </w:r>
          </w:p>
        </w:tc>
        <w:tc>
          <w:tcPr>
            <w:tcW w:w="856" w:type="dxa"/>
            <w:vAlign w:val="center"/>
          </w:tcPr>
          <w:p w14:paraId="1455221F">
            <w:pPr>
              <w:pStyle w:val="89"/>
              <w:rPr>
                <w:rFonts w:eastAsia="等线"/>
                <w:kern w:val="2"/>
              </w:rPr>
            </w:pPr>
            <w:r>
              <w:rPr>
                <w:rFonts w:eastAsia="等线"/>
                <w:kern w:val="2"/>
              </w:rPr>
              <w:t>6</w:t>
            </w:r>
          </w:p>
        </w:tc>
        <w:tc>
          <w:tcPr>
            <w:tcW w:w="2027" w:type="dxa"/>
            <w:vAlign w:val="center"/>
          </w:tcPr>
          <w:p w14:paraId="16DC9C94">
            <w:pPr>
              <w:pStyle w:val="89"/>
              <w:rPr>
                <w:rFonts w:eastAsia="等线"/>
                <w:b/>
                <w:bCs/>
                <w:kern w:val="2"/>
              </w:rPr>
            </w:pPr>
          </w:p>
          <w:p w14:paraId="2B4F6953">
            <w:pPr>
              <w:pStyle w:val="89"/>
              <w:rPr>
                <w:rFonts w:eastAsia="等线"/>
                <w:b/>
                <w:bCs/>
                <w:kern w:val="2"/>
              </w:rPr>
            </w:pPr>
            <w:r>
              <w:rPr>
                <w:rFonts w:eastAsia="等线"/>
                <w:b/>
                <w:bCs/>
                <w:kern w:val="2"/>
              </w:rPr>
              <w:t>响应人的充电桩计费平台须支持与学校对公账户对接，实现微信、支付宝扫码支付，且费用直接进入学校对公账户</w:t>
            </w:r>
          </w:p>
        </w:tc>
      </w:tr>
      <w:tr w14:paraId="0997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jc w:val="center"/>
        </w:trPr>
        <w:tc>
          <w:tcPr>
            <w:tcW w:w="1013" w:type="dxa"/>
            <w:vAlign w:val="center"/>
          </w:tcPr>
          <w:p w14:paraId="50D7C555">
            <w:pPr>
              <w:pStyle w:val="89"/>
              <w:rPr>
                <w:rFonts w:eastAsia="等线"/>
                <w:kern w:val="2"/>
              </w:rPr>
            </w:pPr>
            <w:r>
              <w:rPr>
                <w:rFonts w:eastAsia="等线"/>
                <w:kern w:val="2"/>
              </w:rPr>
              <w:t>2</w:t>
            </w:r>
          </w:p>
        </w:tc>
        <w:tc>
          <w:tcPr>
            <w:tcW w:w="1153" w:type="dxa"/>
            <w:vAlign w:val="center"/>
          </w:tcPr>
          <w:p w14:paraId="5703A714">
            <w:pPr>
              <w:pStyle w:val="89"/>
              <w:rPr>
                <w:rFonts w:eastAsia="等线"/>
                <w:kern w:val="2"/>
              </w:rPr>
            </w:pPr>
            <w:r>
              <w:rPr>
                <w:rFonts w:eastAsia="等线"/>
                <w:kern w:val="2"/>
              </w:rPr>
              <w:t>直流充电桩</w:t>
            </w:r>
          </w:p>
        </w:tc>
        <w:tc>
          <w:tcPr>
            <w:tcW w:w="2567" w:type="dxa"/>
            <w:vAlign w:val="center"/>
          </w:tcPr>
          <w:p w14:paraId="66906F23">
            <w:pPr>
              <w:pStyle w:val="89"/>
              <w:rPr>
                <w:rFonts w:eastAsia="等线"/>
                <w:kern w:val="2"/>
              </w:rPr>
            </w:pPr>
            <w:r>
              <w:rPr>
                <w:rFonts w:eastAsia="等线"/>
                <w:kern w:val="2"/>
              </w:rPr>
              <w:t>额定功率：60kW</w:t>
            </w:r>
          </w:p>
          <w:p w14:paraId="1E5FA334">
            <w:pPr>
              <w:pStyle w:val="89"/>
              <w:rPr>
                <w:rFonts w:eastAsia="等线"/>
                <w:kern w:val="2"/>
              </w:rPr>
            </w:pPr>
            <w:r>
              <w:rPr>
                <w:rFonts w:eastAsia="等线"/>
                <w:kern w:val="2"/>
              </w:rPr>
              <w:t>充电枪数：双枪</w:t>
            </w:r>
          </w:p>
          <w:p w14:paraId="104B41EE">
            <w:pPr>
              <w:pStyle w:val="89"/>
              <w:rPr>
                <w:rFonts w:eastAsia="等线"/>
                <w:kern w:val="2"/>
              </w:rPr>
            </w:pPr>
            <w:r>
              <w:rPr>
                <w:rFonts w:eastAsia="等线"/>
                <w:kern w:val="2"/>
              </w:rPr>
              <w:t xml:space="preserve">输入电压：AC 380V </w:t>
            </w:r>
          </w:p>
          <w:p w14:paraId="0FA6E116">
            <w:pPr>
              <w:pStyle w:val="89"/>
              <w:rPr>
                <w:rFonts w:eastAsia="等线"/>
                <w:kern w:val="2"/>
              </w:rPr>
            </w:pPr>
            <w:r>
              <w:rPr>
                <w:rFonts w:eastAsia="等线"/>
                <w:kern w:val="2"/>
              </w:rPr>
              <w:t>最大输出电流：≤200A</w:t>
            </w:r>
          </w:p>
          <w:p w14:paraId="6CBBFE48">
            <w:pPr>
              <w:pStyle w:val="89"/>
              <w:rPr>
                <w:rFonts w:eastAsia="等线"/>
                <w:kern w:val="2"/>
              </w:rPr>
            </w:pPr>
            <w:r>
              <w:rPr>
                <w:rFonts w:eastAsia="等线"/>
                <w:kern w:val="2"/>
              </w:rPr>
              <w:t>防护等级：≥IP54</w:t>
            </w:r>
          </w:p>
          <w:p w14:paraId="4B1544B4">
            <w:pPr>
              <w:pStyle w:val="89"/>
              <w:rPr>
                <w:rFonts w:eastAsia="等线"/>
                <w:kern w:val="2"/>
              </w:rPr>
            </w:pPr>
            <w:r>
              <w:rPr>
                <w:rFonts w:eastAsia="等线"/>
                <w:kern w:val="2"/>
              </w:rPr>
              <w:t>启动方式：扫码/刷卡</w:t>
            </w:r>
          </w:p>
          <w:p w14:paraId="79F7EA89">
            <w:pPr>
              <w:pStyle w:val="89"/>
              <w:rPr>
                <w:rFonts w:eastAsia="等线"/>
                <w:kern w:val="2"/>
              </w:rPr>
            </w:pPr>
            <w:r>
              <w:rPr>
                <w:rFonts w:eastAsia="等线"/>
                <w:kern w:val="2"/>
              </w:rPr>
              <w:t>联网方式：4G</w:t>
            </w:r>
          </w:p>
          <w:p w14:paraId="21774FC1">
            <w:pPr>
              <w:pStyle w:val="89"/>
              <w:rPr>
                <w:rFonts w:eastAsia="等线"/>
                <w:kern w:val="2"/>
              </w:rPr>
            </w:pPr>
            <w:r>
              <w:rPr>
                <w:rFonts w:eastAsia="等线"/>
                <w:kern w:val="2"/>
              </w:rPr>
              <w:t>安装形式：落地安装</w:t>
            </w:r>
          </w:p>
          <w:p w14:paraId="2B08C8E1">
            <w:pPr>
              <w:pStyle w:val="89"/>
              <w:rPr>
                <w:rFonts w:eastAsia="等线"/>
                <w:kern w:val="2"/>
              </w:rPr>
            </w:pPr>
            <w:r>
              <w:rPr>
                <w:rFonts w:eastAsia="等线"/>
                <w:kern w:val="2"/>
              </w:rPr>
              <w:t>枪线长度：≥5m</w:t>
            </w:r>
          </w:p>
        </w:tc>
        <w:tc>
          <w:tcPr>
            <w:tcW w:w="1383" w:type="dxa"/>
            <w:vAlign w:val="center"/>
          </w:tcPr>
          <w:p w14:paraId="0BF34CD3">
            <w:pPr>
              <w:pStyle w:val="89"/>
              <w:rPr>
                <w:rFonts w:eastAsia="等线"/>
                <w:kern w:val="2"/>
              </w:rPr>
            </w:pPr>
            <w:r>
              <w:rPr>
                <w:rFonts w:eastAsia="等线"/>
                <w:kern w:val="2"/>
              </w:rPr>
              <w:t>2号楼南侧停车场</w:t>
            </w:r>
          </w:p>
        </w:tc>
        <w:tc>
          <w:tcPr>
            <w:tcW w:w="856" w:type="dxa"/>
            <w:vAlign w:val="center"/>
          </w:tcPr>
          <w:p w14:paraId="1EE90BCA">
            <w:pPr>
              <w:pStyle w:val="89"/>
              <w:rPr>
                <w:rFonts w:eastAsia="等线"/>
                <w:kern w:val="2"/>
              </w:rPr>
            </w:pPr>
            <w:r>
              <w:rPr>
                <w:rFonts w:eastAsia="等线"/>
                <w:kern w:val="2"/>
              </w:rPr>
              <w:t>1</w:t>
            </w:r>
          </w:p>
        </w:tc>
        <w:tc>
          <w:tcPr>
            <w:tcW w:w="2027" w:type="dxa"/>
            <w:vAlign w:val="center"/>
          </w:tcPr>
          <w:p w14:paraId="7ADC85EF">
            <w:pPr>
              <w:pStyle w:val="89"/>
              <w:rPr>
                <w:rFonts w:eastAsia="等线"/>
                <w:b/>
                <w:bCs/>
                <w:kern w:val="2"/>
              </w:rPr>
            </w:pPr>
            <w:r>
              <w:rPr>
                <w:rFonts w:eastAsia="等线"/>
                <w:b/>
                <w:bCs/>
                <w:kern w:val="2"/>
              </w:rPr>
              <w:t>响应人的充电桩计费平台须支持与学校对公账户对接，实现微信、支付宝扫码支付，且费用直接进入学校对公账户</w:t>
            </w:r>
          </w:p>
        </w:tc>
      </w:tr>
      <w:tr w14:paraId="6D45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3" w:type="dxa"/>
            <w:vAlign w:val="center"/>
          </w:tcPr>
          <w:p w14:paraId="7AA1114D">
            <w:pPr>
              <w:pStyle w:val="89"/>
              <w:rPr>
                <w:rFonts w:eastAsia="等线"/>
                <w:kern w:val="2"/>
              </w:rPr>
            </w:pPr>
            <w:r>
              <w:rPr>
                <w:rFonts w:eastAsia="等线"/>
                <w:kern w:val="2"/>
              </w:rPr>
              <w:t>3</w:t>
            </w:r>
          </w:p>
        </w:tc>
        <w:tc>
          <w:tcPr>
            <w:tcW w:w="1153" w:type="dxa"/>
            <w:vAlign w:val="center"/>
          </w:tcPr>
          <w:p w14:paraId="4F1BB9F2">
            <w:pPr>
              <w:pStyle w:val="89"/>
              <w:rPr>
                <w:rFonts w:eastAsia="等线"/>
                <w:kern w:val="2"/>
              </w:rPr>
            </w:pPr>
            <w:r>
              <w:rPr>
                <w:rFonts w:eastAsia="等线"/>
                <w:kern w:val="2"/>
              </w:rPr>
              <w:t>设备安装服务</w:t>
            </w:r>
          </w:p>
        </w:tc>
        <w:tc>
          <w:tcPr>
            <w:tcW w:w="2567" w:type="dxa"/>
            <w:vAlign w:val="center"/>
          </w:tcPr>
          <w:p w14:paraId="7DA839D3">
            <w:pPr>
              <w:pStyle w:val="89"/>
              <w:rPr>
                <w:rFonts w:eastAsia="等线"/>
                <w:kern w:val="2"/>
              </w:rPr>
            </w:pPr>
            <w:r>
              <w:rPr>
                <w:rFonts w:eastAsia="等线"/>
                <w:kern w:val="2"/>
              </w:rPr>
              <w:t>设备安装</w:t>
            </w:r>
          </w:p>
        </w:tc>
        <w:tc>
          <w:tcPr>
            <w:tcW w:w="1383" w:type="dxa"/>
            <w:vAlign w:val="center"/>
          </w:tcPr>
          <w:p w14:paraId="32A02B77">
            <w:pPr>
              <w:pStyle w:val="89"/>
              <w:rPr>
                <w:rFonts w:eastAsia="等线"/>
                <w:kern w:val="2"/>
              </w:rPr>
            </w:pPr>
            <w:r>
              <w:rPr>
                <w:rFonts w:eastAsia="等线"/>
                <w:kern w:val="2"/>
              </w:rPr>
              <w:t>2号楼南侧停车场</w:t>
            </w:r>
          </w:p>
        </w:tc>
        <w:tc>
          <w:tcPr>
            <w:tcW w:w="856" w:type="dxa"/>
            <w:vAlign w:val="center"/>
          </w:tcPr>
          <w:p w14:paraId="167218DD">
            <w:pPr>
              <w:pStyle w:val="89"/>
              <w:rPr>
                <w:rFonts w:eastAsia="等线"/>
                <w:kern w:val="2"/>
              </w:rPr>
            </w:pPr>
            <w:r>
              <w:rPr>
                <w:rFonts w:eastAsia="等线"/>
                <w:kern w:val="2"/>
              </w:rPr>
              <w:t>-</w:t>
            </w:r>
          </w:p>
        </w:tc>
        <w:tc>
          <w:tcPr>
            <w:tcW w:w="2027" w:type="dxa"/>
            <w:vAlign w:val="center"/>
          </w:tcPr>
          <w:p w14:paraId="37E4FD08">
            <w:pPr>
              <w:pStyle w:val="89"/>
              <w:rPr>
                <w:rFonts w:eastAsia="等线"/>
                <w:kern w:val="2"/>
              </w:rPr>
            </w:pPr>
          </w:p>
        </w:tc>
      </w:tr>
      <w:tr w14:paraId="37E5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013" w:type="dxa"/>
            <w:vAlign w:val="center"/>
          </w:tcPr>
          <w:p w14:paraId="0D9B6E07">
            <w:pPr>
              <w:pStyle w:val="89"/>
              <w:rPr>
                <w:rFonts w:eastAsia="等线"/>
                <w:kern w:val="2"/>
              </w:rPr>
            </w:pPr>
            <w:r>
              <w:rPr>
                <w:rFonts w:eastAsia="等线"/>
                <w:kern w:val="2"/>
              </w:rPr>
              <w:t>4</w:t>
            </w:r>
          </w:p>
        </w:tc>
        <w:tc>
          <w:tcPr>
            <w:tcW w:w="1153" w:type="dxa"/>
            <w:vAlign w:val="center"/>
          </w:tcPr>
          <w:p w14:paraId="3DB6CDEE">
            <w:pPr>
              <w:pStyle w:val="89"/>
              <w:rPr>
                <w:rFonts w:eastAsia="等线"/>
                <w:kern w:val="2"/>
              </w:rPr>
            </w:pPr>
            <w:r>
              <w:rPr>
                <w:rFonts w:eastAsia="等线"/>
                <w:kern w:val="2"/>
              </w:rPr>
              <w:t>维护费用</w:t>
            </w:r>
          </w:p>
        </w:tc>
        <w:tc>
          <w:tcPr>
            <w:tcW w:w="2567" w:type="dxa"/>
            <w:vAlign w:val="center"/>
          </w:tcPr>
          <w:p w14:paraId="79F574AB">
            <w:pPr>
              <w:pStyle w:val="89"/>
              <w:rPr>
                <w:rFonts w:eastAsia="等线"/>
                <w:kern w:val="2"/>
              </w:rPr>
            </w:pPr>
            <w:r>
              <w:rPr>
                <w:rFonts w:eastAsia="等线"/>
                <w:kern w:val="2"/>
              </w:rPr>
              <w:t>7个充电桩维护及运管平台维护</w:t>
            </w:r>
          </w:p>
        </w:tc>
        <w:tc>
          <w:tcPr>
            <w:tcW w:w="1383" w:type="dxa"/>
            <w:vAlign w:val="center"/>
          </w:tcPr>
          <w:p w14:paraId="5BE4841B">
            <w:pPr>
              <w:pStyle w:val="89"/>
              <w:rPr>
                <w:rFonts w:eastAsia="等线"/>
                <w:kern w:val="2"/>
              </w:rPr>
            </w:pPr>
            <w:r>
              <w:rPr>
                <w:rFonts w:eastAsia="等线"/>
                <w:kern w:val="2"/>
              </w:rPr>
              <w:t>运管</w:t>
            </w:r>
          </w:p>
          <w:p w14:paraId="50754C61">
            <w:pPr>
              <w:pStyle w:val="89"/>
              <w:rPr>
                <w:rFonts w:eastAsia="等线"/>
                <w:kern w:val="2"/>
              </w:rPr>
            </w:pPr>
            <w:r>
              <w:rPr>
                <w:rFonts w:eastAsia="等线"/>
                <w:kern w:val="2"/>
              </w:rPr>
              <w:t>平台</w:t>
            </w:r>
          </w:p>
        </w:tc>
        <w:tc>
          <w:tcPr>
            <w:tcW w:w="856" w:type="dxa"/>
            <w:vAlign w:val="center"/>
          </w:tcPr>
          <w:p w14:paraId="5B58B1E9">
            <w:pPr>
              <w:pStyle w:val="89"/>
              <w:rPr>
                <w:rFonts w:eastAsia="等线"/>
                <w:kern w:val="2"/>
              </w:rPr>
            </w:pPr>
            <w:r>
              <w:rPr>
                <w:rFonts w:eastAsia="等线"/>
                <w:kern w:val="2"/>
              </w:rPr>
              <w:t>-</w:t>
            </w:r>
          </w:p>
        </w:tc>
        <w:tc>
          <w:tcPr>
            <w:tcW w:w="2027" w:type="dxa"/>
            <w:vAlign w:val="center"/>
          </w:tcPr>
          <w:p w14:paraId="2C780AB3">
            <w:pPr>
              <w:pStyle w:val="89"/>
              <w:rPr>
                <w:rFonts w:eastAsia="等线"/>
                <w:kern w:val="2"/>
              </w:rPr>
            </w:pPr>
            <w:r>
              <w:rPr>
                <w:rFonts w:eastAsia="等线"/>
                <w:kern w:val="2"/>
              </w:rPr>
              <w:t>五年费用，一年一付</w:t>
            </w:r>
          </w:p>
        </w:tc>
      </w:tr>
    </w:tbl>
    <w:p w14:paraId="678817C9">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4、项目期限：成交人应在合同签订后21天内，完成设备的安装、调试工作；</w:t>
      </w:r>
    </w:p>
    <w:p w14:paraId="4E39E972">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5、费用支付：</w:t>
      </w:r>
    </w:p>
    <w:p w14:paraId="6D8C75E0">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（1）设备采购费：设备安装结束并验收合格后，根据成交人提供的发票和合同要求，向成交人一次性支付设备采购费用。</w:t>
      </w:r>
    </w:p>
    <w:p w14:paraId="6D4AE6D0">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2）设备维护费：五年维保期，一年一付，维保期起始日自设备安装、调试结束并验收合格之日起开始计算。第一年，设备投入运行并正常使用后，采购人根据成交人提供的发票和合同要求，向成交人支付设备维护费。次年起，成交人须在维保期起始日前一个月内提供发票和合同要求，采购人根据成交人提供的发票和合同要求，向成交人支付设备维护费。</w:t>
      </w:r>
    </w:p>
    <w:p w14:paraId="10986A9F">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（3）场地占用费：无。</w:t>
      </w:r>
    </w:p>
    <w:p w14:paraId="12B3FCC7">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二、项目建设要求</w:t>
      </w:r>
    </w:p>
    <w:p w14:paraId="0D388946">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 xml:space="preserve">（一）项目建设方案 </w:t>
      </w:r>
    </w:p>
    <w:p w14:paraId="496B3F75">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1、建设模式</w:t>
      </w:r>
    </w:p>
    <w:p w14:paraId="77BD4599">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（1）响应人提供相关设备及服务。</w:t>
      </w:r>
    </w:p>
    <w:p w14:paraId="1C52FC0E">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（2）响应人提供智能充电桩设备及辅材、安装、调试直至交付使用。</w:t>
      </w:r>
    </w:p>
    <w:p w14:paraId="0E2902C6">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（3）采购人提供总电源电缆至供电点位（符合充电桩使用要求）。</w:t>
      </w:r>
    </w:p>
    <w:p w14:paraId="324C47B4">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（4）采购人提供场地，由响应人负责安装施工。</w:t>
      </w:r>
    </w:p>
    <w:p w14:paraId="6EF30142">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（5）充电桩设备归采购方所有。</w:t>
      </w:r>
    </w:p>
    <w:p w14:paraId="4629C6FE">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2、收费说明：</w:t>
      </w:r>
    </w:p>
    <w:p w14:paraId="34D4A968">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（1）新能源汽车充电桩由采购方自行收取充电费用（响应人的充电桩计费平台须支持与学校对公账户对接，实现微信、支付宝扫码支付，且费用直接进入学校对公账户）。</w:t>
      </w:r>
    </w:p>
    <w:p w14:paraId="3A604D85">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(2)采购方可根据实际情况调整收费标准。</w:t>
      </w:r>
    </w:p>
    <w:p w14:paraId="5891A638">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3、响应人应认真勘察施工现场，复核施工工程量，且应自行考虑因各种困难因素发生的费用，以后不得以此为由提出额外增加费用的要求。</w:t>
      </w:r>
    </w:p>
    <w:p w14:paraId="086B06B0">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4、响应人报价中应包含所有设备购置费、运输费、工程材料费、搬运费、施工费、安装费、调试费、脚手费、利润、税费等各方面的费用。</w:t>
      </w:r>
    </w:p>
    <w:p w14:paraId="5ACDA240">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（二）设备相关要求</w:t>
      </w:r>
    </w:p>
    <w:p w14:paraId="7D55AF43">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1、充电桩的质量符合国家现行规范和技术标准的规定；附带安装及使用说明、产品检测报告、其它证明设备符合采购要求的材料。</w:t>
      </w:r>
    </w:p>
    <w:p w14:paraId="045A9347">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2、系统功能要求：</w:t>
      </w:r>
    </w:p>
    <w:p w14:paraId="3C9468D1">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 xml:space="preserve">设备具备输入欠压、输入过压、输出短路、输出过压、输出过流、绝缘检测、通讯故障等保护功能。外部装有运行指示灯。 </w:t>
      </w:r>
    </w:p>
    <w:p w14:paraId="15C7EA70">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3、产品执行技术标准：</w:t>
      </w:r>
    </w:p>
    <w:p w14:paraId="28434959">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 xml:space="preserve">投标方所提供的材料及设备应是全新的，且设备的制造标准及技术规范必须满足国家相关规范，包括但不仅限于以下标准： </w:t>
      </w:r>
    </w:p>
    <w:p w14:paraId="57C025B4">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GB/T18487.1-2015《电动汽车传导充电系统 第1部分：通用要求》 </w:t>
      </w:r>
    </w:p>
    <w:p w14:paraId="29B4C24D">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GB/T18487.2-2017《电动汽车传导充电系统 第2部分：非车载传导供电设备电磁兼容要求》</w:t>
      </w:r>
    </w:p>
    <w:p w14:paraId="0E2E68E5">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GB/T34657.1-2017《电动汽车传导充电互操作性测试规范 第1部分：供电设备》</w:t>
      </w:r>
    </w:p>
    <w:p w14:paraId="009A6AE5">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NB/T33002-2018《电动汽车交流充电桩技术条件》</w:t>
      </w:r>
    </w:p>
    <w:p w14:paraId="450BCBC8">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NB/T33008.2-2018《电动汽车充电设备检验试验规范 第2部分：交流充电桩》</w:t>
      </w:r>
    </w:p>
    <w:p w14:paraId="067D8D79">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4、交流充电桩、直流充电桩质保期为五年。</w:t>
      </w:r>
    </w:p>
    <w:p w14:paraId="518A9BC8">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（三）运维平台系统要求</w:t>
      </w:r>
    </w:p>
    <w:p w14:paraId="47E6EB00">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1、系统必须是平台化管理的大数据架构系统。</w:t>
      </w:r>
    </w:p>
    <w:p w14:paraId="0C11F141">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 xml:space="preserve">2、在用户端能够查询到运行状态、充电时间、计费信息、故障提示等信息。 </w:t>
      </w:r>
    </w:p>
    <w:p w14:paraId="65AD1421">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3、显示信息包括不限于充电用时、充电状态、订单总价等内容。</w:t>
      </w:r>
    </w:p>
    <w:p w14:paraId="0098EE4D">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充电结束后，余额即时自动退还或按充电金额自动扣费。</w:t>
      </w:r>
    </w:p>
    <w:p w14:paraId="2FAB2236">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4、支持远程断电，当手机软件内点击停止充电按钮，充电桩应停止供电。</w:t>
      </w:r>
    </w:p>
    <w:p w14:paraId="57E84693">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 xml:space="preserve">5、登录平台，可查看站点信息、设备信息、用户信息、设备在线状态、用电量、充电起止时间、消费情况、充电状态、结束类型等。平台需提供充电结束提醒服务，充电完成后，需向用户发送充电完成、及时挪车的提示信息。 </w:t>
      </w:r>
    </w:p>
    <w:p w14:paraId="7572EDC8">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6、计费要求：按KWH计费，断电后自动退费。</w:t>
      </w:r>
    </w:p>
    <w:p w14:paraId="5F7C25D2">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7、远程控制：远程控制，对充电、断电、续充智能功能实现远程平台端及客户端控制。</w:t>
      </w:r>
    </w:p>
    <w:p w14:paraId="416BAA0A">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8、断电要求：当用户开始充电出现过载、过压、高温、漏电，充电桩具备检测功能，启动充电保护并执行自动断电程序，系统自动推送账单信息至客户端。</w:t>
      </w:r>
    </w:p>
    <w:p w14:paraId="30627804">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 xml:space="preserve">9、平台统计要求：平台对充电桩的使用情况（用电量、使用次数、平均时长、 使用天数）进行监管、统计并生成报表。平台需每月向校方指定的邮箱发送当月运营情况报表，需在报表中呈现当月车辆充电情况，充电起止时间，消费记录等必要信息。 </w:t>
      </w:r>
    </w:p>
    <w:p w14:paraId="27803C7E">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（四）施工要求</w:t>
      </w:r>
    </w:p>
    <w:p w14:paraId="3B5F3C0C">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 xml:space="preserve">1、成交人根据采购人现场实际情况，做好电线电缆敷设、设施设备安装调试工作，严格按照国家相关标准进行施工，并在施工过程中注意对原有管道、线路、设施设备进行保护，如有损坏必须在采购人规定的时间内予以修复，并赔偿因此造成的所有损失。 </w:t>
      </w:r>
    </w:p>
    <w:p w14:paraId="084DF4D1">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 xml:space="preserve">2、成交人负责包括但不限于充电桩及电源的购买、运输、安装、调试、维护、运营、安全等全部投资建设和运行管理、保险以及施工等全部费用。 </w:t>
      </w:r>
    </w:p>
    <w:p w14:paraId="4A4CE7C2">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3、注意施工现场安全，任何因施工造成的人员伤亡均由供应商承担。</w:t>
      </w:r>
    </w:p>
    <w:p w14:paraId="48307528">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4、因施工需停水停电的，应至少提前一天向采购人提出申请，根据采购人具体安排施工，不得影响采购人正常工作秩序。</w:t>
      </w:r>
    </w:p>
    <w:p w14:paraId="0F3BC1A9">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5、设备安装应加设两级漏电保护，确保充电安全。</w:t>
      </w:r>
    </w:p>
    <w:p w14:paraId="00F60818">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6、隐蔽工程的施工，应在采购人检验后方可进行下道工序。</w:t>
      </w:r>
    </w:p>
    <w:p w14:paraId="448CE90C">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7、成交人提供的施工所用材料的质量、型号、规格必须符合国家标准;在充电桩满负荷运营的基础上有一定的余量。</w:t>
      </w:r>
    </w:p>
    <w:p w14:paraId="0A8E9930">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8、施工前成交人应提前将施工图纸交由采购人审定，施工过程中如遇特殊情况需要改变原有方案的，及时向采购人申请，施工结束后成交人及时将最终的线路图纸交由采购人存档。</w:t>
      </w:r>
    </w:p>
    <w:p w14:paraId="42A4648D">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9、施工中保证充电桩排列整齐美观，距离均匀。</w:t>
      </w:r>
    </w:p>
    <w:p w14:paraId="0A436A6F">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（五）运营服务要求</w:t>
      </w:r>
    </w:p>
    <w:p w14:paraId="6A7E67E4">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1、质保期内充电桩的运营维护由成交人负责。成交人应配备管理、维修、维护、清洁等人员，确保设备完好运行。接到故障通知后，成交人30分钟内派发工单，巡检员在4小时内到达现场，24小时内解决故障。若48小时内设备未修理好，成交人立即为采购人更换同款机器保证采购人的正常使用。每个安装点位均应设置安全警示牌，用于提醒用户在正常及极端天气安全充电。在安装场地附近配置至少两瓶ABC干粉灭火器用于应急消防工作。成交人需为本项目投入保障额度不低于200万元/年的产品责任险。</w:t>
      </w:r>
    </w:p>
    <w:p w14:paraId="7B9EDCBF">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2、成交人云平台实时监控运营情况，记录充电信息，安全报警提示。用户可以通过APP或微信查看充电桩可用信息和充电状态。</w:t>
      </w:r>
    </w:p>
    <w:p w14:paraId="2DF09FBC">
      <w:pPr>
        <w:spacing w:after="0" w:line="360" w:lineRule="auto"/>
        <w:ind w:firstLine="508" w:firstLineChars="200"/>
        <w:jc w:val="both"/>
        <w:rPr>
          <w:rFonts w:hint="eastAsia" w:ascii="宋体" w:hAnsi="宋体" w:cs="宋体"/>
          <w:spacing w:val="7"/>
          <w:sz w:val="24"/>
          <w:szCs w:val="28"/>
        </w:rPr>
      </w:pPr>
      <w:r>
        <w:rPr>
          <w:rFonts w:hint="eastAsia" w:ascii="宋体" w:hAnsi="宋体" w:cs="宋体"/>
          <w:spacing w:val="7"/>
          <w:sz w:val="24"/>
          <w:szCs w:val="28"/>
        </w:rPr>
        <w:t>3、提供7×24小时技术支持及上门服务，每个充电桩安装点位必须公示安全提示、报修电话、使用说明，公示方式明显、清晰、牢固。</w:t>
      </w:r>
    </w:p>
    <w:p w14:paraId="43FB7F5E">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4、成交人保证提供终身技术支持服务。</w:t>
      </w:r>
    </w:p>
    <w:p w14:paraId="7BAC700D">
      <w:pPr>
        <w:spacing w:after="0" w:line="360" w:lineRule="auto"/>
        <w:ind w:firstLine="510" w:firstLineChars="200"/>
        <w:jc w:val="both"/>
        <w:rPr>
          <w:rFonts w:hint="eastAsia" w:ascii="宋体" w:hAnsi="宋体" w:cs="宋体"/>
          <w:b/>
          <w:bCs/>
          <w:spacing w:val="7"/>
          <w:sz w:val="24"/>
          <w:szCs w:val="28"/>
        </w:rPr>
      </w:pPr>
      <w:r>
        <w:rPr>
          <w:rFonts w:hint="eastAsia" w:ascii="宋体" w:hAnsi="宋体" w:cs="宋体"/>
          <w:b/>
          <w:bCs/>
          <w:spacing w:val="7"/>
          <w:sz w:val="24"/>
          <w:szCs w:val="28"/>
        </w:rPr>
        <w:t>（六）履约保证金</w:t>
      </w:r>
    </w:p>
    <w:p w14:paraId="69D041C6">
      <w:pPr>
        <w:spacing w:after="0" w:line="360" w:lineRule="auto"/>
        <w:ind w:firstLine="480" w:firstLineChars="200"/>
        <w:jc w:val="both"/>
        <w:rPr>
          <w:rFonts w:hint="eastAsia" w:ascii="宋体" w:hAnsi="宋体" w:cs="宋体"/>
          <w:bCs/>
          <w:sz w:val="24"/>
          <w:szCs w:val="28"/>
        </w:rPr>
      </w:pPr>
      <w:r>
        <w:rPr>
          <w:rFonts w:hint="eastAsia" w:ascii="宋体" w:hAnsi="宋体" w:cs="宋体"/>
          <w:bCs/>
          <w:sz w:val="24"/>
          <w:szCs w:val="28"/>
        </w:rPr>
        <w:t>1.本项目成交后的履约保证金为项目成交价的</w:t>
      </w:r>
      <w:r>
        <w:rPr>
          <w:rFonts w:hint="eastAsia" w:ascii="宋体" w:hAnsi="宋体" w:cs="宋体"/>
          <w:bCs/>
          <w:sz w:val="24"/>
          <w:szCs w:val="28"/>
          <w:lang w:val="en-US" w:eastAsia="zh-CN"/>
        </w:rPr>
        <w:t>10</w:t>
      </w:r>
      <w:r>
        <w:rPr>
          <w:rFonts w:hint="eastAsia" w:ascii="宋体" w:hAnsi="宋体" w:cs="宋体"/>
          <w:bCs/>
          <w:sz w:val="24"/>
          <w:szCs w:val="28"/>
        </w:rPr>
        <w:t xml:space="preserve">% 。 </w:t>
      </w:r>
    </w:p>
    <w:p w14:paraId="4EE7C103">
      <w:pPr>
        <w:spacing w:after="0" w:line="360" w:lineRule="auto"/>
        <w:ind w:firstLine="480" w:firstLineChars="200"/>
        <w:jc w:val="both"/>
        <w:rPr>
          <w:rFonts w:hint="eastAsia" w:ascii="宋体" w:hAnsi="宋体" w:cs="宋体"/>
          <w:bCs/>
          <w:sz w:val="24"/>
          <w:szCs w:val="28"/>
        </w:rPr>
      </w:pPr>
      <w:r>
        <w:rPr>
          <w:rFonts w:hint="eastAsia" w:ascii="宋体" w:hAnsi="宋体" w:cs="宋体"/>
          <w:bCs/>
          <w:sz w:val="24"/>
          <w:szCs w:val="28"/>
        </w:rPr>
        <w:t>2.成交供应商的履约保证金须在成交通知书发出之日起至合同签订前汇入采购单位账户，成交供应商凭成交通知书与采购单位签订合同。超期或未有协商，则视为自动放弃成交资格。</w:t>
      </w:r>
    </w:p>
    <w:p w14:paraId="54DB75A5">
      <w:pPr>
        <w:spacing w:after="0" w:line="360" w:lineRule="auto"/>
        <w:ind w:firstLine="480" w:firstLineChars="200"/>
        <w:jc w:val="both"/>
        <w:rPr>
          <w:rFonts w:hint="eastAsia" w:ascii="宋体" w:hAnsi="宋体" w:cs="宋体"/>
          <w:bCs/>
          <w:sz w:val="24"/>
          <w:szCs w:val="28"/>
        </w:rPr>
      </w:pPr>
      <w:r>
        <w:rPr>
          <w:rFonts w:hint="eastAsia" w:ascii="宋体" w:hAnsi="宋体" w:cs="宋体"/>
          <w:bCs/>
          <w:sz w:val="24"/>
          <w:szCs w:val="28"/>
        </w:rPr>
        <w:t>3.成交供应商全部履约合同义务，经采购单位验收合格无质量、进度等问题的，采购人一次性无息退还履约保证金；</w:t>
      </w:r>
    </w:p>
    <w:p w14:paraId="37DDE806">
      <w:pPr>
        <w:spacing w:after="0" w:line="360" w:lineRule="auto"/>
        <w:ind w:firstLine="480" w:firstLineChars="200"/>
        <w:jc w:val="both"/>
        <w:rPr>
          <w:rFonts w:hint="eastAsia" w:ascii="宋体" w:hAnsi="宋体" w:cs="宋体"/>
          <w:bCs/>
          <w:sz w:val="24"/>
          <w:szCs w:val="28"/>
        </w:rPr>
      </w:pPr>
      <w:r>
        <w:rPr>
          <w:rFonts w:hint="eastAsia" w:ascii="宋体" w:hAnsi="宋体" w:cs="宋体"/>
          <w:bCs/>
          <w:sz w:val="24"/>
          <w:szCs w:val="28"/>
        </w:rPr>
        <w:t>4.发生以下情况的，履约保证金不予退还或部分退还：</w:t>
      </w:r>
    </w:p>
    <w:p w14:paraId="600BE8B8">
      <w:pPr>
        <w:spacing w:after="0" w:line="360" w:lineRule="auto"/>
        <w:ind w:firstLine="480" w:firstLineChars="200"/>
        <w:jc w:val="both"/>
        <w:rPr>
          <w:rFonts w:hint="eastAsia" w:ascii="宋体" w:hAnsi="宋体" w:cs="宋体"/>
          <w:bCs/>
          <w:sz w:val="24"/>
          <w:szCs w:val="28"/>
        </w:rPr>
      </w:pPr>
      <w:r>
        <w:rPr>
          <w:rFonts w:hint="eastAsia" w:ascii="宋体" w:hAnsi="宋体" w:cs="宋体"/>
          <w:bCs/>
          <w:sz w:val="24"/>
          <w:szCs w:val="28"/>
        </w:rPr>
        <w:t>4.1签订合同后，成交供应商不履行合同义务的，采购单位有权全额扣除履约保证金，全额不予退还，同时采购单位亦有权终止合同，成交供应商还须承担相应的法律赔偿责任。</w:t>
      </w:r>
    </w:p>
    <w:p w14:paraId="09A0687F">
      <w:pPr>
        <w:spacing w:after="0" w:line="360" w:lineRule="auto"/>
        <w:ind w:firstLine="480" w:firstLineChars="200"/>
        <w:jc w:val="both"/>
        <w:rPr>
          <w:rFonts w:hint="eastAsia" w:ascii="宋体" w:hAnsi="宋体" w:cs="宋体"/>
          <w:b/>
          <w:sz w:val="24"/>
          <w:szCs w:val="28"/>
        </w:rPr>
      </w:pPr>
      <w:r>
        <w:rPr>
          <w:rFonts w:hint="eastAsia" w:ascii="宋体" w:hAnsi="宋体" w:cs="宋体"/>
          <w:bCs/>
          <w:sz w:val="24"/>
          <w:szCs w:val="28"/>
        </w:rPr>
        <w:t>4.2成交供应商在履约过程中发生违约行为，给采购单位造成损失的，采购单位有权在成交供应商缴纳的履约保证金中予以扣款，以弥补采购单位经济损失，不足的成交供应商另外补齐。</w:t>
      </w:r>
    </w:p>
    <w:p w14:paraId="348691DE">
      <w:pPr>
        <w:rPr>
          <w:rFonts w:hint="eastAsia" w:ascii="宋体" w:hAnsi="宋体" w:cs="宋体"/>
          <w:b/>
          <w:bCs/>
          <w:sz w:val="24"/>
          <w:szCs w:val="28"/>
        </w:rPr>
      </w:pPr>
      <w:r>
        <w:rPr>
          <w:rFonts w:hint="eastAsia" w:ascii="宋体" w:hAnsi="宋体" w:cs="宋体"/>
          <w:b/>
          <w:bCs/>
          <w:sz w:val="24"/>
          <w:szCs w:val="28"/>
        </w:rPr>
        <w:br w:type="page"/>
      </w:r>
    </w:p>
    <w:p w14:paraId="34A39201">
      <w:pPr>
        <w:spacing w:after="0" w:line="360" w:lineRule="auto"/>
        <w:ind w:firstLine="482" w:firstLineChars="200"/>
        <w:jc w:val="center"/>
        <w:rPr>
          <w:rFonts w:hint="eastAsia" w:ascii="宋体" w:hAnsi="宋体" w:cs="宋体"/>
          <w:b/>
          <w:bCs/>
          <w:sz w:val="24"/>
          <w:szCs w:val="24"/>
          <w:lang w:val="zh-CN"/>
        </w:rPr>
      </w:pPr>
      <w:r>
        <w:rPr>
          <w:rFonts w:hint="eastAsia" w:ascii="宋体" w:hAnsi="宋体" w:cs="宋体"/>
          <w:b/>
          <w:bCs/>
          <w:sz w:val="24"/>
          <w:szCs w:val="24"/>
        </w:rPr>
        <w:t xml:space="preserve">第三部分 </w:t>
      </w:r>
      <w:r>
        <w:rPr>
          <w:rFonts w:hint="eastAsia" w:ascii="宋体" w:hAnsi="宋体" w:cs="宋体"/>
          <w:b/>
          <w:bCs/>
          <w:sz w:val="24"/>
          <w:szCs w:val="24"/>
          <w:lang w:val="zh-CN"/>
        </w:rPr>
        <w:t>开标、评标</w:t>
      </w:r>
    </w:p>
    <w:p w14:paraId="000EAB4B">
      <w:pPr>
        <w:spacing w:after="0" w:line="360" w:lineRule="auto"/>
        <w:ind w:firstLine="482" w:firstLineChars="200"/>
        <w:rPr>
          <w:rFonts w:hint="eastAsia" w:ascii="宋体" w:hAnsi="宋体" w:cs="宋体"/>
          <w:b/>
          <w:bCs/>
          <w:sz w:val="24"/>
          <w:szCs w:val="28"/>
          <w:lang w:val="zh-CN"/>
        </w:rPr>
      </w:pPr>
      <w:r>
        <w:rPr>
          <w:rFonts w:hint="eastAsia" w:ascii="宋体" w:hAnsi="宋体" w:cs="宋体"/>
          <w:b/>
          <w:bCs/>
          <w:sz w:val="24"/>
          <w:szCs w:val="28"/>
        </w:rPr>
        <w:t>一、</w:t>
      </w:r>
      <w:r>
        <w:rPr>
          <w:rFonts w:hint="eastAsia" w:ascii="宋体" w:hAnsi="宋体" w:cs="宋体"/>
          <w:b/>
          <w:bCs/>
          <w:sz w:val="24"/>
          <w:szCs w:val="28"/>
          <w:lang w:val="zh-CN"/>
        </w:rPr>
        <w:t>评标流程</w:t>
      </w:r>
    </w:p>
    <w:p w14:paraId="3AE24E8C">
      <w:pPr>
        <w:spacing w:after="0" w:line="360" w:lineRule="auto"/>
        <w:ind w:firstLine="482" w:firstLineChars="200"/>
        <w:rPr>
          <w:rFonts w:hint="eastAsia" w:ascii="宋体" w:hAnsi="宋体" w:cs="宋体"/>
          <w:b/>
          <w:bCs/>
          <w:sz w:val="24"/>
          <w:szCs w:val="28"/>
          <w:lang w:val="zh-CN"/>
        </w:rPr>
      </w:pPr>
      <w:r>
        <w:rPr>
          <w:rFonts w:hint="eastAsia" w:ascii="宋体" w:hAnsi="宋体" w:cs="宋体"/>
          <w:b/>
          <w:bCs/>
          <w:sz w:val="24"/>
          <w:szCs w:val="28"/>
          <w:lang w:val="zh-CN"/>
        </w:rPr>
        <w:t>询价小组将根据询价文件相关标准对供应商的资格进行审查，审查通过方可参与项目的价格评标。符合招标商务条款和技术参数要求的前提下，按供应商</w:t>
      </w:r>
      <w:r>
        <w:rPr>
          <w:rFonts w:hint="eastAsia" w:ascii="宋体" w:hAnsi="宋体" w:cs="宋体"/>
          <w:b/>
          <w:bCs/>
          <w:sz w:val="24"/>
          <w:szCs w:val="28"/>
        </w:rPr>
        <w:t>评审价</w:t>
      </w:r>
      <w:r>
        <w:rPr>
          <w:rFonts w:hint="eastAsia" w:ascii="宋体" w:hAnsi="宋体" w:cs="宋体"/>
          <w:b/>
          <w:bCs/>
          <w:sz w:val="24"/>
          <w:szCs w:val="28"/>
          <w:lang w:val="zh-CN"/>
        </w:rPr>
        <w:t>由低到高排序，推荐前三名为成交候选人，排名第一的为第一成交候选人，即为本项目的供应商，其投标价为本项目成交价,评审价如有相同者，抽签确定成交供应商。</w:t>
      </w:r>
    </w:p>
    <w:p w14:paraId="421A72C7">
      <w:pPr>
        <w:spacing w:after="0" w:line="360" w:lineRule="auto"/>
        <w:ind w:firstLine="482" w:firstLineChars="200"/>
        <w:rPr>
          <w:rFonts w:hint="eastAsia" w:ascii="宋体" w:hAnsi="宋体" w:cs="宋体"/>
          <w:b/>
          <w:bCs/>
          <w:sz w:val="24"/>
          <w:szCs w:val="28"/>
        </w:rPr>
      </w:pPr>
      <w:r>
        <w:rPr>
          <w:rFonts w:hint="eastAsia" w:ascii="宋体" w:hAnsi="宋体" w:cs="宋体"/>
          <w:b/>
          <w:bCs/>
          <w:sz w:val="24"/>
          <w:szCs w:val="28"/>
        </w:rPr>
        <w:t>二、询价评审方法</w:t>
      </w:r>
    </w:p>
    <w:p w14:paraId="11D37659">
      <w:pPr>
        <w:spacing w:after="0" w:line="360" w:lineRule="auto"/>
        <w:ind w:firstLine="480" w:firstLineChars="200"/>
        <w:rPr>
          <w:rFonts w:hint="eastAsia" w:ascii="宋体" w:hAnsi="宋体" w:cs="宋体"/>
          <w:sz w:val="24"/>
          <w:szCs w:val="28"/>
        </w:rPr>
      </w:pPr>
      <w:r>
        <w:rPr>
          <w:rFonts w:hint="eastAsia" w:ascii="宋体" w:hAnsi="宋体" w:cs="宋体"/>
          <w:sz w:val="24"/>
          <w:szCs w:val="28"/>
        </w:rPr>
        <w:t>2.1询价小组严格按照询价文件的规定要求、条件标准，对询价响应供应商所提供的完整计划标的物采购的服务是否符合采购需求，对其质量和服务等实质性响应内容进行比较评价。</w:t>
      </w:r>
    </w:p>
    <w:p w14:paraId="4EDAE9A5">
      <w:pPr>
        <w:spacing w:after="0" w:line="360" w:lineRule="auto"/>
        <w:ind w:firstLine="480" w:firstLineChars="200"/>
        <w:rPr>
          <w:rFonts w:hint="eastAsia" w:ascii="宋体" w:hAnsi="宋体" w:cs="宋体"/>
          <w:sz w:val="24"/>
          <w:szCs w:val="28"/>
        </w:rPr>
      </w:pPr>
      <w:r>
        <w:rPr>
          <w:rFonts w:hint="eastAsia" w:ascii="宋体" w:hAnsi="宋体" w:cs="宋体"/>
          <w:sz w:val="24"/>
          <w:szCs w:val="28"/>
        </w:rPr>
        <w:t>2.2判定符合采购需求、质量和服务相等的询价响应供应商后，针对其报价进行最终判定。</w:t>
      </w:r>
    </w:p>
    <w:p w14:paraId="28EF53AA">
      <w:pPr>
        <w:spacing w:after="0" w:line="360" w:lineRule="auto"/>
        <w:ind w:firstLine="480" w:firstLineChars="200"/>
        <w:rPr>
          <w:rFonts w:hint="eastAsia" w:ascii="宋体" w:hAnsi="宋体" w:cs="宋体"/>
          <w:sz w:val="24"/>
          <w:szCs w:val="28"/>
        </w:rPr>
      </w:pPr>
      <w:r>
        <w:rPr>
          <w:rFonts w:hint="eastAsia" w:ascii="宋体" w:hAnsi="宋体" w:cs="宋体"/>
          <w:sz w:val="24"/>
          <w:szCs w:val="28"/>
        </w:rPr>
        <w:t xml:space="preserve">2.3价格评审 </w:t>
      </w:r>
    </w:p>
    <w:p w14:paraId="4F0BF938">
      <w:pPr>
        <w:spacing w:after="0" w:line="360" w:lineRule="auto"/>
        <w:ind w:firstLine="480" w:firstLineChars="200"/>
        <w:rPr>
          <w:rFonts w:hint="eastAsia" w:ascii="宋体" w:hAnsi="宋体" w:cs="宋体"/>
          <w:sz w:val="24"/>
          <w:szCs w:val="28"/>
        </w:rPr>
      </w:pPr>
      <w:r>
        <w:rPr>
          <w:rFonts w:hint="eastAsia" w:ascii="宋体" w:hAnsi="宋体" w:cs="宋体"/>
          <w:sz w:val="24"/>
          <w:szCs w:val="28"/>
        </w:rPr>
        <w:t>（1）价格评审内容包括分析项目需求各产品单价是否合理，价格所含范围是否完整，有无重大错漏项。如果询价响应供应商的响应产品清单中有漏项并构成未实质性响应询价文件要求的，按无效询价处理。</w:t>
      </w:r>
    </w:p>
    <w:p w14:paraId="66EB6BA3">
      <w:pPr>
        <w:spacing w:after="0" w:line="360" w:lineRule="auto"/>
        <w:ind w:firstLine="482" w:firstLineChars="200"/>
        <w:rPr>
          <w:rFonts w:hint="eastAsia" w:ascii="宋体" w:hAnsi="宋体" w:cs="宋体"/>
          <w:b/>
          <w:bCs/>
          <w:sz w:val="24"/>
          <w:szCs w:val="24"/>
          <w:u w:val="single"/>
        </w:rPr>
      </w:pPr>
      <w:r>
        <w:rPr>
          <w:rFonts w:hint="eastAsia" w:ascii="宋体" w:hAnsi="宋体" w:cs="宋体"/>
          <w:b/>
          <w:bCs/>
          <w:sz w:val="24"/>
          <w:szCs w:val="24"/>
          <w:u w:val="single"/>
        </w:rPr>
        <w:t>（2）响应报价低于采购项目预算50%的，即响应报价＜采购项目预算×50%或者响应报价低于采购项目最高限价45%的，即响应报价＜采购项目最高限价×45%或者询价小组认为询价响应供应商报价过低，有可能影响产品或服务的质量或者不能诚信履约的，应当要求其“在评审现场”合理的时间内提供“书面”说明，必要时提交“相关证明”材料；被要求的询价响应供应商不能证明其“报价合理性”的，询价小组应当将其作为无效询价处理。</w:t>
      </w:r>
    </w:p>
    <w:p w14:paraId="5BB9D04B">
      <w:pPr>
        <w:spacing w:after="0" w:line="360" w:lineRule="auto"/>
        <w:ind w:firstLine="480" w:firstLineChars="200"/>
        <w:rPr>
          <w:rFonts w:hint="eastAsia" w:ascii="宋体" w:hAnsi="宋体" w:cs="宋体"/>
          <w:sz w:val="24"/>
          <w:szCs w:val="28"/>
        </w:rPr>
      </w:pPr>
      <w:r>
        <w:rPr>
          <w:rFonts w:hint="eastAsia" w:ascii="宋体" w:hAnsi="宋体" w:cs="宋体"/>
          <w:sz w:val="24"/>
          <w:szCs w:val="28"/>
        </w:rPr>
        <w:t>2.4本项目在全部满足询价文件实质性要求前提下，依据“符合采购需求、质量和服务相等且报价最低的原则”，采购人授权询价小组确定成交人，并编写评审报告。</w:t>
      </w:r>
    </w:p>
    <w:p w14:paraId="030BDF3D">
      <w:pPr>
        <w:spacing w:after="0" w:line="360" w:lineRule="auto"/>
        <w:ind w:firstLine="480" w:firstLineChars="200"/>
        <w:rPr>
          <w:rFonts w:hint="eastAsia" w:ascii="宋体" w:hAnsi="宋体" w:cs="宋体"/>
          <w:sz w:val="24"/>
          <w:szCs w:val="28"/>
        </w:rPr>
      </w:pPr>
      <w:r>
        <w:rPr>
          <w:rFonts w:hint="eastAsia" w:ascii="宋体" w:hAnsi="宋体" w:cs="宋体"/>
          <w:sz w:val="24"/>
          <w:szCs w:val="28"/>
        </w:rPr>
        <w:t>2.5评审时的特殊情况处理：</w:t>
      </w:r>
    </w:p>
    <w:p w14:paraId="520E7331">
      <w:pPr>
        <w:spacing w:after="0" w:line="360" w:lineRule="auto"/>
        <w:ind w:firstLine="480" w:firstLineChars="200"/>
        <w:rPr>
          <w:rFonts w:hint="eastAsia" w:ascii="宋体" w:hAnsi="宋体" w:cs="宋体"/>
          <w:sz w:val="24"/>
          <w:szCs w:val="28"/>
        </w:rPr>
      </w:pPr>
      <w:r>
        <w:rPr>
          <w:rFonts w:hint="eastAsia" w:ascii="宋体" w:hAnsi="宋体" w:cs="宋体"/>
          <w:sz w:val="24"/>
          <w:szCs w:val="28"/>
        </w:rPr>
        <w:t>报价由低到高的顺序排列；报价相同的并列；排序并列第一的，则采取现场抽签的方式确定（供应商的抽签顺序分别为各供应商递交询价响应文件签到顺序号）。</w:t>
      </w:r>
    </w:p>
    <w:p w14:paraId="468548AE">
      <w:pPr>
        <w:spacing w:after="0" w:line="360" w:lineRule="auto"/>
        <w:ind w:firstLine="480" w:firstLineChars="200"/>
        <w:rPr>
          <w:rFonts w:hint="eastAsia" w:ascii="宋体" w:hAnsi="宋体" w:cs="宋体"/>
          <w:sz w:val="24"/>
          <w:szCs w:val="28"/>
        </w:rPr>
      </w:pPr>
      <w:r>
        <w:rPr>
          <w:rFonts w:hint="eastAsia" w:ascii="宋体" w:hAnsi="宋体" w:cs="宋体"/>
          <w:sz w:val="24"/>
          <w:szCs w:val="28"/>
        </w:rPr>
        <w:t>2.6询价小组对询价响应文件的判定，只依据询价响应文件内容本身，不依靠询价采购活动开始后的任何外来证明</w:t>
      </w:r>
      <w:bookmarkStart w:id="0" w:name="_Hlk67508224"/>
      <w:r>
        <w:rPr>
          <w:rFonts w:hint="eastAsia" w:ascii="宋体" w:hAnsi="宋体" w:cs="宋体"/>
          <w:sz w:val="24"/>
          <w:szCs w:val="28"/>
        </w:rPr>
        <w:t>【本章第四条第2.3点第（2）款除外】</w:t>
      </w:r>
      <w:bookmarkEnd w:id="0"/>
      <w:r>
        <w:rPr>
          <w:rFonts w:hint="eastAsia" w:ascii="宋体" w:hAnsi="宋体" w:cs="宋体"/>
          <w:sz w:val="24"/>
          <w:szCs w:val="28"/>
        </w:rPr>
        <w:t>。</w:t>
      </w:r>
    </w:p>
    <w:p w14:paraId="22DFC813">
      <w:pPr>
        <w:spacing w:after="0" w:line="360" w:lineRule="auto"/>
        <w:ind w:firstLine="480" w:firstLineChars="200"/>
        <w:rPr>
          <w:rFonts w:hint="eastAsia" w:ascii="宋体" w:hAnsi="宋体" w:cs="宋体"/>
          <w:sz w:val="24"/>
          <w:szCs w:val="28"/>
        </w:rPr>
      </w:pPr>
      <w:r>
        <w:rPr>
          <w:rFonts w:hint="eastAsia" w:ascii="宋体" w:hAnsi="宋体" w:cs="宋体"/>
          <w:sz w:val="24"/>
          <w:szCs w:val="28"/>
        </w:rPr>
        <w:t>2.7询价活动开始后，询价小组对询价文件的细则若有争议，由询价小组成员集体讨论确定。询价小组成员对需要共同认定的事项存有争议，应当按照少数服从多数的原则做出结论。持不同意见的询价小组成员应当在评审报告上签署不同意见及理由，否则视为同意评审报告。</w:t>
      </w:r>
    </w:p>
    <w:p w14:paraId="77FB0A1D">
      <w:pPr>
        <w:spacing w:after="0" w:line="360" w:lineRule="auto"/>
        <w:ind w:firstLine="480" w:firstLineChars="200"/>
        <w:rPr>
          <w:rFonts w:hint="eastAsia" w:ascii="宋体" w:hAnsi="宋体" w:cs="宋体"/>
          <w:b/>
          <w:bCs/>
          <w:sz w:val="24"/>
          <w:szCs w:val="28"/>
        </w:rPr>
      </w:pPr>
      <w:r>
        <w:rPr>
          <w:rFonts w:hint="eastAsia" w:ascii="宋体" w:hAnsi="宋体" w:cs="宋体"/>
          <w:sz w:val="24"/>
          <w:szCs w:val="28"/>
        </w:rPr>
        <w:t>2.8询价小组对评审未尽情况有最终解释权，且对落标的询价响应供应商不做落标原因的解释。</w:t>
      </w:r>
    </w:p>
    <w:p w14:paraId="1232AE6A">
      <w:pPr>
        <w:spacing w:after="0" w:line="360" w:lineRule="auto"/>
        <w:ind w:firstLine="482" w:firstLineChars="200"/>
        <w:jc w:val="both"/>
        <w:rPr>
          <w:rFonts w:hint="eastAsia" w:ascii="宋体" w:hAnsi="宋体" w:cs="宋体"/>
          <w:b/>
          <w:bCs/>
          <w:sz w:val="24"/>
          <w:szCs w:val="28"/>
        </w:rPr>
      </w:pPr>
      <w:r>
        <w:rPr>
          <w:rFonts w:hint="eastAsia" w:ascii="宋体" w:hAnsi="宋体" w:cs="宋体"/>
          <w:b/>
          <w:bCs/>
          <w:sz w:val="24"/>
          <w:szCs w:val="28"/>
        </w:rPr>
        <w:t>三、政府采购政策功能落实</w:t>
      </w:r>
    </w:p>
    <w:p w14:paraId="646A9A08">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3.1小微型企业价格扣除</w:t>
      </w:r>
    </w:p>
    <w:p w14:paraId="797D860A">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（1）本项目对小型和微型企业</w:t>
      </w:r>
      <w:r>
        <w:rPr>
          <w:rFonts w:hint="eastAsia" w:ascii="宋体" w:hAnsi="宋体" w:cs="宋体"/>
          <w:color w:val="auto"/>
          <w:sz w:val="24"/>
          <w:szCs w:val="28"/>
        </w:rPr>
        <w:t>货物</w:t>
      </w:r>
      <w:r>
        <w:rPr>
          <w:rFonts w:hint="eastAsia" w:ascii="宋体" w:hAnsi="宋体" w:cs="宋体"/>
          <w:sz w:val="24"/>
          <w:szCs w:val="28"/>
        </w:rPr>
        <w:t>给予10%的扣除价格，用扣除后的价格参与评审。</w:t>
      </w:r>
    </w:p>
    <w:p w14:paraId="25E4A0DF">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（2）供应商需按照《政府采购促进中小企业发展管理办法》（财库﹝2020﹞46 号）的规定提供相应的《中小企业声明函》。</w:t>
      </w:r>
    </w:p>
    <w:p w14:paraId="6880FCC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（3）企业标准请参照《关于印发中小企业划型标准规定的通知》（工信部联企业﹝2011﹞300号）文件规定自行填写。</w:t>
      </w:r>
    </w:p>
    <w:p w14:paraId="0E528628">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3.2残疾人福利单位价格扣除</w:t>
      </w:r>
    </w:p>
    <w:p w14:paraId="79661B1F">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（1）本项目对残疾人福利性单位，给予10%的价格扣除，用扣除后的价格参与评审。</w:t>
      </w:r>
    </w:p>
    <w:p w14:paraId="5FE836CC">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（2）残疾人福利单位需按照采购文件的要求提供《残疾人福利性单位声明函》。</w:t>
      </w:r>
    </w:p>
    <w:p w14:paraId="52E7611C">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（3）残疾人福利单位标准请参照《关于促进残疾人就业政府采购政策的通知》（财库〔2017〕141号）。</w:t>
      </w:r>
    </w:p>
    <w:p w14:paraId="7F2D815D">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3.3监狱和戒毒企业价格扣除</w:t>
      </w:r>
    </w:p>
    <w:p w14:paraId="5AFAC0BC">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（1）本项目对监狱和戒毒企业（简称监狱企业）给予10%的价格扣除，用扣除后的价格参与评审。</w:t>
      </w:r>
    </w:p>
    <w:p w14:paraId="4EAB4C8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（2）监狱企业参加政府采购活动时，需提供由省级以上监狱管理局、戒毒管理局(含新疆生产建设兵团)出具的属于监狱企业的证明文件。供应商如不提供上述证明文件，价格将不做相应扣除。</w:t>
      </w:r>
    </w:p>
    <w:p w14:paraId="79E4A587">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（3）监狱企业标准请参照《关于政府采购支持监狱企业发展有关问题的通知》（财库﹝2014﹞68号）。</w:t>
      </w:r>
    </w:p>
    <w:p w14:paraId="676756D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3.4残疾人福利单位、监狱企业属于小型、微型企业的，不重复享受政策。</w:t>
      </w:r>
    </w:p>
    <w:p w14:paraId="6DF8BDBA">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四、</w:t>
      </w:r>
      <w:r>
        <w:rPr>
          <w:rFonts w:hint="eastAsia" w:ascii="宋体" w:hAnsi="宋体" w:cs="宋体"/>
          <w:b/>
          <w:bCs/>
          <w:sz w:val="24"/>
          <w:szCs w:val="28"/>
          <w:lang w:val="zh-CN"/>
        </w:rPr>
        <w:t>询价小组负责具体评标事务。</w:t>
      </w:r>
    </w:p>
    <w:p w14:paraId="6FBE646F">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五、</w:t>
      </w:r>
      <w:r>
        <w:rPr>
          <w:rFonts w:hint="eastAsia" w:ascii="宋体" w:hAnsi="宋体" w:cs="宋体"/>
          <w:b/>
          <w:bCs/>
          <w:sz w:val="24"/>
          <w:szCs w:val="28"/>
          <w:lang w:val="zh-CN"/>
        </w:rPr>
        <w:t>投标费用</w:t>
      </w:r>
    </w:p>
    <w:p w14:paraId="4FC452D9">
      <w:pPr>
        <w:spacing w:after="0" w:line="360" w:lineRule="auto"/>
        <w:ind w:firstLine="480" w:firstLineChars="200"/>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无论询价过程和结果如何，参加询价的响应人自行承担与本次项目询价有关的全部费用。</w:t>
      </w:r>
    </w:p>
    <w:p w14:paraId="79320A46">
      <w:pPr>
        <w:shd w:val="clear" w:color="auto" w:fill="FFFFFF"/>
        <w:spacing w:after="0" w:line="360" w:lineRule="auto"/>
        <w:ind w:firstLine="480" w:firstLineChars="200"/>
        <w:rPr>
          <w:rFonts w:hint="eastAsia" w:ascii="宋体" w:hAnsi="宋体" w:cs="宋体"/>
          <w:sz w:val="24"/>
          <w:szCs w:val="28"/>
          <w:shd w:val="clear" w:color="auto" w:fill="FFFFFF"/>
        </w:rPr>
      </w:pPr>
      <w:r>
        <w:rPr>
          <w:rFonts w:hint="eastAsia" w:ascii="宋体" w:hAnsi="宋体" w:cs="宋体"/>
          <w:sz w:val="24"/>
          <w:szCs w:val="28"/>
          <w:shd w:val="clear" w:color="auto" w:fill="FFFFFF"/>
        </w:rPr>
        <w:t>2.本项目招标代理费收取标准以成交价为基准，乘以招标代理收费费率，由成交供应商支付，响应供应商综合考虑在报价内（不单列）。</w:t>
      </w:r>
    </w:p>
    <w:tbl>
      <w:tblPr>
        <w:tblStyle w:val="27"/>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4390"/>
        <w:gridCol w:w="3083"/>
      </w:tblGrid>
      <w:tr w14:paraId="2A0D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3AB0D9F6">
            <w:pPr>
              <w:spacing w:line="360" w:lineRule="auto"/>
              <w:ind w:firstLine="482" w:firstLineChars="200"/>
              <w:jc w:val="center"/>
              <w:rPr>
                <w:rFonts w:hint="eastAsia" w:ascii="宋体" w:hAnsi="宋体" w:cs="宋体"/>
                <w:b/>
                <w:bCs/>
                <w:sz w:val="24"/>
              </w:rPr>
            </w:pPr>
            <w:r>
              <w:rPr>
                <w:rFonts w:hint="eastAsia" w:ascii="宋体" w:hAnsi="宋体" w:cs="宋体"/>
                <w:b/>
                <w:bCs/>
                <w:sz w:val="24"/>
              </w:rPr>
              <w:t>序号</w:t>
            </w:r>
          </w:p>
        </w:tc>
        <w:tc>
          <w:tcPr>
            <w:tcW w:w="2533" w:type="pct"/>
            <w:vMerge w:val="restart"/>
            <w:tcBorders>
              <w:top w:val="single" w:color="auto" w:sz="4" w:space="0"/>
              <w:left w:val="single" w:color="auto" w:sz="4" w:space="0"/>
              <w:right w:val="single" w:color="auto" w:sz="4" w:space="0"/>
            </w:tcBorders>
            <w:vAlign w:val="center"/>
          </w:tcPr>
          <w:p w14:paraId="07C46AD9">
            <w:pPr>
              <w:spacing w:line="360" w:lineRule="auto"/>
              <w:ind w:firstLine="482" w:firstLineChars="200"/>
              <w:jc w:val="center"/>
              <w:rPr>
                <w:rFonts w:hint="eastAsia" w:ascii="宋体" w:hAnsi="宋体" w:cs="宋体"/>
                <w:b/>
                <w:bCs/>
                <w:sz w:val="24"/>
              </w:rPr>
            </w:pPr>
            <w:r>
              <w:rPr>
                <w:rFonts w:hint="eastAsia" w:ascii="宋体" w:hAnsi="宋体" w:cs="宋体"/>
                <w:b/>
                <w:bCs/>
                <w:sz w:val="24"/>
              </w:rPr>
              <w:t>服务费类型（按成交金额）</w:t>
            </w:r>
          </w:p>
        </w:tc>
        <w:tc>
          <w:tcPr>
            <w:tcW w:w="1779" w:type="pct"/>
            <w:vMerge w:val="restart"/>
            <w:tcBorders>
              <w:top w:val="single" w:color="auto" w:sz="4" w:space="0"/>
              <w:left w:val="single" w:color="auto" w:sz="4" w:space="0"/>
              <w:right w:val="single" w:color="auto" w:sz="4" w:space="0"/>
            </w:tcBorders>
            <w:vAlign w:val="center"/>
          </w:tcPr>
          <w:p w14:paraId="2DE84566">
            <w:pPr>
              <w:spacing w:line="360" w:lineRule="auto"/>
              <w:ind w:firstLine="482" w:firstLineChars="200"/>
              <w:jc w:val="center"/>
              <w:rPr>
                <w:rFonts w:hint="eastAsia" w:ascii="宋体" w:hAnsi="宋体" w:cs="宋体"/>
                <w:b/>
                <w:bCs/>
                <w:sz w:val="24"/>
              </w:rPr>
            </w:pPr>
            <w:r>
              <w:rPr>
                <w:rFonts w:hint="eastAsia" w:ascii="宋体" w:hAnsi="宋体" w:cs="宋体"/>
                <w:b/>
                <w:bCs/>
                <w:sz w:val="24"/>
              </w:rPr>
              <w:t xml:space="preserve">收费标准 </w:t>
            </w:r>
          </w:p>
        </w:tc>
      </w:tr>
      <w:tr w14:paraId="7E44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88" w:type="pct"/>
            <w:vMerge w:val="continue"/>
            <w:tcBorders>
              <w:left w:val="single" w:color="auto" w:sz="4" w:space="0"/>
              <w:bottom w:val="single" w:color="auto" w:sz="4" w:space="0"/>
              <w:right w:val="single" w:color="auto" w:sz="4" w:space="0"/>
            </w:tcBorders>
            <w:vAlign w:val="center"/>
          </w:tcPr>
          <w:p w14:paraId="69070B4C">
            <w:pPr>
              <w:spacing w:line="360" w:lineRule="auto"/>
              <w:ind w:firstLine="480" w:firstLineChars="200"/>
              <w:jc w:val="center"/>
              <w:rPr>
                <w:rFonts w:hint="eastAsia" w:ascii="宋体" w:hAnsi="宋体" w:cs="宋体"/>
                <w:sz w:val="24"/>
              </w:rPr>
            </w:pPr>
          </w:p>
        </w:tc>
        <w:tc>
          <w:tcPr>
            <w:tcW w:w="2533" w:type="pct"/>
            <w:vMerge w:val="continue"/>
            <w:tcBorders>
              <w:left w:val="single" w:color="auto" w:sz="4" w:space="0"/>
              <w:bottom w:val="single" w:color="auto" w:sz="4" w:space="0"/>
              <w:right w:val="single" w:color="auto" w:sz="4" w:space="0"/>
            </w:tcBorders>
            <w:vAlign w:val="center"/>
          </w:tcPr>
          <w:p w14:paraId="3D5FC4DB">
            <w:pPr>
              <w:spacing w:line="360" w:lineRule="auto"/>
              <w:ind w:firstLine="480" w:firstLineChars="200"/>
              <w:jc w:val="center"/>
              <w:rPr>
                <w:rFonts w:hint="eastAsia" w:ascii="宋体" w:hAnsi="宋体" w:cs="宋体"/>
                <w:sz w:val="24"/>
              </w:rPr>
            </w:pPr>
          </w:p>
        </w:tc>
        <w:tc>
          <w:tcPr>
            <w:tcW w:w="1779" w:type="pct"/>
            <w:vMerge w:val="continue"/>
            <w:tcBorders>
              <w:left w:val="single" w:color="auto" w:sz="4" w:space="0"/>
              <w:bottom w:val="single" w:color="auto" w:sz="4" w:space="0"/>
              <w:right w:val="single" w:color="auto" w:sz="4" w:space="0"/>
            </w:tcBorders>
            <w:vAlign w:val="center"/>
          </w:tcPr>
          <w:p w14:paraId="2B04E2C8">
            <w:pPr>
              <w:spacing w:line="360" w:lineRule="auto"/>
              <w:ind w:firstLine="480" w:firstLineChars="200"/>
              <w:jc w:val="center"/>
              <w:rPr>
                <w:rFonts w:hint="eastAsia" w:ascii="宋体" w:hAnsi="宋体" w:cs="宋体"/>
                <w:sz w:val="24"/>
              </w:rPr>
            </w:pPr>
          </w:p>
        </w:tc>
      </w:tr>
      <w:tr w14:paraId="39BD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0D5A870">
            <w:pPr>
              <w:spacing w:line="360" w:lineRule="auto"/>
              <w:ind w:firstLine="480" w:firstLineChars="200"/>
              <w:jc w:val="center"/>
              <w:rPr>
                <w:rFonts w:hint="eastAsia" w:ascii="宋体" w:hAnsi="宋体" w:cs="宋体"/>
                <w:sz w:val="24"/>
              </w:rPr>
            </w:pPr>
            <w:r>
              <w:rPr>
                <w:rFonts w:hint="eastAsia" w:ascii="宋体" w:hAnsi="宋体" w:cs="宋体"/>
                <w:sz w:val="24"/>
              </w:rPr>
              <w:t>1</w:t>
            </w:r>
          </w:p>
        </w:tc>
        <w:tc>
          <w:tcPr>
            <w:tcW w:w="2533" w:type="pct"/>
            <w:tcBorders>
              <w:top w:val="single" w:color="auto" w:sz="4" w:space="0"/>
              <w:left w:val="single" w:color="auto" w:sz="4" w:space="0"/>
              <w:bottom w:val="single" w:color="auto" w:sz="4" w:space="0"/>
              <w:right w:val="single" w:color="auto" w:sz="4" w:space="0"/>
            </w:tcBorders>
            <w:vAlign w:val="center"/>
          </w:tcPr>
          <w:p w14:paraId="23DF2594">
            <w:pPr>
              <w:spacing w:line="360" w:lineRule="auto"/>
              <w:ind w:firstLine="480" w:firstLineChars="200"/>
              <w:jc w:val="center"/>
              <w:rPr>
                <w:rFonts w:hint="eastAsia" w:ascii="宋体" w:hAnsi="宋体" w:cs="宋体"/>
                <w:sz w:val="24"/>
              </w:rPr>
            </w:pPr>
            <w:r>
              <w:rPr>
                <w:rFonts w:hint="eastAsia" w:ascii="宋体" w:hAnsi="宋体" w:cs="宋体"/>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2BC7AEA9">
            <w:pPr>
              <w:spacing w:line="360" w:lineRule="auto"/>
              <w:ind w:firstLine="480" w:firstLineChars="200"/>
              <w:jc w:val="center"/>
              <w:rPr>
                <w:rFonts w:hint="eastAsia" w:ascii="宋体" w:hAnsi="宋体" w:cs="宋体"/>
                <w:sz w:val="24"/>
              </w:rPr>
            </w:pPr>
            <w:r>
              <w:rPr>
                <w:rFonts w:hint="eastAsia" w:ascii="宋体" w:hAnsi="宋体" w:cs="宋体"/>
                <w:sz w:val="24"/>
              </w:rPr>
              <w:t>2000.00元</w:t>
            </w:r>
          </w:p>
        </w:tc>
      </w:tr>
      <w:tr w14:paraId="52D8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4B785E57">
            <w:pPr>
              <w:spacing w:line="360" w:lineRule="auto"/>
              <w:ind w:firstLine="480" w:firstLineChars="200"/>
              <w:jc w:val="center"/>
              <w:rPr>
                <w:rFonts w:hint="eastAsia" w:ascii="宋体" w:hAnsi="宋体" w:cs="宋体"/>
                <w:sz w:val="24"/>
              </w:rPr>
            </w:pPr>
            <w:r>
              <w:rPr>
                <w:rFonts w:hint="eastAsia" w:ascii="宋体" w:hAnsi="宋体" w:cs="宋体"/>
                <w:sz w:val="24"/>
              </w:rPr>
              <w:t>2</w:t>
            </w:r>
          </w:p>
        </w:tc>
        <w:tc>
          <w:tcPr>
            <w:tcW w:w="2533" w:type="pct"/>
            <w:tcBorders>
              <w:top w:val="single" w:color="auto" w:sz="4" w:space="0"/>
              <w:left w:val="single" w:color="auto" w:sz="4" w:space="0"/>
              <w:bottom w:val="single" w:color="auto" w:sz="4" w:space="0"/>
              <w:right w:val="single" w:color="auto" w:sz="4" w:space="0"/>
            </w:tcBorders>
            <w:vAlign w:val="center"/>
          </w:tcPr>
          <w:p w14:paraId="4C9ABB86">
            <w:pPr>
              <w:spacing w:line="360" w:lineRule="auto"/>
              <w:ind w:firstLine="480" w:firstLineChars="200"/>
              <w:jc w:val="center"/>
              <w:rPr>
                <w:rFonts w:hint="eastAsia" w:ascii="宋体" w:hAnsi="宋体" w:cs="宋体"/>
                <w:sz w:val="24"/>
              </w:rPr>
            </w:pPr>
            <w:r>
              <w:rPr>
                <w:rFonts w:hint="eastAsia" w:ascii="宋体" w:hAnsi="宋体" w:cs="宋体"/>
                <w:sz w:val="24"/>
              </w:rPr>
              <w:t>货物、服务和工程招标代理、咨询服务（2万元-5万元）含2万</w:t>
            </w:r>
          </w:p>
        </w:tc>
        <w:tc>
          <w:tcPr>
            <w:tcW w:w="1779" w:type="pct"/>
            <w:tcBorders>
              <w:top w:val="single" w:color="auto" w:sz="4" w:space="0"/>
              <w:left w:val="single" w:color="auto" w:sz="4" w:space="0"/>
              <w:bottom w:val="single" w:color="auto" w:sz="4" w:space="0"/>
              <w:right w:val="single" w:color="auto" w:sz="4" w:space="0"/>
            </w:tcBorders>
            <w:vAlign w:val="center"/>
          </w:tcPr>
          <w:p w14:paraId="545BB23E">
            <w:pPr>
              <w:spacing w:line="360" w:lineRule="auto"/>
              <w:ind w:firstLine="480" w:firstLineChars="200"/>
              <w:jc w:val="center"/>
              <w:rPr>
                <w:rFonts w:hint="eastAsia" w:ascii="宋体" w:hAnsi="宋体" w:cs="宋体"/>
                <w:sz w:val="24"/>
              </w:rPr>
            </w:pPr>
            <w:r>
              <w:rPr>
                <w:rFonts w:hint="eastAsia" w:ascii="宋体" w:hAnsi="宋体" w:cs="宋体"/>
                <w:sz w:val="24"/>
              </w:rPr>
              <w:t>1500.00元</w:t>
            </w:r>
          </w:p>
        </w:tc>
      </w:tr>
    </w:tbl>
    <w:p w14:paraId="044962AC">
      <w:pPr>
        <w:spacing w:after="0" w:line="360" w:lineRule="auto"/>
        <w:ind w:firstLine="480" w:firstLineChars="200"/>
        <w:rPr>
          <w:rFonts w:hint="eastAsia"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询价文件未列明，而响应供应商认为必需的费用也需列入报价。</w:t>
      </w:r>
    </w:p>
    <w:p w14:paraId="4E2BAC48">
      <w:pPr>
        <w:spacing w:after="0" w:line="360" w:lineRule="auto"/>
        <w:ind w:firstLine="480" w:firstLineChars="200"/>
        <w:rPr>
          <w:rFonts w:hint="eastAsia" w:ascii="宋体" w:hAnsi="宋体" w:cs="宋体"/>
          <w:sz w:val="24"/>
          <w:szCs w:val="28"/>
          <w:lang w:val="zh-CN"/>
        </w:rPr>
      </w:pPr>
      <w:r>
        <w:rPr>
          <w:rFonts w:hint="eastAsia" w:ascii="宋体" w:hAnsi="宋体" w:cs="宋体"/>
          <w:sz w:val="24"/>
          <w:szCs w:val="28"/>
          <w:lang w:val="zh-CN"/>
        </w:rPr>
        <w:t>代理费由成交供应商在开标现场定标后支付给代理机构，如因成交供应商原因导致本项目流标或改变成交结果或其被取消成交资格的，代理费不予退还。</w:t>
      </w:r>
    </w:p>
    <w:p w14:paraId="553F0F73">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六、</w:t>
      </w:r>
      <w:r>
        <w:rPr>
          <w:rFonts w:hint="eastAsia" w:ascii="宋体" w:hAnsi="宋体" w:cs="宋体"/>
          <w:b/>
          <w:bCs/>
          <w:sz w:val="24"/>
          <w:szCs w:val="28"/>
          <w:lang w:val="zh-CN"/>
        </w:rPr>
        <w:t>询价响应文件的编写及装订</w:t>
      </w:r>
    </w:p>
    <w:p w14:paraId="7EC4B84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lang w:val="zh-CN"/>
        </w:rPr>
        <w:t>（一）询价响应文件应包括“</w:t>
      </w:r>
      <w:r>
        <w:rPr>
          <w:rFonts w:hint="eastAsia" w:ascii="宋体" w:hAnsi="宋体" w:cs="宋体"/>
          <w:sz w:val="24"/>
          <w:szCs w:val="28"/>
        </w:rPr>
        <w:t>A资格审查文件”、“B商务报价文件”和</w:t>
      </w:r>
      <w:r>
        <w:rPr>
          <w:rFonts w:ascii="宋体" w:hAnsi="宋体" w:cs="宋体"/>
          <w:sz w:val="24"/>
          <w:szCs w:val="28"/>
        </w:rPr>
        <w:t>”</w:t>
      </w:r>
      <w:r>
        <w:rPr>
          <w:rFonts w:hint="eastAsia" w:ascii="宋体" w:hAnsi="宋体" w:cs="宋体"/>
          <w:sz w:val="24"/>
          <w:szCs w:val="28"/>
        </w:rPr>
        <w:t>C电子响应文件</w:t>
      </w:r>
      <w:r>
        <w:rPr>
          <w:rFonts w:ascii="宋体" w:hAnsi="宋体" w:cs="宋体"/>
          <w:sz w:val="24"/>
          <w:szCs w:val="28"/>
        </w:rPr>
        <w:t>”</w:t>
      </w:r>
      <w:r>
        <w:rPr>
          <w:rFonts w:hint="eastAsia" w:ascii="宋体" w:hAnsi="宋体" w:cs="宋体"/>
          <w:sz w:val="24"/>
          <w:szCs w:val="28"/>
        </w:rPr>
        <w:t>，具体要求如下：</w:t>
      </w:r>
    </w:p>
    <w:p w14:paraId="19699A20">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zh-CN"/>
        </w:rPr>
        <w:t>A、资格审查文件</w:t>
      </w:r>
    </w:p>
    <w:p w14:paraId="10D0841F">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（1）提供营业执照复印件加盖公章；</w:t>
      </w:r>
    </w:p>
    <w:p w14:paraId="7C0C524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（2）符合本项目采购人资格要求的承诺函</w:t>
      </w:r>
      <w:r>
        <w:rPr>
          <w:rFonts w:hint="eastAsia" w:ascii="宋体" w:hAnsi="宋体" w:cs="宋体"/>
          <w:sz w:val="24"/>
          <w:szCs w:val="28"/>
          <w:lang w:val="zh-CN"/>
        </w:rPr>
        <w:t>（</w:t>
      </w:r>
      <w:r>
        <w:rPr>
          <w:rFonts w:hint="eastAsia" w:ascii="宋体" w:hAnsi="宋体" w:cs="宋体"/>
          <w:color w:val="000000"/>
          <w:sz w:val="24"/>
          <w:szCs w:val="28"/>
        </w:rPr>
        <w:t>格式参见附件</w:t>
      </w:r>
      <w:r>
        <w:rPr>
          <w:rFonts w:hint="eastAsia" w:ascii="宋体" w:hAnsi="宋体" w:cs="宋体"/>
          <w:sz w:val="24"/>
          <w:szCs w:val="28"/>
          <w:lang w:val="zh-CN"/>
        </w:rPr>
        <w:t>）；</w:t>
      </w:r>
    </w:p>
    <w:p w14:paraId="44A7281F">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w:t>
      </w:r>
      <w:r>
        <w:rPr>
          <w:rFonts w:hint="eastAsia" w:ascii="宋体" w:hAnsi="宋体" w:cs="宋体"/>
          <w:sz w:val="24"/>
          <w:szCs w:val="28"/>
        </w:rPr>
        <w:t>3</w:t>
      </w:r>
      <w:r>
        <w:rPr>
          <w:rFonts w:hint="eastAsia" w:ascii="宋体" w:hAnsi="宋体" w:cs="宋体"/>
          <w:sz w:val="24"/>
          <w:szCs w:val="28"/>
          <w:lang w:val="zh-CN"/>
        </w:rPr>
        <w:t>）如法定代表人参加投标，则提供法定代表人身份证明书（格式见附件）；如授权委托人参加投标，则提供法定代表人授权委托书（格式见附件）；</w:t>
      </w:r>
    </w:p>
    <w:p w14:paraId="194D0D5D">
      <w:pPr>
        <w:spacing w:after="0" w:line="360" w:lineRule="auto"/>
        <w:ind w:firstLine="480" w:firstLineChars="200"/>
        <w:jc w:val="both"/>
        <w:rPr>
          <w:rFonts w:hint="eastAsia" w:ascii="宋体" w:hAnsi="宋体" w:cs="宋体"/>
          <w:color w:val="000000"/>
          <w:sz w:val="24"/>
          <w:szCs w:val="28"/>
          <w:lang w:val="zh-CN"/>
        </w:rPr>
      </w:pPr>
      <w:r>
        <w:rPr>
          <w:rFonts w:hint="eastAsia" w:ascii="宋体" w:hAnsi="宋体" w:cs="宋体"/>
          <w:sz w:val="24"/>
          <w:szCs w:val="28"/>
        </w:rPr>
        <w:t>（4）</w:t>
      </w:r>
      <w:r>
        <w:rPr>
          <w:rFonts w:hint="eastAsia" w:ascii="宋体" w:hAnsi="宋体" w:cs="宋体"/>
          <w:color w:val="000000"/>
          <w:sz w:val="24"/>
          <w:szCs w:val="28"/>
          <w:lang w:val="zh-CN"/>
        </w:rPr>
        <w:t>未被“信用中国”网站列入失信被执行人、重大税收违法案件当事人名单、采购严重失信行为记录名单，</w:t>
      </w:r>
      <w:r>
        <w:rPr>
          <w:rFonts w:hint="eastAsia" w:ascii="宋体" w:hAnsi="宋体" w:cs="宋体"/>
          <w:color w:val="000000"/>
          <w:sz w:val="24"/>
          <w:szCs w:val="28"/>
        </w:rPr>
        <w:t>并提供无重大违法记录声明（格式参见附件）</w:t>
      </w:r>
      <w:r>
        <w:rPr>
          <w:rFonts w:hint="eastAsia" w:ascii="宋体" w:hAnsi="宋体" w:cs="宋体"/>
          <w:color w:val="000000"/>
          <w:sz w:val="24"/>
          <w:szCs w:val="28"/>
          <w:lang w:val="zh-CN"/>
        </w:rPr>
        <w:t>；</w:t>
      </w:r>
    </w:p>
    <w:p w14:paraId="22F0FBF2">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对询价文件要求的商务条款和技术参数的响应情况</w:t>
      </w:r>
      <w:r>
        <w:rPr>
          <w:rFonts w:hint="eastAsia" w:ascii="宋体" w:hAnsi="宋体" w:cs="宋体"/>
          <w:sz w:val="24"/>
          <w:szCs w:val="28"/>
          <w:lang w:val="zh-CN"/>
        </w:rPr>
        <w:t>（格式参见附件）；</w:t>
      </w:r>
    </w:p>
    <w:p w14:paraId="335A9750">
      <w:pPr>
        <w:spacing w:after="0" w:line="360" w:lineRule="auto"/>
        <w:ind w:firstLine="480" w:firstLineChars="200"/>
        <w:jc w:val="both"/>
        <w:rPr>
          <w:rFonts w:hint="eastAsia" w:ascii="宋体" w:hAnsi="宋体" w:cs="宋体"/>
          <w:sz w:val="24"/>
          <w:szCs w:val="28"/>
          <w:lang w:val="en-US" w:eastAsia="zh-CN"/>
        </w:rPr>
      </w:pPr>
      <w:r>
        <w:rPr>
          <w:rFonts w:hint="eastAsia" w:ascii="宋体" w:hAnsi="宋体" w:cs="宋体"/>
          <w:sz w:val="24"/>
          <w:szCs w:val="28"/>
          <w:lang w:val="zh-CN"/>
        </w:rPr>
        <w:t>（</w:t>
      </w:r>
      <w:r>
        <w:rPr>
          <w:rFonts w:hint="eastAsia" w:ascii="宋体" w:hAnsi="宋体" w:cs="宋体"/>
          <w:sz w:val="24"/>
          <w:szCs w:val="28"/>
          <w:lang w:val="en-US" w:eastAsia="zh-CN"/>
        </w:rPr>
        <w:t>6</w:t>
      </w:r>
      <w:r>
        <w:rPr>
          <w:rFonts w:hint="eastAsia" w:ascii="宋体" w:hAnsi="宋体" w:cs="宋体"/>
          <w:sz w:val="24"/>
          <w:szCs w:val="28"/>
          <w:lang w:val="zh-CN"/>
        </w:rPr>
        <w:t>）</w:t>
      </w:r>
      <w:r>
        <w:rPr>
          <w:rFonts w:hint="eastAsia" w:ascii="宋体" w:hAnsi="宋体" w:cs="宋体"/>
          <w:sz w:val="24"/>
          <w:szCs w:val="28"/>
          <w:lang w:val="en-US" w:eastAsia="zh-CN"/>
        </w:rPr>
        <w:t>响应单位具有</w:t>
      </w:r>
      <w:r>
        <w:rPr>
          <w:rFonts w:hint="eastAsia" w:ascii="宋体" w:hAnsi="宋体" w:cs="宋体"/>
          <w:sz w:val="24"/>
          <w:szCs w:val="28"/>
          <w:lang w:val="zh-CN"/>
        </w:rPr>
        <w:t>电力工程施工总承包三级及以上资质且具有承装、修、试电力四级及以上资质，</w:t>
      </w:r>
      <w:r>
        <w:rPr>
          <w:rFonts w:hint="eastAsia" w:ascii="宋体" w:hAnsi="宋体" w:cs="宋体"/>
          <w:sz w:val="24"/>
          <w:szCs w:val="28"/>
          <w:lang w:val="en-US" w:eastAsia="zh-CN"/>
        </w:rPr>
        <w:t>提供相关证明材料；</w:t>
      </w:r>
    </w:p>
    <w:p w14:paraId="7A1C04E9">
      <w:pPr>
        <w:spacing w:after="0" w:line="360" w:lineRule="auto"/>
        <w:ind w:firstLine="480" w:firstLineChars="200"/>
        <w:jc w:val="both"/>
        <w:rPr>
          <w:rFonts w:hint="eastAsia" w:ascii="宋体" w:hAnsi="宋体" w:cs="宋体"/>
          <w:color w:val="FF0000"/>
          <w:sz w:val="24"/>
          <w:szCs w:val="28"/>
          <w:lang w:val="en-US" w:eastAsia="zh-CN"/>
        </w:rPr>
      </w:pPr>
      <w:r>
        <w:rPr>
          <w:rFonts w:hint="eastAsia" w:ascii="宋体" w:hAnsi="宋体" w:cs="宋体"/>
          <w:color w:val="auto"/>
          <w:sz w:val="24"/>
          <w:szCs w:val="28"/>
          <w:lang w:val="en-US" w:eastAsia="zh-CN"/>
        </w:rPr>
        <w:t>（7）</w:t>
      </w:r>
      <w:r>
        <w:rPr>
          <w:rFonts w:hint="eastAsia" w:ascii="宋体" w:hAnsi="宋体" w:cs="宋体"/>
          <w:color w:val="auto"/>
          <w:spacing w:val="7"/>
          <w:sz w:val="24"/>
          <w:szCs w:val="28"/>
        </w:rPr>
        <w:t>充电桩质量符合国家现行规范和技术标准的规定</w:t>
      </w:r>
      <w:r>
        <w:rPr>
          <w:rFonts w:hint="eastAsia" w:ascii="宋体" w:hAnsi="宋体" w:cs="宋体"/>
          <w:color w:val="auto"/>
          <w:spacing w:val="7"/>
          <w:sz w:val="24"/>
          <w:szCs w:val="28"/>
          <w:lang w:eastAsia="zh-CN"/>
        </w:rPr>
        <w:t>，</w:t>
      </w:r>
      <w:r>
        <w:rPr>
          <w:rFonts w:hint="eastAsia" w:ascii="宋体" w:hAnsi="宋体" w:cs="宋体"/>
          <w:color w:val="auto"/>
          <w:spacing w:val="7"/>
          <w:sz w:val="24"/>
          <w:szCs w:val="28"/>
          <w:lang w:val="en-US" w:eastAsia="zh-CN"/>
        </w:rPr>
        <w:t>响应单位须提供充电桩</w:t>
      </w:r>
      <w:r>
        <w:rPr>
          <w:rFonts w:hint="eastAsia" w:ascii="宋体" w:hAnsi="宋体" w:cs="宋体"/>
          <w:color w:val="auto"/>
          <w:spacing w:val="7"/>
          <w:sz w:val="24"/>
          <w:szCs w:val="28"/>
        </w:rPr>
        <w:t>附带安装及使用说明、产品检测报告</w:t>
      </w:r>
      <w:r>
        <w:rPr>
          <w:rFonts w:hint="eastAsia" w:ascii="宋体" w:hAnsi="宋体" w:cs="宋体"/>
          <w:color w:val="auto"/>
          <w:spacing w:val="7"/>
          <w:sz w:val="24"/>
          <w:szCs w:val="28"/>
          <w:lang w:val="en-US" w:eastAsia="zh-CN"/>
        </w:rPr>
        <w:t>及</w:t>
      </w:r>
      <w:r>
        <w:rPr>
          <w:rFonts w:hint="eastAsia" w:ascii="宋体" w:hAnsi="宋体" w:cs="宋体"/>
          <w:color w:val="auto"/>
          <w:spacing w:val="7"/>
          <w:sz w:val="24"/>
          <w:szCs w:val="28"/>
        </w:rPr>
        <w:t>其它证明设备符合采购要求的材料</w:t>
      </w:r>
      <w:r>
        <w:rPr>
          <w:rFonts w:hint="eastAsia" w:ascii="宋体" w:hAnsi="宋体" w:cs="宋体"/>
          <w:color w:val="auto"/>
          <w:sz w:val="24"/>
          <w:szCs w:val="28"/>
          <w:lang w:val="en-US" w:eastAsia="zh-CN"/>
        </w:rPr>
        <w:t>；</w:t>
      </w:r>
    </w:p>
    <w:p w14:paraId="30D362AF">
      <w:pPr>
        <w:pStyle w:val="2"/>
        <w:keepNext w:val="0"/>
        <w:keepLines w:val="0"/>
        <w:pageBreakBefore w:val="0"/>
        <w:widowControl/>
        <w:kinsoku/>
        <w:wordWrap/>
        <w:overflowPunct/>
        <w:topLinePunct w:val="0"/>
        <w:autoSpaceDE/>
        <w:autoSpaceDN/>
        <w:bidi w:val="0"/>
        <w:adjustRightInd w:val="0"/>
        <w:snapToGrid w:val="0"/>
        <w:spacing w:after="0"/>
        <w:ind w:firstLine="198"/>
        <w:textAlignment w:val="auto"/>
        <w:rPr>
          <w:rFonts w:hint="eastAsia"/>
          <w:lang w:val="zh-CN"/>
        </w:rPr>
      </w:pPr>
      <w:r>
        <w:rPr>
          <w:rFonts w:hint="eastAsia" w:ascii="宋体" w:hAnsi="宋体" w:eastAsia="宋体" w:cs="宋体"/>
          <w:sz w:val="24"/>
          <w:szCs w:val="28"/>
          <w:lang w:val="zh-CN" w:eastAsia="zh-CN" w:bidi="ar-SA"/>
        </w:rPr>
        <w:t>（</w:t>
      </w:r>
      <w:r>
        <w:rPr>
          <w:rFonts w:hint="eastAsia" w:ascii="宋体" w:hAnsi="宋体" w:eastAsia="宋体" w:cs="宋体"/>
          <w:sz w:val="24"/>
          <w:szCs w:val="28"/>
          <w:lang w:val="en-US" w:eastAsia="zh-CN" w:bidi="ar-SA"/>
        </w:rPr>
        <w:t>8</w:t>
      </w:r>
      <w:r>
        <w:rPr>
          <w:rFonts w:hint="eastAsia" w:ascii="宋体" w:hAnsi="宋体" w:eastAsia="宋体" w:cs="宋体"/>
          <w:sz w:val="24"/>
          <w:szCs w:val="28"/>
          <w:lang w:val="zh-CN" w:eastAsia="zh-CN" w:bidi="ar-SA"/>
        </w:rPr>
        <w:t>）</w:t>
      </w:r>
      <w:r>
        <w:rPr>
          <w:rFonts w:hint="eastAsia" w:ascii="宋体" w:hAnsi="宋体" w:eastAsia="宋体" w:cs="宋体"/>
          <w:sz w:val="24"/>
          <w:szCs w:val="28"/>
          <w:lang w:val="en-US" w:eastAsia="zh-CN" w:bidi="ar-SA"/>
        </w:rPr>
        <w:t>质保及技术承诺书</w:t>
      </w:r>
      <w:r>
        <w:rPr>
          <w:rFonts w:hint="eastAsia" w:ascii="宋体" w:hAnsi="宋体" w:eastAsia="宋体" w:cs="宋体"/>
          <w:sz w:val="24"/>
          <w:szCs w:val="28"/>
          <w:lang w:val="zh-CN" w:eastAsia="zh-CN" w:bidi="ar-SA"/>
        </w:rPr>
        <w:t>（</w:t>
      </w:r>
      <w:r>
        <w:rPr>
          <w:rFonts w:hint="eastAsia" w:ascii="宋体" w:hAnsi="宋体" w:eastAsia="宋体" w:cs="宋体"/>
          <w:sz w:val="24"/>
          <w:szCs w:val="28"/>
          <w:lang w:val="en-US" w:eastAsia="zh-CN" w:bidi="ar-SA"/>
        </w:rPr>
        <w:t>格式参见附件</w:t>
      </w:r>
      <w:r>
        <w:rPr>
          <w:rFonts w:hint="eastAsia" w:ascii="宋体" w:hAnsi="宋体" w:eastAsia="宋体" w:cs="宋体"/>
          <w:sz w:val="24"/>
          <w:szCs w:val="28"/>
          <w:lang w:val="zh-CN" w:eastAsia="zh-CN" w:bidi="ar-SA"/>
        </w:rPr>
        <w:t>）；</w:t>
      </w:r>
    </w:p>
    <w:p w14:paraId="203BF805">
      <w:pPr>
        <w:pStyle w:val="11"/>
        <w:spacing w:after="0" w:line="360" w:lineRule="auto"/>
        <w:ind w:firstLine="240" w:firstLineChars="100"/>
        <w:rPr>
          <w:sz w:val="24"/>
        </w:rPr>
      </w:pPr>
      <w:r>
        <w:rPr>
          <w:rFonts w:hint="eastAsia" w:ascii="宋体" w:hAnsi="宋体" w:cs="宋体"/>
          <w:sz w:val="24"/>
          <w:szCs w:val="28"/>
        </w:rPr>
        <w:t>（</w:t>
      </w:r>
      <w:r>
        <w:rPr>
          <w:rFonts w:hint="eastAsia" w:ascii="宋体" w:hAnsi="宋体" w:cs="宋体"/>
          <w:sz w:val="24"/>
          <w:szCs w:val="28"/>
          <w:lang w:val="en-US" w:eastAsia="zh-CN"/>
        </w:rPr>
        <w:t>9</w:t>
      </w:r>
      <w:r>
        <w:rPr>
          <w:rFonts w:hint="eastAsia" w:ascii="宋体" w:hAnsi="宋体" w:cs="宋体"/>
          <w:sz w:val="24"/>
          <w:szCs w:val="28"/>
        </w:rPr>
        <w:t>）询价文件中要求提供的其他材料。</w:t>
      </w:r>
    </w:p>
    <w:p w14:paraId="0D6DF1C4">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zh-CN"/>
        </w:rPr>
        <w:t>B、商务报价响应文件</w:t>
      </w:r>
    </w:p>
    <w:p w14:paraId="10ED353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商务报价应包括询价文件所确定的全部范围及相应说明的全部内容，包含</w:t>
      </w:r>
      <w:r>
        <w:rPr>
          <w:rFonts w:hint="eastAsia" w:ascii="宋体" w:hAnsi="宋体" w:cs="宋体"/>
          <w:sz w:val="24"/>
        </w:rPr>
        <w:t>所有设备购置费、运输费、工程材料费、搬运费、施工费、安装费、调试费、脚手费、利润、税费</w:t>
      </w:r>
      <w:r>
        <w:rPr>
          <w:rFonts w:hint="eastAsia" w:ascii="宋体" w:hAnsi="宋体" w:cs="宋体"/>
          <w:sz w:val="24"/>
          <w:szCs w:val="28"/>
          <w:lang w:val="zh-CN"/>
        </w:rPr>
        <w:t>等</w:t>
      </w:r>
      <w:r>
        <w:rPr>
          <w:rFonts w:hint="eastAsia" w:ascii="宋体" w:hAnsi="宋体" w:cs="宋体"/>
          <w:sz w:val="24"/>
          <w:szCs w:val="28"/>
        </w:rPr>
        <w:t>费用</w:t>
      </w:r>
      <w:r>
        <w:rPr>
          <w:rFonts w:hint="eastAsia" w:ascii="宋体" w:hAnsi="宋体" w:cs="宋体"/>
          <w:sz w:val="24"/>
          <w:szCs w:val="28"/>
          <w:lang w:val="zh-CN"/>
        </w:rPr>
        <w:t>及合同包含的所有风险、责任等及响应供应商认为需要的其他</w:t>
      </w:r>
      <w:r>
        <w:rPr>
          <w:rFonts w:hint="eastAsia" w:ascii="宋体" w:hAnsi="宋体" w:cs="宋体"/>
          <w:sz w:val="24"/>
          <w:szCs w:val="28"/>
        </w:rPr>
        <w:t>一切</w:t>
      </w:r>
      <w:r>
        <w:rPr>
          <w:rFonts w:hint="eastAsia" w:ascii="宋体" w:hAnsi="宋体" w:cs="宋体"/>
          <w:sz w:val="24"/>
          <w:szCs w:val="28"/>
          <w:lang w:val="zh-CN"/>
        </w:rPr>
        <w:t>费用等，且该价格不因市场价格因素及政策性调整的变化而调整。</w:t>
      </w:r>
    </w:p>
    <w:p w14:paraId="64B23B7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报价总表</w:t>
      </w:r>
      <w:r>
        <w:rPr>
          <w:rFonts w:hint="eastAsia" w:ascii="宋体" w:hAnsi="宋体" w:cs="宋体"/>
          <w:sz w:val="24"/>
          <w:szCs w:val="28"/>
          <w:lang w:val="zh-CN"/>
        </w:rPr>
        <w:t>（格式参见附件）；</w:t>
      </w:r>
    </w:p>
    <w:p w14:paraId="3611046F">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分项报价</w:t>
      </w:r>
      <w:r>
        <w:rPr>
          <w:rFonts w:hint="eastAsia" w:ascii="宋体" w:hAnsi="宋体" w:cs="宋体"/>
          <w:sz w:val="24"/>
          <w:szCs w:val="28"/>
          <w:lang w:val="zh-CN"/>
        </w:rPr>
        <w:t>表（格式参见附件）；</w:t>
      </w:r>
    </w:p>
    <w:p w14:paraId="601E3F01">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w:t>
      </w:r>
      <w:r>
        <w:rPr>
          <w:rFonts w:hint="eastAsia" w:ascii="宋体" w:hAnsi="宋体" w:cs="宋体"/>
          <w:sz w:val="24"/>
          <w:szCs w:val="28"/>
        </w:rPr>
        <w:t>政府采购政策功能落实</w:t>
      </w:r>
      <w:r>
        <w:rPr>
          <w:rFonts w:hint="eastAsia" w:ascii="宋体" w:hAnsi="宋体" w:cs="宋体"/>
          <w:sz w:val="24"/>
          <w:szCs w:val="28"/>
          <w:lang w:val="zh-CN"/>
        </w:rPr>
        <w:t>（</w:t>
      </w:r>
      <w:r>
        <w:rPr>
          <w:rFonts w:hint="eastAsia" w:ascii="宋体" w:hAnsi="宋体" w:cs="宋体"/>
          <w:sz w:val="24"/>
          <w:szCs w:val="28"/>
        </w:rPr>
        <w:t>如有</w:t>
      </w:r>
      <w:r>
        <w:rPr>
          <w:rFonts w:hint="eastAsia" w:ascii="宋体" w:hAnsi="宋体" w:cs="宋体"/>
          <w:sz w:val="24"/>
          <w:szCs w:val="28"/>
          <w:lang w:val="zh-CN"/>
        </w:rPr>
        <w:t>）：</w:t>
      </w:r>
    </w:p>
    <w:p w14:paraId="4BCCEB5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3.1</w:t>
      </w:r>
      <w:r>
        <w:rPr>
          <w:rFonts w:hint="eastAsia" w:ascii="宋体" w:hAnsi="宋体" w:cs="宋体"/>
          <w:sz w:val="24"/>
          <w:szCs w:val="28"/>
          <w:lang w:val="zh-CN"/>
        </w:rPr>
        <w:t>小型、微型企业声明函（</w:t>
      </w:r>
      <w:r>
        <w:rPr>
          <w:rFonts w:hint="eastAsia" w:ascii="宋体" w:hAnsi="宋体" w:cs="宋体"/>
          <w:color w:val="000000"/>
          <w:sz w:val="24"/>
          <w:szCs w:val="28"/>
        </w:rPr>
        <w:t>格式参见附件</w:t>
      </w:r>
      <w:r>
        <w:rPr>
          <w:rFonts w:hint="eastAsia" w:ascii="宋体" w:hAnsi="宋体" w:cs="宋体"/>
          <w:sz w:val="24"/>
          <w:szCs w:val="28"/>
          <w:lang w:val="zh-CN"/>
        </w:rPr>
        <w:t>）；</w:t>
      </w:r>
    </w:p>
    <w:p w14:paraId="52407C8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3.2</w:t>
      </w:r>
      <w:r>
        <w:rPr>
          <w:rFonts w:hint="eastAsia" w:ascii="宋体" w:hAnsi="宋体" w:cs="宋体"/>
          <w:sz w:val="24"/>
          <w:szCs w:val="28"/>
          <w:lang w:val="zh-CN"/>
        </w:rPr>
        <w:t>残疾人福利性单位声明函（</w:t>
      </w:r>
      <w:r>
        <w:rPr>
          <w:rFonts w:hint="eastAsia" w:ascii="宋体" w:hAnsi="宋体" w:cs="宋体"/>
          <w:color w:val="000000"/>
          <w:sz w:val="24"/>
          <w:szCs w:val="28"/>
        </w:rPr>
        <w:t>格式参见附件</w:t>
      </w:r>
      <w:r>
        <w:rPr>
          <w:rFonts w:hint="eastAsia" w:ascii="宋体" w:hAnsi="宋体" w:cs="宋体"/>
          <w:sz w:val="24"/>
          <w:szCs w:val="28"/>
          <w:lang w:val="zh-CN"/>
        </w:rPr>
        <w:t>）；</w:t>
      </w:r>
    </w:p>
    <w:p w14:paraId="6EEBCA03">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3.3</w:t>
      </w:r>
      <w:r>
        <w:rPr>
          <w:rFonts w:hint="eastAsia" w:ascii="宋体" w:hAnsi="宋体" w:cs="宋体"/>
          <w:sz w:val="24"/>
          <w:szCs w:val="28"/>
          <w:lang w:val="zh-CN"/>
        </w:rPr>
        <w:t>监狱和戒毒企业证明材料（</w:t>
      </w:r>
      <w:r>
        <w:rPr>
          <w:rFonts w:hint="eastAsia" w:ascii="宋体" w:hAnsi="宋体" w:cs="宋体"/>
          <w:color w:val="000000"/>
          <w:sz w:val="24"/>
          <w:szCs w:val="28"/>
        </w:rPr>
        <w:t>格式参见附件</w:t>
      </w:r>
      <w:r>
        <w:rPr>
          <w:rFonts w:hint="eastAsia" w:ascii="宋体" w:hAnsi="宋体" w:cs="宋体"/>
          <w:sz w:val="24"/>
          <w:szCs w:val="28"/>
          <w:lang w:val="zh-CN"/>
        </w:rPr>
        <w:t>）。</w:t>
      </w:r>
    </w:p>
    <w:p w14:paraId="0D1ED948">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zh-CN"/>
        </w:rPr>
        <w:t>▲C、电子响应文件</w:t>
      </w:r>
    </w:p>
    <w:p w14:paraId="29F388C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电子响应文件一份，电子响应文件的内容为资格审查文件、商务报价响应文件的打印盖章后的响应文件的扫描件（资格审查文件、价格文件需分别逐页连续扫描为两个独立的PDF文件，</w:t>
      </w:r>
      <w:r>
        <w:rPr>
          <w:rFonts w:hint="eastAsia" w:ascii="宋体" w:hAnsi="宋体" w:cs="宋体"/>
          <w:sz w:val="24"/>
          <w:szCs w:val="24"/>
        </w:rPr>
        <w:t>存储于一个U盘中即可</w:t>
      </w:r>
      <w:r>
        <w:rPr>
          <w:rFonts w:hint="eastAsia" w:ascii="宋体" w:hAnsi="宋体" w:cs="宋体"/>
          <w:sz w:val="24"/>
          <w:szCs w:val="28"/>
          <w:lang w:val="zh-CN"/>
        </w:rPr>
        <w:t>），</w:t>
      </w:r>
      <w:r>
        <w:rPr>
          <w:rFonts w:hint="eastAsia" w:ascii="宋体" w:hAnsi="宋体" w:cs="宋体"/>
          <w:sz w:val="24"/>
          <w:szCs w:val="24"/>
        </w:rPr>
        <w:t>采用U盘方式单独密封提交</w:t>
      </w:r>
      <w:r>
        <w:rPr>
          <w:rFonts w:hint="eastAsia" w:ascii="宋体" w:hAnsi="宋体" w:cs="宋体"/>
          <w:sz w:val="24"/>
          <w:szCs w:val="28"/>
          <w:lang w:val="zh-CN"/>
        </w:rPr>
        <w:t>。</w:t>
      </w:r>
    </w:p>
    <w:p w14:paraId="3186E41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（二）询价响应文件的编制及装订</w:t>
      </w:r>
    </w:p>
    <w:p w14:paraId="3346D4E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.纸质</w:t>
      </w:r>
      <w:r>
        <w:rPr>
          <w:rFonts w:hint="eastAsia" w:ascii="宋体" w:hAnsi="宋体" w:cs="宋体"/>
          <w:sz w:val="24"/>
          <w:szCs w:val="28"/>
          <w:lang w:val="zh-CN"/>
        </w:rPr>
        <w:t>询价响应文件由：①资格审查文件、②商务报价响应文件共两部分组成。</w:t>
      </w:r>
    </w:p>
    <w:p w14:paraId="1E1992C3">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供应商按询价文件要求编写响应文件，并牢固装订成册。询价响应文件均需采用A4纸（图纸等除外）装订成册。询价响应文件不得行间插字、涂改、增删，如修改错漏处，须经询价响应文件签署人签字并加盖公章。</w:t>
      </w:r>
    </w:p>
    <w:p w14:paraId="32D1B8E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.纸质</w:t>
      </w:r>
      <w:r>
        <w:rPr>
          <w:rFonts w:hint="eastAsia" w:ascii="宋体" w:hAnsi="宋体" w:cs="宋体"/>
          <w:sz w:val="24"/>
          <w:szCs w:val="28"/>
          <w:lang w:val="zh-CN"/>
        </w:rPr>
        <w:t>询价响应文件的 “资格审查文件”、 “商务报价响应文件”各自装订成册。特别提示：“商务报价响应文件”必须单独装订和封装，不得出现在“资格审查文件”中。</w:t>
      </w:r>
    </w:p>
    <w:p w14:paraId="660EF222">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（三）询价响应文件的份数、签署</w:t>
      </w:r>
    </w:p>
    <w:p w14:paraId="3EF51EA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供应商应准备</w:t>
      </w:r>
      <w:r>
        <w:rPr>
          <w:rFonts w:hint="eastAsia" w:ascii="宋体" w:hAnsi="宋体" w:cs="宋体"/>
          <w:b/>
          <w:bCs/>
          <w:sz w:val="24"/>
          <w:szCs w:val="28"/>
          <w:u w:val="single"/>
          <w:lang w:val="zh-CN"/>
        </w:rPr>
        <w:t xml:space="preserve"> </w:t>
      </w:r>
      <w:r>
        <w:rPr>
          <w:rFonts w:hint="eastAsia" w:ascii="宋体" w:hAnsi="宋体" w:cs="宋体"/>
          <w:b/>
          <w:bCs/>
          <w:sz w:val="24"/>
          <w:szCs w:val="28"/>
          <w:u w:val="single"/>
        </w:rPr>
        <w:t>肆</w:t>
      </w:r>
      <w:r>
        <w:rPr>
          <w:rFonts w:hint="eastAsia" w:ascii="宋体" w:hAnsi="宋体" w:cs="宋体"/>
          <w:b/>
          <w:bCs/>
          <w:sz w:val="24"/>
          <w:szCs w:val="28"/>
          <w:u w:val="single"/>
          <w:lang w:val="zh-CN"/>
        </w:rPr>
        <w:t xml:space="preserve"> </w:t>
      </w:r>
      <w:r>
        <w:rPr>
          <w:rFonts w:hint="eastAsia" w:ascii="宋体" w:hAnsi="宋体" w:cs="宋体"/>
          <w:sz w:val="24"/>
          <w:szCs w:val="28"/>
          <w:lang w:val="zh-CN"/>
        </w:rPr>
        <w:t>份完整的询价响应文件，其中正本</w:t>
      </w:r>
      <w:r>
        <w:rPr>
          <w:rFonts w:hint="eastAsia" w:ascii="宋体" w:hAnsi="宋体" w:cs="宋体"/>
          <w:b/>
          <w:bCs/>
          <w:sz w:val="24"/>
          <w:szCs w:val="28"/>
          <w:u w:val="single"/>
          <w:lang w:val="zh-CN"/>
        </w:rPr>
        <w:t xml:space="preserve"> 壹 </w:t>
      </w:r>
      <w:r>
        <w:rPr>
          <w:rFonts w:hint="eastAsia" w:ascii="宋体" w:hAnsi="宋体" w:cs="宋体"/>
          <w:sz w:val="24"/>
          <w:szCs w:val="28"/>
          <w:lang w:val="zh-CN"/>
        </w:rPr>
        <w:t xml:space="preserve">份，副本 </w:t>
      </w:r>
      <w:r>
        <w:rPr>
          <w:rFonts w:hint="eastAsia" w:ascii="宋体" w:hAnsi="宋体" w:cs="宋体"/>
          <w:b/>
          <w:bCs/>
          <w:sz w:val="24"/>
          <w:szCs w:val="28"/>
          <w:u w:val="single"/>
        </w:rPr>
        <w:t>叁</w:t>
      </w:r>
      <w:r>
        <w:rPr>
          <w:rFonts w:hint="eastAsia" w:ascii="宋体" w:hAnsi="宋体" w:cs="宋体"/>
          <w:b/>
          <w:bCs/>
          <w:sz w:val="24"/>
          <w:szCs w:val="28"/>
          <w:u w:val="single"/>
          <w:lang w:val="zh-CN"/>
        </w:rPr>
        <w:t xml:space="preserve"> </w:t>
      </w:r>
      <w:r>
        <w:rPr>
          <w:rFonts w:hint="eastAsia" w:ascii="宋体" w:hAnsi="宋体" w:cs="宋体"/>
          <w:sz w:val="24"/>
          <w:szCs w:val="28"/>
          <w:lang w:val="zh-CN"/>
        </w:rPr>
        <w:t>份，并标明“正本”或“副本”字样，</w:t>
      </w:r>
      <w:r>
        <w:rPr>
          <w:rFonts w:hint="eastAsia" w:ascii="宋体" w:hAnsi="宋体" w:cs="宋体"/>
          <w:sz w:val="24"/>
          <w:szCs w:val="28"/>
        </w:rPr>
        <w:t>响应文件</w:t>
      </w:r>
      <w:r>
        <w:rPr>
          <w:rFonts w:hint="eastAsia" w:ascii="宋体" w:hAnsi="宋体" w:cs="宋体"/>
          <w:sz w:val="24"/>
          <w:szCs w:val="28"/>
          <w:lang w:val="zh-CN"/>
        </w:rPr>
        <w:t>封面明确标注响应供应商全称、项目名称、日期</w:t>
      </w:r>
      <w:r>
        <w:rPr>
          <w:rFonts w:hint="eastAsia" w:ascii="宋体" w:hAnsi="宋体" w:cs="宋体"/>
          <w:sz w:val="24"/>
          <w:szCs w:val="28"/>
        </w:rPr>
        <w:t>等关键信息</w:t>
      </w:r>
      <w:r>
        <w:rPr>
          <w:rFonts w:hint="eastAsia" w:ascii="宋体" w:hAnsi="宋体" w:cs="宋体"/>
          <w:sz w:val="24"/>
          <w:szCs w:val="28"/>
          <w:lang w:val="zh-CN"/>
        </w:rPr>
        <w:t>。</w:t>
      </w:r>
    </w:p>
    <w:p w14:paraId="3C7D7D09">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“资格审查文件”、“商务报价响应文件”应分别密封，并在封袋上标明“资格审查文件”、“商务报价响应文件”以及项目名称。</w:t>
      </w:r>
    </w:p>
    <w:p w14:paraId="42DE30FB">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询价响应文件正本须按询价文件要求由法定代表人或被授权人签字或盖章并加盖单位印章。副本可复印，但须加盖单位印章。</w:t>
      </w:r>
    </w:p>
    <w:p w14:paraId="57E13A58">
      <w:pPr>
        <w:spacing w:after="0" w:line="360" w:lineRule="auto"/>
        <w:ind w:firstLine="482" w:firstLineChars="200"/>
        <w:jc w:val="both"/>
        <w:rPr>
          <w:rFonts w:hint="eastAsia" w:ascii="宋体" w:hAnsi="宋体" w:cs="宋体"/>
          <w:sz w:val="24"/>
          <w:szCs w:val="28"/>
          <w:lang w:val="zh-CN"/>
        </w:rPr>
      </w:pPr>
      <w:r>
        <w:rPr>
          <w:rFonts w:hint="eastAsia" w:ascii="宋体" w:hAnsi="宋体" w:cs="宋体"/>
          <w:b/>
          <w:sz w:val="24"/>
          <w:szCs w:val="28"/>
        </w:rPr>
        <w:t>凡是响应文件中涉及响应供应商资信认证、人员证书、业绩荣誉等复印件，和要求法定代表人或授权委托人签字，和以供应商名称落款并注明需要盖章的，均需相应盖章（鲜章）或签字。否则视为未按照采购文件要求盖章或签字。</w:t>
      </w:r>
    </w:p>
    <w:p w14:paraId="3F7C895B">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▲本项目要求提供电子响应文件一份，电子响应文件的内容为资格审查文件、商务报价响应文件打印盖章后的响应文件的扫描件（资格审查文件、商务报价响应文件需分别逐页连续扫描为</w:t>
      </w:r>
      <w:r>
        <w:rPr>
          <w:rFonts w:hint="eastAsia" w:ascii="宋体" w:hAnsi="宋体" w:cs="宋体"/>
          <w:sz w:val="24"/>
          <w:szCs w:val="28"/>
        </w:rPr>
        <w:t>两</w:t>
      </w:r>
      <w:r>
        <w:rPr>
          <w:rFonts w:hint="eastAsia" w:ascii="宋体" w:hAnsi="宋体" w:cs="宋体"/>
          <w:sz w:val="24"/>
          <w:szCs w:val="28"/>
          <w:lang w:val="zh-CN"/>
        </w:rPr>
        <w:t>个独立的PDF文件，</w:t>
      </w:r>
      <w:r>
        <w:rPr>
          <w:rFonts w:hint="eastAsia" w:ascii="宋体" w:hAnsi="宋体" w:cs="宋体"/>
          <w:sz w:val="24"/>
          <w:szCs w:val="24"/>
        </w:rPr>
        <w:t>存储于一个U盘中即可</w:t>
      </w:r>
      <w:r>
        <w:rPr>
          <w:rFonts w:hint="eastAsia" w:ascii="宋体" w:hAnsi="宋体" w:cs="宋体"/>
          <w:sz w:val="24"/>
          <w:szCs w:val="28"/>
          <w:lang w:val="zh-CN"/>
        </w:rPr>
        <w:t>），</w:t>
      </w:r>
      <w:r>
        <w:rPr>
          <w:rFonts w:hint="eastAsia" w:ascii="宋体" w:hAnsi="宋体" w:cs="宋体"/>
          <w:sz w:val="24"/>
          <w:szCs w:val="28"/>
        </w:rPr>
        <w:t>可以采取</w:t>
      </w:r>
      <w:r>
        <w:rPr>
          <w:rFonts w:hint="eastAsia" w:ascii="宋体" w:hAnsi="宋体" w:cs="宋体"/>
          <w:sz w:val="24"/>
          <w:szCs w:val="28"/>
          <w:lang w:val="zh-CN"/>
        </w:rPr>
        <w:t>U盘</w:t>
      </w:r>
      <w:r>
        <w:rPr>
          <w:rFonts w:hint="eastAsia" w:ascii="宋体" w:hAnsi="宋体" w:cs="宋体"/>
          <w:sz w:val="24"/>
          <w:szCs w:val="28"/>
        </w:rPr>
        <w:t>方式</w:t>
      </w:r>
      <w:r>
        <w:rPr>
          <w:rFonts w:hint="eastAsia" w:ascii="宋体" w:hAnsi="宋体" w:cs="宋体"/>
          <w:sz w:val="24"/>
          <w:szCs w:val="28"/>
          <w:lang w:val="zh-CN"/>
        </w:rPr>
        <w:t>提交，需单独密封提交。</w:t>
      </w:r>
    </w:p>
    <w:p w14:paraId="76F95E3F">
      <w:pPr>
        <w:pStyle w:val="11"/>
        <w:spacing w:after="0" w:line="360" w:lineRule="auto"/>
        <w:ind w:firstLine="482" w:firstLineChars="200"/>
        <w:rPr>
          <w:sz w:val="24"/>
          <w:u w:val="double"/>
          <w:lang w:val="zh-CN"/>
        </w:rPr>
      </w:pPr>
      <w:r>
        <w:rPr>
          <w:rFonts w:hint="eastAsia" w:ascii="宋体" w:hAnsi="宋体" w:cs="宋体"/>
          <w:b/>
          <w:bCs/>
          <w:kern w:val="2"/>
          <w:sz w:val="24"/>
          <w:szCs w:val="24"/>
          <w:u w:val="double"/>
        </w:rPr>
        <w:t>特别提醒：未提供电子询价文件的，则视为无效投标。</w:t>
      </w:r>
    </w:p>
    <w:p w14:paraId="423D2575">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（四）询价响应文件的密封及标记</w:t>
      </w:r>
    </w:p>
    <w:p w14:paraId="12AD62E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密封后应标明响应文件项目名称、供应商名称，边缝处加盖单位骑缝章或骑缝签字。</w:t>
      </w:r>
    </w:p>
    <w:p w14:paraId="001E3913">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七、</w:t>
      </w:r>
      <w:r>
        <w:rPr>
          <w:rFonts w:hint="eastAsia" w:ascii="宋体" w:hAnsi="宋体" w:cs="宋体"/>
          <w:b/>
          <w:bCs/>
          <w:sz w:val="24"/>
          <w:szCs w:val="28"/>
          <w:lang w:val="zh-CN"/>
        </w:rPr>
        <w:t>出现下列情形之一的，作无效投标处理：</w:t>
      </w:r>
    </w:p>
    <w:p w14:paraId="1E00BEA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1.</w:t>
      </w:r>
      <w:r>
        <w:rPr>
          <w:rFonts w:hint="eastAsia" w:ascii="宋体" w:hAnsi="宋体" w:cs="宋体"/>
          <w:sz w:val="24"/>
          <w:szCs w:val="28"/>
          <w:lang w:val="zh-CN"/>
        </w:rPr>
        <w:t>投标文件未按询价文件要求签署、盖章的；</w:t>
      </w:r>
    </w:p>
    <w:p w14:paraId="68E1E5C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2.</w:t>
      </w:r>
      <w:r>
        <w:rPr>
          <w:rFonts w:hint="eastAsia" w:ascii="宋体" w:hAnsi="宋体" w:cs="宋体"/>
          <w:sz w:val="24"/>
          <w:szCs w:val="28"/>
          <w:lang w:val="zh-CN"/>
        </w:rPr>
        <w:t>不具备询价文件中规定的资格要求的；</w:t>
      </w:r>
    </w:p>
    <w:p w14:paraId="41CB115B">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报价超过询价文件中规定的预算金额或者最高限价的；</w:t>
      </w:r>
    </w:p>
    <w:p w14:paraId="54F70473">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w:t>
      </w:r>
      <w:r>
        <w:rPr>
          <w:rFonts w:hint="eastAsia" w:ascii="宋体" w:hAnsi="宋体" w:cs="宋体"/>
          <w:sz w:val="24"/>
          <w:szCs w:val="28"/>
          <w:lang w:val="zh-CN"/>
        </w:rPr>
        <w:t>询价响应文件资格审查文件部分出现商务报价的内容；</w:t>
      </w:r>
    </w:p>
    <w:p w14:paraId="1FFF603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6</w:t>
      </w:r>
      <w:r>
        <w:rPr>
          <w:rFonts w:hint="eastAsia" w:ascii="宋体" w:hAnsi="宋体" w:cs="宋体"/>
          <w:sz w:val="24"/>
          <w:szCs w:val="28"/>
        </w:rPr>
        <w:t>.</w:t>
      </w:r>
      <w:r>
        <w:rPr>
          <w:rFonts w:hint="eastAsia" w:ascii="宋体" w:hAnsi="宋体" w:cs="宋体"/>
          <w:sz w:val="24"/>
          <w:szCs w:val="28"/>
          <w:lang w:val="zh-CN"/>
        </w:rPr>
        <w:t>投标文件含有采购人不能接受的附加条件的；</w:t>
      </w:r>
    </w:p>
    <w:p w14:paraId="29FECD76">
      <w:pPr>
        <w:spacing w:after="0" w:line="360" w:lineRule="auto"/>
        <w:ind w:firstLine="482" w:firstLineChars="200"/>
        <w:jc w:val="both"/>
        <w:rPr>
          <w:rFonts w:hint="eastAsia" w:ascii="宋体" w:hAnsi="宋体" w:cs="宋体"/>
          <w:b/>
          <w:bCs/>
          <w:sz w:val="24"/>
          <w:szCs w:val="28"/>
        </w:rPr>
      </w:pPr>
      <w:r>
        <w:rPr>
          <w:rFonts w:hint="eastAsia" w:ascii="宋体" w:hAnsi="宋体" w:cs="宋体"/>
          <w:b/>
          <w:bCs/>
          <w:sz w:val="24"/>
          <w:szCs w:val="28"/>
        </w:rPr>
        <w:t>7.未提供电子档询价文件；</w:t>
      </w:r>
    </w:p>
    <w:p w14:paraId="4E7DE08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8.</w:t>
      </w:r>
      <w:r>
        <w:rPr>
          <w:rFonts w:hint="eastAsia" w:ascii="宋体" w:hAnsi="宋体" w:cs="宋体"/>
          <w:sz w:val="24"/>
          <w:szCs w:val="28"/>
          <w:lang w:val="zh-CN"/>
        </w:rPr>
        <w:t>法律、法规和询价文件规定的其他无效情形。</w:t>
      </w:r>
    </w:p>
    <w:p w14:paraId="00C8D0F4">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八</w:t>
      </w:r>
      <w:r>
        <w:rPr>
          <w:rFonts w:hint="eastAsia" w:ascii="宋体" w:hAnsi="宋体" w:cs="宋体"/>
          <w:b/>
          <w:bCs/>
          <w:sz w:val="24"/>
          <w:szCs w:val="28"/>
          <w:lang w:val="zh-CN"/>
        </w:rPr>
        <w:t>、有下列情形之一的，视为响应供应商串通投标，其投标无效：</w:t>
      </w:r>
    </w:p>
    <w:p w14:paraId="5E72E85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不同响应供应商的投标文件由同一单位或者个人编制；</w:t>
      </w:r>
    </w:p>
    <w:p w14:paraId="655EE9E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不同响应供应商委托同一单位或者个人办理投标事宜；</w:t>
      </w:r>
    </w:p>
    <w:p w14:paraId="116BF32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不同响应供应商的投标文件载明的项目管理成员或者联系人员为同一人；</w:t>
      </w:r>
    </w:p>
    <w:p w14:paraId="65ACA73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不同响应供应商的投标文件异常一致或者投标报价呈规律性差异；</w:t>
      </w:r>
    </w:p>
    <w:p w14:paraId="14B9883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w:t>
      </w:r>
      <w:r>
        <w:rPr>
          <w:rFonts w:hint="eastAsia" w:ascii="宋体" w:hAnsi="宋体" w:cs="宋体"/>
          <w:sz w:val="24"/>
          <w:szCs w:val="28"/>
          <w:lang w:val="zh-CN"/>
        </w:rPr>
        <w:t>不同响应供应商的投标文件相互混装。</w:t>
      </w:r>
    </w:p>
    <w:p w14:paraId="5993A3CA">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九</w:t>
      </w:r>
      <w:r>
        <w:rPr>
          <w:rFonts w:hint="eastAsia" w:ascii="宋体" w:hAnsi="宋体" w:cs="宋体"/>
          <w:b/>
          <w:bCs/>
          <w:sz w:val="24"/>
          <w:szCs w:val="28"/>
          <w:lang w:val="zh-CN"/>
        </w:rPr>
        <w:t>、变更为其他方式采购的情形处理</w:t>
      </w:r>
    </w:p>
    <w:p w14:paraId="289CBCE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投标截止后供应商不足3家或者通过资格审查或符合性审查的供应商不足3家的，除采购任务取消情形外，按照以下方式处理：</w:t>
      </w:r>
    </w:p>
    <w:p w14:paraId="13373978">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询价文件存在不合理条款或者招标程序不符合规定的，采购人、采购代理机构改正后依法重新</w:t>
      </w:r>
      <w:r>
        <w:rPr>
          <w:rFonts w:hint="eastAsia" w:ascii="宋体" w:hAnsi="宋体" w:cs="宋体"/>
          <w:sz w:val="24"/>
          <w:szCs w:val="28"/>
        </w:rPr>
        <w:t>采购</w:t>
      </w:r>
      <w:r>
        <w:rPr>
          <w:rFonts w:hint="eastAsia" w:ascii="宋体" w:hAnsi="宋体" w:cs="宋体"/>
          <w:sz w:val="24"/>
          <w:szCs w:val="28"/>
          <w:lang w:val="zh-CN"/>
        </w:rPr>
        <w:t>；</w:t>
      </w:r>
    </w:p>
    <w:p w14:paraId="3DB4F86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询价文件没有不合理条款、</w:t>
      </w:r>
      <w:r>
        <w:rPr>
          <w:rFonts w:hint="eastAsia" w:ascii="宋体" w:hAnsi="宋体" w:cs="宋体"/>
          <w:sz w:val="24"/>
          <w:szCs w:val="28"/>
        </w:rPr>
        <w:t>采购</w:t>
      </w:r>
      <w:r>
        <w:rPr>
          <w:rFonts w:hint="eastAsia" w:ascii="宋体" w:hAnsi="宋体" w:cs="宋体"/>
          <w:sz w:val="24"/>
          <w:szCs w:val="28"/>
          <w:lang w:val="zh-CN"/>
        </w:rPr>
        <w:t>程序符合规定，需要采用其他采购人式采购的，采购人应当</w:t>
      </w:r>
      <w:r>
        <w:rPr>
          <w:rFonts w:hint="eastAsia" w:ascii="宋体" w:hAnsi="宋体" w:cs="宋体"/>
          <w:sz w:val="24"/>
          <w:szCs w:val="28"/>
        </w:rPr>
        <w:t>报相关</w:t>
      </w:r>
      <w:r>
        <w:rPr>
          <w:rFonts w:hint="eastAsia" w:ascii="宋体" w:hAnsi="宋体" w:cs="宋体"/>
          <w:sz w:val="24"/>
          <w:szCs w:val="28"/>
          <w:lang w:val="zh-CN"/>
        </w:rPr>
        <w:t>部门批准。</w:t>
      </w:r>
    </w:p>
    <w:p w14:paraId="1010A0C1">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十</w:t>
      </w:r>
      <w:r>
        <w:rPr>
          <w:rFonts w:hint="eastAsia" w:ascii="宋体" w:hAnsi="宋体" w:cs="宋体"/>
          <w:b/>
          <w:bCs/>
          <w:sz w:val="24"/>
          <w:szCs w:val="28"/>
          <w:lang w:val="zh-CN"/>
        </w:rPr>
        <w:t>、出现下列情形之一的，作废标处理：</w:t>
      </w:r>
    </w:p>
    <w:p w14:paraId="23BEFE7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出现影响采购公正的违法违规行为的；</w:t>
      </w:r>
    </w:p>
    <w:p w14:paraId="4CF57B8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所有响应供应商报价超出采购控制价的；</w:t>
      </w:r>
    </w:p>
    <w:p w14:paraId="3703772A">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因重大变故，采购任务被取消的；</w:t>
      </w:r>
    </w:p>
    <w:p w14:paraId="511DB0E2">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询价小组依据法律法规可以认定为废标的其他情况。</w:t>
      </w:r>
    </w:p>
    <w:p w14:paraId="294F9C9F">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十一</w:t>
      </w:r>
      <w:r>
        <w:rPr>
          <w:rFonts w:hint="eastAsia" w:ascii="宋体" w:hAnsi="宋体" w:cs="宋体"/>
          <w:b/>
          <w:bCs/>
          <w:sz w:val="24"/>
          <w:szCs w:val="28"/>
          <w:lang w:val="zh-CN"/>
        </w:rPr>
        <w:t>、成交通知</w:t>
      </w:r>
    </w:p>
    <w:p w14:paraId="049937B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采购人自成交人确定之日起2个工作日内在</w:t>
      </w:r>
      <w:r>
        <w:rPr>
          <w:rFonts w:hint="eastAsia" w:ascii="宋体" w:hAnsi="宋体" w:cs="宋体"/>
          <w:sz w:val="24"/>
          <w:szCs w:val="28"/>
        </w:rPr>
        <w:t>江苏商贸职业学院网站</w:t>
      </w:r>
      <w:r>
        <w:rPr>
          <w:rFonts w:hint="eastAsia" w:ascii="宋体" w:hAnsi="宋体" w:cs="宋体"/>
          <w:sz w:val="24"/>
          <w:szCs w:val="28"/>
          <w:lang w:val="zh-CN"/>
        </w:rPr>
        <w:t>上公告成交结果。</w:t>
      </w:r>
    </w:p>
    <w:p w14:paraId="791A31E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成交公告期限为1个工作日，期限结束后向成交人发出《成交通知书》。</w:t>
      </w:r>
    </w:p>
    <w:p w14:paraId="792EEA1E">
      <w:pPr>
        <w:spacing w:after="0" w:line="360" w:lineRule="auto"/>
        <w:ind w:firstLine="480" w:firstLineChars="200"/>
        <w:jc w:val="both"/>
        <w:rPr>
          <w:rFonts w:hint="eastAsia" w:ascii="宋体" w:hAnsi="宋体" w:cs="宋体"/>
          <w:b/>
          <w:bCs/>
          <w:sz w:val="24"/>
          <w:szCs w:val="28"/>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《成交通知书》一经发出，即具有法律效力。采购人、成交人依法承担法律责任。</w:t>
      </w:r>
    </w:p>
    <w:p w14:paraId="66C7E9E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4.当成交供应商无正当理由放弃成交，被查实存在影响成交结果的违法行为等情形，采购人有权按照相关法律法规的规定对其采取惩戒措施，包含但不限于列入采购失信人黑名单等措施。</w:t>
      </w:r>
    </w:p>
    <w:p w14:paraId="3D0EA2CE">
      <w:pPr>
        <w:spacing w:after="0" w:line="360" w:lineRule="auto"/>
        <w:ind w:firstLine="480" w:firstLineChars="200"/>
        <w:rPr>
          <w:rFonts w:hint="eastAsia" w:ascii="宋体" w:hAnsi="宋体" w:cs="宋体"/>
          <w:sz w:val="24"/>
          <w:szCs w:val="28"/>
        </w:rPr>
      </w:pPr>
      <w:r>
        <w:rPr>
          <w:rFonts w:hint="eastAsia" w:ascii="宋体" w:hAnsi="宋体" w:cs="宋体"/>
          <w:sz w:val="24"/>
          <w:szCs w:val="28"/>
        </w:rPr>
        <w:t>5.当成交供应商放弃成交、因不可抗力不能履行合同，或者被查实存在影响成交结果的违法行为等情形，不符合成交条件的，采购人可以按照询价小组提出的成交候选人名单排序依次确定其他成交候选人为成交人，也可以重新采购。</w:t>
      </w:r>
    </w:p>
    <w:p w14:paraId="2352B5C7">
      <w:pPr>
        <w:pStyle w:val="18"/>
        <w:spacing w:after="0" w:line="360" w:lineRule="auto"/>
        <w:ind w:left="0" w:leftChars="0" w:firstLine="482" w:firstLineChars="200"/>
        <w:rPr>
          <w:rFonts w:hint="eastAsia" w:ascii="宋体" w:hAnsi="宋体" w:cs="宋体"/>
          <w:b/>
          <w:bCs/>
          <w:sz w:val="24"/>
          <w:szCs w:val="24"/>
        </w:rPr>
      </w:pPr>
      <w:r>
        <w:rPr>
          <w:rFonts w:hint="eastAsia" w:ascii="宋体" w:hAnsi="宋体" w:cs="宋体"/>
          <w:b/>
          <w:bCs/>
          <w:sz w:val="24"/>
          <w:szCs w:val="24"/>
        </w:rPr>
        <w:t>十二、授予合同</w:t>
      </w:r>
    </w:p>
    <w:p w14:paraId="6B9FE4E6">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1.签订合同</w:t>
      </w:r>
    </w:p>
    <w:p w14:paraId="1CF88665">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 xml:space="preserve">1.l成交人在《成交通知书》发出30日内必须按照采购文件确定的事项签订采购合同。采购人不得向成交人提出不合理的要求作为签订合同的条件，不得与成交人私下订立背离采购文件实质性内容的协议。  </w:t>
      </w:r>
    </w:p>
    <w:p w14:paraId="469A8265">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1.2采购人按合同约定积极配合成交人履约，成交人履约到位后，请以书面形式向采购人提出验收申请，采购人接到申请后原则上在5个工作日内及时组织相关专业技术人员，必要时邀请质检等部门共同参与验收，并出具验收报告。验收合格后，采购人凭收到货物或服务的验收凭证、验收合格文件等材料，且收到成交人提供发票的原则上15个工作日内支付相应款项。</w:t>
      </w:r>
    </w:p>
    <w:p w14:paraId="0070642D">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1.3采购人故意推迟项目验收时间的，与成交人串通或要求成交人降低服务标准的，在履行合同中采取更改条款、弄虚作假等手段的，要求成交人出具虚假发票或任意更改销售发票的，谋取不正当利益的，承担相应的法律责任。</w:t>
      </w:r>
    </w:p>
    <w:p w14:paraId="5A5EEA26">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1.4成交人出现违约情形，应当及时纠正或补偿；造成损失的，按合同约定追究违约责任；发现有假冒、伪劣、走私产品、商业贿赂等违法情形的，应由采购人移交工商、质监、公安等行政执法部门依法查处。</w:t>
      </w:r>
    </w:p>
    <w:p w14:paraId="2F0B3D8A">
      <w:pPr>
        <w:spacing w:after="0" w:line="360" w:lineRule="auto"/>
        <w:ind w:firstLine="484" w:firstLineChars="202"/>
        <w:rPr>
          <w:rFonts w:hint="eastAsia" w:ascii="宋体" w:hAnsi="宋体" w:cs="宋体"/>
          <w:sz w:val="24"/>
        </w:rPr>
      </w:pPr>
      <w:r>
        <w:rPr>
          <w:rFonts w:hint="eastAsia" w:ascii="宋体" w:hAnsi="宋体" w:cs="宋体"/>
          <w:sz w:val="24"/>
        </w:rPr>
        <w:t xml:space="preserve">1.5按采购合同约定支付的货款进行支付。 </w:t>
      </w:r>
    </w:p>
    <w:p w14:paraId="2DB7FC9F">
      <w:pPr>
        <w:spacing w:after="0" w:line="360" w:lineRule="auto"/>
        <w:ind w:firstLine="482" w:firstLineChars="200"/>
        <w:outlineLvl w:val="0"/>
        <w:rPr>
          <w:rFonts w:hint="eastAsia" w:ascii="宋体" w:hAnsi="宋体" w:cs="宋体"/>
          <w:b/>
          <w:sz w:val="24"/>
        </w:rPr>
      </w:pPr>
      <w:r>
        <w:rPr>
          <w:rFonts w:hint="eastAsia" w:ascii="宋体" w:hAnsi="宋体" w:cs="宋体"/>
          <w:b/>
          <w:bCs/>
          <w:sz w:val="24"/>
        </w:rPr>
        <w:t xml:space="preserve"> 十三、</w:t>
      </w:r>
      <w:r>
        <w:rPr>
          <w:rFonts w:hint="eastAsia" w:ascii="宋体" w:hAnsi="宋体" w:cs="宋体"/>
          <w:b/>
          <w:sz w:val="24"/>
        </w:rPr>
        <w:t>其他</w:t>
      </w:r>
    </w:p>
    <w:p w14:paraId="04A3B97F">
      <w:pPr>
        <w:spacing w:after="0" w:line="360" w:lineRule="auto"/>
        <w:ind w:firstLine="480" w:firstLineChars="200"/>
        <w:contextualSpacing/>
        <w:rPr>
          <w:rFonts w:hint="eastAsia" w:ascii="宋体" w:hAnsi="宋体" w:cs="宋体"/>
          <w:b/>
          <w:sz w:val="24"/>
        </w:rPr>
      </w:pPr>
      <w:r>
        <w:rPr>
          <w:rFonts w:hint="eastAsia" w:ascii="宋体" w:hAnsi="宋体" w:cs="宋体"/>
          <w:sz w:val="24"/>
        </w:rPr>
        <w:t>1.供应服务商下载询价文件后，应仔细检查询价文件的所有内容，如有内容或页码残缺、资格要求和技术参数含有倾向性或排他性等表述的，</w:t>
      </w:r>
      <w:r>
        <w:rPr>
          <w:rFonts w:hint="eastAsia" w:ascii="宋体" w:hAnsi="宋体" w:cs="宋体"/>
          <w:b/>
          <w:sz w:val="24"/>
        </w:rPr>
        <w:t>请在</w:t>
      </w:r>
      <w:r>
        <w:rPr>
          <w:rFonts w:hint="eastAsia" w:ascii="宋体" w:hAnsi="宋体" w:cs="宋体"/>
          <w:b/>
          <w:bCs/>
          <w:sz w:val="24"/>
        </w:rPr>
        <w:t>询价文件发布后2日内</w:t>
      </w:r>
      <w:r>
        <w:rPr>
          <w:rFonts w:hint="eastAsia" w:ascii="宋体" w:hAnsi="宋体" w:cs="宋体"/>
          <w:b/>
          <w:sz w:val="24"/>
        </w:rPr>
        <w:t>，以书面形式提出询问或疑问，</w:t>
      </w:r>
      <w:r>
        <w:rPr>
          <w:rFonts w:hint="eastAsia" w:ascii="宋体" w:hAnsi="宋体" w:cs="宋体"/>
          <w:sz w:val="24"/>
        </w:rPr>
        <w:t>未在规定时间内提出询问或疑问的，视同供应商理解并接受本询价文件所有内容，并由此引起的损失自负。供应商不得在响应结束后针对询价文件所有内容提出质疑事项。</w:t>
      </w:r>
      <w:r>
        <w:rPr>
          <w:rFonts w:hint="eastAsia" w:ascii="宋体" w:hAnsi="宋体" w:cs="宋体"/>
          <w:b/>
          <w:sz w:val="24"/>
        </w:rPr>
        <w:t>非书面形式的不作为日后质疑提出的依据。</w:t>
      </w:r>
    </w:p>
    <w:p w14:paraId="0B9D5A83">
      <w:pPr>
        <w:spacing w:after="0" w:line="360" w:lineRule="auto"/>
        <w:ind w:firstLine="480" w:firstLineChars="200"/>
        <w:rPr>
          <w:rFonts w:hint="eastAsia" w:ascii="宋体" w:hAnsi="宋体" w:cs="宋体"/>
          <w:sz w:val="24"/>
        </w:rPr>
      </w:pPr>
      <w:r>
        <w:rPr>
          <w:rFonts w:hint="eastAsia" w:ascii="宋体" w:hAnsi="宋体" w:cs="宋体"/>
          <w:sz w:val="24"/>
        </w:rPr>
        <w:t>2.供应商应认真审阅询价文件中所有的事项、格式、条款和规范要求等，如果供应商没有按照询价文件要求提交响应文件，或者响应文件没有对询价文件做出实质性响应，其响应将被拒绝，应由供应商自行承担。</w:t>
      </w:r>
    </w:p>
    <w:p w14:paraId="1C4926B1">
      <w:pPr>
        <w:spacing w:after="0" w:line="360" w:lineRule="auto"/>
        <w:ind w:firstLine="480" w:firstLineChars="200"/>
        <w:rPr>
          <w:rFonts w:hint="eastAsia" w:ascii="宋体" w:hAnsi="宋体" w:cs="宋体"/>
          <w:sz w:val="24"/>
        </w:rPr>
      </w:pPr>
      <w:r>
        <w:rPr>
          <w:rFonts w:hint="eastAsia" w:ascii="宋体" w:hAnsi="宋体" w:cs="宋体"/>
          <w:sz w:val="24"/>
        </w:rPr>
        <w:t>3.采购单位可以对已发出的询价文件进行必要的澄清或者修改，澄清或者修改的内容作为询价文件的组成部分。澄清或者修改的内容可能影响响应文件编制的，采购单位应当在提交首次响应文件截止之日3个日前，以网上发布形式通知所有接收询价文件的供应服务商，且以在</w:t>
      </w:r>
      <w:r>
        <w:rPr>
          <w:rFonts w:hint="eastAsia" w:ascii="宋体"/>
          <w:sz w:val="24"/>
        </w:rPr>
        <w:t>“江苏商贸职业学院校园网（</w:t>
      </w:r>
      <w:r>
        <w:rPr>
          <w:rFonts w:ascii="宋体"/>
          <w:sz w:val="24"/>
        </w:rPr>
        <w:t>http://www.jsbc.edu.cn/</w:t>
      </w:r>
      <w:r>
        <w:rPr>
          <w:rFonts w:hint="eastAsia" w:ascii="宋体"/>
          <w:sz w:val="24"/>
        </w:rPr>
        <w:t>）</w:t>
      </w:r>
      <w:r>
        <w:rPr>
          <w:rFonts w:hint="eastAsia" w:ascii="宋体" w:hAnsi="宋体" w:cs="宋体"/>
          <w:sz w:val="24"/>
        </w:rPr>
        <w:t xml:space="preserve">发布的信息为准，不足3日的，应当顺延提交首次响应文件截止之日。 </w:t>
      </w:r>
    </w:p>
    <w:p w14:paraId="6457B658">
      <w:pPr>
        <w:spacing w:after="0" w:line="360" w:lineRule="auto"/>
        <w:ind w:firstLine="480" w:firstLineChars="200"/>
        <w:rPr>
          <w:rFonts w:hint="eastAsia" w:ascii="宋体" w:hAnsi="宋体" w:cs="宋体"/>
          <w:sz w:val="24"/>
        </w:rPr>
      </w:pPr>
      <w:r>
        <w:rPr>
          <w:rFonts w:hint="eastAsia" w:ascii="宋体" w:hAnsi="宋体" w:cs="宋体"/>
          <w:sz w:val="24"/>
        </w:rPr>
        <w:t>4.供应商由于对文件的任何推论和误解以及采购单位、采购单位对有关问题的口头解释所造成的后果，均由供应商自负。</w:t>
      </w:r>
    </w:p>
    <w:p w14:paraId="0F79175F">
      <w:pPr>
        <w:spacing w:after="0" w:line="360" w:lineRule="auto"/>
        <w:ind w:firstLine="480" w:firstLineChars="200"/>
        <w:outlineLvl w:val="1"/>
        <w:rPr>
          <w:rFonts w:hint="eastAsia" w:ascii="宋体" w:hAnsi="宋体" w:cs="宋体"/>
          <w:sz w:val="24"/>
        </w:rPr>
      </w:pPr>
      <w:r>
        <w:rPr>
          <w:rFonts w:hint="eastAsia" w:ascii="宋体" w:hAnsi="宋体" w:cs="宋体"/>
          <w:sz w:val="24"/>
        </w:rPr>
        <w:t>5.采购单位可视情组织答疑会。如有答疑且对询价文件内容有修改，采购人将按照本须知有关规定，以补充通知（公告）的方式发出。</w:t>
      </w:r>
    </w:p>
    <w:p w14:paraId="0A360D08">
      <w:pPr>
        <w:spacing w:after="0" w:line="360" w:lineRule="auto"/>
        <w:ind w:firstLine="482" w:firstLineChars="200"/>
        <w:outlineLvl w:val="1"/>
        <w:rPr>
          <w:rFonts w:hint="eastAsia" w:ascii="宋体" w:hAnsi="宋体" w:cs="宋体"/>
          <w:b/>
          <w:bCs/>
          <w:sz w:val="24"/>
        </w:rPr>
      </w:pPr>
      <w:r>
        <w:rPr>
          <w:rFonts w:hint="eastAsia" w:ascii="宋体" w:hAnsi="宋体" w:cs="宋体"/>
          <w:b/>
          <w:bCs/>
          <w:sz w:val="24"/>
        </w:rPr>
        <w:t>十四、未尽事宜</w:t>
      </w:r>
    </w:p>
    <w:p w14:paraId="6ABCBDC4">
      <w:pPr>
        <w:pStyle w:val="17"/>
        <w:tabs>
          <w:tab w:val="left" w:pos="1050"/>
          <w:tab w:val="right" w:leader="dot" w:pos="9402"/>
        </w:tabs>
        <w:spacing w:line="360" w:lineRule="auto"/>
        <w:jc w:val="both"/>
        <w:outlineLvl w:val="0"/>
        <w:rPr>
          <w:rFonts w:hint="eastAsia" w:ascii="宋体" w:hAnsi="宋体" w:cs="宋体"/>
          <w:b/>
          <w:bCs/>
          <w:i w:val="0"/>
          <w:iCs/>
          <w:sz w:val="24"/>
          <w:szCs w:val="28"/>
        </w:rPr>
      </w:pPr>
      <w:r>
        <w:rPr>
          <w:rFonts w:hint="eastAsia" w:ascii="宋体" w:hAnsi="宋体" w:cs="宋体"/>
          <w:i w:val="0"/>
          <w:sz w:val="24"/>
          <w:szCs w:val="22"/>
        </w:rPr>
        <w:t>参照江苏商贸职业学院采购与招标管理内控制度规定执行。</w:t>
      </w:r>
      <w:r>
        <w:rPr>
          <w:rFonts w:hint="eastAsia" w:ascii="宋体" w:hAnsi="宋体" w:cs="宋体"/>
          <w:b/>
          <w:bCs/>
          <w:i w:val="0"/>
          <w:iCs/>
          <w:sz w:val="24"/>
          <w:szCs w:val="28"/>
        </w:rPr>
        <w:br w:type="page"/>
      </w:r>
    </w:p>
    <w:p w14:paraId="445251B4">
      <w:pPr>
        <w:pStyle w:val="17"/>
        <w:tabs>
          <w:tab w:val="left" w:pos="1050"/>
          <w:tab w:val="right" w:leader="dot" w:pos="9402"/>
        </w:tabs>
        <w:spacing w:line="360" w:lineRule="auto"/>
        <w:ind w:left="0" w:firstLine="3373" w:firstLineChars="1400"/>
        <w:jc w:val="both"/>
        <w:outlineLvl w:val="0"/>
        <w:rPr>
          <w:rFonts w:hint="eastAsia" w:ascii="宋体" w:hAnsi="宋体" w:cs="宋体"/>
          <w:b/>
          <w:bCs/>
          <w:i w:val="0"/>
          <w:sz w:val="24"/>
          <w:szCs w:val="24"/>
        </w:rPr>
      </w:pPr>
      <w:r>
        <w:rPr>
          <w:rFonts w:hint="eastAsia" w:ascii="宋体" w:hAnsi="宋体" w:cs="宋体"/>
          <w:b/>
          <w:bCs/>
          <w:i w:val="0"/>
          <w:sz w:val="24"/>
          <w:szCs w:val="24"/>
        </w:rPr>
        <w:t>第四部分</w:t>
      </w:r>
      <w:r>
        <w:rPr>
          <w:rFonts w:hint="eastAsia" w:ascii="宋体" w:hAnsi="宋体" w:cs="宋体"/>
          <w:b/>
          <w:bCs/>
          <w:sz w:val="24"/>
          <w:szCs w:val="24"/>
        </w:rPr>
        <w:t xml:space="preserve">   </w:t>
      </w:r>
      <w:r>
        <w:rPr>
          <w:rFonts w:hint="eastAsia" w:ascii="宋体" w:hAnsi="宋体" w:cs="宋体"/>
          <w:b/>
          <w:bCs/>
          <w:i w:val="0"/>
          <w:sz w:val="24"/>
          <w:szCs w:val="24"/>
        </w:rPr>
        <w:t>合同主要条款</w:t>
      </w:r>
    </w:p>
    <w:p w14:paraId="73522C63">
      <w:pPr>
        <w:spacing w:line="480" w:lineRule="exact"/>
        <w:jc w:val="center"/>
        <w:rPr>
          <w:sz w:val="18"/>
          <w:szCs w:val="18"/>
        </w:rPr>
      </w:pPr>
      <w:r>
        <w:rPr>
          <w:rFonts w:hint="eastAsia" w:ascii="宋体" w:hAnsi="宋体" w:cs="宋体"/>
          <w:b/>
          <w:sz w:val="24"/>
          <w:szCs w:val="24"/>
        </w:rPr>
        <w:t>合同协议书</w:t>
      </w:r>
    </w:p>
    <w:p w14:paraId="3511ECA4">
      <w:pPr>
        <w:spacing w:after="0" w:line="360" w:lineRule="auto"/>
        <w:ind w:firstLine="482" w:firstLineChars="200"/>
        <w:rPr>
          <w:rFonts w:hint="eastAsia" w:ascii="宋体" w:hAnsi="宋体" w:cs="宋体"/>
          <w:b/>
          <w:color w:val="000000"/>
          <w:sz w:val="24"/>
        </w:rPr>
      </w:pPr>
      <w:r>
        <w:rPr>
          <w:rFonts w:hint="eastAsia" w:ascii="宋体" w:hAnsi="宋体" w:cs="宋体"/>
          <w:b/>
          <w:color w:val="000000"/>
          <w:sz w:val="24"/>
        </w:rPr>
        <w:t>发包方（甲方）：江苏商贸职业学院</w:t>
      </w:r>
    </w:p>
    <w:p w14:paraId="0BB0206E">
      <w:pPr>
        <w:spacing w:after="0" w:line="360" w:lineRule="auto"/>
        <w:ind w:firstLine="482" w:firstLineChars="200"/>
        <w:rPr>
          <w:rFonts w:hint="eastAsia" w:ascii="宋体" w:hAnsi="宋体" w:cs="宋体"/>
          <w:color w:val="000000"/>
          <w:sz w:val="24"/>
        </w:rPr>
      </w:pPr>
      <w:r>
        <w:rPr>
          <w:rFonts w:hint="eastAsia" w:ascii="宋体" w:hAnsi="宋体" w:cs="宋体"/>
          <w:b/>
          <w:color w:val="000000"/>
          <w:sz w:val="24"/>
        </w:rPr>
        <w:t xml:space="preserve">承包方（乙方）： </w:t>
      </w:r>
    </w:p>
    <w:p w14:paraId="035780F7">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根据《中华人民共和国民法典》及有关法律规定，遵循平等、自愿、公平和诚实信用的原则，双方共同达成如下协议：</w:t>
      </w:r>
    </w:p>
    <w:p w14:paraId="5E8C6E01">
      <w:pPr>
        <w:numPr>
          <w:ilvl w:val="0"/>
          <w:numId w:val="2"/>
        </w:numPr>
        <w:spacing w:after="0" w:line="360" w:lineRule="auto"/>
        <w:ind w:firstLine="482" w:firstLineChars="200"/>
        <w:rPr>
          <w:rFonts w:hint="eastAsia" w:ascii="宋体" w:hAnsi="宋体" w:cs="宋体"/>
          <w:sz w:val="24"/>
        </w:rPr>
      </w:pPr>
      <w:r>
        <w:rPr>
          <w:rFonts w:hint="eastAsia" w:ascii="宋体" w:hAnsi="宋体" w:cs="宋体"/>
          <w:b/>
          <w:bCs/>
          <w:sz w:val="24"/>
        </w:rPr>
        <w:t>项目概况：</w:t>
      </w:r>
      <w:bookmarkStart w:id="1" w:name="_Toc12788"/>
      <w:bookmarkStart w:id="2" w:name="_Toc31646"/>
    </w:p>
    <w:p w14:paraId="6588320A">
      <w:pPr>
        <w:spacing w:after="0" w:line="360" w:lineRule="auto"/>
        <w:ind w:firstLine="480" w:firstLineChars="200"/>
        <w:rPr>
          <w:rFonts w:hint="eastAsia" w:ascii="宋体" w:hAnsi="宋体" w:cs="宋体"/>
          <w:sz w:val="24"/>
        </w:rPr>
      </w:pPr>
      <w:r>
        <w:rPr>
          <w:rFonts w:hint="eastAsia" w:ascii="宋体" w:hAnsi="宋体" w:cs="宋体"/>
          <w:sz w:val="24"/>
        </w:rPr>
        <w:t>1、项目名称：江苏商贸职业学院电动汽车充电桩建设及维护项目；</w:t>
      </w:r>
    </w:p>
    <w:p w14:paraId="4C650A6F">
      <w:pPr>
        <w:spacing w:after="0" w:line="360" w:lineRule="auto"/>
        <w:ind w:firstLine="480" w:firstLineChars="200"/>
        <w:rPr>
          <w:rFonts w:hint="eastAsia" w:ascii="宋体" w:hAnsi="宋体" w:cs="宋体"/>
          <w:sz w:val="24"/>
        </w:rPr>
      </w:pPr>
      <w:r>
        <w:rPr>
          <w:rFonts w:hint="eastAsia" w:ascii="宋体" w:hAnsi="宋体" w:cs="宋体"/>
          <w:sz w:val="24"/>
        </w:rPr>
        <w:t>2、项目预算：5.7万元；</w:t>
      </w:r>
    </w:p>
    <w:p w14:paraId="5B4E17A5">
      <w:pPr>
        <w:spacing w:after="0" w:line="360" w:lineRule="auto"/>
        <w:ind w:firstLine="480" w:firstLineChars="200"/>
        <w:rPr>
          <w:rFonts w:hint="eastAsia" w:ascii="宋体" w:hAnsi="宋体" w:cs="宋体"/>
          <w:sz w:val="24"/>
        </w:rPr>
      </w:pPr>
      <w:r>
        <w:rPr>
          <w:rFonts w:hint="eastAsia" w:ascii="宋体" w:hAnsi="宋体" w:cs="宋体"/>
          <w:sz w:val="24"/>
        </w:rPr>
        <w:t>3、项目地址：江苏商贸职业学院（南通市崇川区江通路48号）2号楼南侧；</w:t>
      </w:r>
    </w:p>
    <w:p w14:paraId="5DEDEE2E">
      <w:pPr>
        <w:spacing w:after="0" w:line="360" w:lineRule="auto"/>
        <w:ind w:firstLine="480" w:firstLineChars="200"/>
        <w:rPr>
          <w:rFonts w:hint="eastAsia" w:ascii="宋体" w:hAnsi="宋体" w:cs="宋体"/>
          <w:sz w:val="24"/>
        </w:rPr>
      </w:pPr>
      <w:r>
        <w:rPr>
          <w:rFonts w:hint="eastAsia" w:ascii="宋体" w:hAnsi="宋体" w:cs="宋体"/>
          <w:sz w:val="24"/>
        </w:rPr>
        <w:t>4、项目内容清单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53"/>
        <w:gridCol w:w="2567"/>
        <w:gridCol w:w="1383"/>
        <w:gridCol w:w="709"/>
        <w:gridCol w:w="2174"/>
      </w:tblGrid>
      <w:tr w14:paraId="0EA7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BD7415E">
            <w:pPr>
              <w:pStyle w:val="89"/>
              <w:rPr>
                <w:rFonts w:eastAsia="等线"/>
                <w:kern w:val="2"/>
              </w:rPr>
            </w:pPr>
            <w:r>
              <w:rPr>
                <w:rFonts w:eastAsia="等线"/>
                <w:kern w:val="2"/>
              </w:rPr>
              <w:t>序号</w:t>
            </w:r>
          </w:p>
        </w:tc>
        <w:tc>
          <w:tcPr>
            <w:tcW w:w="1153" w:type="dxa"/>
            <w:vAlign w:val="center"/>
          </w:tcPr>
          <w:p w14:paraId="5BF360C7">
            <w:pPr>
              <w:pStyle w:val="89"/>
              <w:rPr>
                <w:rFonts w:eastAsia="等线"/>
                <w:kern w:val="2"/>
              </w:rPr>
            </w:pPr>
            <w:r>
              <w:rPr>
                <w:rFonts w:eastAsia="等线"/>
                <w:kern w:val="2"/>
              </w:rPr>
              <w:t>名称</w:t>
            </w:r>
          </w:p>
        </w:tc>
        <w:tc>
          <w:tcPr>
            <w:tcW w:w="2567" w:type="dxa"/>
            <w:vAlign w:val="center"/>
          </w:tcPr>
          <w:p w14:paraId="22D4A3E3">
            <w:pPr>
              <w:pStyle w:val="89"/>
              <w:rPr>
                <w:rFonts w:eastAsia="等线"/>
                <w:kern w:val="2"/>
              </w:rPr>
            </w:pPr>
            <w:r>
              <w:rPr>
                <w:rFonts w:eastAsia="等线"/>
                <w:kern w:val="2"/>
              </w:rPr>
              <w:t>规格型号</w:t>
            </w:r>
          </w:p>
        </w:tc>
        <w:tc>
          <w:tcPr>
            <w:tcW w:w="1383" w:type="dxa"/>
            <w:vAlign w:val="center"/>
          </w:tcPr>
          <w:p w14:paraId="529FFD07">
            <w:pPr>
              <w:pStyle w:val="89"/>
              <w:rPr>
                <w:rFonts w:eastAsia="等线"/>
                <w:kern w:val="2"/>
              </w:rPr>
            </w:pPr>
            <w:r>
              <w:rPr>
                <w:rFonts w:eastAsia="等线"/>
                <w:kern w:val="2"/>
              </w:rPr>
              <w:t>位置</w:t>
            </w:r>
          </w:p>
        </w:tc>
        <w:tc>
          <w:tcPr>
            <w:tcW w:w="709" w:type="dxa"/>
            <w:vAlign w:val="center"/>
          </w:tcPr>
          <w:p w14:paraId="5EBACCE8">
            <w:pPr>
              <w:pStyle w:val="89"/>
              <w:rPr>
                <w:rFonts w:eastAsia="等线"/>
                <w:kern w:val="2"/>
              </w:rPr>
            </w:pPr>
            <w:r>
              <w:rPr>
                <w:rFonts w:eastAsia="等线"/>
                <w:kern w:val="2"/>
              </w:rPr>
              <w:t>数量</w:t>
            </w:r>
          </w:p>
        </w:tc>
        <w:tc>
          <w:tcPr>
            <w:tcW w:w="2174" w:type="dxa"/>
            <w:vAlign w:val="center"/>
          </w:tcPr>
          <w:p w14:paraId="3F53D88B">
            <w:pPr>
              <w:pStyle w:val="89"/>
              <w:rPr>
                <w:rFonts w:eastAsia="等线"/>
                <w:kern w:val="2"/>
              </w:rPr>
            </w:pPr>
            <w:r>
              <w:rPr>
                <w:rFonts w:eastAsia="等线"/>
                <w:kern w:val="2"/>
              </w:rPr>
              <w:t>备注</w:t>
            </w:r>
          </w:p>
        </w:tc>
      </w:tr>
      <w:tr w14:paraId="7E73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jc w:val="center"/>
        </w:trPr>
        <w:tc>
          <w:tcPr>
            <w:tcW w:w="704" w:type="dxa"/>
            <w:vAlign w:val="center"/>
          </w:tcPr>
          <w:p w14:paraId="3AC781D3">
            <w:pPr>
              <w:pStyle w:val="89"/>
              <w:rPr>
                <w:rFonts w:eastAsia="等线"/>
                <w:kern w:val="2"/>
              </w:rPr>
            </w:pPr>
            <w:r>
              <w:rPr>
                <w:rFonts w:eastAsia="等线"/>
                <w:kern w:val="2"/>
              </w:rPr>
              <w:t>1</w:t>
            </w:r>
          </w:p>
        </w:tc>
        <w:tc>
          <w:tcPr>
            <w:tcW w:w="1153" w:type="dxa"/>
            <w:vAlign w:val="center"/>
          </w:tcPr>
          <w:p w14:paraId="12CC4888">
            <w:pPr>
              <w:pStyle w:val="89"/>
              <w:rPr>
                <w:rFonts w:eastAsia="等线"/>
                <w:kern w:val="2"/>
              </w:rPr>
            </w:pPr>
            <w:r>
              <w:rPr>
                <w:rFonts w:eastAsia="等线"/>
                <w:kern w:val="2"/>
              </w:rPr>
              <w:t>交流充电桩</w:t>
            </w:r>
          </w:p>
        </w:tc>
        <w:tc>
          <w:tcPr>
            <w:tcW w:w="2567" w:type="dxa"/>
            <w:vAlign w:val="center"/>
          </w:tcPr>
          <w:p w14:paraId="42074AD2">
            <w:pPr>
              <w:pStyle w:val="89"/>
              <w:rPr>
                <w:rFonts w:eastAsia="等线"/>
                <w:kern w:val="2"/>
              </w:rPr>
            </w:pPr>
            <w:r>
              <w:rPr>
                <w:rFonts w:eastAsia="等线"/>
                <w:kern w:val="2"/>
              </w:rPr>
              <w:t>额定功率：7kW</w:t>
            </w:r>
          </w:p>
          <w:p w14:paraId="2CCE23B8">
            <w:pPr>
              <w:pStyle w:val="89"/>
              <w:rPr>
                <w:rFonts w:eastAsia="等线"/>
                <w:kern w:val="2"/>
              </w:rPr>
            </w:pPr>
            <w:r>
              <w:rPr>
                <w:rFonts w:eastAsia="等线"/>
                <w:kern w:val="2"/>
              </w:rPr>
              <w:t xml:space="preserve">输入电压：AC 220V </w:t>
            </w:r>
          </w:p>
          <w:p w14:paraId="7B3D23FB">
            <w:pPr>
              <w:pStyle w:val="89"/>
              <w:rPr>
                <w:rFonts w:eastAsia="等线"/>
                <w:kern w:val="2"/>
              </w:rPr>
            </w:pPr>
            <w:r>
              <w:rPr>
                <w:rFonts w:eastAsia="等线"/>
                <w:kern w:val="2"/>
              </w:rPr>
              <w:t>额定输出电流：32A</w:t>
            </w:r>
          </w:p>
          <w:p w14:paraId="739A41BA">
            <w:pPr>
              <w:pStyle w:val="89"/>
              <w:rPr>
                <w:rFonts w:eastAsia="等线"/>
                <w:kern w:val="2"/>
              </w:rPr>
            </w:pPr>
            <w:r>
              <w:rPr>
                <w:rFonts w:eastAsia="等线"/>
                <w:kern w:val="2"/>
              </w:rPr>
              <w:t>防护等级：≥IP54</w:t>
            </w:r>
          </w:p>
          <w:p w14:paraId="7FD86BFC">
            <w:pPr>
              <w:pStyle w:val="89"/>
              <w:rPr>
                <w:rFonts w:eastAsia="等线"/>
                <w:kern w:val="2"/>
              </w:rPr>
            </w:pPr>
            <w:r>
              <w:rPr>
                <w:rFonts w:eastAsia="等线"/>
                <w:kern w:val="2"/>
              </w:rPr>
              <w:t>启动方式：扫码/刷卡</w:t>
            </w:r>
          </w:p>
          <w:p w14:paraId="2CB3A6A6">
            <w:pPr>
              <w:pStyle w:val="89"/>
              <w:rPr>
                <w:rFonts w:eastAsia="等线"/>
                <w:kern w:val="2"/>
              </w:rPr>
            </w:pPr>
            <w:r>
              <w:rPr>
                <w:rFonts w:eastAsia="等线"/>
                <w:kern w:val="2"/>
              </w:rPr>
              <w:t>联网方式：4G</w:t>
            </w:r>
          </w:p>
          <w:p w14:paraId="030CEAC7">
            <w:pPr>
              <w:pStyle w:val="89"/>
              <w:rPr>
                <w:rFonts w:eastAsia="等线"/>
                <w:kern w:val="2"/>
              </w:rPr>
            </w:pPr>
            <w:r>
              <w:rPr>
                <w:rFonts w:eastAsia="等线"/>
                <w:kern w:val="2"/>
              </w:rPr>
              <w:t>安装形式：立柱式</w:t>
            </w:r>
          </w:p>
          <w:p w14:paraId="219777D0">
            <w:pPr>
              <w:pStyle w:val="89"/>
              <w:rPr>
                <w:rFonts w:eastAsia="等线"/>
                <w:kern w:val="2"/>
              </w:rPr>
            </w:pPr>
            <w:r>
              <w:rPr>
                <w:rFonts w:eastAsia="等线"/>
                <w:kern w:val="2"/>
              </w:rPr>
              <w:t>枪线长度：≥5m</w:t>
            </w:r>
          </w:p>
        </w:tc>
        <w:tc>
          <w:tcPr>
            <w:tcW w:w="1383" w:type="dxa"/>
            <w:vAlign w:val="center"/>
          </w:tcPr>
          <w:p w14:paraId="4ADC1DC9">
            <w:pPr>
              <w:pStyle w:val="89"/>
              <w:rPr>
                <w:rFonts w:eastAsia="等线"/>
                <w:kern w:val="2"/>
              </w:rPr>
            </w:pPr>
            <w:r>
              <w:rPr>
                <w:rFonts w:eastAsia="等线"/>
                <w:kern w:val="2"/>
              </w:rPr>
              <w:t>2号楼南侧停车场</w:t>
            </w:r>
          </w:p>
        </w:tc>
        <w:tc>
          <w:tcPr>
            <w:tcW w:w="709" w:type="dxa"/>
            <w:vAlign w:val="center"/>
          </w:tcPr>
          <w:p w14:paraId="796F93D7">
            <w:pPr>
              <w:pStyle w:val="89"/>
              <w:rPr>
                <w:rFonts w:eastAsia="等线"/>
                <w:kern w:val="2"/>
              </w:rPr>
            </w:pPr>
            <w:r>
              <w:rPr>
                <w:rFonts w:eastAsia="等线"/>
                <w:kern w:val="2"/>
              </w:rPr>
              <w:t>6</w:t>
            </w:r>
          </w:p>
        </w:tc>
        <w:tc>
          <w:tcPr>
            <w:tcW w:w="2174" w:type="dxa"/>
            <w:vAlign w:val="center"/>
          </w:tcPr>
          <w:p w14:paraId="4887878E">
            <w:pPr>
              <w:pStyle w:val="89"/>
              <w:rPr>
                <w:rFonts w:eastAsia="等线"/>
                <w:kern w:val="2"/>
              </w:rPr>
            </w:pPr>
          </w:p>
          <w:p w14:paraId="42B3954D">
            <w:pPr>
              <w:pStyle w:val="89"/>
              <w:rPr>
                <w:rFonts w:eastAsia="等线"/>
                <w:kern w:val="2"/>
              </w:rPr>
            </w:pPr>
            <w:r>
              <w:rPr>
                <w:rFonts w:eastAsia="等线"/>
                <w:kern w:val="2"/>
              </w:rPr>
              <w:t>乙方的充电桩计费平台须支持与学校对公账户对接，实现微信、支付宝扫码支付，且费用直接进入学校对公账户</w:t>
            </w:r>
          </w:p>
        </w:tc>
      </w:tr>
      <w:tr w14:paraId="5D5F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04" w:type="dxa"/>
            <w:vAlign w:val="center"/>
          </w:tcPr>
          <w:p w14:paraId="32F417A1">
            <w:pPr>
              <w:pStyle w:val="89"/>
              <w:rPr>
                <w:rFonts w:eastAsia="等线"/>
                <w:kern w:val="2"/>
              </w:rPr>
            </w:pPr>
            <w:r>
              <w:rPr>
                <w:rFonts w:eastAsia="等线"/>
                <w:kern w:val="2"/>
              </w:rPr>
              <w:t>2</w:t>
            </w:r>
          </w:p>
        </w:tc>
        <w:tc>
          <w:tcPr>
            <w:tcW w:w="1153" w:type="dxa"/>
            <w:vAlign w:val="center"/>
          </w:tcPr>
          <w:p w14:paraId="593B4A89">
            <w:pPr>
              <w:pStyle w:val="89"/>
              <w:rPr>
                <w:rFonts w:eastAsia="等线"/>
                <w:kern w:val="2"/>
              </w:rPr>
            </w:pPr>
            <w:r>
              <w:rPr>
                <w:rFonts w:eastAsia="等线"/>
                <w:kern w:val="2"/>
              </w:rPr>
              <w:t>直流充电桩</w:t>
            </w:r>
          </w:p>
        </w:tc>
        <w:tc>
          <w:tcPr>
            <w:tcW w:w="2567" w:type="dxa"/>
            <w:vAlign w:val="center"/>
          </w:tcPr>
          <w:p w14:paraId="52A75BCF">
            <w:pPr>
              <w:pStyle w:val="89"/>
              <w:rPr>
                <w:rFonts w:eastAsia="等线"/>
                <w:kern w:val="2"/>
              </w:rPr>
            </w:pPr>
            <w:r>
              <w:rPr>
                <w:rFonts w:eastAsia="等线"/>
                <w:kern w:val="2"/>
              </w:rPr>
              <w:t>额定功率：60kW</w:t>
            </w:r>
          </w:p>
          <w:p w14:paraId="7979FF91">
            <w:pPr>
              <w:pStyle w:val="89"/>
              <w:rPr>
                <w:rFonts w:eastAsia="等线"/>
                <w:kern w:val="2"/>
              </w:rPr>
            </w:pPr>
            <w:r>
              <w:rPr>
                <w:rFonts w:eastAsia="等线"/>
                <w:kern w:val="2"/>
              </w:rPr>
              <w:t>充电枪数：双枪</w:t>
            </w:r>
          </w:p>
          <w:p w14:paraId="584E690B">
            <w:pPr>
              <w:pStyle w:val="89"/>
              <w:rPr>
                <w:rFonts w:eastAsia="等线"/>
                <w:kern w:val="2"/>
              </w:rPr>
            </w:pPr>
            <w:r>
              <w:rPr>
                <w:rFonts w:eastAsia="等线"/>
                <w:kern w:val="2"/>
              </w:rPr>
              <w:t xml:space="preserve">输入电压：AC 380V </w:t>
            </w:r>
          </w:p>
          <w:p w14:paraId="53209F24">
            <w:pPr>
              <w:pStyle w:val="89"/>
              <w:rPr>
                <w:rFonts w:eastAsia="等线"/>
                <w:kern w:val="2"/>
              </w:rPr>
            </w:pPr>
            <w:r>
              <w:rPr>
                <w:rFonts w:eastAsia="等线"/>
                <w:kern w:val="2"/>
              </w:rPr>
              <w:t>最大输出电流：≤200A</w:t>
            </w:r>
          </w:p>
          <w:p w14:paraId="2586013F">
            <w:pPr>
              <w:pStyle w:val="89"/>
              <w:rPr>
                <w:rFonts w:eastAsia="等线"/>
                <w:kern w:val="2"/>
              </w:rPr>
            </w:pPr>
            <w:r>
              <w:rPr>
                <w:rFonts w:eastAsia="等线"/>
                <w:kern w:val="2"/>
              </w:rPr>
              <w:t>防护等级：≥IP54</w:t>
            </w:r>
          </w:p>
          <w:p w14:paraId="20EA8736">
            <w:pPr>
              <w:pStyle w:val="89"/>
              <w:rPr>
                <w:rFonts w:eastAsia="等线"/>
                <w:kern w:val="2"/>
              </w:rPr>
            </w:pPr>
            <w:r>
              <w:rPr>
                <w:rFonts w:eastAsia="等线"/>
                <w:kern w:val="2"/>
              </w:rPr>
              <w:t>启动方式：扫码/刷卡</w:t>
            </w:r>
          </w:p>
          <w:p w14:paraId="6051D45E">
            <w:pPr>
              <w:pStyle w:val="89"/>
              <w:rPr>
                <w:rFonts w:eastAsia="等线"/>
                <w:kern w:val="2"/>
              </w:rPr>
            </w:pPr>
            <w:r>
              <w:rPr>
                <w:rFonts w:eastAsia="等线"/>
                <w:kern w:val="2"/>
              </w:rPr>
              <w:t>联网方式：4G</w:t>
            </w:r>
          </w:p>
          <w:p w14:paraId="3E4D0B5E">
            <w:pPr>
              <w:pStyle w:val="89"/>
              <w:rPr>
                <w:rFonts w:eastAsia="等线"/>
                <w:kern w:val="2"/>
              </w:rPr>
            </w:pPr>
            <w:r>
              <w:rPr>
                <w:rFonts w:eastAsia="等线"/>
                <w:kern w:val="2"/>
              </w:rPr>
              <w:t>安装形式：落地安装</w:t>
            </w:r>
          </w:p>
          <w:p w14:paraId="2CB9DA3C">
            <w:pPr>
              <w:pStyle w:val="89"/>
              <w:rPr>
                <w:rFonts w:eastAsia="等线"/>
                <w:kern w:val="2"/>
              </w:rPr>
            </w:pPr>
            <w:r>
              <w:rPr>
                <w:rFonts w:eastAsia="等线"/>
                <w:kern w:val="2"/>
              </w:rPr>
              <w:t>枪线长度：≥5m</w:t>
            </w:r>
          </w:p>
        </w:tc>
        <w:tc>
          <w:tcPr>
            <w:tcW w:w="1383" w:type="dxa"/>
            <w:vAlign w:val="center"/>
          </w:tcPr>
          <w:p w14:paraId="70F5F567">
            <w:pPr>
              <w:pStyle w:val="89"/>
              <w:rPr>
                <w:rFonts w:eastAsia="等线"/>
                <w:kern w:val="2"/>
              </w:rPr>
            </w:pPr>
            <w:r>
              <w:rPr>
                <w:rFonts w:eastAsia="等线"/>
                <w:kern w:val="2"/>
              </w:rPr>
              <w:t>2号楼南侧停车场</w:t>
            </w:r>
          </w:p>
        </w:tc>
        <w:tc>
          <w:tcPr>
            <w:tcW w:w="709" w:type="dxa"/>
            <w:vAlign w:val="center"/>
          </w:tcPr>
          <w:p w14:paraId="26D466CE">
            <w:pPr>
              <w:pStyle w:val="89"/>
              <w:rPr>
                <w:rFonts w:eastAsia="等线"/>
                <w:kern w:val="2"/>
              </w:rPr>
            </w:pPr>
            <w:r>
              <w:rPr>
                <w:rFonts w:eastAsia="等线"/>
                <w:kern w:val="2"/>
              </w:rPr>
              <w:t>1</w:t>
            </w:r>
          </w:p>
        </w:tc>
        <w:tc>
          <w:tcPr>
            <w:tcW w:w="2174" w:type="dxa"/>
            <w:vAlign w:val="center"/>
          </w:tcPr>
          <w:p w14:paraId="3D78C660">
            <w:pPr>
              <w:pStyle w:val="89"/>
              <w:rPr>
                <w:rFonts w:eastAsia="等线"/>
                <w:kern w:val="2"/>
              </w:rPr>
            </w:pPr>
            <w:r>
              <w:rPr>
                <w:rFonts w:eastAsia="等线"/>
                <w:kern w:val="2"/>
              </w:rPr>
              <w:t>乙方的充电桩计费平台须支持与学校对公账户对接，实现微信、支付宝扫码支付，且费用直接进入学校对公账户</w:t>
            </w:r>
          </w:p>
        </w:tc>
      </w:tr>
      <w:tr w14:paraId="2253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04" w:type="dxa"/>
            <w:vAlign w:val="center"/>
          </w:tcPr>
          <w:p w14:paraId="274F9C25">
            <w:pPr>
              <w:pStyle w:val="89"/>
              <w:rPr>
                <w:rFonts w:eastAsia="等线"/>
                <w:kern w:val="2"/>
              </w:rPr>
            </w:pPr>
            <w:r>
              <w:rPr>
                <w:rFonts w:eastAsia="等线"/>
                <w:kern w:val="2"/>
              </w:rPr>
              <w:t>3</w:t>
            </w:r>
          </w:p>
        </w:tc>
        <w:tc>
          <w:tcPr>
            <w:tcW w:w="1153" w:type="dxa"/>
            <w:vAlign w:val="center"/>
          </w:tcPr>
          <w:p w14:paraId="3426042B">
            <w:pPr>
              <w:pStyle w:val="89"/>
              <w:rPr>
                <w:rFonts w:eastAsia="等线"/>
                <w:kern w:val="2"/>
              </w:rPr>
            </w:pPr>
            <w:r>
              <w:rPr>
                <w:rFonts w:eastAsia="等线"/>
                <w:kern w:val="2"/>
              </w:rPr>
              <w:t>设备安装服务</w:t>
            </w:r>
          </w:p>
        </w:tc>
        <w:tc>
          <w:tcPr>
            <w:tcW w:w="2567" w:type="dxa"/>
            <w:vAlign w:val="center"/>
          </w:tcPr>
          <w:p w14:paraId="317ABF76">
            <w:pPr>
              <w:pStyle w:val="89"/>
              <w:rPr>
                <w:rFonts w:eastAsia="等线"/>
                <w:kern w:val="2"/>
              </w:rPr>
            </w:pPr>
            <w:r>
              <w:rPr>
                <w:rFonts w:eastAsia="等线"/>
                <w:kern w:val="2"/>
              </w:rPr>
              <w:t>设备安装</w:t>
            </w:r>
          </w:p>
        </w:tc>
        <w:tc>
          <w:tcPr>
            <w:tcW w:w="1383" w:type="dxa"/>
            <w:vAlign w:val="center"/>
          </w:tcPr>
          <w:p w14:paraId="4D0FE38A">
            <w:pPr>
              <w:pStyle w:val="89"/>
              <w:rPr>
                <w:rFonts w:eastAsia="等线"/>
                <w:kern w:val="2"/>
              </w:rPr>
            </w:pPr>
            <w:r>
              <w:rPr>
                <w:rFonts w:eastAsia="等线"/>
                <w:kern w:val="2"/>
              </w:rPr>
              <w:t>2号楼南侧停车场</w:t>
            </w:r>
          </w:p>
        </w:tc>
        <w:tc>
          <w:tcPr>
            <w:tcW w:w="709" w:type="dxa"/>
            <w:vAlign w:val="center"/>
          </w:tcPr>
          <w:p w14:paraId="7598FE85">
            <w:pPr>
              <w:pStyle w:val="89"/>
              <w:rPr>
                <w:rFonts w:eastAsia="等线"/>
                <w:kern w:val="2"/>
              </w:rPr>
            </w:pPr>
            <w:r>
              <w:rPr>
                <w:rFonts w:eastAsia="等线"/>
                <w:kern w:val="2"/>
              </w:rPr>
              <w:t>-</w:t>
            </w:r>
          </w:p>
        </w:tc>
        <w:tc>
          <w:tcPr>
            <w:tcW w:w="2174" w:type="dxa"/>
            <w:vAlign w:val="center"/>
          </w:tcPr>
          <w:p w14:paraId="096928E9">
            <w:pPr>
              <w:pStyle w:val="89"/>
              <w:rPr>
                <w:rFonts w:eastAsia="等线"/>
                <w:kern w:val="2"/>
              </w:rPr>
            </w:pPr>
          </w:p>
        </w:tc>
      </w:tr>
      <w:tr w14:paraId="2572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04" w:type="dxa"/>
            <w:vAlign w:val="center"/>
          </w:tcPr>
          <w:p w14:paraId="68CDDD3F">
            <w:pPr>
              <w:pStyle w:val="89"/>
              <w:rPr>
                <w:rFonts w:eastAsia="等线"/>
                <w:kern w:val="2"/>
              </w:rPr>
            </w:pPr>
            <w:r>
              <w:rPr>
                <w:rFonts w:eastAsia="等线"/>
                <w:kern w:val="2"/>
              </w:rPr>
              <w:t>4</w:t>
            </w:r>
          </w:p>
        </w:tc>
        <w:tc>
          <w:tcPr>
            <w:tcW w:w="1153" w:type="dxa"/>
            <w:vAlign w:val="center"/>
          </w:tcPr>
          <w:p w14:paraId="3CAD9AC5">
            <w:pPr>
              <w:pStyle w:val="89"/>
              <w:rPr>
                <w:rFonts w:eastAsia="等线"/>
                <w:kern w:val="2"/>
              </w:rPr>
            </w:pPr>
            <w:r>
              <w:rPr>
                <w:rFonts w:eastAsia="等线"/>
                <w:kern w:val="2"/>
              </w:rPr>
              <w:t>维护费用</w:t>
            </w:r>
          </w:p>
        </w:tc>
        <w:tc>
          <w:tcPr>
            <w:tcW w:w="2567" w:type="dxa"/>
            <w:vAlign w:val="center"/>
          </w:tcPr>
          <w:p w14:paraId="6B174C15">
            <w:pPr>
              <w:pStyle w:val="89"/>
              <w:rPr>
                <w:rFonts w:eastAsia="等线"/>
                <w:kern w:val="2"/>
              </w:rPr>
            </w:pPr>
            <w:r>
              <w:rPr>
                <w:rFonts w:eastAsia="等线"/>
                <w:kern w:val="2"/>
              </w:rPr>
              <w:t>7个充电桩维护及运管平台维护</w:t>
            </w:r>
          </w:p>
        </w:tc>
        <w:tc>
          <w:tcPr>
            <w:tcW w:w="1383" w:type="dxa"/>
            <w:vAlign w:val="center"/>
          </w:tcPr>
          <w:p w14:paraId="093B7836">
            <w:pPr>
              <w:pStyle w:val="89"/>
              <w:rPr>
                <w:rFonts w:eastAsia="等线"/>
                <w:kern w:val="2"/>
              </w:rPr>
            </w:pPr>
            <w:r>
              <w:rPr>
                <w:rFonts w:eastAsia="等线"/>
                <w:kern w:val="2"/>
              </w:rPr>
              <w:t>运管</w:t>
            </w:r>
          </w:p>
          <w:p w14:paraId="5C7610B5">
            <w:pPr>
              <w:pStyle w:val="89"/>
              <w:rPr>
                <w:rFonts w:eastAsia="等线"/>
                <w:kern w:val="2"/>
              </w:rPr>
            </w:pPr>
            <w:r>
              <w:rPr>
                <w:rFonts w:eastAsia="等线"/>
                <w:kern w:val="2"/>
              </w:rPr>
              <w:t>平台</w:t>
            </w:r>
          </w:p>
        </w:tc>
        <w:tc>
          <w:tcPr>
            <w:tcW w:w="709" w:type="dxa"/>
            <w:vAlign w:val="center"/>
          </w:tcPr>
          <w:p w14:paraId="33CBB42F">
            <w:pPr>
              <w:pStyle w:val="89"/>
              <w:rPr>
                <w:rFonts w:eastAsia="等线"/>
                <w:kern w:val="2"/>
              </w:rPr>
            </w:pPr>
            <w:r>
              <w:rPr>
                <w:rFonts w:eastAsia="等线"/>
                <w:kern w:val="2"/>
              </w:rPr>
              <w:t>-</w:t>
            </w:r>
          </w:p>
        </w:tc>
        <w:tc>
          <w:tcPr>
            <w:tcW w:w="2174" w:type="dxa"/>
            <w:vAlign w:val="center"/>
          </w:tcPr>
          <w:p w14:paraId="3BA0DE06">
            <w:pPr>
              <w:pStyle w:val="89"/>
              <w:rPr>
                <w:rFonts w:eastAsia="等线"/>
                <w:kern w:val="2"/>
              </w:rPr>
            </w:pPr>
            <w:r>
              <w:rPr>
                <w:rFonts w:eastAsia="等线"/>
                <w:kern w:val="2"/>
              </w:rPr>
              <w:t>五年费用，一年一付</w:t>
            </w:r>
          </w:p>
        </w:tc>
      </w:tr>
    </w:tbl>
    <w:p w14:paraId="2EA717AC">
      <w:pPr>
        <w:spacing w:after="0" w:line="360" w:lineRule="auto"/>
        <w:ind w:left="440" w:leftChars="200" w:firstLine="480" w:firstLineChars="200"/>
        <w:rPr>
          <w:rFonts w:hint="eastAsia" w:ascii="宋体" w:hAnsi="宋体" w:cs="宋体"/>
          <w:sz w:val="24"/>
        </w:rPr>
      </w:pPr>
      <w:r>
        <w:rPr>
          <w:rFonts w:hint="eastAsia" w:ascii="宋体" w:hAnsi="宋体" w:cs="宋体"/>
          <w:sz w:val="24"/>
        </w:rPr>
        <w:t>5、项目期限：乙方应在合同签订后21天内，完成设备的安装、调试工作。</w:t>
      </w:r>
    </w:p>
    <w:p w14:paraId="5B43FE3F">
      <w:pPr>
        <w:spacing w:after="0" w:line="360" w:lineRule="auto"/>
        <w:ind w:firstLine="482" w:firstLineChars="200"/>
        <w:rPr>
          <w:rFonts w:hint="eastAsia" w:ascii="宋体" w:hAnsi="宋体" w:cs="宋体"/>
          <w:b/>
          <w:bCs/>
          <w:sz w:val="24"/>
        </w:rPr>
      </w:pPr>
      <w:r>
        <w:rPr>
          <w:rFonts w:hint="eastAsia" w:ascii="宋体" w:hAnsi="宋体" w:cs="宋体"/>
          <w:b/>
          <w:bCs/>
          <w:sz w:val="24"/>
        </w:rPr>
        <w:t>二、收费</w:t>
      </w:r>
      <w:bookmarkEnd w:id="1"/>
      <w:bookmarkEnd w:id="2"/>
      <w:r>
        <w:rPr>
          <w:rFonts w:hint="eastAsia" w:ascii="宋体" w:hAnsi="宋体" w:cs="宋体"/>
          <w:b/>
          <w:bCs/>
          <w:sz w:val="24"/>
        </w:rPr>
        <w:t>标准及</w:t>
      </w:r>
      <w:r>
        <w:rPr>
          <w:rFonts w:ascii="宋体" w:hAnsi="宋体" w:cs="宋体"/>
          <w:b/>
          <w:bCs/>
          <w:sz w:val="24"/>
        </w:rPr>
        <w:t>支付方式、金额</w:t>
      </w:r>
      <w:r>
        <w:rPr>
          <w:rFonts w:hint="eastAsia" w:ascii="宋体" w:hAnsi="宋体" w:cs="宋体"/>
          <w:b/>
          <w:bCs/>
          <w:sz w:val="24"/>
        </w:rPr>
        <w:t>：</w:t>
      </w:r>
    </w:p>
    <w:p w14:paraId="7A50FE39">
      <w:pPr>
        <w:pStyle w:val="2"/>
        <w:spacing w:after="0"/>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eastAsia="宋体" w:cs="宋体"/>
          <w:b/>
          <w:bCs/>
          <w:kern w:val="2"/>
          <w:sz w:val="24"/>
          <w:szCs w:val="24"/>
        </w:rPr>
        <w:t>合同总金额：人民币</w:t>
      </w:r>
      <w:r>
        <w:rPr>
          <w:rFonts w:hint="eastAsia" w:ascii="宋体" w:hAnsi="宋体" w:eastAsia="宋体" w:cs="宋体"/>
          <w:b/>
          <w:bCs/>
          <w:kern w:val="2"/>
          <w:sz w:val="24"/>
          <w:szCs w:val="24"/>
          <w:u w:val="single"/>
        </w:rPr>
        <w:t xml:space="preserve">                 </w:t>
      </w:r>
      <w:r>
        <w:rPr>
          <w:rFonts w:hint="eastAsia" w:ascii="宋体" w:hAnsi="宋体" w:eastAsia="宋体" w:cs="宋体"/>
          <w:b/>
          <w:bCs/>
          <w:kern w:val="2"/>
          <w:sz w:val="24"/>
          <w:szCs w:val="24"/>
        </w:rPr>
        <w:t>元</w:t>
      </w:r>
      <w:r>
        <w:rPr>
          <w:rFonts w:hint="eastAsia" w:ascii="宋体" w:hAnsi="宋体" w:eastAsia="宋体" w:cs="宋体"/>
          <w:kern w:val="2"/>
          <w:sz w:val="24"/>
          <w:szCs w:val="24"/>
        </w:rPr>
        <w:t>（合同总金额包含所有设备购置费、运输费、工程材料费、搬运费、施工费、安装费、调试费、脚手费、利润、税费等各方面的费用，以后不得以此为由提出额外增加费用的要求）。具体费用如下：</w:t>
      </w:r>
    </w:p>
    <w:p w14:paraId="1D6849C8">
      <w:pPr>
        <w:spacing w:after="0" w:line="360" w:lineRule="auto"/>
        <w:ind w:firstLine="480" w:firstLineChars="200"/>
        <w:rPr>
          <w:rFonts w:hint="eastAsia" w:ascii="宋体" w:hAnsi="宋体" w:cs="宋体"/>
          <w:sz w:val="24"/>
        </w:rPr>
      </w:pPr>
      <w:r>
        <w:rPr>
          <w:rFonts w:hint="eastAsia" w:ascii="宋体" w:hAnsi="宋体" w:cs="宋体"/>
          <w:sz w:val="24"/>
        </w:rPr>
        <w:t>（1）设备采购费：人民币</w:t>
      </w:r>
      <w:r>
        <w:rPr>
          <w:rFonts w:hint="eastAsia" w:ascii="宋体" w:hAnsi="宋体" w:cs="宋体"/>
          <w:sz w:val="24"/>
          <w:u w:val="single"/>
        </w:rPr>
        <w:t xml:space="preserve">              </w:t>
      </w:r>
      <w:r>
        <w:rPr>
          <w:rFonts w:hint="eastAsia" w:ascii="宋体" w:hAnsi="宋体" w:cs="宋体"/>
          <w:sz w:val="24"/>
        </w:rPr>
        <w:t>元。设备安装结束并验收合格后，根据乙方提供的发票和合同要求，向乙方一次性支付设备采购费用。</w:t>
      </w:r>
    </w:p>
    <w:p w14:paraId="7F2C6FC0">
      <w:pPr>
        <w:spacing w:after="0" w:line="360" w:lineRule="auto"/>
        <w:ind w:firstLine="480" w:firstLineChars="200"/>
        <w:rPr>
          <w:rFonts w:hint="eastAsia" w:ascii="宋体" w:hAnsi="宋体" w:cs="宋体"/>
          <w:kern w:val="2"/>
          <w:sz w:val="24"/>
          <w:szCs w:val="24"/>
        </w:rPr>
      </w:pPr>
      <w:r>
        <w:rPr>
          <w:rFonts w:hint="eastAsia" w:ascii="宋体" w:hAnsi="宋体" w:cs="宋体"/>
          <w:sz w:val="24"/>
        </w:rPr>
        <w:t>（2）</w:t>
      </w:r>
      <w:r>
        <w:rPr>
          <w:rFonts w:hint="eastAsia" w:ascii="宋体" w:hAnsi="宋体" w:cs="宋体"/>
          <w:kern w:val="2"/>
          <w:sz w:val="24"/>
          <w:szCs w:val="24"/>
        </w:rPr>
        <w:t>设备维护费</w:t>
      </w:r>
      <w:r>
        <w:rPr>
          <w:rFonts w:hint="eastAsia" w:ascii="宋体" w:hAnsi="宋体" w:cs="宋体"/>
          <w:sz w:val="24"/>
        </w:rPr>
        <w:t>：人民币</w:t>
      </w:r>
      <w:r>
        <w:rPr>
          <w:rFonts w:hint="eastAsia" w:ascii="宋体" w:hAnsi="宋体" w:cs="宋体"/>
          <w:sz w:val="24"/>
          <w:u w:val="single"/>
        </w:rPr>
        <w:t xml:space="preserve">              </w:t>
      </w:r>
      <w:r>
        <w:rPr>
          <w:rFonts w:hint="eastAsia" w:ascii="宋体" w:hAnsi="宋体" w:cs="宋体"/>
          <w:sz w:val="24"/>
        </w:rPr>
        <w:t>元/年。</w:t>
      </w:r>
      <w:r>
        <w:rPr>
          <w:rFonts w:hint="eastAsia" w:ascii="宋体" w:hAnsi="宋体" w:cs="宋体"/>
          <w:kern w:val="2"/>
          <w:sz w:val="24"/>
          <w:szCs w:val="24"/>
        </w:rPr>
        <w:t>五年维保期，一年一付，维保期起始日自设备安装、调试结束并验收合格之日起开始计算。第一年，设备投入运行并正常使用后，甲方根据乙方提供的发票和合同要求，向乙方支付设备维护费。次年起，乙方须在维保期起始日前一个月内提供发票和合同要求，甲方根据乙方提供的发票和合同要求，向乙方支付设备维护费。</w:t>
      </w:r>
    </w:p>
    <w:p w14:paraId="61F7BD47">
      <w:pPr>
        <w:spacing w:after="0" w:line="360" w:lineRule="auto"/>
        <w:ind w:firstLine="480" w:firstLineChars="200"/>
      </w:pPr>
      <w:r>
        <w:rPr>
          <w:rFonts w:hint="eastAsia" w:ascii="宋体" w:hAnsi="宋体" w:cs="宋体"/>
          <w:sz w:val="24"/>
        </w:rPr>
        <w:t>（3）场地占用费：无。</w:t>
      </w:r>
    </w:p>
    <w:p w14:paraId="34F5C037">
      <w:pPr>
        <w:spacing w:after="0" w:line="360" w:lineRule="auto"/>
        <w:ind w:firstLine="482" w:firstLineChars="200"/>
        <w:rPr>
          <w:rFonts w:hint="eastAsia" w:ascii="仿宋" w:hAnsi="仿宋" w:eastAsia="仿宋"/>
          <w:sz w:val="24"/>
        </w:rPr>
      </w:pPr>
      <w:r>
        <w:rPr>
          <w:rFonts w:hint="eastAsia" w:ascii="宋体" w:hAnsi="宋体" w:cs="宋体"/>
          <w:b/>
          <w:bCs/>
          <w:color w:val="252525"/>
          <w:sz w:val="24"/>
        </w:rPr>
        <w:t>三、项目建设要求</w:t>
      </w:r>
    </w:p>
    <w:p w14:paraId="52DBDDBD">
      <w:pPr>
        <w:spacing w:after="0" w:line="360" w:lineRule="auto"/>
        <w:ind w:firstLine="480" w:firstLineChars="200"/>
        <w:rPr>
          <w:rFonts w:hint="eastAsia" w:ascii="宋体" w:hAnsi="宋体" w:cs="宋体"/>
          <w:b/>
          <w:sz w:val="24"/>
        </w:rPr>
      </w:pPr>
      <w:r>
        <w:rPr>
          <w:rFonts w:hint="eastAsia" w:ascii="宋体" w:hAnsi="宋体" w:cs="宋体"/>
          <w:color w:val="000000"/>
          <w:sz w:val="24"/>
        </w:rPr>
        <w:t>（一）</w:t>
      </w:r>
      <w:r>
        <w:rPr>
          <w:rFonts w:hint="eastAsia" w:ascii="宋体" w:hAnsi="宋体" w:cs="宋体"/>
          <w:b/>
          <w:sz w:val="24"/>
        </w:rPr>
        <w:t xml:space="preserve">项目建设方案 </w:t>
      </w:r>
    </w:p>
    <w:p w14:paraId="57D67ABE">
      <w:pPr>
        <w:spacing w:after="0" w:line="360" w:lineRule="auto"/>
        <w:ind w:firstLine="482" w:firstLineChars="200"/>
        <w:rPr>
          <w:rFonts w:hint="eastAsia" w:ascii="宋体" w:hAnsi="宋体" w:cs="宋体"/>
          <w:sz w:val="24"/>
        </w:rPr>
      </w:pPr>
      <w:r>
        <w:rPr>
          <w:rFonts w:hint="eastAsia" w:ascii="宋体" w:hAnsi="宋体" w:cs="宋体"/>
          <w:b/>
          <w:sz w:val="24"/>
        </w:rPr>
        <w:t>1、建设模式</w:t>
      </w:r>
    </w:p>
    <w:p w14:paraId="5A2FB81E">
      <w:pPr>
        <w:spacing w:after="0" w:line="360" w:lineRule="auto"/>
        <w:ind w:firstLine="480" w:firstLineChars="200"/>
        <w:rPr>
          <w:rFonts w:hint="eastAsia" w:ascii="宋体" w:hAnsi="宋体" w:cs="宋体"/>
          <w:sz w:val="24"/>
        </w:rPr>
      </w:pPr>
      <w:r>
        <w:rPr>
          <w:rFonts w:hint="eastAsia" w:ascii="宋体" w:hAnsi="宋体" w:cs="宋体"/>
          <w:sz w:val="24"/>
        </w:rPr>
        <w:t>（1）乙方提供相关设备及服务。</w:t>
      </w:r>
    </w:p>
    <w:p w14:paraId="73B742B8">
      <w:pPr>
        <w:spacing w:after="0" w:line="360" w:lineRule="auto"/>
        <w:ind w:firstLine="480" w:firstLineChars="200"/>
        <w:rPr>
          <w:rFonts w:hint="eastAsia" w:ascii="宋体" w:hAnsi="宋体" w:cs="宋体"/>
          <w:sz w:val="24"/>
        </w:rPr>
      </w:pPr>
      <w:r>
        <w:rPr>
          <w:rFonts w:hint="eastAsia" w:ascii="宋体" w:hAnsi="宋体" w:cs="宋体"/>
          <w:sz w:val="24"/>
        </w:rPr>
        <w:t>（2）乙方提供智能充电桩设备及辅材、安装、调试直至交付使用。</w:t>
      </w:r>
    </w:p>
    <w:p w14:paraId="4EC15DB6">
      <w:pPr>
        <w:spacing w:after="0" w:line="360" w:lineRule="auto"/>
        <w:ind w:firstLine="480" w:firstLineChars="200"/>
        <w:rPr>
          <w:rFonts w:hint="eastAsia" w:ascii="宋体" w:hAnsi="宋体" w:cs="宋体"/>
          <w:sz w:val="24"/>
        </w:rPr>
      </w:pPr>
      <w:r>
        <w:rPr>
          <w:rFonts w:hint="eastAsia" w:ascii="宋体" w:hAnsi="宋体" w:cs="宋体"/>
          <w:sz w:val="24"/>
        </w:rPr>
        <w:t>（3）甲方提供总电源电缆至供电点位（符合充电桩使用要求）。</w:t>
      </w:r>
    </w:p>
    <w:p w14:paraId="5FABA02D">
      <w:pPr>
        <w:pStyle w:val="2"/>
        <w:spacing w:after="0"/>
        <w:ind w:firstLine="480" w:firstLineChars="200"/>
        <w:rPr>
          <w:rFonts w:hint="eastAsia" w:ascii="宋体" w:hAnsi="宋体" w:eastAsia="宋体" w:cs="宋体"/>
          <w:sz w:val="24"/>
          <w:szCs w:val="24"/>
        </w:rPr>
      </w:pPr>
      <w:r>
        <w:rPr>
          <w:rFonts w:hint="eastAsia" w:ascii="宋体" w:hAnsi="宋体" w:eastAsia="宋体" w:cs="宋体"/>
          <w:sz w:val="24"/>
          <w:szCs w:val="24"/>
        </w:rPr>
        <w:t>（4）甲方提供场地，由乙方负责安装施工。</w:t>
      </w:r>
    </w:p>
    <w:p w14:paraId="562CC7B2">
      <w:pPr>
        <w:spacing w:after="0" w:line="360" w:lineRule="auto"/>
        <w:ind w:firstLine="480" w:firstLineChars="200"/>
        <w:rPr>
          <w:rFonts w:hint="eastAsia" w:ascii="宋体" w:hAnsi="宋体" w:cs="宋体"/>
          <w:sz w:val="24"/>
        </w:rPr>
      </w:pPr>
      <w:r>
        <w:rPr>
          <w:rFonts w:hint="eastAsia" w:ascii="宋体" w:hAnsi="宋体" w:cs="宋体"/>
          <w:sz w:val="24"/>
        </w:rPr>
        <w:t>（5）充电桩设备归甲方所有。</w:t>
      </w:r>
    </w:p>
    <w:p w14:paraId="0EF5E058">
      <w:pPr>
        <w:spacing w:after="0" w:line="360" w:lineRule="auto"/>
        <w:ind w:firstLine="480" w:firstLineChars="200"/>
        <w:rPr>
          <w:rFonts w:hint="eastAsia" w:ascii="宋体" w:hAnsi="宋体" w:cs="宋体"/>
          <w:sz w:val="24"/>
        </w:rPr>
      </w:pPr>
      <w:r>
        <w:rPr>
          <w:rFonts w:hint="eastAsia" w:ascii="宋体" w:hAnsi="宋体" w:cs="宋体"/>
          <w:sz w:val="24"/>
        </w:rPr>
        <w:t>2、收费说明：</w:t>
      </w:r>
    </w:p>
    <w:p w14:paraId="09AC39EF">
      <w:pPr>
        <w:spacing w:after="0" w:line="360" w:lineRule="auto"/>
        <w:ind w:firstLine="480" w:firstLineChars="200"/>
        <w:rPr>
          <w:rFonts w:hint="eastAsia" w:ascii="宋体" w:hAnsi="宋体" w:cs="宋体"/>
          <w:sz w:val="24"/>
        </w:rPr>
      </w:pPr>
      <w:r>
        <w:rPr>
          <w:rFonts w:hint="eastAsia" w:ascii="宋体" w:hAnsi="宋体" w:cs="宋体"/>
          <w:sz w:val="24"/>
        </w:rPr>
        <w:t>（1）新能源汽车充电桩由甲方自行收取充电费用（乙方的充电桩计费平台须支持与学校对公账户对接，实现微信、支付宝扫码支付，且费用直接进入学校对公账户）。</w:t>
      </w:r>
    </w:p>
    <w:p w14:paraId="2F372E83">
      <w:pPr>
        <w:spacing w:after="0" w:line="360" w:lineRule="auto"/>
        <w:ind w:firstLine="480" w:firstLineChars="200"/>
        <w:rPr>
          <w:rFonts w:hint="eastAsia" w:ascii="宋体" w:hAnsi="宋体" w:cs="宋体"/>
          <w:sz w:val="24"/>
        </w:rPr>
      </w:pPr>
      <w:r>
        <w:rPr>
          <w:rFonts w:hint="eastAsia" w:ascii="宋体" w:hAnsi="宋体" w:cs="宋体"/>
          <w:sz w:val="24"/>
        </w:rPr>
        <w:t>(2)甲方可根据实际情况调整收费标准。</w:t>
      </w:r>
    </w:p>
    <w:p w14:paraId="73002344">
      <w:pPr>
        <w:tabs>
          <w:tab w:val="left" w:pos="900"/>
        </w:tabs>
        <w:spacing w:after="0" w:line="360" w:lineRule="auto"/>
        <w:ind w:firstLine="482" w:firstLineChars="200"/>
        <w:rPr>
          <w:rFonts w:hint="eastAsia" w:ascii="宋体" w:hAnsi="宋体" w:cs="宋体"/>
          <w:b/>
          <w:bCs/>
          <w:sz w:val="24"/>
        </w:rPr>
      </w:pPr>
      <w:r>
        <w:rPr>
          <w:rFonts w:hint="eastAsia" w:ascii="宋体" w:hAnsi="宋体" w:cs="宋体"/>
          <w:b/>
          <w:bCs/>
          <w:sz w:val="24"/>
        </w:rPr>
        <w:t>（二）设备相关要求</w:t>
      </w:r>
    </w:p>
    <w:p w14:paraId="6755D313">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1、充电桩的质量符合国家现行规范和技术标准的规定；附带安装及使用说明、产品检测报告、其它证明设备符合采购要求的材料。</w:t>
      </w:r>
    </w:p>
    <w:p w14:paraId="628F64FB">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2、系统功能要求：</w:t>
      </w:r>
    </w:p>
    <w:p w14:paraId="3221CC4C">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 xml:space="preserve">设备具备输入欠压、输入过压、输出短路、输出过压、输出过流、绝缘检测、通讯故障等保护功能。外部装有运行指示灯。 </w:t>
      </w:r>
    </w:p>
    <w:p w14:paraId="55A754A7">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3、产品执行技术标准：</w:t>
      </w:r>
    </w:p>
    <w:p w14:paraId="0F676ABB">
      <w:pPr>
        <w:pStyle w:val="2"/>
        <w:spacing w:after="0"/>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乙方所提供的材料及设备应是全新的，且设备的制造标准及技术规范必须满足国家相关规范，包括但不仅限于以下标准： </w:t>
      </w:r>
    </w:p>
    <w:p w14:paraId="0D76362B">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GB/T18487.1-2015《电动汽车传导充电系统 第1部分：通用要求》 </w:t>
      </w:r>
    </w:p>
    <w:p w14:paraId="0B08C5DF">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GB/T18487.2-2017《电动汽车传导充电系统 第2部分：非车载传导供电设备电磁兼容要求》</w:t>
      </w:r>
    </w:p>
    <w:p w14:paraId="6A9BC2F7">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GB/T34657.1-2017《电动汽车传导充电互操作性测试规范 第1部分：供电设备》</w:t>
      </w:r>
    </w:p>
    <w:p w14:paraId="74937E74">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NB/T33002-2018《电动汽车交流充电桩技术条件》</w:t>
      </w:r>
    </w:p>
    <w:p w14:paraId="59672A97">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NB/T33008.2-2018《电动汽车充电设备检验试验规范 第2部分：交流充电桩》</w:t>
      </w:r>
    </w:p>
    <w:p w14:paraId="65D9C5D5">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4、交流充电桩、直流充电桩质保期为五年。</w:t>
      </w:r>
    </w:p>
    <w:p w14:paraId="6E877A8E">
      <w:pPr>
        <w:tabs>
          <w:tab w:val="left" w:pos="900"/>
        </w:tabs>
        <w:spacing w:after="0" w:line="360" w:lineRule="auto"/>
        <w:ind w:firstLine="482" w:firstLineChars="200"/>
        <w:rPr>
          <w:rFonts w:hint="eastAsia" w:ascii="宋体" w:hAnsi="宋体" w:cs="宋体"/>
          <w:b/>
          <w:sz w:val="24"/>
        </w:rPr>
      </w:pPr>
      <w:r>
        <w:rPr>
          <w:rFonts w:hint="eastAsia" w:ascii="宋体" w:hAnsi="宋体" w:cs="宋体"/>
          <w:b/>
          <w:sz w:val="24"/>
        </w:rPr>
        <w:t>（三）运维平台系统要求</w:t>
      </w:r>
    </w:p>
    <w:p w14:paraId="5E75954B">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1、系统必须是平台化管理的大数据架构系统。</w:t>
      </w:r>
    </w:p>
    <w:p w14:paraId="5FED33E3">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 xml:space="preserve">2、在用户端能够查询到运行状态、充电时间、计费信息、故障提示等信息。 </w:t>
      </w:r>
    </w:p>
    <w:p w14:paraId="29EC7CE8">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3、显示信息包括不限于充电用时、充电状态、订单总价等内容。</w:t>
      </w:r>
    </w:p>
    <w:p w14:paraId="7080AA44">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充电结束后，余额即时自动退还或按充电金额自动扣费。</w:t>
      </w:r>
    </w:p>
    <w:p w14:paraId="1310F8AE">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4、支持远程断电，当手机软件内点击停止充电按钮，充电桩应停止供电。</w:t>
      </w:r>
    </w:p>
    <w:p w14:paraId="0D20D600">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 xml:space="preserve">5、登录平台，可查看站点信息、设备信息、用户信息、设备在线状态、用电量、充电起止时间、消费情况、充电状态、结束类型等。平台需提供充电结束提醒服务，充电完成后，需向用户发送充电完成、及时挪车的提示信息。 </w:t>
      </w:r>
    </w:p>
    <w:p w14:paraId="3FBE669D">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6、计费要求：按KWH计费，断电后自动退费。</w:t>
      </w:r>
    </w:p>
    <w:p w14:paraId="067359C0">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7、远程控制：远程控制，对充电、断电、续充智能功能实现远程平台端及客户端控制。</w:t>
      </w:r>
    </w:p>
    <w:p w14:paraId="1246BD85">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8、断电要求：当用户开始充电出现过载、过压、高温、漏电，充电桩具备检测功能，启动充电保护并执行自动断电程序，系统自动推送账单信息至客户端。</w:t>
      </w:r>
    </w:p>
    <w:p w14:paraId="3EE15595">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 xml:space="preserve">9、平台统计要求：平台对充电桩的使用情况（用电量、使用次数、平均时长、 使用天数）进行监管、统计并生成报表。平台需每月向校方指定的邮箱发送当月运营情况报表，需在报表中呈现当月车辆充电情况，充电起止时间，消费记录等必要信息。 </w:t>
      </w:r>
    </w:p>
    <w:p w14:paraId="659D0CCB">
      <w:pPr>
        <w:spacing w:after="0" w:line="360" w:lineRule="auto"/>
        <w:ind w:firstLine="482" w:firstLineChars="200"/>
        <w:rPr>
          <w:rFonts w:hint="eastAsia" w:ascii="宋体" w:hAnsi="宋体" w:cs="宋体"/>
          <w:b/>
          <w:bCs/>
          <w:sz w:val="24"/>
        </w:rPr>
      </w:pPr>
      <w:r>
        <w:rPr>
          <w:rFonts w:hint="eastAsia" w:ascii="宋体" w:hAnsi="宋体" w:cs="宋体"/>
          <w:b/>
          <w:bCs/>
          <w:sz w:val="24"/>
        </w:rPr>
        <w:t>（四）施工要求</w:t>
      </w:r>
    </w:p>
    <w:p w14:paraId="5500B584">
      <w:pPr>
        <w:spacing w:after="0" w:line="360" w:lineRule="auto"/>
        <w:ind w:firstLine="480" w:firstLineChars="200"/>
        <w:rPr>
          <w:rFonts w:hint="eastAsia" w:ascii="宋体" w:hAnsi="宋体" w:cs="宋体"/>
          <w:sz w:val="24"/>
        </w:rPr>
      </w:pPr>
      <w:r>
        <w:rPr>
          <w:rFonts w:hint="eastAsia" w:ascii="宋体" w:hAnsi="宋体" w:cs="宋体"/>
          <w:sz w:val="24"/>
        </w:rPr>
        <w:t>1、乙方根据甲方现场实际情况，做好电线电缆敷设、设施设备安装调试工作，严格按照国家相关标准进行施工，并在施工过程中注意对原有管道、线路、设施设备进行保护，如有损坏必须在甲方规定的时间内予以修复，并赔偿因此造成的所有损失。</w:t>
      </w:r>
    </w:p>
    <w:p w14:paraId="174066C4">
      <w:pPr>
        <w:spacing w:after="0" w:line="360" w:lineRule="auto"/>
        <w:ind w:firstLine="480" w:firstLineChars="200"/>
        <w:rPr>
          <w:rFonts w:hint="eastAsia" w:ascii="宋体" w:hAnsi="宋体" w:cs="宋体"/>
          <w:sz w:val="24"/>
        </w:rPr>
      </w:pPr>
      <w:r>
        <w:rPr>
          <w:rFonts w:hint="eastAsia" w:ascii="宋体" w:hAnsi="宋体" w:cs="宋体"/>
          <w:sz w:val="24"/>
        </w:rPr>
        <w:t>2、乙方负责包括但不限于充电桩及电源的购买、运输、安装、调试、维护、运营、安全等全部投资建设和运行管理、保险以及施工等全部费用。</w:t>
      </w:r>
    </w:p>
    <w:p w14:paraId="1CB33091">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3、注意施工现场安全，任何因施工造成的人员伤亡均由乙方承担。</w:t>
      </w:r>
    </w:p>
    <w:p w14:paraId="215AE978">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4、因施工需停水停电的，应至少提前一天向甲方提出申请，根据甲方具体安排施工，不得影响甲方正常工作秩序。</w:t>
      </w:r>
    </w:p>
    <w:p w14:paraId="37BB5C50">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5、设备安装应加设两级漏电保护，确保充电安全。</w:t>
      </w:r>
    </w:p>
    <w:p w14:paraId="29D139FD">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6、隐蔽工程的施工，应在甲方检验后方可进行下道工序。</w:t>
      </w:r>
    </w:p>
    <w:p w14:paraId="5AAA58FA">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7、乙方提供的施工所用材料的质量、型号、规格必须符合国家标准;在充电桩满负荷运营的基础上有一定的余量。</w:t>
      </w:r>
    </w:p>
    <w:p w14:paraId="54246641">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8、施工前乙方应提前将施工图纸交由甲方审定，施工过程中如遇特殊情况需要改变原有方案的，及时向甲方申请，施工结束后乙方及时将最终的线路图纸交由甲方存档。</w:t>
      </w:r>
    </w:p>
    <w:p w14:paraId="1373B9FC">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9、施工中保证充电桩排列整齐美观，距离均匀。</w:t>
      </w:r>
    </w:p>
    <w:p w14:paraId="59B2C160">
      <w:pPr>
        <w:tabs>
          <w:tab w:val="left" w:pos="900"/>
        </w:tabs>
        <w:spacing w:after="0" w:line="360" w:lineRule="auto"/>
        <w:ind w:firstLine="482" w:firstLineChars="200"/>
        <w:rPr>
          <w:rFonts w:hint="eastAsia" w:ascii="宋体" w:hAnsi="宋体" w:cs="宋体"/>
          <w:b/>
          <w:bCs/>
          <w:sz w:val="24"/>
        </w:rPr>
      </w:pPr>
      <w:r>
        <w:rPr>
          <w:rFonts w:hint="eastAsia" w:ascii="宋体" w:hAnsi="宋体" w:cs="宋体"/>
          <w:b/>
          <w:bCs/>
          <w:sz w:val="24"/>
        </w:rPr>
        <w:t>（五）运营服务要求</w:t>
      </w:r>
    </w:p>
    <w:p w14:paraId="39B16EFF">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1、质保期内充电桩的运营维护由乙方负责。乙方应配备管理、维修、维护、清洁等人员，确保设备完好运行。接到故障通知后，乙方30分钟内派发工单，巡检员在4小时内到达现场，24小时内解决故障。若48小时内设备未修理好，乙方立即为甲方更换同款机器保证甲方的正常使用。每个安装点位均应设置安全警示牌，用于提醒用户在正常及极端天气安全充电。在安装场地附近配置至少两瓶ABC干粉灭火器用于应急消防工作。乙方需为本项目投入保障额度不低于200万元/年的产品责任险。</w:t>
      </w:r>
    </w:p>
    <w:p w14:paraId="66FBEE6C">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2、乙方云平台实时监控运营情况，记录充电信息，安全报警提示。用户可以通过APP或微信查看充电桩可用信息和充电状态。</w:t>
      </w:r>
    </w:p>
    <w:p w14:paraId="69F69181">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3、提供7×24小时技术支持及上门服务，每个充电桩安装点位必须公示安全提示、报修电话、使用说明，公示方式明显、清晰、牢固。</w:t>
      </w:r>
    </w:p>
    <w:p w14:paraId="3338EDC3">
      <w:pPr>
        <w:tabs>
          <w:tab w:val="left" w:pos="900"/>
        </w:tabs>
        <w:spacing w:after="0" w:line="360" w:lineRule="auto"/>
        <w:ind w:firstLine="480" w:firstLineChars="200"/>
        <w:rPr>
          <w:rFonts w:hint="eastAsia" w:ascii="宋体" w:hAnsi="宋体" w:cs="宋体"/>
          <w:sz w:val="24"/>
        </w:rPr>
      </w:pPr>
      <w:r>
        <w:rPr>
          <w:rFonts w:hint="eastAsia" w:ascii="宋体" w:hAnsi="宋体" w:cs="宋体"/>
          <w:sz w:val="24"/>
        </w:rPr>
        <w:t>4、乙方保证提供终身技术支持服务。</w:t>
      </w:r>
    </w:p>
    <w:p w14:paraId="400FD894">
      <w:pPr>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四、安全</w:t>
      </w:r>
    </w:p>
    <w:p w14:paraId="3AF48719">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乙方在履行合同的同时必须做好安全工作，按操作规程操作，杜绝安全事故的发生。在合同期内所发生的一切安全事故由乙方自行承担。</w:t>
      </w:r>
    </w:p>
    <w:p w14:paraId="51EFA20C">
      <w:pPr>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五、争议的解决</w:t>
      </w:r>
    </w:p>
    <w:p w14:paraId="712889A3">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本合同在履行过程中如果发生争议，先由双方协商解决，协商不成时，任何一方可有管辖权的人民法院起诉。</w:t>
      </w:r>
    </w:p>
    <w:p w14:paraId="3B3525E8">
      <w:pPr>
        <w:spacing w:after="0" w:line="360" w:lineRule="auto"/>
        <w:ind w:firstLine="482" w:firstLineChars="200"/>
        <w:rPr>
          <w:rFonts w:hint="eastAsia" w:ascii="宋体" w:hAnsi="宋体" w:cs="宋体"/>
          <w:color w:val="000000"/>
          <w:sz w:val="24"/>
        </w:rPr>
      </w:pPr>
      <w:r>
        <w:rPr>
          <w:rFonts w:hint="eastAsia" w:ascii="宋体" w:hAnsi="宋体" w:cs="宋体"/>
          <w:b/>
          <w:bCs/>
          <w:color w:val="000000"/>
          <w:sz w:val="24"/>
        </w:rPr>
        <w:t>六、</w:t>
      </w:r>
      <w:r>
        <w:rPr>
          <w:rFonts w:hint="eastAsia" w:ascii="宋体" w:hAnsi="宋体" w:cs="宋体"/>
          <w:color w:val="000000"/>
          <w:sz w:val="24"/>
        </w:rPr>
        <w:t>本合同未尽事宜，由双方按照相关法律、法规和规定办理或协商一致后签订补充协议。</w:t>
      </w:r>
    </w:p>
    <w:p w14:paraId="00FBFA25">
      <w:pPr>
        <w:spacing w:after="0" w:line="360" w:lineRule="auto"/>
        <w:ind w:firstLine="482" w:firstLineChars="200"/>
        <w:rPr>
          <w:rFonts w:hint="eastAsia" w:ascii="宋体" w:hAnsi="宋体" w:cs="宋体"/>
          <w:color w:val="000000"/>
          <w:sz w:val="24"/>
        </w:rPr>
      </w:pPr>
      <w:r>
        <w:rPr>
          <w:rFonts w:hint="eastAsia" w:ascii="宋体" w:hAnsi="宋体" w:cs="宋体"/>
          <w:b/>
          <w:bCs/>
          <w:color w:val="000000"/>
          <w:sz w:val="24"/>
        </w:rPr>
        <w:t>七、</w:t>
      </w:r>
      <w:r>
        <w:rPr>
          <w:rFonts w:hint="eastAsia" w:ascii="宋体" w:hAnsi="宋体" w:cs="宋体"/>
          <w:color w:val="000000"/>
          <w:sz w:val="24"/>
        </w:rPr>
        <w:t>本合同自双方签字盖章之日起生效，一式陆份，甲方执肆份，乙方执贰份。</w:t>
      </w:r>
    </w:p>
    <w:p w14:paraId="5DB80E25">
      <w:pPr>
        <w:pStyle w:val="90"/>
        <w:spacing w:line="360" w:lineRule="auto"/>
        <w:ind w:firstLine="420"/>
      </w:pPr>
    </w:p>
    <w:p w14:paraId="79037DD3">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甲方：（盖章）江苏商贸职业学院</w:t>
      </w:r>
      <w:r>
        <w:rPr>
          <w:rFonts w:hint="eastAsia" w:ascii="宋体" w:hAnsi="宋体" w:cs="宋体"/>
          <w:color w:val="000000"/>
          <w:szCs w:val="21"/>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乙方：（盖章）</w:t>
      </w:r>
      <w:r>
        <w:rPr>
          <w:rFonts w:hint="eastAsia" w:ascii="宋体" w:hAnsi="宋体" w:cs="宋体"/>
          <w:color w:val="000000"/>
          <w:szCs w:val="21"/>
        </w:rPr>
        <w:t xml:space="preserve"> </w:t>
      </w:r>
    </w:p>
    <w:p w14:paraId="15FF11E6">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地址：南通市崇川区江通路48号</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地址：</w:t>
      </w:r>
    </w:p>
    <w:p w14:paraId="755E5CF9">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rPr>
        <w:tab/>
      </w:r>
      <w:r>
        <w:rPr>
          <w:rFonts w:hint="eastAsia" w:ascii="宋体" w:hAnsi="宋体" w:cs="宋体"/>
          <w:color w:val="000000"/>
          <w:sz w:val="24"/>
        </w:rPr>
        <w:t xml:space="preserve">                              法定代表人</w:t>
      </w:r>
    </w:p>
    <w:p w14:paraId="4021B40B">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或委托代理人：（签字）</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或委托代理人：（签字）</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p>
    <w:p w14:paraId="6804DFF0">
      <w:pPr>
        <w:spacing w:after="0" w:line="360" w:lineRule="auto"/>
        <w:ind w:firstLine="480" w:firstLineChars="200"/>
        <w:rPr>
          <w:rFonts w:hint="eastAsia" w:ascii="宋体" w:hAnsi="宋体" w:cs="宋体"/>
        </w:rPr>
      </w:pPr>
      <w:r>
        <w:rPr>
          <w:rFonts w:hint="eastAsia" w:ascii="宋体" w:hAnsi="宋体" w:cs="宋体"/>
          <w:color w:val="000000"/>
          <w:sz w:val="24"/>
        </w:rPr>
        <w:t>签订时间：</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签订时间：</w:t>
      </w:r>
    </w:p>
    <w:p w14:paraId="0CC48983">
      <w:pPr>
        <w:rPr>
          <w:rFonts w:hint="eastAsia" w:ascii="宋体" w:hAnsi="宋体" w:cs="宋体"/>
          <w:b/>
          <w:bCs/>
          <w:sz w:val="24"/>
          <w:szCs w:val="28"/>
        </w:rPr>
      </w:pPr>
    </w:p>
    <w:p w14:paraId="509EA635">
      <w:pPr>
        <w:spacing w:after="0" w:line="360" w:lineRule="auto"/>
        <w:ind w:firstLine="442" w:firstLineChars="200"/>
        <w:jc w:val="both"/>
        <w:rPr>
          <w:rFonts w:hint="eastAsia" w:ascii="宋体" w:hAnsi="宋体" w:cs="宋体"/>
          <w:b/>
          <w:bCs/>
          <w:sz w:val="24"/>
          <w:szCs w:val="24"/>
        </w:rPr>
      </w:pPr>
      <w:r>
        <w:rPr>
          <w:rFonts w:hint="eastAsia"/>
          <w:b/>
          <w:bCs/>
        </w:rPr>
        <w:t>注：采购人保留修改合同的权利。</w:t>
      </w:r>
    </w:p>
    <w:p w14:paraId="7E36EFE8">
      <w:pPr>
        <w:rPr>
          <w:rFonts w:hint="eastAsia" w:ascii="宋体" w:hAnsi="宋体" w:cs="宋体"/>
          <w:b/>
          <w:bCs/>
          <w:sz w:val="24"/>
          <w:szCs w:val="32"/>
        </w:rPr>
      </w:pPr>
      <w:r>
        <w:rPr>
          <w:rFonts w:hint="eastAsia" w:ascii="宋体" w:hAnsi="宋体" w:cs="宋体"/>
          <w:b/>
          <w:bCs/>
          <w:sz w:val="24"/>
          <w:szCs w:val="32"/>
        </w:rPr>
        <w:br w:type="page"/>
      </w:r>
    </w:p>
    <w:p w14:paraId="018E5E6C">
      <w:pPr>
        <w:spacing w:line="360" w:lineRule="auto"/>
        <w:ind w:firstLine="482" w:firstLineChars="200"/>
        <w:jc w:val="center"/>
        <w:rPr>
          <w:rFonts w:hint="eastAsia" w:ascii="宋体" w:hAnsi="宋体" w:cs="宋体"/>
          <w:b/>
          <w:sz w:val="24"/>
          <w:szCs w:val="24"/>
        </w:rPr>
      </w:pPr>
      <w:r>
        <w:rPr>
          <w:rFonts w:hint="eastAsia" w:ascii="宋体" w:hAnsi="宋体" w:cs="宋体"/>
          <w:b/>
          <w:bCs/>
          <w:sz w:val="24"/>
          <w:szCs w:val="32"/>
        </w:rPr>
        <w:t>第五部分  响应文件组成</w:t>
      </w:r>
    </w:p>
    <w:p w14:paraId="70866CB3">
      <w:pPr>
        <w:spacing w:line="360" w:lineRule="auto"/>
        <w:ind w:firstLine="482" w:firstLineChars="200"/>
        <w:jc w:val="both"/>
        <w:rPr>
          <w:rFonts w:hint="eastAsia" w:ascii="宋体" w:hAnsi="宋体" w:cs="宋体"/>
          <w:b/>
          <w:bCs/>
          <w:sz w:val="24"/>
          <w:szCs w:val="24"/>
        </w:rPr>
      </w:pPr>
      <w:r>
        <w:rPr>
          <w:rFonts w:hint="eastAsia" w:ascii="宋体" w:hAnsi="宋体" w:cs="宋体"/>
          <w:b/>
          <w:sz w:val="24"/>
          <w:szCs w:val="24"/>
        </w:rPr>
        <w:t>（一）资格审查文件相关的格式文件及表格</w:t>
      </w:r>
    </w:p>
    <w:p w14:paraId="0F84E48E">
      <w:pPr>
        <w:spacing w:line="360" w:lineRule="auto"/>
        <w:ind w:firstLine="482" w:firstLineChars="200"/>
        <w:jc w:val="center"/>
        <w:outlineLvl w:val="4"/>
        <w:rPr>
          <w:rFonts w:hint="eastAsia" w:ascii="宋体" w:hAnsi="宋体" w:cs="宋体"/>
          <w:b/>
          <w:bCs/>
          <w:sz w:val="24"/>
          <w:szCs w:val="24"/>
        </w:rPr>
      </w:pPr>
      <w:r>
        <w:rPr>
          <w:rFonts w:hint="eastAsia" w:ascii="宋体" w:hAnsi="宋体" w:cs="宋体"/>
          <w:b/>
          <w:bCs/>
          <w:sz w:val="24"/>
          <w:szCs w:val="24"/>
        </w:rPr>
        <w:t>1.法定代表人身份证明（法定代表人参加，则提供）</w:t>
      </w:r>
    </w:p>
    <w:p w14:paraId="4CC1B8EB">
      <w:pPr>
        <w:spacing w:line="360" w:lineRule="auto"/>
        <w:ind w:firstLine="480" w:firstLineChars="200"/>
        <w:jc w:val="both"/>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14:paraId="1E7DEC81">
      <w:pPr>
        <w:spacing w:line="360" w:lineRule="auto"/>
        <w:ind w:firstLine="480" w:firstLineChars="200"/>
        <w:jc w:val="both"/>
        <w:rPr>
          <w:rFonts w:hint="eastAsia" w:ascii="宋体" w:hAnsi="宋体" w:cs="宋体"/>
          <w:sz w:val="24"/>
          <w:szCs w:val="24"/>
        </w:rPr>
      </w:pPr>
      <w:r>
        <w:rPr>
          <w:rFonts w:hint="eastAsia" w:ascii="宋体" w:hAnsi="宋体" w:cs="宋体"/>
          <w:sz w:val="24"/>
          <w:szCs w:val="24"/>
          <w:u w:val="single"/>
        </w:rPr>
        <w:t xml:space="preserve">          先生／女士：</w:t>
      </w:r>
      <w:r>
        <w:rPr>
          <w:rFonts w:hint="eastAsia" w:ascii="宋体" w:hAnsi="宋体" w:cs="宋体"/>
          <w:sz w:val="24"/>
          <w:szCs w:val="24"/>
        </w:rPr>
        <w:t>现任我单位</w:t>
      </w:r>
      <w:r>
        <w:rPr>
          <w:rFonts w:hint="eastAsia" w:ascii="宋体" w:hAnsi="宋体" w:cs="宋体"/>
          <w:sz w:val="24"/>
          <w:szCs w:val="24"/>
          <w:u w:val="single"/>
        </w:rPr>
        <w:t>　　　　　　　</w:t>
      </w:r>
      <w:r>
        <w:rPr>
          <w:rFonts w:hint="eastAsia" w:ascii="宋体" w:hAnsi="宋体" w:cs="宋体"/>
          <w:sz w:val="24"/>
          <w:szCs w:val="24"/>
        </w:rPr>
        <w:t>职务，为法定代表人，特此证明。</w:t>
      </w:r>
    </w:p>
    <w:p w14:paraId="0B13FB94">
      <w:pPr>
        <w:spacing w:line="360" w:lineRule="auto"/>
        <w:ind w:firstLine="480" w:firstLineChars="200"/>
        <w:jc w:val="both"/>
        <w:rPr>
          <w:rFonts w:hint="eastAsia"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5518983E">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供应商（盖章）</w:t>
      </w:r>
    </w:p>
    <w:p w14:paraId="202A8B8A">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年    月    日</w:t>
      </w:r>
    </w:p>
    <w:p w14:paraId="3C615DA4">
      <w:pPr>
        <w:spacing w:line="360" w:lineRule="auto"/>
        <w:ind w:firstLine="480" w:firstLineChars="200"/>
        <w:jc w:val="both"/>
        <w:rPr>
          <w:rFonts w:hint="eastAsia" w:ascii="宋体" w:hAnsi="宋体" w:cs="宋体"/>
          <w:sz w:val="24"/>
          <w:szCs w:val="24"/>
        </w:rPr>
      </w:pPr>
    </w:p>
    <w:p w14:paraId="7A04007A">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注：提供法定代表人的身份证正反面复印件</w:t>
      </w:r>
    </w:p>
    <w:p w14:paraId="1E1EB960">
      <w:pPr>
        <w:spacing w:line="360" w:lineRule="auto"/>
        <w:ind w:firstLine="482" w:firstLineChars="200"/>
        <w:jc w:val="both"/>
        <w:outlineLvl w:val="4"/>
        <w:rPr>
          <w:rFonts w:hint="eastAsia" w:ascii="宋体" w:hAnsi="宋体" w:cs="宋体"/>
          <w:b/>
          <w:bCs/>
          <w:sz w:val="24"/>
          <w:szCs w:val="24"/>
        </w:rPr>
      </w:pPr>
    </w:p>
    <w:p w14:paraId="5F039C3D">
      <w:pPr>
        <w:spacing w:line="360" w:lineRule="auto"/>
        <w:ind w:firstLine="482" w:firstLineChars="200"/>
        <w:jc w:val="both"/>
        <w:outlineLvl w:val="4"/>
        <w:rPr>
          <w:rFonts w:hint="eastAsia" w:ascii="宋体" w:hAnsi="宋体" w:cs="宋体"/>
          <w:b/>
          <w:bCs/>
          <w:sz w:val="24"/>
          <w:szCs w:val="24"/>
        </w:rPr>
      </w:pPr>
    </w:p>
    <w:p w14:paraId="76FE095C">
      <w:pPr>
        <w:spacing w:line="360" w:lineRule="auto"/>
        <w:ind w:firstLine="482" w:firstLineChars="200"/>
        <w:jc w:val="both"/>
        <w:outlineLvl w:val="4"/>
        <w:rPr>
          <w:rFonts w:hint="eastAsia" w:ascii="宋体" w:hAnsi="宋体" w:cs="宋体"/>
          <w:b/>
          <w:bCs/>
          <w:sz w:val="24"/>
          <w:szCs w:val="24"/>
        </w:rPr>
      </w:pPr>
    </w:p>
    <w:p w14:paraId="2AD8E119">
      <w:pPr>
        <w:pStyle w:val="56"/>
        <w:spacing w:line="360" w:lineRule="auto"/>
        <w:ind w:firstLine="482" w:firstLineChars="200"/>
        <w:jc w:val="both"/>
        <w:rPr>
          <w:rFonts w:hint="eastAsia" w:ascii="宋体" w:hAnsi="宋体" w:eastAsia="宋体" w:cs="宋体"/>
          <w:b/>
          <w:bCs/>
          <w:szCs w:val="24"/>
        </w:rPr>
      </w:pPr>
    </w:p>
    <w:p w14:paraId="1404666C">
      <w:pPr>
        <w:pStyle w:val="56"/>
        <w:spacing w:line="360" w:lineRule="auto"/>
        <w:ind w:firstLine="482" w:firstLineChars="200"/>
        <w:jc w:val="both"/>
        <w:rPr>
          <w:rFonts w:hint="eastAsia" w:ascii="宋体" w:hAnsi="宋体" w:eastAsia="宋体" w:cs="宋体"/>
          <w:b/>
          <w:bCs/>
          <w:szCs w:val="24"/>
        </w:rPr>
      </w:pPr>
    </w:p>
    <w:p w14:paraId="78722B3A">
      <w:pPr>
        <w:pStyle w:val="56"/>
        <w:spacing w:line="360" w:lineRule="auto"/>
        <w:ind w:firstLine="482" w:firstLineChars="200"/>
        <w:jc w:val="both"/>
        <w:rPr>
          <w:rFonts w:hint="eastAsia" w:ascii="宋体" w:hAnsi="宋体" w:eastAsia="宋体" w:cs="宋体"/>
          <w:b/>
          <w:bCs/>
          <w:szCs w:val="24"/>
        </w:rPr>
      </w:pPr>
    </w:p>
    <w:p w14:paraId="699D4E2F">
      <w:pPr>
        <w:pStyle w:val="56"/>
        <w:spacing w:line="360" w:lineRule="auto"/>
        <w:ind w:firstLine="482" w:firstLineChars="200"/>
        <w:jc w:val="both"/>
        <w:rPr>
          <w:rFonts w:hint="eastAsia" w:ascii="宋体" w:hAnsi="宋体" w:eastAsia="宋体" w:cs="宋体"/>
          <w:b/>
          <w:bCs/>
          <w:szCs w:val="24"/>
        </w:rPr>
      </w:pPr>
    </w:p>
    <w:p w14:paraId="16D968DA">
      <w:pPr>
        <w:pStyle w:val="56"/>
        <w:spacing w:line="360" w:lineRule="auto"/>
        <w:ind w:firstLine="482" w:firstLineChars="200"/>
        <w:jc w:val="both"/>
        <w:rPr>
          <w:rFonts w:hint="eastAsia" w:ascii="宋体" w:hAnsi="宋体" w:eastAsia="宋体" w:cs="宋体"/>
          <w:b/>
          <w:bCs/>
          <w:szCs w:val="24"/>
        </w:rPr>
      </w:pPr>
    </w:p>
    <w:p w14:paraId="0FB4F984">
      <w:pPr>
        <w:pStyle w:val="56"/>
        <w:spacing w:line="360" w:lineRule="auto"/>
        <w:ind w:firstLine="482" w:firstLineChars="200"/>
        <w:jc w:val="both"/>
        <w:rPr>
          <w:rFonts w:hint="eastAsia" w:ascii="宋体" w:hAnsi="宋体" w:eastAsia="宋体" w:cs="宋体"/>
          <w:b/>
          <w:bCs/>
          <w:szCs w:val="24"/>
        </w:rPr>
      </w:pPr>
    </w:p>
    <w:p w14:paraId="544B8F2E">
      <w:pPr>
        <w:pStyle w:val="56"/>
        <w:spacing w:line="360" w:lineRule="auto"/>
        <w:ind w:firstLine="482" w:firstLineChars="200"/>
        <w:jc w:val="both"/>
        <w:rPr>
          <w:rFonts w:hint="eastAsia" w:ascii="宋体" w:hAnsi="宋体" w:eastAsia="宋体" w:cs="宋体"/>
          <w:b/>
          <w:bCs/>
          <w:szCs w:val="24"/>
        </w:rPr>
      </w:pPr>
    </w:p>
    <w:p w14:paraId="3A79B1DA">
      <w:pPr>
        <w:pStyle w:val="56"/>
        <w:spacing w:line="360" w:lineRule="auto"/>
        <w:ind w:firstLine="482" w:firstLineChars="200"/>
        <w:jc w:val="both"/>
        <w:rPr>
          <w:rFonts w:hint="eastAsia" w:ascii="宋体" w:hAnsi="宋体" w:eastAsia="宋体" w:cs="宋体"/>
          <w:b/>
          <w:bCs/>
          <w:szCs w:val="24"/>
        </w:rPr>
      </w:pPr>
    </w:p>
    <w:p w14:paraId="732FF790">
      <w:pPr>
        <w:spacing w:line="360" w:lineRule="auto"/>
        <w:ind w:firstLine="482" w:firstLineChars="200"/>
        <w:jc w:val="both"/>
        <w:outlineLvl w:val="4"/>
        <w:rPr>
          <w:rFonts w:hint="eastAsia" w:ascii="宋体" w:hAnsi="宋体" w:cs="宋体"/>
          <w:b/>
          <w:bCs/>
          <w:sz w:val="24"/>
          <w:szCs w:val="24"/>
        </w:rPr>
      </w:pPr>
    </w:p>
    <w:p w14:paraId="5AB92FCD">
      <w:pPr>
        <w:spacing w:line="360" w:lineRule="auto"/>
        <w:ind w:firstLine="482" w:firstLineChars="200"/>
        <w:jc w:val="center"/>
        <w:outlineLvl w:val="4"/>
        <w:rPr>
          <w:rFonts w:hint="eastAsia" w:ascii="宋体" w:hAnsi="宋体" w:cs="宋体"/>
          <w:b/>
          <w:bCs/>
          <w:sz w:val="24"/>
          <w:szCs w:val="24"/>
        </w:rPr>
      </w:pPr>
    </w:p>
    <w:p w14:paraId="5DF71AA0">
      <w:pPr>
        <w:spacing w:line="360" w:lineRule="auto"/>
        <w:ind w:firstLine="482" w:firstLineChars="200"/>
        <w:jc w:val="center"/>
        <w:outlineLvl w:val="4"/>
        <w:rPr>
          <w:rFonts w:hint="eastAsia" w:ascii="宋体" w:hAnsi="宋体" w:cs="宋体"/>
          <w:b/>
          <w:bCs/>
          <w:sz w:val="24"/>
          <w:szCs w:val="24"/>
        </w:rPr>
      </w:pPr>
      <w:r>
        <w:rPr>
          <w:rFonts w:hint="eastAsia" w:ascii="宋体" w:hAnsi="宋体" w:cs="宋体"/>
          <w:b/>
          <w:bCs/>
          <w:sz w:val="24"/>
          <w:szCs w:val="24"/>
        </w:rPr>
        <w:t>2.法定代表人授权委托书（授权代表参加，则提供）</w:t>
      </w:r>
    </w:p>
    <w:p w14:paraId="33A2A403">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u w:val="single"/>
        </w:rPr>
        <w:t xml:space="preserve">               </w:t>
      </w:r>
      <w:r>
        <w:rPr>
          <w:rFonts w:hint="eastAsia" w:ascii="宋体" w:hAnsi="宋体" w:cs="宋体"/>
          <w:bCs/>
          <w:sz w:val="24"/>
          <w:szCs w:val="24"/>
        </w:rPr>
        <w:t>：</w:t>
      </w:r>
    </w:p>
    <w:p w14:paraId="48C364E3">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w:t>
      </w:r>
      <w:r>
        <w:rPr>
          <w:rFonts w:hint="eastAsia" w:ascii="宋体" w:hAnsi="宋体" w:cs="宋体"/>
          <w:sz w:val="24"/>
          <w:szCs w:val="24"/>
        </w:rPr>
        <w:t>（姓名）系</w:t>
      </w:r>
      <w:r>
        <w:rPr>
          <w:rFonts w:hint="eastAsia" w:ascii="宋体" w:hAnsi="宋体" w:cs="宋体"/>
          <w:sz w:val="24"/>
          <w:szCs w:val="24"/>
          <w:u w:val="single"/>
        </w:rPr>
        <w:t>　　  　</w:t>
      </w:r>
      <w:r>
        <w:rPr>
          <w:rFonts w:hint="eastAsia" w:ascii="宋体" w:hAnsi="宋体" w:cs="宋体"/>
          <w:sz w:val="24"/>
          <w:szCs w:val="24"/>
        </w:rPr>
        <w:t>（供应商名称）的法定代表人，现授权委托　　   （姓名）　　 （身份证号）为我公司代理人，以本公司的名义参加本项目的询价响应活动。代理人在开标、评标、合同谈判过程中所签署的一切文件和处理与之有关的一切事务，我均予以承认。</w:t>
      </w:r>
    </w:p>
    <w:p w14:paraId="6F03A8FB">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被委托授权人无转委权。特此委托。</w:t>
      </w:r>
    </w:p>
    <w:p w14:paraId="0FA82E09">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 xml:space="preserve">              </w:t>
      </w:r>
    </w:p>
    <w:p w14:paraId="0E2A63C7">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法定代表人签字：</w:t>
      </w:r>
    </w:p>
    <w:p w14:paraId="639DCDAB">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被委托授权人签字：</w:t>
      </w:r>
    </w:p>
    <w:p w14:paraId="7E7A9E9F">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谈判供应商（盖章）</w:t>
      </w:r>
    </w:p>
    <w:p w14:paraId="20CE7100">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年    月    日</w:t>
      </w:r>
    </w:p>
    <w:p w14:paraId="6CD1FF16">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法定代表身份证明身份证正反面复印件</w:t>
      </w:r>
    </w:p>
    <w:p w14:paraId="315834CF">
      <w:pPr>
        <w:spacing w:line="360" w:lineRule="auto"/>
        <w:ind w:firstLine="480" w:firstLineChars="200"/>
        <w:jc w:val="both"/>
        <w:rPr>
          <w:rFonts w:hint="eastAsia" w:ascii="宋体" w:hAnsi="宋体" w:cs="宋体"/>
          <w:bCs/>
          <w:sz w:val="24"/>
          <w:szCs w:val="24"/>
        </w:rPr>
      </w:pPr>
    </w:p>
    <w:p w14:paraId="003EE76B">
      <w:pPr>
        <w:spacing w:line="360" w:lineRule="auto"/>
        <w:ind w:firstLine="480" w:firstLineChars="200"/>
        <w:jc w:val="both"/>
        <w:rPr>
          <w:rFonts w:hint="eastAsia" w:ascii="宋体" w:hAnsi="宋体" w:cs="宋体"/>
          <w:bCs/>
          <w:sz w:val="24"/>
          <w:szCs w:val="24"/>
        </w:rPr>
      </w:pPr>
    </w:p>
    <w:p w14:paraId="5B756E2E">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被委托授权人的身份证正反面复印件</w:t>
      </w:r>
    </w:p>
    <w:p w14:paraId="2D162784">
      <w:pPr>
        <w:spacing w:line="360" w:lineRule="auto"/>
        <w:ind w:firstLine="482" w:firstLineChars="200"/>
        <w:rPr>
          <w:rFonts w:hint="eastAsia" w:ascii="宋体" w:hAnsi="宋体" w:cs="宋体"/>
          <w:b/>
          <w:sz w:val="24"/>
          <w:szCs w:val="30"/>
        </w:rPr>
      </w:pPr>
      <w:r>
        <w:rPr>
          <w:rFonts w:hint="eastAsia" w:ascii="宋体" w:hAnsi="宋体" w:cs="宋体"/>
          <w:b/>
          <w:sz w:val="24"/>
          <w:szCs w:val="30"/>
        </w:rPr>
        <w:br w:type="page"/>
      </w:r>
    </w:p>
    <w:p w14:paraId="5B223A74">
      <w:pPr>
        <w:spacing w:line="360" w:lineRule="auto"/>
        <w:ind w:firstLine="482" w:firstLineChars="200"/>
        <w:jc w:val="center"/>
        <w:rPr>
          <w:rFonts w:hint="eastAsia" w:ascii="宋体" w:hAnsi="宋体" w:cs="宋体"/>
          <w:b/>
          <w:sz w:val="24"/>
          <w:szCs w:val="30"/>
        </w:rPr>
      </w:pPr>
      <w:r>
        <w:rPr>
          <w:rFonts w:hint="eastAsia" w:ascii="宋体" w:hAnsi="宋体" w:cs="宋体"/>
          <w:b/>
          <w:sz w:val="24"/>
          <w:szCs w:val="30"/>
        </w:rPr>
        <w:t>3.符合本项目采购人资格要求的承诺函</w:t>
      </w:r>
    </w:p>
    <w:p w14:paraId="3FB3BA8F">
      <w:pPr>
        <w:spacing w:line="360" w:lineRule="auto"/>
        <w:ind w:firstLine="482" w:firstLineChars="200"/>
        <w:rPr>
          <w:rFonts w:hint="eastAsia" w:ascii="宋体" w:hAnsi="宋体" w:cs="宋体"/>
          <w:b/>
          <w:bCs/>
          <w:sz w:val="24"/>
          <w:szCs w:val="44"/>
        </w:rPr>
      </w:pPr>
      <w:r>
        <w:rPr>
          <w:rFonts w:hint="eastAsia" w:ascii="宋体" w:hAnsi="宋体" w:cs="宋体"/>
          <w:b/>
          <w:bCs/>
          <w:sz w:val="24"/>
          <w:szCs w:val="21"/>
        </w:rPr>
        <w:t xml:space="preserve"> 江苏商贸职业学院：                    </w:t>
      </w:r>
      <w:r>
        <w:rPr>
          <w:rFonts w:hint="eastAsia" w:ascii="宋体" w:hAnsi="宋体" w:cs="宋体"/>
          <w:b/>
          <w:bCs/>
          <w:sz w:val="24"/>
          <w:szCs w:val="44"/>
        </w:rPr>
        <w:t xml:space="preserve">  </w:t>
      </w:r>
    </w:p>
    <w:p w14:paraId="19699840">
      <w:pPr>
        <w:spacing w:line="360" w:lineRule="auto"/>
        <w:ind w:firstLine="480" w:firstLineChars="200"/>
        <w:rPr>
          <w:rFonts w:hint="eastAsia"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（项目编号）投标活动。针对本项目采购人资格要求做出如下承诺：</w:t>
      </w:r>
    </w:p>
    <w:p w14:paraId="72CF3642">
      <w:pPr>
        <w:spacing w:line="360" w:lineRule="auto"/>
        <w:ind w:firstLine="480" w:firstLineChars="200"/>
        <w:rPr>
          <w:rFonts w:hint="eastAsia" w:ascii="宋体" w:hAnsi="宋体" w:cs="宋体"/>
          <w:sz w:val="24"/>
        </w:rPr>
      </w:pPr>
      <w:r>
        <w:rPr>
          <w:rFonts w:hint="eastAsia" w:ascii="宋体" w:hAnsi="宋体" w:cs="宋体"/>
          <w:bCs/>
          <w:sz w:val="24"/>
          <w:szCs w:val="21"/>
        </w:rPr>
        <w:t>1.我单位具有独立承担民事责任的能力；</w:t>
      </w:r>
    </w:p>
    <w:p w14:paraId="45F472DC">
      <w:pPr>
        <w:spacing w:line="360" w:lineRule="auto"/>
        <w:ind w:firstLine="480" w:firstLineChars="200"/>
        <w:rPr>
          <w:rFonts w:hint="eastAsia" w:ascii="宋体" w:hAnsi="宋体" w:cs="宋体"/>
          <w:sz w:val="24"/>
        </w:rPr>
      </w:pPr>
      <w:r>
        <w:rPr>
          <w:rFonts w:hint="eastAsia" w:ascii="宋体" w:hAnsi="宋体" w:cs="宋体"/>
          <w:sz w:val="24"/>
        </w:rPr>
        <w:t>2.我单位具有良好的商业信誉和健全的财务会计制度；</w:t>
      </w:r>
    </w:p>
    <w:p w14:paraId="7CE862E3">
      <w:pPr>
        <w:spacing w:line="360" w:lineRule="auto"/>
        <w:ind w:firstLine="480" w:firstLineChars="200"/>
        <w:rPr>
          <w:rFonts w:hint="eastAsia" w:ascii="宋体" w:hAnsi="宋体" w:cs="宋体"/>
          <w:sz w:val="24"/>
        </w:rPr>
      </w:pPr>
      <w:r>
        <w:rPr>
          <w:rFonts w:hint="eastAsia" w:ascii="宋体" w:hAnsi="宋体" w:cs="宋体"/>
          <w:sz w:val="24"/>
        </w:rPr>
        <w:t>3.我单位具有履行合同所必需的设备和专业技术能力；</w:t>
      </w:r>
    </w:p>
    <w:p w14:paraId="0F701775">
      <w:pPr>
        <w:spacing w:line="360" w:lineRule="auto"/>
        <w:ind w:firstLine="480" w:firstLineChars="200"/>
        <w:rPr>
          <w:rFonts w:hint="eastAsia" w:ascii="宋体" w:hAnsi="宋体" w:cs="宋体"/>
          <w:sz w:val="24"/>
        </w:rPr>
      </w:pPr>
      <w:r>
        <w:rPr>
          <w:rFonts w:hint="eastAsia" w:ascii="宋体" w:hAnsi="宋体" w:cs="宋体"/>
          <w:sz w:val="24"/>
        </w:rPr>
        <w:t>4.我单位有依法缴纳税收和社会保障资金的良好记录；</w:t>
      </w:r>
    </w:p>
    <w:p w14:paraId="7F7CEF00">
      <w:pPr>
        <w:spacing w:line="360" w:lineRule="auto"/>
        <w:ind w:firstLine="480" w:firstLineChars="200"/>
        <w:rPr>
          <w:rFonts w:hint="eastAsia" w:ascii="宋体" w:hAnsi="宋体" w:cs="宋体"/>
          <w:sz w:val="24"/>
        </w:rPr>
      </w:pPr>
      <w:r>
        <w:rPr>
          <w:rFonts w:hint="eastAsia" w:ascii="宋体" w:hAnsi="宋体" w:cs="宋体"/>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603AFF84">
      <w:pPr>
        <w:spacing w:line="360" w:lineRule="auto"/>
        <w:ind w:firstLine="480" w:firstLineChars="200"/>
        <w:rPr>
          <w:rFonts w:hint="eastAsia" w:ascii="宋体" w:hAnsi="宋体" w:cs="宋体"/>
          <w:sz w:val="24"/>
        </w:rPr>
      </w:pPr>
      <w:r>
        <w:rPr>
          <w:rFonts w:hint="eastAsia" w:ascii="宋体" w:hAnsi="宋体" w:cs="宋体"/>
          <w:sz w:val="24"/>
        </w:rPr>
        <w:t>6.我单位满足法律、行政法规规定的其他条件。</w:t>
      </w:r>
    </w:p>
    <w:p w14:paraId="31349BF4">
      <w:pPr>
        <w:spacing w:line="360" w:lineRule="auto"/>
        <w:ind w:firstLine="480" w:firstLineChars="200"/>
        <w:rPr>
          <w:rFonts w:hint="eastAsia" w:ascii="宋体" w:hAnsi="宋体" w:cs="宋体"/>
          <w:sz w:val="24"/>
        </w:rPr>
      </w:pPr>
    </w:p>
    <w:p w14:paraId="76802662">
      <w:pPr>
        <w:spacing w:line="360" w:lineRule="auto"/>
        <w:ind w:firstLine="480" w:firstLineChars="200"/>
        <w:rPr>
          <w:rFonts w:hint="eastAsia" w:ascii="宋体" w:hAnsi="宋体" w:cs="宋体"/>
          <w:bCs/>
          <w:sz w:val="24"/>
          <w:szCs w:val="21"/>
        </w:rPr>
      </w:pPr>
    </w:p>
    <w:p w14:paraId="52733781">
      <w:pPr>
        <w:spacing w:line="360" w:lineRule="auto"/>
        <w:ind w:firstLine="480" w:firstLineChars="200"/>
        <w:rPr>
          <w:rFonts w:hint="eastAsia" w:ascii="宋体" w:hAnsi="宋体" w:cs="宋体"/>
          <w:bCs/>
          <w:sz w:val="24"/>
          <w:szCs w:val="21"/>
        </w:rPr>
      </w:pPr>
    </w:p>
    <w:p w14:paraId="3C5B4DBF">
      <w:pPr>
        <w:spacing w:line="360" w:lineRule="auto"/>
        <w:ind w:firstLine="480" w:firstLineChars="200"/>
        <w:jc w:val="center"/>
        <w:rPr>
          <w:rFonts w:hint="eastAsia" w:ascii="宋体" w:hAnsi="宋体" w:cs="宋体"/>
          <w:bCs/>
          <w:sz w:val="24"/>
          <w:szCs w:val="21"/>
        </w:rPr>
      </w:pPr>
      <w:r>
        <w:rPr>
          <w:rFonts w:hint="eastAsia" w:ascii="宋体" w:hAnsi="宋体" w:cs="宋体"/>
          <w:bCs/>
          <w:sz w:val="24"/>
          <w:szCs w:val="21"/>
        </w:rPr>
        <w:t xml:space="preserve">                                             承诺人名称（公章）：</w:t>
      </w:r>
    </w:p>
    <w:p w14:paraId="2B75D704">
      <w:pPr>
        <w:spacing w:line="360" w:lineRule="auto"/>
        <w:ind w:firstLine="480" w:firstLineChars="200"/>
        <w:jc w:val="right"/>
        <w:rPr>
          <w:rFonts w:hint="eastAsia" w:ascii="宋体" w:hAnsi="宋体" w:cs="宋体"/>
          <w:bCs/>
          <w:sz w:val="24"/>
          <w:szCs w:val="21"/>
        </w:rPr>
      </w:pPr>
      <w:r>
        <w:rPr>
          <w:rFonts w:hint="eastAsia" w:ascii="宋体" w:hAnsi="宋体" w:cs="宋体"/>
          <w:bCs/>
          <w:sz w:val="24"/>
          <w:szCs w:val="21"/>
        </w:rPr>
        <w:t xml:space="preserve">    </w:t>
      </w:r>
    </w:p>
    <w:p w14:paraId="7FFC8C92">
      <w:pPr>
        <w:spacing w:line="360" w:lineRule="auto"/>
        <w:ind w:firstLine="480" w:firstLineChars="200"/>
        <w:jc w:val="right"/>
        <w:rPr>
          <w:rFonts w:hint="eastAsia"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6641EF56">
      <w:pPr>
        <w:spacing w:line="360" w:lineRule="auto"/>
        <w:ind w:firstLine="482" w:firstLineChars="200"/>
        <w:contextualSpacing/>
        <w:rPr>
          <w:rFonts w:hint="eastAsia" w:ascii="宋体" w:hAnsi="宋体" w:cs="宋体"/>
          <w:b/>
          <w:sz w:val="24"/>
          <w:szCs w:val="28"/>
        </w:rPr>
      </w:pPr>
    </w:p>
    <w:p w14:paraId="2287D6C8">
      <w:pPr>
        <w:spacing w:line="360" w:lineRule="auto"/>
        <w:ind w:firstLine="480" w:firstLineChars="200"/>
        <w:jc w:val="both"/>
        <w:rPr>
          <w:rFonts w:hint="eastAsia" w:ascii="宋体" w:hAnsi="宋体" w:cs="宋体"/>
          <w:sz w:val="24"/>
          <w:szCs w:val="28"/>
        </w:rPr>
      </w:pPr>
    </w:p>
    <w:p w14:paraId="63FDCEB4">
      <w:pPr>
        <w:pStyle w:val="26"/>
        <w:spacing w:line="360" w:lineRule="auto"/>
        <w:ind w:left="440" w:firstLine="480"/>
        <w:rPr>
          <w:rFonts w:hint="eastAsia" w:ascii="宋体" w:hAnsi="宋体" w:cs="宋体"/>
          <w:sz w:val="24"/>
          <w:szCs w:val="28"/>
        </w:rPr>
      </w:pPr>
    </w:p>
    <w:p w14:paraId="122F083E">
      <w:pPr>
        <w:spacing w:line="360" w:lineRule="auto"/>
        <w:ind w:firstLine="480" w:firstLineChars="200"/>
        <w:rPr>
          <w:rFonts w:hint="eastAsia" w:ascii="宋体" w:hAnsi="宋体" w:cs="宋体"/>
          <w:sz w:val="24"/>
        </w:rPr>
      </w:pPr>
    </w:p>
    <w:p w14:paraId="4E49E18D">
      <w:pPr>
        <w:pStyle w:val="80"/>
        <w:spacing w:line="360" w:lineRule="auto"/>
        <w:ind w:firstLine="480"/>
        <w:rPr>
          <w:rFonts w:hint="eastAsia" w:ascii="宋体" w:hAnsi="宋体" w:eastAsia="宋体" w:cs="宋体"/>
        </w:rPr>
      </w:pPr>
    </w:p>
    <w:p w14:paraId="4F2E8A8F">
      <w:pPr>
        <w:kinsoku w:val="0"/>
        <w:topLinePunct/>
        <w:autoSpaceDE w:val="0"/>
        <w:autoSpaceDN w:val="0"/>
        <w:spacing w:line="360" w:lineRule="auto"/>
        <w:ind w:right="210" w:firstLine="482" w:firstLineChars="200"/>
        <w:jc w:val="center"/>
        <w:textAlignment w:val="baseline"/>
        <w:rPr>
          <w:rFonts w:hint="eastAsia" w:ascii="宋体" w:hAnsi="宋体" w:cs="宋体"/>
          <w:b/>
          <w:sz w:val="24"/>
          <w:szCs w:val="28"/>
        </w:rPr>
      </w:pPr>
      <w:r>
        <w:rPr>
          <w:rFonts w:hint="eastAsia" w:ascii="宋体" w:hAnsi="宋体" w:cs="宋体"/>
          <w:b/>
          <w:bCs/>
          <w:sz w:val="24"/>
          <w:szCs w:val="28"/>
        </w:rPr>
        <w:t>4.</w:t>
      </w:r>
      <w:r>
        <w:rPr>
          <w:rFonts w:hint="eastAsia" w:ascii="宋体" w:hAnsi="宋体" w:cs="宋体"/>
          <w:b/>
          <w:sz w:val="24"/>
          <w:szCs w:val="28"/>
        </w:rPr>
        <w:t>无重大违法记录声明</w:t>
      </w:r>
    </w:p>
    <w:p w14:paraId="70FA2F87">
      <w:pPr>
        <w:spacing w:line="360" w:lineRule="auto"/>
        <w:ind w:firstLine="480" w:firstLineChars="200"/>
        <w:rPr>
          <w:rFonts w:hint="eastAsia" w:ascii="宋体" w:hAnsi="宋体" w:cs="宋体"/>
          <w:bCs/>
          <w:sz w:val="24"/>
          <w:szCs w:val="28"/>
        </w:rPr>
      </w:pPr>
    </w:p>
    <w:p w14:paraId="49BCEE9D">
      <w:pPr>
        <w:spacing w:line="360" w:lineRule="auto"/>
        <w:ind w:firstLine="480" w:firstLineChars="200"/>
        <w:rPr>
          <w:rFonts w:hint="eastAsia" w:ascii="宋体" w:hAnsi="宋体" w:cs="宋体"/>
          <w:bCs/>
          <w:sz w:val="24"/>
          <w:szCs w:val="28"/>
        </w:rPr>
      </w:pPr>
      <w:r>
        <w:rPr>
          <w:rFonts w:hint="eastAsia" w:ascii="宋体" w:hAnsi="宋体" w:cs="宋体"/>
          <w:bCs/>
          <w:sz w:val="24"/>
          <w:szCs w:val="28"/>
        </w:rPr>
        <w:t>江苏商贸职业学院：</w:t>
      </w:r>
    </w:p>
    <w:p w14:paraId="2C1CDEB3">
      <w:pPr>
        <w:spacing w:line="360" w:lineRule="auto"/>
        <w:ind w:firstLine="480" w:firstLineChars="200"/>
        <w:rPr>
          <w:rFonts w:hint="eastAsia" w:ascii="宋体" w:hAnsi="宋体" w:cs="宋体"/>
          <w:sz w:val="24"/>
          <w:szCs w:val="28"/>
        </w:rPr>
      </w:pPr>
      <w:r>
        <w:rPr>
          <w:rFonts w:hint="eastAsia" w:ascii="宋体" w:hAnsi="宋体" w:cs="宋体"/>
          <w:sz w:val="24"/>
          <w:szCs w:val="28"/>
        </w:rPr>
        <w:t>我公司郑重声明：参加本次采购活动前 3 年内，我公司在经营活动中</w:t>
      </w:r>
      <w:r>
        <w:rPr>
          <w:rFonts w:hint="eastAsia" w:ascii="宋体" w:hAnsi="宋体" w:cs="宋体"/>
          <w:b/>
          <w:bCs/>
          <w:sz w:val="24"/>
          <w:szCs w:val="28"/>
          <w:u w:val="single"/>
        </w:rPr>
        <w:t>（有/没有）</w:t>
      </w:r>
      <w:r>
        <w:rPr>
          <w:rFonts w:hint="eastAsia" w:ascii="宋体" w:hAnsi="宋体" w:cs="宋体"/>
          <w:sz w:val="24"/>
          <w:szCs w:val="28"/>
        </w:rPr>
        <w:t>因违法经营受到刑事处罚或者责令停产停业、吊销许可证或者执照、较大数额罚款等行政处罚。</w:t>
      </w:r>
    </w:p>
    <w:p w14:paraId="57133E49">
      <w:pPr>
        <w:spacing w:line="360" w:lineRule="auto"/>
        <w:ind w:firstLine="480" w:firstLineChars="200"/>
        <w:rPr>
          <w:rFonts w:hint="eastAsia" w:ascii="宋体" w:hAnsi="宋体" w:cs="宋体"/>
          <w:sz w:val="24"/>
          <w:szCs w:val="28"/>
        </w:rPr>
      </w:pPr>
      <w:r>
        <w:rPr>
          <w:rFonts w:hint="eastAsia" w:ascii="宋体" w:hAnsi="宋体" w:cs="宋体"/>
          <w:sz w:val="24"/>
          <w:szCs w:val="28"/>
        </w:rPr>
        <w:t>在投标截止时间节点，没有被</w:t>
      </w:r>
      <w:r>
        <w:rPr>
          <w:rFonts w:hint="eastAsia" w:ascii="宋体" w:hAnsi="宋体" w:cs="宋体"/>
          <w:sz w:val="24"/>
          <w:szCs w:val="32"/>
        </w:rPr>
        <w:t>“信用江苏”“信用中国”</w:t>
      </w:r>
      <w:r>
        <w:rPr>
          <w:rFonts w:hint="eastAsia" w:ascii="宋体" w:hAnsi="宋体" w:cs="宋体"/>
          <w:sz w:val="24"/>
          <w:szCs w:val="28"/>
        </w:rPr>
        <w:t>网站列入失信被执行人、重大税收违法案件当事人名单、采购严重违法失信行为记录名单。</w:t>
      </w:r>
    </w:p>
    <w:p w14:paraId="33EE5703">
      <w:pPr>
        <w:spacing w:line="360" w:lineRule="auto"/>
        <w:ind w:firstLine="480" w:firstLineChars="200"/>
        <w:rPr>
          <w:rFonts w:hint="eastAsia" w:ascii="宋体" w:hAnsi="宋体" w:cs="宋体"/>
          <w:sz w:val="24"/>
          <w:szCs w:val="28"/>
        </w:rPr>
      </w:pPr>
    </w:p>
    <w:p w14:paraId="3CDDF54A">
      <w:pPr>
        <w:spacing w:line="360" w:lineRule="auto"/>
        <w:ind w:right="720" w:firstLine="480" w:firstLineChars="200"/>
        <w:contextualSpacing/>
        <w:jc w:val="right"/>
        <w:rPr>
          <w:rFonts w:hint="eastAsia" w:ascii="宋体" w:hAnsi="宋体" w:cs="宋体"/>
          <w:sz w:val="24"/>
          <w:szCs w:val="28"/>
        </w:rPr>
      </w:pPr>
      <w:r>
        <w:rPr>
          <w:rFonts w:hint="eastAsia" w:ascii="宋体" w:hAnsi="宋体" w:cs="宋体"/>
          <w:sz w:val="24"/>
          <w:szCs w:val="28"/>
        </w:rPr>
        <w:t>法定代表人或授权委托人签字：</w:t>
      </w:r>
    </w:p>
    <w:p w14:paraId="130F4EEF">
      <w:pPr>
        <w:spacing w:line="360" w:lineRule="auto"/>
        <w:ind w:right="720" w:firstLine="480" w:firstLineChars="200"/>
        <w:contextualSpacing/>
        <w:jc w:val="center"/>
        <w:rPr>
          <w:rFonts w:hint="eastAsia" w:ascii="宋体" w:hAnsi="宋体" w:cs="宋体"/>
          <w:sz w:val="24"/>
          <w:szCs w:val="28"/>
        </w:rPr>
      </w:pPr>
      <w:r>
        <w:rPr>
          <w:rFonts w:hint="eastAsia" w:ascii="宋体" w:hAnsi="宋体" w:cs="宋体"/>
          <w:sz w:val="24"/>
          <w:szCs w:val="28"/>
        </w:rPr>
        <w:t xml:space="preserve">                              供应商名称（盖章）：</w:t>
      </w:r>
    </w:p>
    <w:p w14:paraId="4A5D99CC">
      <w:pPr>
        <w:spacing w:line="360" w:lineRule="auto"/>
        <w:ind w:firstLine="480" w:firstLineChars="200"/>
        <w:jc w:val="center"/>
        <w:outlineLvl w:val="0"/>
        <w:rPr>
          <w:rFonts w:hint="eastAsia" w:ascii="宋体" w:hAnsi="宋体" w:cs="宋体"/>
          <w:sz w:val="24"/>
          <w:szCs w:val="28"/>
        </w:rPr>
        <w:sectPr>
          <w:footerReference r:id="rId6" w:type="default"/>
          <w:pgSz w:w="11906" w:h="16838"/>
          <w:pgMar w:top="1361" w:right="1361" w:bottom="1361" w:left="1361" w:header="708" w:footer="709" w:gutter="0"/>
          <w:cols w:space="720" w:num="1"/>
          <w:docGrid w:linePitch="360" w:charSpace="0"/>
        </w:sectPr>
      </w:pPr>
      <w:r>
        <w:rPr>
          <w:rFonts w:hint="eastAsia" w:ascii="宋体" w:hAnsi="宋体" w:cs="宋体"/>
          <w:sz w:val="24"/>
          <w:szCs w:val="28"/>
        </w:rPr>
        <w:t xml:space="preserve">           </w:t>
      </w:r>
      <w:bookmarkStart w:id="3" w:name="_Toc12794"/>
      <w:r>
        <w:rPr>
          <w:rFonts w:hint="eastAsia" w:ascii="宋体" w:hAnsi="宋体" w:cs="宋体"/>
          <w:sz w:val="24"/>
          <w:szCs w:val="28"/>
        </w:rPr>
        <w:t>日期：</w:t>
      </w:r>
      <w:bookmarkEnd w:id="3"/>
    </w:p>
    <w:p w14:paraId="54BA0183">
      <w:pPr>
        <w:spacing w:line="360" w:lineRule="auto"/>
        <w:ind w:firstLine="482" w:firstLineChars="200"/>
        <w:contextualSpacing/>
        <w:jc w:val="center"/>
        <w:rPr>
          <w:rFonts w:hint="eastAsia" w:ascii="宋体" w:hAnsi="宋体" w:cs="宋体"/>
          <w:b/>
          <w:sz w:val="24"/>
          <w:szCs w:val="32"/>
        </w:rPr>
      </w:pPr>
      <w:r>
        <w:rPr>
          <w:rFonts w:hint="eastAsia" w:ascii="宋体" w:hAnsi="宋体" w:cs="宋体"/>
          <w:b/>
          <w:sz w:val="24"/>
          <w:szCs w:val="32"/>
        </w:rPr>
        <w:t>5.商务部分正负偏离表</w:t>
      </w:r>
    </w:p>
    <w:p w14:paraId="2F8DB582">
      <w:pPr>
        <w:spacing w:line="360" w:lineRule="auto"/>
        <w:ind w:firstLine="480" w:firstLineChars="200"/>
        <w:jc w:val="center"/>
        <w:rPr>
          <w:rFonts w:hint="eastAsia" w:ascii="宋体" w:hAnsi="宋体" w:cs="宋体"/>
          <w:sz w:val="24"/>
          <w:szCs w:val="28"/>
        </w:rPr>
      </w:pPr>
      <w:r>
        <w:rPr>
          <w:rFonts w:hint="eastAsia" w:ascii="宋体" w:hAnsi="宋体" w:cs="宋体"/>
          <w:sz w:val="24"/>
          <w:szCs w:val="28"/>
        </w:rPr>
        <w:t>（由供应商据实填写，表格不够自行添加）</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1733F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5CB46DA">
            <w:pPr>
              <w:pStyle w:val="89"/>
            </w:pPr>
            <w: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2C46696">
            <w:pPr>
              <w:pStyle w:val="89"/>
            </w:pPr>
            <w: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380B94A">
            <w:pPr>
              <w:pStyle w:val="89"/>
            </w:pPr>
            <w: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9682404">
            <w:pPr>
              <w:pStyle w:val="89"/>
            </w:pPr>
            <w: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E338729">
            <w:pPr>
              <w:pStyle w:val="89"/>
            </w:pPr>
            <w:r>
              <w:t>偏离说明</w:t>
            </w:r>
          </w:p>
        </w:tc>
      </w:tr>
      <w:tr w14:paraId="1759D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4893E2E">
            <w:pPr>
              <w:pStyle w:val="89"/>
            </w:pPr>
            <w:r>
              <w:t>1</w:t>
            </w:r>
          </w:p>
        </w:tc>
        <w:tc>
          <w:tcPr>
            <w:tcW w:w="1254" w:type="pct"/>
            <w:tcBorders>
              <w:top w:val="single" w:color="auto" w:sz="6" w:space="0"/>
              <w:left w:val="single" w:color="auto" w:sz="6" w:space="0"/>
              <w:bottom w:val="single" w:color="auto" w:sz="6" w:space="0"/>
              <w:right w:val="single" w:color="auto" w:sz="6" w:space="0"/>
            </w:tcBorders>
            <w:vAlign w:val="center"/>
          </w:tcPr>
          <w:p w14:paraId="4447699A">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0E9E92CA">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380830D3">
            <w:pPr>
              <w:pStyle w:val="89"/>
            </w:pPr>
          </w:p>
        </w:tc>
        <w:tc>
          <w:tcPr>
            <w:tcW w:w="778" w:type="pct"/>
            <w:tcBorders>
              <w:top w:val="single" w:color="auto" w:sz="6" w:space="0"/>
              <w:left w:val="single" w:color="auto" w:sz="6" w:space="0"/>
              <w:bottom w:val="single" w:color="auto" w:sz="6" w:space="0"/>
              <w:right w:val="single" w:color="auto" w:sz="12" w:space="0"/>
            </w:tcBorders>
          </w:tcPr>
          <w:p w14:paraId="3313B218">
            <w:pPr>
              <w:pStyle w:val="89"/>
            </w:pPr>
          </w:p>
        </w:tc>
      </w:tr>
      <w:tr w14:paraId="5C7B4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BC1CB19">
            <w:pPr>
              <w:pStyle w:val="89"/>
            </w:pPr>
            <w:r>
              <w:t>2</w:t>
            </w:r>
          </w:p>
        </w:tc>
        <w:tc>
          <w:tcPr>
            <w:tcW w:w="1254" w:type="pct"/>
            <w:tcBorders>
              <w:top w:val="single" w:color="auto" w:sz="6" w:space="0"/>
              <w:left w:val="single" w:color="auto" w:sz="6" w:space="0"/>
              <w:bottom w:val="single" w:color="auto" w:sz="6" w:space="0"/>
              <w:right w:val="single" w:color="auto" w:sz="6" w:space="0"/>
            </w:tcBorders>
            <w:vAlign w:val="center"/>
          </w:tcPr>
          <w:p w14:paraId="55879B71">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7EB7DD3A">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2D18D82A">
            <w:pPr>
              <w:pStyle w:val="89"/>
            </w:pPr>
          </w:p>
        </w:tc>
        <w:tc>
          <w:tcPr>
            <w:tcW w:w="778" w:type="pct"/>
            <w:tcBorders>
              <w:top w:val="single" w:color="auto" w:sz="6" w:space="0"/>
              <w:left w:val="single" w:color="auto" w:sz="6" w:space="0"/>
              <w:bottom w:val="single" w:color="auto" w:sz="6" w:space="0"/>
              <w:right w:val="single" w:color="auto" w:sz="12" w:space="0"/>
            </w:tcBorders>
          </w:tcPr>
          <w:p w14:paraId="69883A1F">
            <w:pPr>
              <w:pStyle w:val="89"/>
            </w:pPr>
          </w:p>
        </w:tc>
      </w:tr>
      <w:tr w14:paraId="6F07E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01755D0">
            <w:pPr>
              <w:pStyle w:val="89"/>
            </w:pPr>
            <w:r>
              <w:t>3</w:t>
            </w:r>
          </w:p>
        </w:tc>
        <w:tc>
          <w:tcPr>
            <w:tcW w:w="1254" w:type="pct"/>
            <w:tcBorders>
              <w:top w:val="single" w:color="auto" w:sz="6" w:space="0"/>
              <w:left w:val="single" w:color="auto" w:sz="6" w:space="0"/>
              <w:bottom w:val="single" w:color="auto" w:sz="6" w:space="0"/>
              <w:right w:val="single" w:color="auto" w:sz="6" w:space="0"/>
            </w:tcBorders>
            <w:vAlign w:val="center"/>
          </w:tcPr>
          <w:p w14:paraId="6C70FFFD">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0409D654">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41C1C966">
            <w:pPr>
              <w:pStyle w:val="89"/>
            </w:pPr>
          </w:p>
        </w:tc>
        <w:tc>
          <w:tcPr>
            <w:tcW w:w="778" w:type="pct"/>
            <w:tcBorders>
              <w:top w:val="single" w:color="auto" w:sz="6" w:space="0"/>
              <w:left w:val="single" w:color="auto" w:sz="6" w:space="0"/>
              <w:bottom w:val="single" w:color="auto" w:sz="6" w:space="0"/>
              <w:right w:val="single" w:color="auto" w:sz="12" w:space="0"/>
            </w:tcBorders>
          </w:tcPr>
          <w:p w14:paraId="56DDBC0D">
            <w:pPr>
              <w:pStyle w:val="89"/>
            </w:pPr>
          </w:p>
        </w:tc>
      </w:tr>
      <w:tr w14:paraId="67EA5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0EACF22">
            <w:pPr>
              <w:pStyle w:val="89"/>
            </w:pPr>
            <w:r>
              <w:t>4</w:t>
            </w:r>
          </w:p>
        </w:tc>
        <w:tc>
          <w:tcPr>
            <w:tcW w:w="1254" w:type="pct"/>
            <w:tcBorders>
              <w:top w:val="single" w:color="auto" w:sz="6" w:space="0"/>
              <w:left w:val="single" w:color="auto" w:sz="6" w:space="0"/>
              <w:bottom w:val="single" w:color="auto" w:sz="6" w:space="0"/>
              <w:right w:val="single" w:color="auto" w:sz="6" w:space="0"/>
            </w:tcBorders>
            <w:vAlign w:val="center"/>
          </w:tcPr>
          <w:p w14:paraId="745F6E0E">
            <w:pPr>
              <w:pStyle w:val="89"/>
            </w:pPr>
            <w:r>
              <w:t>……</w:t>
            </w:r>
          </w:p>
        </w:tc>
        <w:tc>
          <w:tcPr>
            <w:tcW w:w="1095" w:type="pct"/>
            <w:tcBorders>
              <w:top w:val="single" w:color="auto" w:sz="6" w:space="0"/>
              <w:left w:val="single" w:color="auto" w:sz="6" w:space="0"/>
              <w:bottom w:val="single" w:color="auto" w:sz="6" w:space="0"/>
              <w:right w:val="single" w:color="auto" w:sz="6" w:space="0"/>
            </w:tcBorders>
            <w:vAlign w:val="center"/>
          </w:tcPr>
          <w:p w14:paraId="5860A7E0">
            <w:pPr>
              <w:pStyle w:val="89"/>
            </w:pPr>
            <w:r>
              <w:t>……</w:t>
            </w:r>
          </w:p>
        </w:tc>
        <w:tc>
          <w:tcPr>
            <w:tcW w:w="1413" w:type="pct"/>
            <w:tcBorders>
              <w:top w:val="single" w:color="auto" w:sz="6" w:space="0"/>
              <w:left w:val="single" w:color="auto" w:sz="6" w:space="0"/>
              <w:bottom w:val="single" w:color="auto" w:sz="6" w:space="0"/>
              <w:right w:val="single" w:color="auto" w:sz="6" w:space="0"/>
            </w:tcBorders>
            <w:vAlign w:val="center"/>
          </w:tcPr>
          <w:p w14:paraId="0C6D08FD">
            <w:pPr>
              <w:pStyle w:val="89"/>
            </w:pPr>
          </w:p>
        </w:tc>
        <w:tc>
          <w:tcPr>
            <w:tcW w:w="778" w:type="pct"/>
            <w:tcBorders>
              <w:top w:val="single" w:color="auto" w:sz="6" w:space="0"/>
              <w:left w:val="single" w:color="auto" w:sz="6" w:space="0"/>
              <w:bottom w:val="single" w:color="auto" w:sz="6" w:space="0"/>
              <w:right w:val="single" w:color="auto" w:sz="12" w:space="0"/>
            </w:tcBorders>
          </w:tcPr>
          <w:p w14:paraId="7B857109">
            <w:pPr>
              <w:pStyle w:val="89"/>
            </w:pPr>
          </w:p>
        </w:tc>
      </w:tr>
      <w:tr w14:paraId="523D3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5DB3B41">
            <w:pPr>
              <w:pStyle w:val="89"/>
            </w:pPr>
            <w:r>
              <w:t>5</w:t>
            </w:r>
          </w:p>
        </w:tc>
        <w:tc>
          <w:tcPr>
            <w:tcW w:w="1254" w:type="pct"/>
            <w:tcBorders>
              <w:top w:val="single" w:color="auto" w:sz="6" w:space="0"/>
              <w:left w:val="single" w:color="auto" w:sz="6" w:space="0"/>
              <w:bottom w:val="single" w:color="auto" w:sz="6" w:space="0"/>
              <w:right w:val="single" w:color="auto" w:sz="6" w:space="0"/>
            </w:tcBorders>
            <w:vAlign w:val="center"/>
          </w:tcPr>
          <w:p w14:paraId="0EEE50A5">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5291D556">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631BEB55">
            <w:pPr>
              <w:pStyle w:val="89"/>
            </w:pPr>
          </w:p>
        </w:tc>
        <w:tc>
          <w:tcPr>
            <w:tcW w:w="778" w:type="pct"/>
            <w:tcBorders>
              <w:top w:val="single" w:color="auto" w:sz="6" w:space="0"/>
              <w:left w:val="single" w:color="auto" w:sz="6" w:space="0"/>
              <w:bottom w:val="single" w:color="auto" w:sz="6" w:space="0"/>
              <w:right w:val="single" w:color="auto" w:sz="12" w:space="0"/>
            </w:tcBorders>
          </w:tcPr>
          <w:p w14:paraId="44306B12">
            <w:pPr>
              <w:pStyle w:val="89"/>
            </w:pPr>
          </w:p>
        </w:tc>
      </w:tr>
      <w:tr w14:paraId="468DE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A2C228B">
            <w:pPr>
              <w:pStyle w:val="89"/>
            </w:pPr>
            <w:r>
              <w:t>6</w:t>
            </w:r>
          </w:p>
        </w:tc>
        <w:tc>
          <w:tcPr>
            <w:tcW w:w="1254" w:type="pct"/>
            <w:tcBorders>
              <w:top w:val="single" w:color="auto" w:sz="6" w:space="0"/>
              <w:left w:val="single" w:color="auto" w:sz="6" w:space="0"/>
              <w:bottom w:val="single" w:color="auto" w:sz="6" w:space="0"/>
              <w:right w:val="single" w:color="auto" w:sz="6" w:space="0"/>
            </w:tcBorders>
            <w:vAlign w:val="center"/>
          </w:tcPr>
          <w:p w14:paraId="193DC995">
            <w:pPr>
              <w:pStyle w:val="89"/>
            </w:pPr>
            <w:r>
              <w:t>其他</w:t>
            </w:r>
          </w:p>
        </w:tc>
        <w:tc>
          <w:tcPr>
            <w:tcW w:w="1095" w:type="pct"/>
            <w:tcBorders>
              <w:top w:val="single" w:color="auto" w:sz="6" w:space="0"/>
              <w:left w:val="single" w:color="auto" w:sz="6" w:space="0"/>
              <w:bottom w:val="single" w:color="auto" w:sz="6" w:space="0"/>
              <w:right w:val="single" w:color="auto" w:sz="6" w:space="0"/>
            </w:tcBorders>
            <w:vAlign w:val="center"/>
          </w:tcPr>
          <w:p w14:paraId="495983BC">
            <w:pPr>
              <w:pStyle w:val="89"/>
            </w:pPr>
            <w:r>
              <w:t>询价文件所有商务部分要求</w:t>
            </w:r>
          </w:p>
        </w:tc>
        <w:tc>
          <w:tcPr>
            <w:tcW w:w="1413" w:type="pct"/>
            <w:tcBorders>
              <w:top w:val="single" w:color="auto" w:sz="6" w:space="0"/>
              <w:left w:val="single" w:color="auto" w:sz="6" w:space="0"/>
              <w:bottom w:val="single" w:color="auto" w:sz="6" w:space="0"/>
              <w:right w:val="single" w:color="auto" w:sz="6" w:space="0"/>
            </w:tcBorders>
            <w:vAlign w:val="center"/>
          </w:tcPr>
          <w:p w14:paraId="5F7BCDE3">
            <w:pPr>
              <w:pStyle w:val="89"/>
            </w:pPr>
          </w:p>
        </w:tc>
        <w:tc>
          <w:tcPr>
            <w:tcW w:w="778" w:type="pct"/>
            <w:tcBorders>
              <w:top w:val="single" w:color="auto" w:sz="6" w:space="0"/>
              <w:left w:val="single" w:color="auto" w:sz="6" w:space="0"/>
              <w:bottom w:val="single" w:color="auto" w:sz="6" w:space="0"/>
              <w:right w:val="single" w:color="auto" w:sz="12" w:space="0"/>
            </w:tcBorders>
          </w:tcPr>
          <w:p w14:paraId="384A428F">
            <w:pPr>
              <w:pStyle w:val="89"/>
            </w:pPr>
          </w:p>
        </w:tc>
      </w:tr>
    </w:tbl>
    <w:p w14:paraId="104E8687">
      <w:pPr>
        <w:spacing w:line="360" w:lineRule="auto"/>
        <w:ind w:firstLine="482" w:firstLineChars="200"/>
        <w:contextualSpacing/>
        <w:rPr>
          <w:rFonts w:hint="eastAsia" w:ascii="宋体" w:hAnsi="宋体" w:cs="宋体"/>
          <w:b/>
          <w:sz w:val="24"/>
        </w:rPr>
      </w:pPr>
      <w:r>
        <w:rPr>
          <w:rFonts w:hint="eastAsia" w:ascii="宋体" w:hAnsi="宋体" w:cs="宋体"/>
          <w:b/>
          <w:sz w:val="24"/>
        </w:rPr>
        <w:t>注：</w:t>
      </w:r>
    </w:p>
    <w:p w14:paraId="7B77B400">
      <w:pPr>
        <w:spacing w:line="360" w:lineRule="auto"/>
        <w:ind w:firstLine="480" w:firstLineChars="200"/>
        <w:contextualSpacing/>
        <w:rPr>
          <w:rFonts w:hint="eastAsia" w:ascii="宋体" w:hAnsi="宋体" w:cs="宋体"/>
          <w:sz w:val="24"/>
        </w:rPr>
      </w:pPr>
      <w:r>
        <w:rPr>
          <w:rFonts w:hint="eastAsia" w:ascii="宋体" w:hAnsi="宋体" w:cs="宋体"/>
          <w:sz w:val="24"/>
        </w:rPr>
        <w:t>1.供应商提交的响应文件中与询价文件第二部分“项目需求”中的商务部分的要求，应逐条填列在偏离表中。</w:t>
      </w:r>
    </w:p>
    <w:p w14:paraId="2FA052C8">
      <w:pPr>
        <w:spacing w:line="360" w:lineRule="auto"/>
        <w:ind w:firstLine="480" w:firstLineChars="200"/>
        <w:contextualSpacing/>
        <w:rPr>
          <w:rFonts w:hint="eastAsia"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5459BE37">
      <w:pPr>
        <w:spacing w:line="360" w:lineRule="auto"/>
        <w:ind w:firstLine="480" w:firstLineChars="200"/>
        <w:contextualSpacing/>
        <w:rPr>
          <w:rFonts w:hint="eastAsia" w:ascii="宋体" w:hAnsi="宋体" w:cs="宋体"/>
          <w:bCs/>
          <w:sz w:val="24"/>
        </w:rPr>
      </w:pPr>
      <w:r>
        <w:rPr>
          <w:rFonts w:hint="eastAsia" w:ascii="宋体" w:hAnsi="宋体" w:cs="宋体"/>
          <w:bCs/>
          <w:sz w:val="24"/>
        </w:rPr>
        <w:t>3.供应商若提供其他增值服务，可以在表中自行据实填写。</w:t>
      </w:r>
    </w:p>
    <w:p w14:paraId="671A7F90">
      <w:pPr>
        <w:spacing w:line="360" w:lineRule="auto"/>
        <w:ind w:firstLine="480" w:firstLineChars="200"/>
        <w:rPr>
          <w:rFonts w:hint="eastAsia" w:ascii="宋体" w:hAnsi="宋体" w:cs="宋体"/>
          <w:b/>
          <w:sz w:val="24"/>
          <w:szCs w:val="32"/>
        </w:rPr>
      </w:pPr>
      <w:r>
        <w:rPr>
          <w:rFonts w:hint="eastAsia" w:ascii="宋体" w:hAnsi="宋体" w:cs="宋体"/>
          <w:bCs/>
          <w:sz w:val="24"/>
        </w:rPr>
        <w:t>4.若完全响应本项目需求且无偏离，投标时本表可空白盖章提供。</w:t>
      </w:r>
    </w:p>
    <w:p w14:paraId="1E717D0C">
      <w:pPr>
        <w:spacing w:line="360" w:lineRule="auto"/>
        <w:ind w:firstLine="482" w:firstLineChars="200"/>
        <w:rPr>
          <w:rFonts w:hint="eastAsia" w:ascii="宋体" w:hAnsi="宋体" w:cs="宋体"/>
          <w:b/>
          <w:sz w:val="24"/>
          <w:szCs w:val="32"/>
        </w:rPr>
      </w:pPr>
      <w:r>
        <w:rPr>
          <w:rFonts w:hint="eastAsia" w:ascii="宋体" w:hAnsi="宋体" w:cs="宋体"/>
          <w:b/>
          <w:sz w:val="24"/>
          <w:szCs w:val="32"/>
        </w:rPr>
        <w:br w:type="page"/>
      </w:r>
    </w:p>
    <w:p w14:paraId="23BA8F38">
      <w:pPr>
        <w:spacing w:line="360" w:lineRule="auto"/>
        <w:ind w:firstLine="482" w:firstLineChars="200"/>
        <w:contextualSpacing/>
        <w:jc w:val="center"/>
        <w:rPr>
          <w:rFonts w:hint="eastAsia" w:ascii="宋体" w:hAnsi="宋体" w:cs="宋体"/>
          <w:b/>
          <w:sz w:val="24"/>
          <w:szCs w:val="32"/>
        </w:rPr>
      </w:pPr>
      <w:r>
        <w:rPr>
          <w:rFonts w:hint="eastAsia" w:ascii="宋体" w:hAnsi="宋体" w:cs="宋体"/>
          <w:b/>
          <w:sz w:val="24"/>
          <w:szCs w:val="32"/>
        </w:rPr>
        <w:t>6.技术部分正负偏离表</w:t>
      </w:r>
    </w:p>
    <w:p w14:paraId="0AA766FB">
      <w:pPr>
        <w:spacing w:line="360" w:lineRule="auto"/>
        <w:ind w:firstLine="480" w:firstLineChars="200"/>
        <w:jc w:val="center"/>
        <w:rPr>
          <w:rFonts w:hint="eastAsia" w:ascii="宋体" w:hAnsi="宋体" w:cs="宋体"/>
          <w:sz w:val="24"/>
          <w:szCs w:val="28"/>
        </w:rPr>
      </w:pPr>
      <w:r>
        <w:rPr>
          <w:rFonts w:hint="eastAsia" w:ascii="宋体" w:hAnsi="宋体" w:cs="宋体"/>
          <w:sz w:val="24"/>
          <w:szCs w:val="28"/>
        </w:rPr>
        <w:t>（由供应商据实填写，表格不够自行添加）</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3"/>
        <w:gridCol w:w="2358"/>
        <w:gridCol w:w="2058"/>
        <w:gridCol w:w="2657"/>
        <w:gridCol w:w="1464"/>
      </w:tblGrid>
      <w:tr w14:paraId="3C555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59" w:type="pct"/>
            <w:tcBorders>
              <w:top w:val="single" w:color="auto" w:sz="12" w:space="0"/>
              <w:left w:val="single" w:color="auto" w:sz="12" w:space="0"/>
              <w:bottom w:val="single" w:color="auto" w:sz="6" w:space="0"/>
              <w:right w:val="single" w:color="auto" w:sz="6" w:space="0"/>
            </w:tcBorders>
            <w:vAlign w:val="center"/>
          </w:tcPr>
          <w:p w14:paraId="3399758E">
            <w:pPr>
              <w:pStyle w:val="89"/>
            </w:pPr>
            <w:r>
              <w:t>序号</w:t>
            </w:r>
          </w:p>
        </w:tc>
        <w:tc>
          <w:tcPr>
            <w:tcW w:w="1253" w:type="pct"/>
            <w:tcBorders>
              <w:top w:val="single" w:color="auto" w:sz="12" w:space="0"/>
              <w:left w:val="single" w:color="auto" w:sz="6" w:space="0"/>
              <w:bottom w:val="single" w:color="auto" w:sz="6" w:space="0"/>
              <w:right w:val="single" w:color="auto" w:sz="6" w:space="0"/>
            </w:tcBorders>
            <w:vAlign w:val="center"/>
          </w:tcPr>
          <w:p w14:paraId="5B7F124D">
            <w:pPr>
              <w:pStyle w:val="89"/>
            </w:pPr>
            <w:r>
              <w:t>货物或服务名称</w:t>
            </w:r>
          </w:p>
        </w:tc>
        <w:tc>
          <w:tcPr>
            <w:tcW w:w="1094" w:type="pct"/>
            <w:tcBorders>
              <w:top w:val="single" w:color="auto" w:sz="12" w:space="0"/>
              <w:left w:val="single" w:color="auto" w:sz="6" w:space="0"/>
              <w:bottom w:val="single" w:color="auto" w:sz="6" w:space="0"/>
              <w:right w:val="single" w:color="auto" w:sz="6" w:space="0"/>
            </w:tcBorders>
            <w:vAlign w:val="center"/>
          </w:tcPr>
          <w:p w14:paraId="5CD32ED9">
            <w:pPr>
              <w:pStyle w:val="89"/>
            </w:pPr>
            <w:r>
              <w:t>采购文件要求的技术条款</w:t>
            </w:r>
          </w:p>
        </w:tc>
        <w:tc>
          <w:tcPr>
            <w:tcW w:w="1412" w:type="pct"/>
            <w:tcBorders>
              <w:top w:val="single" w:color="auto" w:sz="12" w:space="0"/>
              <w:left w:val="single" w:color="auto" w:sz="6" w:space="0"/>
              <w:bottom w:val="single" w:color="auto" w:sz="6" w:space="0"/>
              <w:right w:val="single" w:color="auto" w:sz="6" w:space="0"/>
            </w:tcBorders>
            <w:vAlign w:val="center"/>
          </w:tcPr>
          <w:p w14:paraId="02D7C217">
            <w:pPr>
              <w:pStyle w:val="89"/>
            </w:pPr>
            <w: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90B9B59">
            <w:pPr>
              <w:pStyle w:val="89"/>
            </w:pPr>
            <w:r>
              <w:t>偏离说明</w:t>
            </w:r>
          </w:p>
        </w:tc>
      </w:tr>
      <w:tr w14:paraId="02976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59" w:type="pct"/>
            <w:tcBorders>
              <w:top w:val="single" w:color="auto" w:sz="6" w:space="0"/>
              <w:left w:val="single" w:color="auto" w:sz="12" w:space="0"/>
              <w:bottom w:val="single" w:color="auto" w:sz="6" w:space="0"/>
              <w:right w:val="single" w:color="auto" w:sz="6" w:space="0"/>
            </w:tcBorders>
          </w:tcPr>
          <w:p w14:paraId="7245975F">
            <w:pPr>
              <w:pStyle w:val="89"/>
            </w:pPr>
            <w:r>
              <w:t>1</w:t>
            </w:r>
          </w:p>
        </w:tc>
        <w:tc>
          <w:tcPr>
            <w:tcW w:w="1253" w:type="pct"/>
            <w:tcBorders>
              <w:top w:val="single" w:color="auto" w:sz="6" w:space="0"/>
              <w:left w:val="single" w:color="auto" w:sz="6" w:space="0"/>
              <w:bottom w:val="single" w:color="auto" w:sz="6" w:space="0"/>
              <w:right w:val="single" w:color="auto" w:sz="6" w:space="0"/>
            </w:tcBorders>
            <w:vAlign w:val="center"/>
          </w:tcPr>
          <w:p w14:paraId="6799F43C">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307BF1C9">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7AEE0434">
            <w:pPr>
              <w:pStyle w:val="89"/>
            </w:pPr>
          </w:p>
        </w:tc>
        <w:tc>
          <w:tcPr>
            <w:tcW w:w="778" w:type="pct"/>
            <w:tcBorders>
              <w:top w:val="single" w:color="auto" w:sz="6" w:space="0"/>
              <w:left w:val="single" w:color="auto" w:sz="6" w:space="0"/>
              <w:bottom w:val="single" w:color="auto" w:sz="6" w:space="0"/>
              <w:right w:val="single" w:color="auto" w:sz="12" w:space="0"/>
            </w:tcBorders>
          </w:tcPr>
          <w:p w14:paraId="49CCF47C">
            <w:pPr>
              <w:pStyle w:val="89"/>
            </w:pPr>
          </w:p>
        </w:tc>
      </w:tr>
      <w:tr w14:paraId="3744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59" w:type="pct"/>
            <w:tcBorders>
              <w:top w:val="single" w:color="auto" w:sz="6" w:space="0"/>
              <w:left w:val="single" w:color="auto" w:sz="12" w:space="0"/>
              <w:bottom w:val="single" w:color="auto" w:sz="6" w:space="0"/>
              <w:right w:val="single" w:color="auto" w:sz="6" w:space="0"/>
            </w:tcBorders>
          </w:tcPr>
          <w:p w14:paraId="5376688B">
            <w:pPr>
              <w:pStyle w:val="89"/>
            </w:pPr>
            <w:r>
              <w:t>2</w:t>
            </w:r>
          </w:p>
        </w:tc>
        <w:tc>
          <w:tcPr>
            <w:tcW w:w="1253" w:type="pct"/>
            <w:tcBorders>
              <w:top w:val="single" w:color="auto" w:sz="6" w:space="0"/>
              <w:left w:val="single" w:color="auto" w:sz="6" w:space="0"/>
              <w:bottom w:val="single" w:color="auto" w:sz="6" w:space="0"/>
              <w:right w:val="single" w:color="auto" w:sz="6" w:space="0"/>
            </w:tcBorders>
            <w:vAlign w:val="center"/>
          </w:tcPr>
          <w:p w14:paraId="147FE3DD">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13984AC8">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3E822BB0">
            <w:pPr>
              <w:pStyle w:val="89"/>
            </w:pPr>
          </w:p>
        </w:tc>
        <w:tc>
          <w:tcPr>
            <w:tcW w:w="778" w:type="pct"/>
            <w:tcBorders>
              <w:top w:val="single" w:color="auto" w:sz="6" w:space="0"/>
              <w:left w:val="single" w:color="auto" w:sz="6" w:space="0"/>
              <w:bottom w:val="single" w:color="auto" w:sz="6" w:space="0"/>
              <w:right w:val="single" w:color="auto" w:sz="12" w:space="0"/>
            </w:tcBorders>
          </w:tcPr>
          <w:p w14:paraId="5B9374CC">
            <w:pPr>
              <w:pStyle w:val="89"/>
            </w:pPr>
          </w:p>
        </w:tc>
      </w:tr>
      <w:tr w14:paraId="5FE86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9" w:type="pct"/>
            <w:tcBorders>
              <w:top w:val="single" w:color="auto" w:sz="6" w:space="0"/>
              <w:left w:val="single" w:color="auto" w:sz="12" w:space="0"/>
              <w:bottom w:val="single" w:color="auto" w:sz="6" w:space="0"/>
              <w:right w:val="single" w:color="auto" w:sz="6" w:space="0"/>
            </w:tcBorders>
          </w:tcPr>
          <w:p w14:paraId="3268A5BF">
            <w:pPr>
              <w:pStyle w:val="89"/>
            </w:pPr>
            <w:r>
              <w:t>3</w:t>
            </w:r>
          </w:p>
        </w:tc>
        <w:tc>
          <w:tcPr>
            <w:tcW w:w="1253" w:type="pct"/>
            <w:tcBorders>
              <w:top w:val="single" w:color="auto" w:sz="6" w:space="0"/>
              <w:left w:val="single" w:color="auto" w:sz="6" w:space="0"/>
              <w:bottom w:val="single" w:color="auto" w:sz="6" w:space="0"/>
              <w:right w:val="single" w:color="auto" w:sz="6" w:space="0"/>
            </w:tcBorders>
            <w:vAlign w:val="center"/>
          </w:tcPr>
          <w:p w14:paraId="32CC894D">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1419AEA1">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4F8521D5">
            <w:pPr>
              <w:pStyle w:val="89"/>
            </w:pPr>
          </w:p>
        </w:tc>
        <w:tc>
          <w:tcPr>
            <w:tcW w:w="778" w:type="pct"/>
            <w:tcBorders>
              <w:top w:val="single" w:color="auto" w:sz="6" w:space="0"/>
              <w:left w:val="single" w:color="auto" w:sz="6" w:space="0"/>
              <w:bottom w:val="single" w:color="auto" w:sz="6" w:space="0"/>
              <w:right w:val="single" w:color="auto" w:sz="12" w:space="0"/>
            </w:tcBorders>
          </w:tcPr>
          <w:p w14:paraId="476487C0">
            <w:pPr>
              <w:pStyle w:val="89"/>
            </w:pPr>
          </w:p>
        </w:tc>
      </w:tr>
      <w:tr w14:paraId="6D6ED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6AC8B5E0">
            <w:pPr>
              <w:pStyle w:val="89"/>
            </w:pPr>
            <w:r>
              <w:t>4</w:t>
            </w:r>
          </w:p>
        </w:tc>
        <w:tc>
          <w:tcPr>
            <w:tcW w:w="1253" w:type="pct"/>
            <w:tcBorders>
              <w:top w:val="single" w:color="auto" w:sz="6" w:space="0"/>
              <w:left w:val="single" w:color="auto" w:sz="6" w:space="0"/>
              <w:bottom w:val="single" w:color="auto" w:sz="6" w:space="0"/>
              <w:right w:val="single" w:color="auto" w:sz="6" w:space="0"/>
            </w:tcBorders>
            <w:vAlign w:val="center"/>
          </w:tcPr>
          <w:p w14:paraId="63CC5B9E">
            <w:pPr>
              <w:pStyle w:val="89"/>
            </w:pPr>
            <w:r>
              <w:t>……</w:t>
            </w:r>
          </w:p>
        </w:tc>
        <w:tc>
          <w:tcPr>
            <w:tcW w:w="1094" w:type="pct"/>
            <w:tcBorders>
              <w:top w:val="single" w:color="auto" w:sz="6" w:space="0"/>
              <w:left w:val="single" w:color="auto" w:sz="6" w:space="0"/>
              <w:bottom w:val="single" w:color="auto" w:sz="6" w:space="0"/>
              <w:right w:val="single" w:color="auto" w:sz="6" w:space="0"/>
            </w:tcBorders>
            <w:vAlign w:val="center"/>
          </w:tcPr>
          <w:p w14:paraId="713A0811">
            <w:pPr>
              <w:pStyle w:val="89"/>
            </w:pPr>
            <w:r>
              <w:t>……</w:t>
            </w:r>
          </w:p>
        </w:tc>
        <w:tc>
          <w:tcPr>
            <w:tcW w:w="1412" w:type="pct"/>
            <w:tcBorders>
              <w:top w:val="single" w:color="auto" w:sz="6" w:space="0"/>
              <w:left w:val="single" w:color="auto" w:sz="6" w:space="0"/>
              <w:bottom w:val="single" w:color="auto" w:sz="6" w:space="0"/>
              <w:right w:val="single" w:color="auto" w:sz="6" w:space="0"/>
            </w:tcBorders>
            <w:vAlign w:val="center"/>
          </w:tcPr>
          <w:p w14:paraId="071CA538">
            <w:pPr>
              <w:pStyle w:val="89"/>
            </w:pPr>
          </w:p>
        </w:tc>
        <w:tc>
          <w:tcPr>
            <w:tcW w:w="778" w:type="pct"/>
            <w:tcBorders>
              <w:top w:val="single" w:color="auto" w:sz="6" w:space="0"/>
              <w:left w:val="single" w:color="auto" w:sz="6" w:space="0"/>
              <w:bottom w:val="single" w:color="auto" w:sz="6" w:space="0"/>
              <w:right w:val="single" w:color="auto" w:sz="12" w:space="0"/>
            </w:tcBorders>
          </w:tcPr>
          <w:p w14:paraId="6C001790">
            <w:pPr>
              <w:pStyle w:val="89"/>
            </w:pPr>
          </w:p>
        </w:tc>
      </w:tr>
      <w:tr w14:paraId="10728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4B4C3D46">
            <w:pPr>
              <w:pStyle w:val="89"/>
            </w:pPr>
            <w:r>
              <w:t>5</w:t>
            </w:r>
          </w:p>
        </w:tc>
        <w:tc>
          <w:tcPr>
            <w:tcW w:w="1253" w:type="pct"/>
            <w:tcBorders>
              <w:top w:val="single" w:color="auto" w:sz="6" w:space="0"/>
              <w:left w:val="single" w:color="auto" w:sz="6" w:space="0"/>
              <w:bottom w:val="single" w:color="auto" w:sz="6" w:space="0"/>
              <w:right w:val="single" w:color="auto" w:sz="6" w:space="0"/>
            </w:tcBorders>
            <w:vAlign w:val="center"/>
          </w:tcPr>
          <w:p w14:paraId="162CC765">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143A7E97">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7C01D61F">
            <w:pPr>
              <w:pStyle w:val="89"/>
            </w:pPr>
          </w:p>
        </w:tc>
        <w:tc>
          <w:tcPr>
            <w:tcW w:w="778" w:type="pct"/>
            <w:tcBorders>
              <w:top w:val="single" w:color="auto" w:sz="6" w:space="0"/>
              <w:left w:val="single" w:color="auto" w:sz="6" w:space="0"/>
              <w:bottom w:val="single" w:color="auto" w:sz="6" w:space="0"/>
              <w:right w:val="single" w:color="auto" w:sz="12" w:space="0"/>
            </w:tcBorders>
          </w:tcPr>
          <w:p w14:paraId="2C64C6D8">
            <w:pPr>
              <w:pStyle w:val="89"/>
            </w:pPr>
          </w:p>
        </w:tc>
      </w:tr>
      <w:tr w14:paraId="62B78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34A9A1E6">
            <w:pPr>
              <w:pStyle w:val="89"/>
            </w:pPr>
            <w:r>
              <w:t>6</w:t>
            </w:r>
          </w:p>
        </w:tc>
        <w:tc>
          <w:tcPr>
            <w:tcW w:w="1253" w:type="pct"/>
            <w:tcBorders>
              <w:top w:val="single" w:color="auto" w:sz="6" w:space="0"/>
              <w:left w:val="single" w:color="auto" w:sz="6" w:space="0"/>
              <w:bottom w:val="single" w:color="auto" w:sz="6" w:space="0"/>
              <w:right w:val="single" w:color="auto" w:sz="6" w:space="0"/>
            </w:tcBorders>
            <w:vAlign w:val="center"/>
          </w:tcPr>
          <w:p w14:paraId="06EB29B2">
            <w:pPr>
              <w:pStyle w:val="89"/>
            </w:pPr>
            <w:r>
              <w:t>其他</w:t>
            </w:r>
          </w:p>
        </w:tc>
        <w:tc>
          <w:tcPr>
            <w:tcW w:w="1094" w:type="pct"/>
            <w:tcBorders>
              <w:top w:val="single" w:color="auto" w:sz="6" w:space="0"/>
              <w:left w:val="single" w:color="auto" w:sz="6" w:space="0"/>
              <w:bottom w:val="single" w:color="auto" w:sz="6" w:space="0"/>
              <w:right w:val="single" w:color="auto" w:sz="6" w:space="0"/>
            </w:tcBorders>
            <w:vAlign w:val="center"/>
          </w:tcPr>
          <w:p w14:paraId="5D0CE627">
            <w:pPr>
              <w:pStyle w:val="89"/>
            </w:pPr>
            <w:r>
              <w:t>询价文件所有技术部分要求</w:t>
            </w:r>
          </w:p>
        </w:tc>
        <w:tc>
          <w:tcPr>
            <w:tcW w:w="1412" w:type="pct"/>
            <w:tcBorders>
              <w:top w:val="single" w:color="auto" w:sz="6" w:space="0"/>
              <w:left w:val="single" w:color="auto" w:sz="6" w:space="0"/>
              <w:bottom w:val="single" w:color="auto" w:sz="6" w:space="0"/>
              <w:right w:val="single" w:color="auto" w:sz="6" w:space="0"/>
            </w:tcBorders>
            <w:vAlign w:val="center"/>
          </w:tcPr>
          <w:p w14:paraId="40E58ABE">
            <w:pPr>
              <w:pStyle w:val="89"/>
            </w:pPr>
          </w:p>
        </w:tc>
        <w:tc>
          <w:tcPr>
            <w:tcW w:w="778" w:type="pct"/>
            <w:tcBorders>
              <w:top w:val="single" w:color="auto" w:sz="6" w:space="0"/>
              <w:left w:val="single" w:color="auto" w:sz="6" w:space="0"/>
              <w:bottom w:val="single" w:color="auto" w:sz="6" w:space="0"/>
              <w:right w:val="single" w:color="auto" w:sz="12" w:space="0"/>
            </w:tcBorders>
          </w:tcPr>
          <w:p w14:paraId="5D53DC9A">
            <w:pPr>
              <w:pStyle w:val="89"/>
            </w:pPr>
          </w:p>
        </w:tc>
      </w:tr>
    </w:tbl>
    <w:p w14:paraId="03AE5FC5">
      <w:pPr>
        <w:spacing w:line="360" w:lineRule="auto"/>
        <w:ind w:firstLine="482" w:firstLineChars="200"/>
        <w:contextualSpacing/>
        <w:rPr>
          <w:rFonts w:hint="eastAsia" w:ascii="宋体" w:hAnsi="宋体" w:cs="宋体"/>
          <w:b/>
          <w:sz w:val="24"/>
        </w:rPr>
      </w:pPr>
      <w:r>
        <w:rPr>
          <w:rFonts w:hint="eastAsia" w:ascii="宋体" w:hAnsi="宋体" w:cs="宋体"/>
          <w:b/>
          <w:sz w:val="24"/>
        </w:rPr>
        <w:t>注：</w:t>
      </w:r>
    </w:p>
    <w:p w14:paraId="7DD234AA">
      <w:pPr>
        <w:spacing w:line="360" w:lineRule="auto"/>
        <w:ind w:firstLine="480" w:firstLineChars="200"/>
        <w:contextualSpacing/>
        <w:rPr>
          <w:rFonts w:hint="eastAsia" w:ascii="宋体" w:hAnsi="宋体" w:cs="宋体"/>
          <w:sz w:val="24"/>
        </w:rPr>
      </w:pPr>
      <w:r>
        <w:rPr>
          <w:rFonts w:hint="eastAsia" w:ascii="宋体" w:hAnsi="宋体" w:cs="宋体"/>
          <w:sz w:val="24"/>
        </w:rPr>
        <w:t>1.供应商提交的响应文件中与询价文件第二部分“项目需求”中的技术部分的要求，应逐条填列在偏离表中。</w:t>
      </w:r>
    </w:p>
    <w:p w14:paraId="44516EFF">
      <w:pPr>
        <w:spacing w:line="360" w:lineRule="auto"/>
        <w:ind w:firstLine="480" w:firstLineChars="200"/>
        <w:contextualSpacing/>
        <w:rPr>
          <w:rFonts w:hint="eastAsia"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7EB8AA35">
      <w:pPr>
        <w:spacing w:line="360" w:lineRule="auto"/>
        <w:ind w:firstLine="480" w:firstLineChars="200"/>
        <w:contextualSpacing/>
        <w:rPr>
          <w:rFonts w:hint="eastAsia" w:ascii="宋体" w:hAnsi="宋体" w:cs="宋体"/>
          <w:bCs/>
          <w:sz w:val="24"/>
        </w:rPr>
      </w:pPr>
      <w:r>
        <w:rPr>
          <w:rFonts w:hint="eastAsia" w:ascii="宋体" w:hAnsi="宋体" w:cs="宋体"/>
          <w:bCs/>
          <w:sz w:val="24"/>
        </w:rPr>
        <w:t>3.供应商若提供其他增值服务，可以在表中自行据实填写。</w:t>
      </w:r>
    </w:p>
    <w:p w14:paraId="2F9F8D51">
      <w:pPr>
        <w:spacing w:line="360" w:lineRule="auto"/>
        <w:ind w:firstLine="482" w:firstLineChars="200"/>
        <w:rPr>
          <w:rFonts w:hint="eastAsia" w:ascii="宋体" w:hAnsi="宋体" w:cs="宋体"/>
          <w:b/>
          <w:sz w:val="24"/>
          <w:szCs w:val="24"/>
        </w:rPr>
      </w:pPr>
    </w:p>
    <w:p w14:paraId="1F7290FE">
      <w:pPr>
        <w:spacing w:line="360" w:lineRule="auto"/>
        <w:ind w:firstLine="482" w:firstLineChars="200"/>
        <w:contextualSpacing/>
        <w:jc w:val="center"/>
        <w:rPr>
          <w:rFonts w:hint="eastAsia" w:ascii="宋体" w:hAnsi="宋体" w:cs="宋体"/>
          <w:b/>
          <w:sz w:val="24"/>
          <w:szCs w:val="32"/>
        </w:rPr>
      </w:pPr>
      <w:r>
        <w:rPr>
          <w:rFonts w:hint="eastAsia" w:ascii="宋体" w:hAnsi="宋体" w:cs="宋体"/>
          <w:b/>
          <w:sz w:val="24"/>
          <w:szCs w:val="24"/>
        </w:rPr>
        <w:br w:type="page"/>
      </w:r>
      <w:r>
        <w:rPr>
          <w:rFonts w:hint="eastAsia" w:ascii="宋体" w:hAnsi="宋体" w:cs="宋体"/>
          <w:b/>
          <w:sz w:val="24"/>
          <w:szCs w:val="32"/>
          <w:lang w:val="en-US" w:eastAsia="zh-CN"/>
        </w:rPr>
        <w:t>7.质保及技术承诺书</w:t>
      </w:r>
    </w:p>
    <w:p w14:paraId="4DCA6A62">
      <w:pPr>
        <w:spacing w:line="360" w:lineRule="auto"/>
        <w:rPr>
          <w:rFonts w:ascii="宋体" w:hAnsi="宋体" w:cs="宋体"/>
          <w:bCs/>
          <w:sz w:val="24"/>
          <w:szCs w:val="24"/>
        </w:rPr>
      </w:pPr>
      <w:r>
        <w:rPr>
          <w:rFonts w:hint="eastAsia" w:ascii="宋体" w:hAnsi="宋体" w:cs="宋体"/>
          <w:bCs/>
          <w:sz w:val="24"/>
          <w:szCs w:val="24"/>
        </w:rPr>
        <w:t>江苏商贸职业学院：</w:t>
      </w:r>
    </w:p>
    <w:p w14:paraId="2BE80E49">
      <w:pPr>
        <w:spacing w:after="0" w:line="360" w:lineRule="auto"/>
        <w:ind w:firstLine="480" w:firstLineChars="200"/>
        <w:rPr>
          <w:rFonts w:ascii="宋体" w:hAnsi="宋体" w:cs="宋体"/>
          <w:bCs/>
          <w:sz w:val="24"/>
          <w:szCs w:val="24"/>
        </w:rPr>
      </w:pPr>
      <w:r>
        <w:rPr>
          <w:rFonts w:hint="eastAsia" w:ascii="宋体" w:hAnsi="宋体" w:cs="宋体"/>
          <w:bCs/>
          <w:sz w:val="24"/>
          <w:szCs w:val="24"/>
        </w:rPr>
        <w:t>我公司郑重承诺：</w:t>
      </w:r>
    </w:p>
    <w:p w14:paraId="1CC604CE">
      <w:pPr>
        <w:spacing w:after="0" w:line="360" w:lineRule="auto"/>
        <w:ind w:firstLine="480" w:firstLineChars="200"/>
        <w:rPr>
          <w:rFonts w:ascii="宋体" w:hAnsi="宋体"/>
          <w:bCs/>
          <w:sz w:val="24"/>
          <w:szCs w:val="24"/>
        </w:rPr>
      </w:pPr>
      <w:r>
        <w:rPr>
          <w:rFonts w:hint="eastAsia" w:ascii="宋体" w:hAnsi="宋体" w:cs="宋体"/>
          <w:bCs/>
          <w:sz w:val="24"/>
          <w:szCs w:val="24"/>
        </w:rPr>
        <w:t>1.若我司成交，我司</w:t>
      </w:r>
      <w:r>
        <w:rPr>
          <w:rFonts w:hint="eastAsia" w:ascii="宋体" w:hAnsi="宋体" w:cs="宋体"/>
          <w:bCs/>
          <w:sz w:val="24"/>
          <w:szCs w:val="24"/>
          <w:lang w:val="en-US" w:eastAsia="zh-CN"/>
        </w:rPr>
        <w:t>为本项目提供的交流充电桩、直流充电桩质保期为五年</w:t>
      </w:r>
      <w:r>
        <w:rPr>
          <w:rFonts w:hint="eastAsia" w:ascii="宋体" w:hAnsi="宋体"/>
          <w:bCs/>
          <w:sz w:val="24"/>
          <w:szCs w:val="24"/>
        </w:rPr>
        <w:t>。</w:t>
      </w:r>
    </w:p>
    <w:p w14:paraId="2705C874">
      <w:pPr>
        <w:spacing w:after="0" w:line="360" w:lineRule="auto"/>
        <w:ind w:firstLine="480" w:firstLineChars="200"/>
        <w:rPr>
          <w:rFonts w:ascii="宋体" w:hAnsi="宋体"/>
          <w:sz w:val="24"/>
          <w:szCs w:val="24"/>
        </w:rPr>
      </w:pPr>
      <w:r>
        <w:rPr>
          <w:rFonts w:hint="eastAsia" w:ascii="宋体" w:hAnsi="宋体"/>
          <w:bCs/>
          <w:sz w:val="24"/>
          <w:szCs w:val="24"/>
        </w:rPr>
        <w:t>2.</w:t>
      </w:r>
      <w:r>
        <w:rPr>
          <w:rFonts w:hint="eastAsia" w:ascii="宋体" w:hAnsi="宋体" w:cs="宋体"/>
          <w:bCs/>
          <w:sz w:val="24"/>
          <w:szCs w:val="24"/>
        </w:rPr>
        <w:t>若我司成交，</w:t>
      </w:r>
      <w:r>
        <w:rPr>
          <w:rFonts w:hint="eastAsia" w:ascii="宋体" w:hAnsi="宋体" w:cs="宋体"/>
          <w:bCs/>
          <w:sz w:val="24"/>
          <w:szCs w:val="24"/>
          <w:lang w:val="en-US" w:eastAsia="zh-CN"/>
        </w:rPr>
        <w:t>我司</w:t>
      </w:r>
      <w:r>
        <w:rPr>
          <w:rFonts w:hint="eastAsia" w:ascii="宋体" w:hAnsi="宋体" w:cs="宋体"/>
          <w:bCs/>
          <w:sz w:val="24"/>
          <w:szCs w:val="24"/>
        </w:rPr>
        <w:t>保证</w:t>
      </w:r>
      <w:r>
        <w:rPr>
          <w:rFonts w:hint="eastAsia" w:ascii="宋体" w:hAnsi="宋体" w:cs="宋体"/>
          <w:bCs/>
          <w:sz w:val="24"/>
          <w:szCs w:val="24"/>
          <w:lang w:val="en-US" w:eastAsia="zh-CN"/>
        </w:rPr>
        <w:t>为本项目</w:t>
      </w:r>
      <w:r>
        <w:rPr>
          <w:rFonts w:hint="eastAsia" w:ascii="宋体" w:hAnsi="宋体" w:cs="宋体"/>
          <w:bCs/>
          <w:sz w:val="24"/>
          <w:szCs w:val="24"/>
        </w:rPr>
        <w:t>提供终身技术支持服务</w:t>
      </w:r>
      <w:r>
        <w:rPr>
          <w:rFonts w:hint="eastAsia" w:ascii="宋体" w:hAnsi="宋体"/>
          <w:sz w:val="24"/>
          <w:szCs w:val="24"/>
        </w:rPr>
        <w:t>。</w:t>
      </w:r>
    </w:p>
    <w:p w14:paraId="19351066">
      <w:pPr>
        <w:spacing w:after="0" w:line="360" w:lineRule="auto"/>
        <w:ind w:firstLine="480" w:firstLineChars="200"/>
        <w:rPr>
          <w:rFonts w:ascii="宋体" w:hAnsi="宋体" w:cs="宋体"/>
          <w:bCs/>
          <w:sz w:val="24"/>
          <w:szCs w:val="24"/>
        </w:rPr>
      </w:pPr>
    </w:p>
    <w:p w14:paraId="3600BDFC">
      <w:pPr>
        <w:spacing w:line="360" w:lineRule="auto"/>
        <w:contextualSpacing/>
        <w:jc w:val="both"/>
        <w:rPr>
          <w:rFonts w:ascii="宋体" w:hAnsi="宋体" w:cs="宋体"/>
          <w:b/>
          <w:sz w:val="24"/>
          <w:szCs w:val="24"/>
        </w:rPr>
      </w:pPr>
    </w:p>
    <w:p w14:paraId="104F938F">
      <w:pPr>
        <w:spacing w:line="360" w:lineRule="auto"/>
        <w:ind w:right="720" w:firstLine="480" w:firstLineChars="200"/>
        <w:contextualSpacing/>
        <w:jc w:val="right"/>
        <w:rPr>
          <w:rFonts w:ascii="宋体" w:hAnsi="宋体" w:cs="宋体"/>
          <w:sz w:val="24"/>
          <w:szCs w:val="24"/>
        </w:rPr>
      </w:pPr>
      <w:r>
        <w:rPr>
          <w:rFonts w:hint="eastAsia" w:ascii="宋体" w:hAnsi="宋体" w:cs="宋体"/>
          <w:sz w:val="24"/>
          <w:szCs w:val="24"/>
        </w:rPr>
        <w:t>法定代表人或授权委托人（签字或盖章）：</w:t>
      </w:r>
    </w:p>
    <w:p w14:paraId="118D9743">
      <w:pPr>
        <w:spacing w:line="360" w:lineRule="auto"/>
        <w:ind w:right="720" w:firstLine="480" w:firstLineChars="200"/>
        <w:contextualSpacing/>
        <w:jc w:val="center"/>
        <w:rPr>
          <w:rFonts w:ascii="宋体" w:hAnsi="宋体" w:cs="宋体"/>
          <w:sz w:val="24"/>
          <w:szCs w:val="24"/>
        </w:rPr>
      </w:pPr>
      <w:r>
        <w:rPr>
          <w:rFonts w:hint="eastAsia" w:ascii="宋体" w:hAnsi="宋体" w:cs="宋体"/>
          <w:sz w:val="24"/>
          <w:szCs w:val="24"/>
        </w:rPr>
        <w:t xml:space="preserve">           供应商名称（盖章）：</w:t>
      </w:r>
    </w:p>
    <w:p w14:paraId="682DD2AD">
      <w:pPr>
        <w:spacing w:line="360" w:lineRule="auto"/>
        <w:ind w:firstLine="4080" w:firstLineChars="1700"/>
        <w:jc w:val="both"/>
        <w:outlineLvl w:val="0"/>
        <w:rPr>
          <w:rFonts w:ascii="宋体" w:hAnsi="宋体" w:cs="宋体"/>
          <w:sz w:val="24"/>
          <w:szCs w:val="24"/>
        </w:rPr>
      </w:pPr>
      <w:r>
        <w:rPr>
          <w:rFonts w:hint="eastAsia" w:ascii="宋体" w:hAnsi="宋体" w:cs="宋体"/>
          <w:sz w:val="24"/>
          <w:szCs w:val="24"/>
        </w:rPr>
        <w:t>日期：</w:t>
      </w:r>
    </w:p>
    <w:p w14:paraId="0615472E">
      <w:pPr>
        <w:rPr>
          <w:rFonts w:hint="eastAsia" w:ascii="宋体" w:hAnsi="宋体" w:cs="宋体"/>
          <w:b/>
          <w:sz w:val="24"/>
          <w:szCs w:val="24"/>
        </w:rPr>
      </w:pPr>
    </w:p>
    <w:p w14:paraId="5670898D">
      <w:pPr>
        <w:rPr>
          <w:rFonts w:hint="eastAsia" w:ascii="宋体" w:hAnsi="宋体" w:cs="宋体"/>
          <w:b/>
          <w:sz w:val="24"/>
          <w:szCs w:val="24"/>
        </w:rPr>
      </w:pPr>
      <w:r>
        <w:rPr>
          <w:rFonts w:hint="eastAsia" w:ascii="宋体" w:hAnsi="宋体" w:cs="宋体"/>
          <w:b/>
          <w:sz w:val="24"/>
          <w:szCs w:val="24"/>
        </w:rPr>
        <w:br w:type="page"/>
      </w:r>
    </w:p>
    <w:p w14:paraId="46923ECC">
      <w:pPr>
        <w:spacing w:line="360" w:lineRule="auto"/>
        <w:ind w:firstLine="482" w:firstLineChars="200"/>
        <w:outlineLvl w:val="2"/>
        <w:rPr>
          <w:rFonts w:hint="eastAsia" w:ascii="宋体" w:hAnsi="宋体" w:cs="宋体"/>
          <w:b/>
          <w:sz w:val="24"/>
          <w:szCs w:val="28"/>
        </w:rPr>
      </w:pPr>
      <w:r>
        <w:rPr>
          <w:rFonts w:hint="eastAsia" w:ascii="宋体" w:hAnsi="宋体" w:cs="宋体"/>
          <w:b/>
          <w:sz w:val="24"/>
          <w:szCs w:val="24"/>
        </w:rPr>
        <w:t>（二）</w:t>
      </w:r>
      <w:r>
        <w:rPr>
          <w:rFonts w:hint="eastAsia" w:ascii="宋体" w:hAnsi="宋体" w:cs="宋体"/>
          <w:b/>
          <w:sz w:val="24"/>
          <w:szCs w:val="28"/>
        </w:rPr>
        <w:t>价格标响应文件相关格式</w:t>
      </w:r>
    </w:p>
    <w:p w14:paraId="696EB0CC">
      <w:pPr>
        <w:pStyle w:val="72"/>
        <w:snapToGrid w:val="0"/>
        <w:spacing w:line="360" w:lineRule="auto"/>
        <w:ind w:firstLine="482" w:firstLineChars="200"/>
        <w:jc w:val="center"/>
        <w:outlineLvl w:val="0"/>
        <w:rPr>
          <w:rFonts w:hint="eastAsia" w:ascii="宋体" w:eastAsia="宋体" w:cs="宋体"/>
          <w:b/>
          <w:sz w:val="24"/>
        </w:rPr>
      </w:pPr>
      <w:bookmarkStart w:id="4" w:name="_Toc23203"/>
      <w:r>
        <w:rPr>
          <w:rFonts w:hint="eastAsia" w:ascii="宋体" w:eastAsia="宋体" w:cs="宋体"/>
          <w:b/>
          <w:sz w:val="24"/>
        </w:rPr>
        <w:t>1.</w:t>
      </w:r>
      <w:bookmarkEnd w:id="4"/>
      <w:r>
        <w:rPr>
          <w:rFonts w:hint="eastAsia" w:ascii="宋体" w:eastAsia="宋体" w:cs="宋体"/>
          <w:b/>
          <w:sz w:val="24"/>
        </w:rPr>
        <w:t>报价总表</w:t>
      </w:r>
    </w:p>
    <w:tbl>
      <w:tblPr>
        <w:tblStyle w:val="27"/>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7E5EF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359431D2">
            <w:pPr>
              <w:pStyle w:val="89"/>
            </w:pPr>
            <w: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06166A05">
            <w:pPr>
              <w:pStyle w:val="89"/>
            </w:pPr>
            <w:r>
              <w:t>投标报价</w:t>
            </w:r>
          </w:p>
        </w:tc>
        <w:tc>
          <w:tcPr>
            <w:tcW w:w="1990" w:type="dxa"/>
            <w:tcBorders>
              <w:top w:val="single" w:color="auto" w:sz="4" w:space="0"/>
              <w:left w:val="single" w:color="auto" w:sz="4" w:space="0"/>
              <w:bottom w:val="single" w:color="auto" w:sz="4" w:space="0"/>
              <w:right w:val="single" w:color="auto" w:sz="4" w:space="0"/>
            </w:tcBorders>
            <w:vAlign w:val="center"/>
          </w:tcPr>
          <w:p w14:paraId="68CD8D20">
            <w:pPr>
              <w:pStyle w:val="89"/>
            </w:pPr>
            <w: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F217AE3">
            <w:pPr>
              <w:pStyle w:val="89"/>
            </w:pPr>
            <w:r>
              <w:t>付款方式</w:t>
            </w:r>
          </w:p>
        </w:tc>
      </w:tr>
      <w:tr w14:paraId="0D376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7E95643">
            <w:pPr>
              <w:pStyle w:val="89"/>
            </w:pPr>
            <w:r>
              <w:t>江苏商贸职业学院电动汽车充电桩建设及维护项目</w:t>
            </w:r>
          </w:p>
        </w:tc>
        <w:tc>
          <w:tcPr>
            <w:tcW w:w="2400" w:type="dxa"/>
            <w:tcBorders>
              <w:top w:val="single" w:color="auto" w:sz="4" w:space="0"/>
              <w:left w:val="single" w:color="auto" w:sz="4" w:space="0"/>
              <w:bottom w:val="single" w:color="auto" w:sz="4" w:space="0"/>
              <w:right w:val="single" w:color="auto" w:sz="4" w:space="0"/>
            </w:tcBorders>
            <w:vAlign w:val="center"/>
          </w:tcPr>
          <w:p w14:paraId="116FE646">
            <w:pPr>
              <w:pStyle w:val="89"/>
            </w:pPr>
            <w:r>
              <w:t>大写：     元</w:t>
            </w:r>
          </w:p>
          <w:p w14:paraId="26ECF7E3">
            <w:pPr>
              <w:pStyle w:val="89"/>
            </w:pPr>
            <w:r>
              <w:t>小写：     元</w:t>
            </w:r>
          </w:p>
        </w:tc>
        <w:tc>
          <w:tcPr>
            <w:tcW w:w="1990" w:type="dxa"/>
            <w:tcBorders>
              <w:top w:val="single" w:color="auto" w:sz="4" w:space="0"/>
              <w:left w:val="single" w:color="auto" w:sz="4" w:space="0"/>
              <w:bottom w:val="single" w:color="auto" w:sz="4" w:space="0"/>
              <w:right w:val="single" w:color="auto" w:sz="4" w:space="0"/>
            </w:tcBorders>
            <w:vAlign w:val="center"/>
          </w:tcPr>
          <w:p w14:paraId="089F47B2">
            <w:pPr>
              <w:pStyle w:val="89"/>
            </w:pPr>
            <w:r>
              <w:t>完全响应询价文件要求</w:t>
            </w:r>
          </w:p>
        </w:tc>
        <w:tc>
          <w:tcPr>
            <w:tcW w:w="1850" w:type="dxa"/>
            <w:tcBorders>
              <w:top w:val="single" w:color="auto" w:sz="4" w:space="0"/>
              <w:left w:val="single" w:color="auto" w:sz="4" w:space="0"/>
              <w:bottom w:val="single" w:color="auto" w:sz="4" w:space="0"/>
              <w:right w:val="single" w:color="auto" w:sz="4" w:space="0"/>
            </w:tcBorders>
          </w:tcPr>
          <w:p w14:paraId="3DB2B264">
            <w:pPr>
              <w:pStyle w:val="89"/>
            </w:pPr>
            <w:r>
              <w:t>完全响应询价文件要求的付款方式</w:t>
            </w:r>
          </w:p>
        </w:tc>
      </w:tr>
    </w:tbl>
    <w:p w14:paraId="3AB4D8EC">
      <w:pPr>
        <w:spacing w:line="360" w:lineRule="auto"/>
        <w:ind w:firstLine="480" w:firstLineChars="200"/>
        <w:rPr>
          <w:rFonts w:hint="eastAsia" w:ascii="宋体" w:hAnsi="宋体" w:cs="宋体"/>
          <w:sz w:val="24"/>
          <w:szCs w:val="28"/>
        </w:rPr>
      </w:pPr>
    </w:p>
    <w:p w14:paraId="48DCDE93">
      <w:pPr>
        <w:spacing w:line="360" w:lineRule="auto"/>
        <w:ind w:firstLine="482" w:firstLineChars="200"/>
        <w:rPr>
          <w:rFonts w:hint="eastAsia" w:ascii="宋体" w:hAnsi="宋体" w:cs="宋体"/>
          <w:sz w:val="24"/>
          <w:szCs w:val="28"/>
        </w:rPr>
      </w:pPr>
      <w:r>
        <w:rPr>
          <w:rFonts w:hint="eastAsia" w:ascii="宋体" w:hAnsi="宋体" w:cs="宋体"/>
          <w:b/>
          <w:bCs/>
          <w:sz w:val="24"/>
          <w:szCs w:val="28"/>
          <w:lang w:bidi="zh-CN"/>
        </w:rPr>
        <w:t>本表为格式表，不得自行改动，必须提供，否则视为未实质性响应采购文件。</w:t>
      </w:r>
    </w:p>
    <w:p w14:paraId="529F1AA7">
      <w:pPr>
        <w:spacing w:line="360" w:lineRule="auto"/>
        <w:ind w:left="1322" w:firstLine="480" w:firstLineChars="200"/>
        <w:rPr>
          <w:rFonts w:hint="eastAsia" w:ascii="宋体" w:hAnsi="宋体" w:cs="宋体"/>
          <w:sz w:val="24"/>
          <w:szCs w:val="28"/>
        </w:rPr>
      </w:pPr>
    </w:p>
    <w:p w14:paraId="0EB1D12E">
      <w:pPr>
        <w:spacing w:line="360" w:lineRule="auto"/>
        <w:ind w:firstLine="480" w:firstLineChars="200"/>
        <w:rPr>
          <w:rFonts w:hint="eastAsia" w:ascii="宋体" w:hAnsi="宋体" w:cs="宋体"/>
          <w:sz w:val="24"/>
          <w:szCs w:val="28"/>
        </w:rPr>
      </w:pPr>
    </w:p>
    <w:p w14:paraId="2A7AC709">
      <w:pPr>
        <w:spacing w:line="360" w:lineRule="auto"/>
        <w:ind w:left="1322" w:firstLine="480" w:firstLineChars="200"/>
        <w:rPr>
          <w:rFonts w:hint="eastAsia" w:ascii="宋体" w:hAnsi="宋体" w:cs="宋体"/>
          <w:sz w:val="24"/>
          <w:szCs w:val="28"/>
        </w:rPr>
      </w:pPr>
      <w:r>
        <w:rPr>
          <w:rFonts w:hint="eastAsia" w:ascii="宋体" w:hAnsi="宋体" w:cs="宋体"/>
          <w:sz w:val="24"/>
          <w:szCs w:val="28"/>
        </w:rPr>
        <w:t xml:space="preserve">供应商名称：（盖章）             </w:t>
      </w:r>
    </w:p>
    <w:p w14:paraId="2837C0DA">
      <w:pPr>
        <w:spacing w:line="360" w:lineRule="auto"/>
        <w:ind w:left="1322" w:firstLine="480" w:firstLineChars="200"/>
        <w:rPr>
          <w:rFonts w:hint="eastAsia" w:ascii="宋体" w:hAnsi="宋体" w:cs="宋体"/>
          <w:sz w:val="24"/>
          <w:szCs w:val="28"/>
        </w:rPr>
      </w:pPr>
      <w:r>
        <w:rPr>
          <w:rFonts w:hint="eastAsia" w:ascii="宋体" w:hAnsi="宋体" w:cs="宋体"/>
          <w:sz w:val="24"/>
          <w:szCs w:val="28"/>
        </w:rPr>
        <w:t>法定代表人或授权委托人（签字）：</w:t>
      </w:r>
    </w:p>
    <w:p w14:paraId="7E784743">
      <w:pPr>
        <w:spacing w:line="360" w:lineRule="auto"/>
        <w:ind w:left="1322" w:firstLine="480" w:firstLineChars="200"/>
        <w:rPr>
          <w:rFonts w:hint="eastAsia" w:ascii="宋体" w:hAnsi="宋体" w:cs="宋体"/>
          <w:sz w:val="24"/>
          <w:szCs w:val="28"/>
        </w:rPr>
      </w:pPr>
      <w:r>
        <w:rPr>
          <w:rFonts w:hint="eastAsia" w:ascii="宋体" w:hAnsi="宋体" w:cs="宋体"/>
          <w:sz w:val="24"/>
          <w:szCs w:val="28"/>
        </w:rPr>
        <w:t>日期：</w:t>
      </w:r>
    </w:p>
    <w:p w14:paraId="40AACF3C">
      <w:pPr>
        <w:pStyle w:val="59"/>
        <w:spacing w:line="360" w:lineRule="auto"/>
        <w:ind w:firstLine="480" w:firstLineChars="200"/>
        <w:jc w:val="center"/>
        <w:rPr>
          <w:rFonts w:hint="eastAsia" w:ascii="宋体" w:hAnsi="宋体" w:cs="宋体"/>
          <w:sz w:val="24"/>
          <w:szCs w:val="28"/>
        </w:rPr>
      </w:pPr>
    </w:p>
    <w:p w14:paraId="5166ACE1">
      <w:pPr>
        <w:pStyle w:val="59"/>
        <w:spacing w:line="360" w:lineRule="auto"/>
        <w:ind w:firstLine="480" w:firstLineChars="200"/>
        <w:jc w:val="center"/>
        <w:rPr>
          <w:rFonts w:hint="eastAsia" w:ascii="宋体" w:hAnsi="宋体" w:cs="宋体"/>
          <w:sz w:val="24"/>
          <w:szCs w:val="28"/>
        </w:rPr>
      </w:pPr>
    </w:p>
    <w:p w14:paraId="6A3FA57B">
      <w:pPr>
        <w:spacing w:line="360" w:lineRule="auto"/>
        <w:ind w:firstLine="480" w:firstLineChars="200"/>
        <w:jc w:val="center"/>
        <w:rPr>
          <w:rFonts w:hint="eastAsia" w:ascii="宋体" w:hAnsi="宋体" w:cs="宋体"/>
          <w:sz w:val="24"/>
          <w:szCs w:val="28"/>
        </w:rPr>
      </w:pPr>
      <w:r>
        <w:rPr>
          <w:rFonts w:ascii="宋体" w:hAnsi="宋体" w:cs="宋体"/>
          <w:sz w:val="24"/>
          <w:szCs w:val="28"/>
        </w:rPr>
        <w:br w:type="page"/>
      </w:r>
    </w:p>
    <w:p w14:paraId="27430F30">
      <w:pPr>
        <w:pStyle w:val="59"/>
        <w:spacing w:line="360" w:lineRule="auto"/>
        <w:ind w:firstLine="482" w:firstLineChars="200"/>
        <w:jc w:val="center"/>
        <w:rPr>
          <w:rFonts w:hint="eastAsia" w:ascii="宋体" w:hAnsi="宋体" w:cs="宋体"/>
          <w:b/>
          <w:bCs/>
          <w:sz w:val="24"/>
          <w:szCs w:val="28"/>
        </w:rPr>
      </w:pPr>
      <w:r>
        <w:rPr>
          <w:rFonts w:hint="eastAsia" w:ascii="宋体" w:hAnsi="宋体" w:cs="宋体"/>
          <w:b/>
          <w:bCs/>
          <w:sz w:val="24"/>
          <w:szCs w:val="28"/>
        </w:rPr>
        <w:t>2.分项报价表</w:t>
      </w:r>
    </w:p>
    <w:tbl>
      <w:tblPr>
        <w:tblStyle w:val="28"/>
        <w:tblW w:w="9659"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90"/>
        <w:gridCol w:w="3170"/>
        <w:gridCol w:w="910"/>
        <w:gridCol w:w="780"/>
        <w:gridCol w:w="1190"/>
        <w:gridCol w:w="1110"/>
        <w:gridCol w:w="810"/>
      </w:tblGrid>
      <w:tr w14:paraId="60E7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99" w:type="dxa"/>
          </w:tcPr>
          <w:p w14:paraId="3CE2CE2B">
            <w:pPr>
              <w:pStyle w:val="89"/>
              <w:jc w:val="center"/>
              <w:rPr>
                <w:rFonts w:eastAsia="等线"/>
                <w:kern w:val="2"/>
              </w:rPr>
            </w:pPr>
            <w:r>
              <w:rPr>
                <w:rFonts w:eastAsia="等线"/>
                <w:kern w:val="2"/>
              </w:rPr>
              <w:t>序号</w:t>
            </w:r>
          </w:p>
        </w:tc>
        <w:tc>
          <w:tcPr>
            <w:tcW w:w="790" w:type="dxa"/>
          </w:tcPr>
          <w:p w14:paraId="1FA3A514">
            <w:pPr>
              <w:pStyle w:val="89"/>
              <w:jc w:val="center"/>
              <w:rPr>
                <w:rFonts w:eastAsia="等线"/>
                <w:kern w:val="2"/>
              </w:rPr>
            </w:pPr>
            <w:r>
              <w:rPr>
                <w:rFonts w:eastAsia="等线"/>
                <w:kern w:val="2"/>
              </w:rPr>
              <w:t>货物名称</w:t>
            </w:r>
          </w:p>
        </w:tc>
        <w:tc>
          <w:tcPr>
            <w:tcW w:w="3170" w:type="dxa"/>
          </w:tcPr>
          <w:p w14:paraId="0E8A508F">
            <w:pPr>
              <w:pStyle w:val="89"/>
              <w:jc w:val="center"/>
              <w:rPr>
                <w:rFonts w:eastAsia="等线"/>
                <w:kern w:val="2"/>
              </w:rPr>
            </w:pPr>
            <w:r>
              <w:rPr>
                <w:rFonts w:eastAsia="等线"/>
                <w:kern w:val="2"/>
              </w:rPr>
              <w:t>规格型号</w:t>
            </w:r>
          </w:p>
        </w:tc>
        <w:tc>
          <w:tcPr>
            <w:tcW w:w="910" w:type="dxa"/>
          </w:tcPr>
          <w:p w14:paraId="45586ED2">
            <w:pPr>
              <w:pStyle w:val="89"/>
              <w:jc w:val="center"/>
              <w:rPr>
                <w:rFonts w:eastAsia="等线"/>
                <w:kern w:val="2"/>
              </w:rPr>
            </w:pPr>
            <w:r>
              <w:rPr>
                <w:rFonts w:eastAsia="等线"/>
                <w:kern w:val="2"/>
              </w:rPr>
              <w:t>数量</w:t>
            </w:r>
          </w:p>
        </w:tc>
        <w:tc>
          <w:tcPr>
            <w:tcW w:w="780" w:type="dxa"/>
          </w:tcPr>
          <w:p w14:paraId="7DB88E32">
            <w:pPr>
              <w:pStyle w:val="89"/>
              <w:jc w:val="center"/>
              <w:rPr>
                <w:rFonts w:eastAsia="等线"/>
                <w:kern w:val="2"/>
              </w:rPr>
            </w:pPr>
            <w:r>
              <w:rPr>
                <w:rFonts w:eastAsia="等线"/>
                <w:kern w:val="2"/>
              </w:rPr>
              <w:t>单位</w:t>
            </w:r>
          </w:p>
        </w:tc>
        <w:tc>
          <w:tcPr>
            <w:tcW w:w="1190" w:type="dxa"/>
          </w:tcPr>
          <w:p w14:paraId="6DDA0B1D">
            <w:pPr>
              <w:pStyle w:val="89"/>
              <w:jc w:val="center"/>
              <w:rPr>
                <w:rFonts w:eastAsia="等线"/>
                <w:kern w:val="2"/>
              </w:rPr>
            </w:pPr>
            <w:r>
              <w:rPr>
                <w:rFonts w:eastAsia="等线"/>
                <w:kern w:val="2"/>
              </w:rPr>
              <w:t>单价（元）</w:t>
            </w:r>
          </w:p>
        </w:tc>
        <w:tc>
          <w:tcPr>
            <w:tcW w:w="1110" w:type="dxa"/>
          </w:tcPr>
          <w:p w14:paraId="698DA87C">
            <w:pPr>
              <w:pStyle w:val="89"/>
              <w:jc w:val="center"/>
              <w:rPr>
                <w:rFonts w:eastAsia="等线"/>
                <w:kern w:val="2"/>
              </w:rPr>
            </w:pPr>
            <w:r>
              <w:rPr>
                <w:rFonts w:eastAsia="等线"/>
                <w:kern w:val="2"/>
              </w:rPr>
              <w:t>合价（元）</w:t>
            </w:r>
          </w:p>
        </w:tc>
        <w:tc>
          <w:tcPr>
            <w:tcW w:w="810" w:type="dxa"/>
          </w:tcPr>
          <w:p w14:paraId="2D458268">
            <w:pPr>
              <w:pStyle w:val="89"/>
              <w:jc w:val="center"/>
              <w:rPr>
                <w:rFonts w:eastAsia="等线"/>
                <w:kern w:val="2"/>
              </w:rPr>
            </w:pPr>
            <w:r>
              <w:rPr>
                <w:rFonts w:eastAsia="等线"/>
                <w:kern w:val="2"/>
              </w:rPr>
              <w:t>备注</w:t>
            </w:r>
          </w:p>
        </w:tc>
      </w:tr>
      <w:tr w14:paraId="4BC8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50D7D45D">
            <w:pPr>
              <w:pStyle w:val="89"/>
              <w:rPr>
                <w:rFonts w:eastAsia="等线"/>
                <w:kern w:val="2"/>
              </w:rPr>
            </w:pPr>
          </w:p>
          <w:p w14:paraId="6296A61F">
            <w:pPr>
              <w:pStyle w:val="89"/>
              <w:rPr>
                <w:rFonts w:eastAsia="等线"/>
                <w:kern w:val="2"/>
              </w:rPr>
            </w:pPr>
          </w:p>
          <w:p w14:paraId="20F6539B">
            <w:pPr>
              <w:pStyle w:val="89"/>
              <w:jc w:val="center"/>
              <w:rPr>
                <w:rFonts w:eastAsia="等线"/>
                <w:kern w:val="2"/>
              </w:rPr>
            </w:pPr>
            <w:r>
              <w:rPr>
                <w:rFonts w:eastAsia="等线"/>
                <w:kern w:val="2"/>
              </w:rPr>
              <w:t>1</w:t>
            </w:r>
          </w:p>
        </w:tc>
        <w:tc>
          <w:tcPr>
            <w:tcW w:w="790" w:type="dxa"/>
            <w:vAlign w:val="center"/>
          </w:tcPr>
          <w:p w14:paraId="6A8D4776">
            <w:pPr>
              <w:pStyle w:val="89"/>
              <w:rPr>
                <w:rFonts w:eastAsia="等线"/>
                <w:kern w:val="2"/>
              </w:rPr>
            </w:pPr>
            <w:r>
              <w:rPr>
                <w:rFonts w:eastAsia="等线"/>
                <w:kern w:val="2"/>
              </w:rPr>
              <w:t>交流充电桩</w:t>
            </w:r>
          </w:p>
        </w:tc>
        <w:tc>
          <w:tcPr>
            <w:tcW w:w="3170" w:type="dxa"/>
            <w:vAlign w:val="center"/>
          </w:tcPr>
          <w:p w14:paraId="197711C5">
            <w:pPr>
              <w:pStyle w:val="89"/>
              <w:rPr>
                <w:rFonts w:eastAsia="等线"/>
                <w:kern w:val="2"/>
              </w:rPr>
            </w:pPr>
            <w:r>
              <w:rPr>
                <w:rFonts w:eastAsia="等线"/>
                <w:kern w:val="2"/>
              </w:rPr>
              <w:t>额定功率：7kW</w:t>
            </w:r>
          </w:p>
          <w:p w14:paraId="2A248CBD">
            <w:pPr>
              <w:pStyle w:val="89"/>
              <w:rPr>
                <w:rFonts w:eastAsia="等线"/>
                <w:kern w:val="2"/>
              </w:rPr>
            </w:pPr>
            <w:r>
              <w:rPr>
                <w:rFonts w:eastAsia="等线"/>
                <w:kern w:val="2"/>
              </w:rPr>
              <w:t xml:space="preserve">输入电压：AC 220V </w:t>
            </w:r>
          </w:p>
          <w:p w14:paraId="013B73F5">
            <w:pPr>
              <w:pStyle w:val="89"/>
              <w:rPr>
                <w:rFonts w:eastAsia="等线"/>
                <w:kern w:val="2"/>
              </w:rPr>
            </w:pPr>
            <w:r>
              <w:rPr>
                <w:rFonts w:eastAsia="等线"/>
                <w:kern w:val="2"/>
              </w:rPr>
              <w:t>额定输出电流：32A</w:t>
            </w:r>
          </w:p>
          <w:p w14:paraId="0673A4F1">
            <w:pPr>
              <w:pStyle w:val="89"/>
              <w:rPr>
                <w:rFonts w:eastAsia="等线"/>
                <w:kern w:val="2"/>
              </w:rPr>
            </w:pPr>
            <w:r>
              <w:rPr>
                <w:rFonts w:eastAsia="等线"/>
                <w:kern w:val="2"/>
              </w:rPr>
              <w:t>防护等级：≥IP54</w:t>
            </w:r>
          </w:p>
          <w:p w14:paraId="643B64A9">
            <w:pPr>
              <w:pStyle w:val="89"/>
              <w:rPr>
                <w:rFonts w:eastAsia="等线"/>
                <w:kern w:val="2"/>
              </w:rPr>
            </w:pPr>
            <w:r>
              <w:rPr>
                <w:rFonts w:eastAsia="等线"/>
                <w:kern w:val="2"/>
              </w:rPr>
              <w:t>启动方式：扫码/刷卡</w:t>
            </w:r>
          </w:p>
          <w:p w14:paraId="3B08A503">
            <w:pPr>
              <w:pStyle w:val="89"/>
              <w:rPr>
                <w:rFonts w:eastAsia="等线"/>
                <w:kern w:val="2"/>
              </w:rPr>
            </w:pPr>
            <w:r>
              <w:rPr>
                <w:rFonts w:eastAsia="等线"/>
                <w:kern w:val="2"/>
              </w:rPr>
              <w:t>联网方式：4G</w:t>
            </w:r>
          </w:p>
          <w:p w14:paraId="50713B2A">
            <w:pPr>
              <w:pStyle w:val="89"/>
              <w:rPr>
                <w:rFonts w:eastAsia="等线"/>
                <w:kern w:val="2"/>
              </w:rPr>
            </w:pPr>
            <w:r>
              <w:rPr>
                <w:rFonts w:eastAsia="等线"/>
                <w:kern w:val="2"/>
              </w:rPr>
              <w:t>安装形式：立柱式</w:t>
            </w:r>
          </w:p>
          <w:p w14:paraId="1555C815">
            <w:pPr>
              <w:pStyle w:val="89"/>
              <w:rPr>
                <w:rFonts w:eastAsia="等线"/>
                <w:kern w:val="2"/>
              </w:rPr>
            </w:pPr>
            <w:r>
              <w:rPr>
                <w:rFonts w:eastAsia="等线"/>
                <w:kern w:val="2"/>
              </w:rPr>
              <w:t>枪线长度：≥5m</w:t>
            </w:r>
          </w:p>
        </w:tc>
        <w:tc>
          <w:tcPr>
            <w:tcW w:w="910" w:type="dxa"/>
            <w:vAlign w:val="center"/>
          </w:tcPr>
          <w:p w14:paraId="7ED7D0CB">
            <w:pPr>
              <w:pStyle w:val="89"/>
              <w:jc w:val="center"/>
              <w:rPr>
                <w:rFonts w:eastAsia="等线"/>
                <w:kern w:val="2"/>
              </w:rPr>
            </w:pPr>
            <w:r>
              <w:rPr>
                <w:rFonts w:eastAsia="等线"/>
                <w:kern w:val="2"/>
              </w:rPr>
              <w:t>6</w:t>
            </w:r>
          </w:p>
        </w:tc>
        <w:tc>
          <w:tcPr>
            <w:tcW w:w="780" w:type="dxa"/>
            <w:vAlign w:val="center"/>
          </w:tcPr>
          <w:p w14:paraId="3DB8F08D">
            <w:pPr>
              <w:pStyle w:val="89"/>
              <w:rPr>
                <w:rFonts w:eastAsia="等线"/>
                <w:kern w:val="2"/>
              </w:rPr>
            </w:pPr>
          </w:p>
        </w:tc>
        <w:tc>
          <w:tcPr>
            <w:tcW w:w="1190" w:type="dxa"/>
          </w:tcPr>
          <w:p w14:paraId="60EE93EA">
            <w:pPr>
              <w:pStyle w:val="89"/>
              <w:rPr>
                <w:rFonts w:eastAsia="等线"/>
                <w:kern w:val="2"/>
              </w:rPr>
            </w:pPr>
          </w:p>
        </w:tc>
        <w:tc>
          <w:tcPr>
            <w:tcW w:w="1110" w:type="dxa"/>
          </w:tcPr>
          <w:p w14:paraId="6FE3A1EC">
            <w:pPr>
              <w:pStyle w:val="89"/>
              <w:rPr>
                <w:rFonts w:eastAsia="等线"/>
                <w:kern w:val="2"/>
              </w:rPr>
            </w:pPr>
          </w:p>
        </w:tc>
        <w:tc>
          <w:tcPr>
            <w:tcW w:w="810" w:type="dxa"/>
          </w:tcPr>
          <w:p w14:paraId="1B1A700C">
            <w:pPr>
              <w:pStyle w:val="89"/>
              <w:rPr>
                <w:rFonts w:eastAsia="等线"/>
                <w:kern w:val="2"/>
              </w:rPr>
            </w:pPr>
          </w:p>
        </w:tc>
      </w:tr>
      <w:tr w14:paraId="563B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5356712C">
            <w:pPr>
              <w:pStyle w:val="89"/>
              <w:rPr>
                <w:rFonts w:eastAsia="等线"/>
                <w:kern w:val="2"/>
              </w:rPr>
            </w:pPr>
          </w:p>
          <w:p w14:paraId="3EBAF039">
            <w:pPr>
              <w:pStyle w:val="89"/>
              <w:rPr>
                <w:rFonts w:eastAsia="等线"/>
                <w:kern w:val="2"/>
              </w:rPr>
            </w:pPr>
          </w:p>
          <w:p w14:paraId="465F082E">
            <w:pPr>
              <w:pStyle w:val="89"/>
              <w:jc w:val="center"/>
              <w:rPr>
                <w:rFonts w:eastAsia="等线"/>
                <w:kern w:val="2"/>
              </w:rPr>
            </w:pPr>
            <w:r>
              <w:rPr>
                <w:rFonts w:eastAsia="等线"/>
                <w:kern w:val="2"/>
              </w:rPr>
              <w:t>2</w:t>
            </w:r>
          </w:p>
        </w:tc>
        <w:tc>
          <w:tcPr>
            <w:tcW w:w="790" w:type="dxa"/>
            <w:vAlign w:val="center"/>
          </w:tcPr>
          <w:p w14:paraId="7B56F3B6">
            <w:pPr>
              <w:pStyle w:val="89"/>
              <w:rPr>
                <w:rFonts w:eastAsia="等线"/>
                <w:kern w:val="2"/>
              </w:rPr>
            </w:pPr>
            <w:r>
              <w:rPr>
                <w:rFonts w:eastAsia="等线"/>
                <w:kern w:val="2"/>
              </w:rPr>
              <w:t>直流充电桩</w:t>
            </w:r>
          </w:p>
        </w:tc>
        <w:tc>
          <w:tcPr>
            <w:tcW w:w="3170" w:type="dxa"/>
            <w:vAlign w:val="center"/>
          </w:tcPr>
          <w:p w14:paraId="37394814">
            <w:pPr>
              <w:pStyle w:val="89"/>
              <w:rPr>
                <w:rFonts w:eastAsia="等线"/>
                <w:kern w:val="2"/>
              </w:rPr>
            </w:pPr>
            <w:r>
              <w:rPr>
                <w:rFonts w:eastAsia="等线"/>
                <w:kern w:val="2"/>
              </w:rPr>
              <w:t>额定功率：60kW</w:t>
            </w:r>
          </w:p>
          <w:p w14:paraId="77C9E5C3">
            <w:pPr>
              <w:pStyle w:val="89"/>
              <w:rPr>
                <w:rFonts w:eastAsia="等线"/>
                <w:kern w:val="2"/>
              </w:rPr>
            </w:pPr>
            <w:r>
              <w:rPr>
                <w:rFonts w:eastAsia="等线"/>
                <w:kern w:val="2"/>
              </w:rPr>
              <w:t>充电枪数：双枪</w:t>
            </w:r>
          </w:p>
          <w:p w14:paraId="251F880F">
            <w:pPr>
              <w:pStyle w:val="89"/>
              <w:rPr>
                <w:rFonts w:eastAsia="等线"/>
                <w:kern w:val="2"/>
              </w:rPr>
            </w:pPr>
            <w:r>
              <w:rPr>
                <w:rFonts w:eastAsia="等线"/>
                <w:kern w:val="2"/>
              </w:rPr>
              <w:t xml:space="preserve">输入电压：AC 380V </w:t>
            </w:r>
          </w:p>
          <w:p w14:paraId="65BE4F34">
            <w:pPr>
              <w:pStyle w:val="89"/>
              <w:rPr>
                <w:rFonts w:eastAsia="等线"/>
                <w:kern w:val="2"/>
              </w:rPr>
            </w:pPr>
            <w:r>
              <w:rPr>
                <w:rFonts w:eastAsia="等线"/>
                <w:kern w:val="2"/>
              </w:rPr>
              <w:t>最大输出电流：≤200A</w:t>
            </w:r>
          </w:p>
          <w:p w14:paraId="2FBAD3B6">
            <w:pPr>
              <w:pStyle w:val="89"/>
              <w:rPr>
                <w:rFonts w:eastAsia="等线"/>
                <w:kern w:val="2"/>
              </w:rPr>
            </w:pPr>
            <w:r>
              <w:rPr>
                <w:rFonts w:eastAsia="等线"/>
                <w:kern w:val="2"/>
              </w:rPr>
              <w:t>防护等级：≥IP54</w:t>
            </w:r>
          </w:p>
          <w:p w14:paraId="18EC8DF0">
            <w:pPr>
              <w:pStyle w:val="89"/>
              <w:rPr>
                <w:rFonts w:eastAsia="等线"/>
                <w:kern w:val="2"/>
              </w:rPr>
            </w:pPr>
            <w:r>
              <w:rPr>
                <w:rFonts w:eastAsia="等线"/>
                <w:kern w:val="2"/>
              </w:rPr>
              <w:t>启动方式：扫码/刷卡</w:t>
            </w:r>
          </w:p>
          <w:p w14:paraId="041C3E13">
            <w:pPr>
              <w:pStyle w:val="89"/>
              <w:rPr>
                <w:rFonts w:eastAsia="等线"/>
                <w:kern w:val="2"/>
              </w:rPr>
            </w:pPr>
            <w:r>
              <w:rPr>
                <w:rFonts w:eastAsia="等线"/>
                <w:kern w:val="2"/>
              </w:rPr>
              <w:t>联网方式：4G</w:t>
            </w:r>
          </w:p>
          <w:p w14:paraId="229A98D5">
            <w:pPr>
              <w:pStyle w:val="89"/>
              <w:rPr>
                <w:rFonts w:eastAsia="等线"/>
                <w:kern w:val="2"/>
              </w:rPr>
            </w:pPr>
            <w:r>
              <w:rPr>
                <w:rFonts w:eastAsia="等线"/>
                <w:kern w:val="2"/>
              </w:rPr>
              <w:t>安装形式：落地安装</w:t>
            </w:r>
          </w:p>
          <w:p w14:paraId="7A44636E">
            <w:pPr>
              <w:pStyle w:val="89"/>
              <w:rPr>
                <w:rFonts w:eastAsia="等线"/>
                <w:kern w:val="2"/>
              </w:rPr>
            </w:pPr>
            <w:r>
              <w:rPr>
                <w:rFonts w:eastAsia="等线"/>
                <w:kern w:val="2"/>
              </w:rPr>
              <w:t>枪线长度：≥5m</w:t>
            </w:r>
          </w:p>
        </w:tc>
        <w:tc>
          <w:tcPr>
            <w:tcW w:w="910" w:type="dxa"/>
            <w:vAlign w:val="center"/>
          </w:tcPr>
          <w:p w14:paraId="6B3E1C00">
            <w:pPr>
              <w:pStyle w:val="89"/>
              <w:jc w:val="center"/>
              <w:rPr>
                <w:rFonts w:eastAsia="等线"/>
                <w:kern w:val="2"/>
              </w:rPr>
            </w:pPr>
            <w:r>
              <w:rPr>
                <w:rFonts w:eastAsia="等线"/>
                <w:kern w:val="2"/>
              </w:rPr>
              <w:t>1</w:t>
            </w:r>
          </w:p>
        </w:tc>
        <w:tc>
          <w:tcPr>
            <w:tcW w:w="780" w:type="dxa"/>
            <w:vAlign w:val="center"/>
          </w:tcPr>
          <w:p w14:paraId="48CDB6F4">
            <w:pPr>
              <w:pStyle w:val="89"/>
              <w:rPr>
                <w:rFonts w:eastAsia="等线"/>
                <w:kern w:val="2"/>
              </w:rPr>
            </w:pPr>
          </w:p>
        </w:tc>
        <w:tc>
          <w:tcPr>
            <w:tcW w:w="1190" w:type="dxa"/>
          </w:tcPr>
          <w:p w14:paraId="4597F9AF">
            <w:pPr>
              <w:pStyle w:val="89"/>
              <w:rPr>
                <w:rFonts w:eastAsia="等线"/>
                <w:kern w:val="2"/>
              </w:rPr>
            </w:pPr>
          </w:p>
        </w:tc>
        <w:tc>
          <w:tcPr>
            <w:tcW w:w="1110" w:type="dxa"/>
          </w:tcPr>
          <w:p w14:paraId="3A299A56">
            <w:pPr>
              <w:pStyle w:val="89"/>
              <w:rPr>
                <w:rFonts w:eastAsia="等线"/>
                <w:kern w:val="2"/>
              </w:rPr>
            </w:pPr>
          </w:p>
        </w:tc>
        <w:tc>
          <w:tcPr>
            <w:tcW w:w="810" w:type="dxa"/>
          </w:tcPr>
          <w:p w14:paraId="27E814D2">
            <w:pPr>
              <w:pStyle w:val="89"/>
              <w:rPr>
                <w:rFonts w:eastAsia="等线"/>
                <w:kern w:val="2"/>
              </w:rPr>
            </w:pPr>
          </w:p>
        </w:tc>
      </w:tr>
      <w:tr w14:paraId="4942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191082B8">
            <w:pPr>
              <w:pStyle w:val="89"/>
              <w:jc w:val="center"/>
              <w:rPr>
                <w:rFonts w:eastAsia="等线"/>
                <w:kern w:val="2"/>
              </w:rPr>
            </w:pPr>
          </w:p>
          <w:p w14:paraId="35B06033">
            <w:pPr>
              <w:pStyle w:val="89"/>
              <w:jc w:val="center"/>
              <w:rPr>
                <w:rFonts w:eastAsia="等线"/>
                <w:kern w:val="2"/>
              </w:rPr>
            </w:pPr>
            <w:r>
              <w:rPr>
                <w:rFonts w:eastAsia="等线"/>
                <w:kern w:val="2"/>
              </w:rPr>
              <w:t>3</w:t>
            </w:r>
          </w:p>
        </w:tc>
        <w:tc>
          <w:tcPr>
            <w:tcW w:w="790" w:type="dxa"/>
            <w:vAlign w:val="center"/>
          </w:tcPr>
          <w:p w14:paraId="0998C332">
            <w:pPr>
              <w:pStyle w:val="89"/>
              <w:rPr>
                <w:rFonts w:eastAsia="等线"/>
                <w:kern w:val="2"/>
              </w:rPr>
            </w:pPr>
            <w:r>
              <w:rPr>
                <w:rFonts w:eastAsia="等线"/>
                <w:kern w:val="2"/>
              </w:rPr>
              <w:t>设备安装服务</w:t>
            </w:r>
          </w:p>
        </w:tc>
        <w:tc>
          <w:tcPr>
            <w:tcW w:w="3170" w:type="dxa"/>
            <w:vAlign w:val="center"/>
          </w:tcPr>
          <w:p w14:paraId="350642AA">
            <w:pPr>
              <w:pStyle w:val="89"/>
              <w:rPr>
                <w:rFonts w:eastAsia="等线"/>
                <w:kern w:val="2"/>
              </w:rPr>
            </w:pPr>
            <w:r>
              <w:rPr>
                <w:rFonts w:eastAsia="等线"/>
                <w:kern w:val="2"/>
              </w:rPr>
              <w:t>设备安装</w:t>
            </w:r>
          </w:p>
        </w:tc>
        <w:tc>
          <w:tcPr>
            <w:tcW w:w="910" w:type="dxa"/>
            <w:vAlign w:val="center"/>
          </w:tcPr>
          <w:p w14:paraId="25DF4826">
            <w:pPr>
              <w:pStyle w:val="89"/>
              <w:jc w:val="center"/>
              <w:rPr>
                <w:rFonts w:eastAsia="等线"/>
                <w:kern w:val="2"/>
              </w:rPr>
            </w:pPr>
            <w:r>
              <w:rPr>
                <w:rFonts w:eastAsia="等线"/>
                <w:kern w:val="2"/>
              </w:rPr>
              <w:t>-</w:t>
            </w:r>
          </w:p>
        </w:tc>
        <w:tc>
          <w:tcPr>
            <w:tcW w:w="780" w:type="dxa"/>
            <w:vAlign w:val="center"/>
          </w:tcPr>
          <w:p w14:paraId="20638BA8">
            <w:pPr>
              <w:pStyle w:val="89"/>
              <w:rPr>
                <w:rFonts w:eastAsia="等线"/>
                <w:kern w:val="2"/>
              </w:rPr>
            </w:pPr>
          </w:p>
        </w:tc>
        <w:tc>
          <w:tcPr>
            <w:tcW w:w="1190" w:type="dxa"/>
          </w:tcPr>
          <w:p w14:paraId="6B403893">
            <w:pPr>
              <w:pStyle w:val="89"/>
              <w:rPr>
                <w:rFonts w:eastAsia="等线"/>
                <w:kern w:val="2"/>
              </w:rPr>
            </w:pPr>
          </w:p>
        </w:tc>
        <w:tc>
          <w:tcPr>
            <w:tcW w:w="1110" w:type="dxa"/>
          </w:tcPr>
          <w:p w14:paraId="236D713A">
            <w:pPr>
              <w:pStyle w:val="89"/>
              <w:rPr>
                <w:rFonts w:eastAsia="等线"/>
                <w:kern w:val="2"/>
              </w:rPr>
            </w:pPr>
          </w:p>
        </w:tc>
        <w:tc>
          <w:tcPr>
            <w:tcW w:w="810" w:type="dxa"/>
          </w:tcPr>
          <w:p w14:paraId="68E4991C">
            <w:pPr>
              <w:pStyle w:val="89"/>
              <w:rPr>
                <w:rFonts w:eastAsia="等线"/>
                <w:kern w:val="2"/>
              </w:rPr>
            </w:pPr>
          </w:p>
        </w:tc>
      </w:tr>
      <w:tr w14:paraId="12EF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2730E5F9">
            <w:pPr>
              <w:pStyle w:val="89"/>
              <w:jc w:val="center"/>
              <w:rPr>
                <w:rFonts w:eastAsia="等线"/>
                <w:kern w:val="2"/>
              </w:rPr>
            </w:pPr>
          </w:p>
          <w:p w14:paraId="0096705F">
            <w:pPr>
              <w:pStyle w:val="89"/>
              <w:jc w:val="center"/>
              <w:rPr>
                <w:rFonts w:eastAsia="等线"/>
                <w:kern w:val="2"/>
              </w:rPr>
            </w:pPr>
            <w:r>
              <w:rPr>
                <w:rFonts w:eastAsia="等线"/>
                <w:kern w:val="2"/>
              </w:rPr>
              <w:t>4</w:t>
            </w:r>
          </w:p>
        </w:tc>
        <w:tc>
          <w:tcPr>
            <w:tcW w:w="790" w:type="dxa"/>
            <w:vAlign w:val="center"/>
          </w:tcPr>
          <w:p w14:paraId="04DA1677">
            <w:pPr>
              <w:pStyle w:val="89"/>
              <w:rPr>
                <w:rFonts w:eastAsia="等线"/>
                <w:kern w:val="2"/>
              </w:rPr>
            </w:pPr>
            <w:r>
              <w:rPr>
                <w:rFonts w:eastAsia="等线"/>
                <w:kern w:val="2"/>
              </w:rPr>
              <w:t>维护费用</w:t>
            </w:r>
          </w:p>
        </w:tc>
        <w:tc>
          <w:tcPr>
            <w:tcW w:w="3170" w:type="dxa"/>
            <w:vAlign w:val="center"/>
          </w:tcPr>
          <w:p w14:paraId="010100B8">
            <w:pPr>
              <w:pStyle w:val="89"/>
              <w:rPr>
                <w:rFonts w:eastAsia="等线"/>
                <w:kern w:val="2"/>
              </w:rPr>
            </w:pPr>
            <w:r>
              <w:rPr>
                <w:rFonts w:eastAsia="等线"/>
                <w:kern w:val="2"/>
              </w:rPr>
              <w:t>7个充电桩维护及运管平台维护</w:t>
            </w:r>
          </w:p>
        </w:tc>
        <w:tc>
          <w:tcPr>
            <w:tcW w:w="910" w:type="dxa"/>
            <w:vAlign w:val="center"/>
          </w:tcPr>
          <w:p w14:paraId="3CED1D62">
            <w:pPr>
              <w:pStyle w:val="89"/>
              <w:jc w:val="center"/>
              <w:rPr>
                <w:rFonts w:eastAsia="等线"/>
                <w:kern w:val="2"/>
              </w:rPr>
            </w:pPr>
            <w:r>
              <w:rPr>
                <w:rFonts w:eastAsia="等线"/>
                <w:kern w:val="2"/>
              </w:rPr>
              <w:t>-</w:t>
            </w:r>
          </w:p>
        </w:tc>
        <w:tc>
          <w:tcPr>
            <w:tcW w:w="780" w:type="dxa"/>
            <w:vAlign w:val="center"/>
          </w:tcPr>
          <w:p w14:paraId="2968E8C5">
            <w:pPr>
              <w:pStyle w:val="89"/>
              <w:rPr>
                <w:rFonts w:eastAsia="等线"/>
                <w:kern w:val="2"/>
              </w:rPr>
            </w:pPr>
          </w:p>
        </w:tc>
        <w:tc>
          <w:tcPr>
            <w:tcW w:w="1190" w:type="dxa"/>
          </w:tcPr>
          <w:p w14:paraId="69A3549A">
            <w:pPr>
              <w:pStyle w:val="89"/>
              <w:rPr>
                <w:rFonts w:eastAsia="等线"/>
                <w:kern w:val="2"/>
              </w:rPr>
            </w:pPr>
          </w:p>
        </w:tc>
        <w:tc>
          <w:tcPr>
            <w:tcW w:w="1110" w:type="dxa"/>
          </w:tcPr>
          <w:p w14:paraId="32B71AE7">
            <w:pPr>
              <w:pStyle w:val="89"/>
              <w:rPr>
                <w:rFonts w:eastAsia="等线"/>
                <w:kern w:val="2"/>
              </w:rPr>
            </w:pPr>
          </w:p>
        </w:tc>
        <w:tc>
          <w:tcPr>
            <w:tcW w:w="810" w:type="dxa"/>
          </w:tcPr>
          <w:p w14:paraId="09B8D695">
            <w:pPr>
              <w:pStyle w:val="89"/>
              <w:rPr>
                <w:rFonts w:eastAsia="等线"/>
                <w:kern w:val="2"/>
              </w:rPr>
            </w:pPr>
          </w:p>
        </w:tc>
      </w:tr>
      <w:tr w14:paraId="7FF7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71E6B8EE">
            <w:pPr>
              <w:pStyle w:val="89"/>
              <w:jc w:val="center"/>
              <w:rPr>
                <w:rFonts w:eastAsia="等线"/>
                <w:kern w:val="2"/>
              </w:rPr>
            </w:pPr>
          </w:p>
          <w:p w14:paraId="3FC91AED">
            <w:pPr>
              <w:pStyle w:val="89"/>
              <w:jc w:val="center"/>
              <w:rPr>
                <w:rFonts w:eastAsia="等线"/>
                <w:kern w:val="2"/>
              </w:rPr>
            </w:pPr>
            <w:r>
              <w:rPr>
                <w:rFonts w:eastAsia="等线"/>
                <w:kern w:val="2"/>
              </w:rPr>
              <w:t>5</w:t>
            </w:r>
          </w:p>
        </w:tc>
        <w:tc>
          <w:tcPr>
            <w:tcW w:w="8760" w:type="dxa"/>
            <w:gridSpan w:val="7"/>
            <w:vAlign w:val="center"/>
          </w:tcPr>
          <w:p w14:paraId="11377053">
            <w:pPr>
              <w:pStyle w:val="89"/>
              <w:rPr>
                <w:rFonts w:eastAsia="等线"/>
                <w:kern w:val="2"/>
              </w:rPr>
            </w:pPr>
            <w:r>
              <w:rPr>
                <w:rFonts w:eastAsia="等线"/>
                <w:kern w:val="2"/>
                <w:szCs w:val="24"/>
                <w:lang w:bidi="zh-CN"/>
              </w:rPr>
              <w:t>总计：</w:t>
            </w:r>
            <w:r>
              <w:rPr>
                <w:rFonts w:ascii="Arial" w:hAnsi="Arial" w:eastAsia="等线" w:cs="Arial"/>
                <w:kern w:val="2"/>
                <w:szCs w:val="24"/>
                <w:lang w:bidi="zh-CN"/>
              </w:rPr>
              <w:t>¥</w:t>
            </w:r>
            <w:r>
              <w:rPr>
                <w:rFonts w:eastAsia="等线"/>
                <w:kern w:val="2"/>
                <w:szCs w:val="24"/>
                <w:u w:val="single"/>
                <w:lang w:bidi="zh-CN"/>
              </w:rPr>
              <w:t xml:space="preserve">             </w:t>
            </w:r>
            <w:r>
              <w:rPr>
                <w:rFonts w:eastAsia="等线"/>
                <w:kern w:val="2"/>
                <w:szCs w:val="24"/>
                <w:lang w:bidi="zh-CN"/>
              </w:rPr>
              <w:t>元</w:t>
            </w:r>
          </w:p>
        </w:tc>
      </w:tr>
    </w:tbl>
    <w:p w14:paraId="384BC227">
      <w:pPr>
        <w:spacing w:after="100" w:line="360" w:lineRule="auto"/>
        <w:ind w:firstLine="3360" w:firstLineChars="1400"/>
        <w:jc w:val="both"/>
        <w:rPr>
          <w:rFonts w:hint="eastAsia" w:ascii="宋体" w:hAnsi="宋体" w:cs="宋体"/>
          <w:sz w:val="24"/>
        </w:rPr>
      </w:pPr>
      <w:r>
        <w:rPr>
          <w:rFonts w:hint="eastAsia" w:ascii="宋体" w:hAnsi="宋体" w:cs="宋体"/>
          <w:sz w:val="24"/>
        </w:rPr>
        <w:t>供应商名称：（盖章）</w:t>
      </w:r>
    </w:p>
    <w:p w14:paraId="6C365F3C">
      <w:pPr>
        <w:spacing w:after="100" w:line="360" w:lineRule="auto"/>
        <w:ind w:left="1133" w:firstLine="480" w:firstLineChars="200"/>
        <w:jc w:val="center"/>
        <w:rPr>
          <w:rFonts w:hint="eastAsia" w:ascii="宋体" w:hAnsi="宋体" w:cs="宋体"/>
          <w:sz w:val="24"/>
        </w:rPr>
      </w:pPr>
      <w:r>
        <w:rPr>
          <w:rFonts w:hint="eastAsia" w:ascii="宋体" w:hAnsi="宋体" w:cs="宋体"/>
          <w:sz w:val="24"/>
        </w:rPr>
        <w:t xml:space="preserve">    法定代表人或授权委托人（签字或盖章）：</w:t>
      </w:r>
    </w:p>
    <w:p w14:paraId="1B423BEF">
      <w:pPr>
        <w:spacing w:after="100" w:line="360" w:lineRule="auto"/>
        <w:ind w:firstLine="3360" w:firstLineChars="1400"/>
        <w:jc w:val="both"/>
        <w:outlineLvl w:val="0"/>
        <w:rPr>
          <w:rFonts w:hint="eastAsia" w:ascii="宋体" w:hAnsi="宋体" w:cs="宋体"/>
          <w:sz w:val="24"/>
        </w:rPr>
      </w:pPr>
      <w:r>
        <w:rPr>
          <w:rFonts w:hint="eastAsia" w:ascii="宋体" w:hAnsi="宋体" w:cs="宋体"/>
          <w:sz w:val="24"/>
        </w:rPr>
        <w:t>日期：</w:t>
      </w:r>
    </w:p>
    <w:p w14:paraId="72154067">
      <w:pPr>
        <w:spacing w:line="360" w:lineRule="auto"/>
        <w:ind w:firstLine="482" w:firstLineChars="200"/>
        <w:jc w:val="both"/>
        <w:outlineLvl w:val="0"/>
        <w:rPr>
          <w:rFonts w:hint="eastAsia" w:ascii="宋体" w:hAnsi="宋体" w:cs="宋体"/>
          <w:b/>
          <w:bCs/>
          <w:sz w:val="24"/>
          <w:szCs w:val="28"/>
          <w:u w:val="single"/>
        </w:rPr>
      </w:pPr>
      <w:r>
        <w:rPr>
          <w:rFonts w:hint="eastAsia" w:ascii="宋体" w:hAnsi="宋体" w:cs="宋体"/>
          <w:b/>
          <w:bCs/>
          <w:sz w:val="24"/>
          <w:szCs w:val="28"/>
          <w:u w:val="single"/>
        </w:rPr>
        <w:br w:type="page"/>
      </w:r>
    </w:p>
    <w:p w14:paraId="28A9EB06">
      <w:pPr>
        <w:spacing w:line="360" w:lineRule="auto"/>
        <w:ind w:firstLine="482" w:firstLineChars="200"/>
        <w:jc w:val="center"/>
        <w:rPr>
          <w:rFonts w:hint="eastAsia" w:ascii="宋体" w:hAnsi="宋体" w:cs="宋体"/>
          <w:b/>
          <w:bCs/>
          <w:sz w:val="24"/>
          <w:szCs w:val="28"/>
          <w:lang w:bidi="zh-CN"/>
        </w:rPr>
      </w:pPr>
      <w:r>
        <w:rPr>
          <w:rFonts w:hint="eastAsia" w:ascii="宋体" w:hAnsi="宋体" w:cs="宋体"/>
          <w:b/>
          <w:bCs/>
          <w:sz w:val="24"/>
          <w:szCs w:val="28"/>
          <w:lang w:bidi="zh-CN"/>
        </w:rPr>
        <w:t>3.中小企业声明函（货物）（若有，则提供）</w:t>
      </w:r>
    </w:p>
    <w:p w14:paraId="39DDD207">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本公司郑重声明，根据《政府采购促进中小企业发展管理办法》（财库﹝2020﹞46 号）的规定，本公司参加</w:t>
      </w:r>
      <w:r>
        <w:rPr>
          <w:rFonts w:hint="eastAsia" w:ascii="宋体" w:hAnsi="宋体" w:cs="宋体"/>
          <w:sz w:val="24"/>
          <w:szCs w:val="28"/>
          <w:u w:val="single"/>
          <w:lang w:bidi="zh-CN"/>
        </w:rPr>
        <w:t>（单位名称）</w:t>
      </w:r>
      <w:r>
        <w:rPr>
          <w:rFonts w:hint="eastAsia" w:ascii="宋体" w:hAnsi="宋体" w:cs="宋体"/>
          <w:sz w:val="24"/>
          <w:szCs w:val="28"/>
          <w:lang w:bidi="zh-CN"/>
        </w:rPr>
        <w:t>的</w:t>
      </w:r>
      <w:r>
        <w:rPr>
          <w:rFonts w:hint="eastAsia" w:ascii="宋体" w:hAnsi="宋体" w:cs="宋体"/>
          <w:sz w:val="24"/>
          <w:szCs w:val="28"/>
          <w:u w:val="single"/>
          <w:lang w:bidi="zh-CN"/>
        </w:rPr>
        <w:t>（项目名称）</w:t>
      </w:r>
      <w:r>
        <w:rPr>
          <w:rFonts w:hint="eastAsia" w:ascii="宋体" w:hAnsi="宋体" w:cs="宋体"/>
          <w:sz w:val="24"/>
          <w:szCs w:val="28"/>
          <w:lang w:bidi="zh-CN"/>
        </w:rPr>
        <w:t>采购活动，提供的货物全部由符合政策要求的中小企业制造。相关企业的具体情况如下：</w:t>
      </w:r>
    </w:p>
    <w:p w14:paraId="433BEFC6">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1.</w:t>
      </w:r>
      <w:r>
        <w:rPr>
          <w:rFonts w:hint="eastAsia" w:ascii="宋体" w:hAnsi="宋体" w:cs="宋体"/>
          <w:sz w:val="24"/>
          <w:szCs w:val="28"/>
          <w:u w:val="single"/>
          <w:lang w:bidi="zh-CN"/>
        </w:rPr>
        <w:t xml:space="preserve"> （标的名称）</w:t>
      </w:r>
      <w:r>
        <w:rPr>
          <w:rFonts w:hint="eastAsia" w:ascii="宋体" w:hAnsi="宋体" w:cs="宋体"/>
          <w:sz w:val="24"/>
          <w:szCs w:val="28"/>
          <w:lang w:bidi="zh-CN"/>
        </w:rPr>
        <w:t xml:space="preserve"> ，属于</w:t>
      </w:r>
      <w:r>
        <w:rPr>
          <w:rFonts w:hint="eastAsia" w:ascii="宋体" w:hAnsi="宋体" w:cs="宋体"/>
          <w:sz w:val="24"/>
          <w:szCs w:val="28"/>
          <w:u w:val="single"/>
          <w:lang w:bidi="zh-CN"/>
        </w:rPr>
        <w:t>（采购文件中明确的所属行业）</w:t>
      </w:r>
      <w:r>
        <w:rPr>
          <w:rFonts w:hint="eastAsia" w:ascii="宋体" w:hAnsi="宋体" w:cs="宋体"/>
          <w:sz w:val="24"/>
          <w:szCs w:val="28"/>
          <w:lang w:bidi="zh-CN"/>
        </w:rPr>
        <w:t>行业；制造商为</w:t>
      </w:r>
      <w:r>
        <w:rPr>
          <w:rFonts w:hint="eastAsia" w:ascii="宋体" w:hAnsi="宋体" w:cs="宋体"/>
          <w:sz w:val="24"/>
          <w:szCs w:val="28"/>
          <w:u w:val="single"/>
          <w:lang w:bidi="zh-CN"/>
        </w:rPr>
        <w:t>（企业名称）</w:t>
      </w:r>
      <w:r>
        <w:rPr>
          <w:rFonts w:hint="eastAsia" w:ascii="宋体" w:hAnsi="宋体" w:cs="宋体"/>
          <w:sz w:val="24"/>
          <w:szCs w:val="28"/>
          <w:lang w:bidi="zh-CN"/>
        </w:rPr>
        <w:t>，从业人员</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人，营业收入为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万元，资产总额为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万元，属于</w:t>
      </w:r>
      <w:r>
        <w:rPr>
          <w:rFonts w:hint="eastAsia" w:ascii="宋体" w:hAnsi="宋体" w:cs="宋体"/>
          <w:sz w:val="24"/>
          <w:szCs w:val="28"/>
          <w:u w:val="single"/>
          <w:lang w:bidi="zh-CN"/>
        </w:rPr>
        <w:t>（中型企业、小型企业、微型企业）</w:t>
      </w:r>
      <w:r>
        <w:rPr>
          <w:rFonts w:hint="eastAsia" w:ascii="宋体" w:hAnsi="宋体" w:cs="宋体"/>
          <w:sz w:val="24"/>
          <w:szCs w:val="28"/>
          <w:lang w:bidi="zh-CN"/>
        </w:rPr>
        <w:t>；</w:t>
      </w:r>
    </w:p>
    <w:p w14:paraId="6789D67C">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2.</w:t>
      </w:r>
      <w:r>
        <w:rPr>
          <w:rFonts w:hint="eastAsia" w:ascii="宋体" w:hAnsi="宋体" w:cs="宋体"/>
          <w:i/>
          <w:sz w:val="24"/>
          <w:szCs w:val="28"/>
          <w:u w:val="single"/>
          <w:lang w:bidi="zh-CN"/>
        </w:rPr>
        <w:t xml:space="preserve"> </w:t>
      </w:r>
      <w:r>
        <w:rPr>
          <w:rFonts w:hint="eastAsia" w:ascii="宋体" w:hAnsi="宋体" w:cs="宋体"/>
          <w:sz w:val="24"/>
          <w:szCs w:val="28"/>
          <w:u w:val="single"/>
          <w:lang w:bidi="zh-CN"/>
        </w:rPr>
        <w:t xml:space="preserve">（标的名称） </w:t>
      </w:r>
      <w:r>
        <w:rPr>
          <w:rFonts w:hint="eastAsia" w:ascii="宋体" w:hAnsi="宋体" w:cs="宋体"/>
          <w:sz w:val="24"/>
          <w:szCs w:val="28"/>
          <w:lang w:bidi="zh-CN"/>
        </w:rPr>
        <w:t>，属于</w:t>
      </w:r>
      <w:r>
        <w:rPr>
          <w:rFonts w:hint="eastAsia" w:ascii="宋体" w:hAnsi="宋体" w:cs="宋体"/>
          <w:sz w:val="24"/>
          <w:szCs w:val="28"/>
          <w:u w:val="single"/>
          <w:lang w:bidi="zh-CN"/>
        </w:rPr>
        <w:t>（采购文件中明确的所属行业）</w:t>
      </w:r>
      <w:r>
        <w:rPr>
          <w:rFonts w:hint="eastAsia" w:ascii="宋体" w:hAnsi="宋体" w:cs="宋体"/>
          <w:sz w:val="24"/>
          <w:szCs w:val="28"/>
          <w:lang w:bidi="zh-CN"/>
        </w:rPr>
        <w:t>行业；制造商为</w:t>
      </w:r>
      <w:r>
        <w:rPr>
          <w:rFonts w:hint="eastAsia" w:ascii="宋体" w:hAnsi="宋体" w:cs="宋体"/>
          <w:sz w:val="24"/>
          <w:szCs w:val="28"/>
          <w:u w:val="single"/>
          <w:lang w:bidi="zh-CN"/>
        </w:rPr>
        <w:t>（企业名称）</w:t>
      </w:r>
      <w:r>
        <w:rPr>
          <w:rFonts w:hint="eastAsia" w:ascii="宋体" w:hAnsi="宋体" w:cs="宋体"/>
          <w:sz w:val="24"/>
          <w:szCs w:val="28"/>
          <w:lang w:bidi="zh-CN"/>
        </w:rPr>
        <w:t>，从业人员</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人，营业收入为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万元，资产总额为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万元，属于</w:t>
      </w:r>
      <w:r>
        <w:rPr>
          <w:rFonts w:hint="eastAsia" w:ascii="宋体" w:hAnsi="宋体" w:cs="宋体"/>
          <w:sz w:val="24"/>
          <w:szCs w:val="28"/>
          <w:u w:val="single"/>
          <w:lang w:bidi="zh-CN"/>
        </w:rPr>
        <w:t>（中型企业、小型企业、微型企业）</w:t>
      </w:r>
      <w:r>
        <w:rPr>
          <w:rFonts w:hint="eastAsia" w:ascii="宋体" w:hAnsi="宋体" w:cs="宋体"/>
          <w:sz w:val="24"/>
          <w:szCs w:val="28"/>
          <w:lang w:bidi="zh-CN"/>
        </w:rPr>
        <w:t>；</w:t>
      </w:r>
    </w:p>
    <w:p w14:paraId="632BD869">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w:t>
      </w:r>
    </w:p>
    <w:p w14:paraId="25F9E434">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以上企业，不属于大企业的分支机构，不存在控股股东为大企业的情形，也不存在与大企业的负责人为同一人的情形。</w:t>
      </w:r>
    </w:p>
    <w:p w14:paraId="710ACC22">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本企业对上述声明内容的真实性负责。如有虚假，将依法承担相应责任。</w:t>
      </w:r>
    </w:p>
    <w:p w14:paraId="52C4524D">
      <w:pPr>
        <w:spacing w:line="360" w:lineRule="auto"/>
        <w:ind w:firstLine="480" w:firstLineChars="200"/>
        <w:outlineLvl w:val="0"/>
        <w:rPr>
          <w:rFonts w:hint="eastAsia" w:ascii="宋体" w:hAnsi="宋体" w:cs="宋体"/>
          <w:sz w:val="24"/>
          <w:szCs w:val="28"/>
          <w:lang w:bidi="zh-CN"/>
        </w:rPr>
      </w:pPr>
    </w:p>
    <w:p w14:paraId="5F5DF5CC">
      <w:pPr>
        <w:spacing w:line="360" w:lineRule="auto"/>
        <w:ind w:firstLine="480" w:firstLineChars="200"/>
        <w:jc w:val="center"/>
        <w:outlineLvl w:val="0"/>
        <w:rPr>
          <w:rFonts w:hint="eastAsia" w:ascii="宋体" w:hAnsi="宋体" w:cs="宋体"/>
          <w:sz w:val="24"/>
          <w:szCs w:val="28"/>
          <w:lang w:bidi="zh-CN"/>
        </w:rPr>
      </w:pPr>
      <w:r>
        <w:rPr>
          <w:rFonts w:hint="eastAsia" w:ascii="宋体" w:hAnsi="宋体" w:cs="宋体"/>
          <w:sz w:val="24"/>
          <w:szCs w:val="28"/>
          <w:lang w:bidi="zh-CN"/>
        </w:rPr>
        <w:t xml:space="preserve">                      企业名称（盖章）：</w:t>
      </w:r>
    </w:p>
    <w:p w14:paraId="14AFC166">
      <w:pPr>
        <w:spacing w:line="360" w:lineRule="auto"/>
        <w:ind w:firstLine="480" w:firstLineChars="200"/>
        <w:jc w:val="center"/>
        <w:outlineLvl w:val="0"/>
        <w:rPr>
          <w:rFonts w:hint="eastAsia" w:ascii="宋体" w:hAnsi="宋体" w:cs="宋体"/>
          <w:sz w:val="24"/>
          <w:szCs w:val="28"/>
          <w:lang w:bidi="zh-CN"/>
        </w:rPr>
      </w:pPr>
      <w:r>
        <w:rPr>
          <w:rFonts w:hint="eastAsia" w:ascii="宋体" w:hAnsi="宋体" w:cs="宋体"/>
          <w:sz w:val="24"/>
          <w:szCs w:val="28"/>
          <w:lang w:bidi="zh-CN"/>
        </w:rPr>
        <w:t xml:space="preserve">          日期：</w:t>
      </w:r>
    </w:p>
    <w:p w14:paraId="7418C294">
      <w:pPr>
        <w:spacing w:line="360" w:lineRule="auto"/>
        <w:ind w:firstLine="480" w:firstLineChars="200"/>
        <w:rPr>
          <w:rFonts w:hint="eastAsia" w:ascii="宋体" w:hAnsi="宋体" w:cs="宋体"/>
          <w:sz w:val="24"/>
          <w:szCs w:val="28"/>
        </w:rPr>
      </w:pPr>
      <w:r>
        <w:rPr>
          <w:rFonts w:hint="eastAsia" w:ascii="宋体" w:hAnsi="宋体" w:cs="宋体"/>
          <w:sz w:val="24"/>
          <w:szCs w:val="28"/>
        </w:rPr>
        <w:t>注：</w:t>
      </w:r>
    </w:p>
    <w:p w14:paraId="035134BD">
      <w:pPr>
        <w:spacing w:line="360" w:lineRule="auto"/>
        <w:ind w:firstLine="480" w:firstLineChars="200"/>
        <w:rPr>
          <w:rFonts w:hint="eastAsia" w:ascii="宋体" w:hAnsi="宋体" w:cs="宋体"/>
          <w:sz w:val="24"/>
          <w:szCs w:val="28"/>
        </w:rPr>
      </w:pPr>
      <w:r>
        <w:rPr>
          <w:rFonts w:hint="eastAsia" w:ascii="宋体" w:hAnsi="宋体" w:cs="宋体"/>
          <w:sz w:val="24"/>
          <w:szCs w:val="28"/>
        </w:rPr>
        <w:t>（1）从业人员、营业收入、资产总额填报上一年度数据，无上一年度数据的新成立企业可不填报。</w:t>
      </w:r>
    </w:p>
    <w:p w14:paraId="04190152">
      <w:pPr>
        <w:spacing w:line="360" w:lineRule="auto"/>
        <w:ind w:firstLine="480" w:firstLineChars="200"/>
        <w:jc w:val="center"/>
        <w:outlineLvl w:val="0"/>
        <w:rPr>
          <w:rFonts w:hint="eastAsia" w:ascii="宋体" w:hAnsi="宋体" w:cs="宋体"/>
          <w:b/>
          <w:sz w:val="24"/>
          <w:szCs w:val="32"/>
        </w:rPr>
      </w:pPr>
      <w:r>
        <w:rPr>
          <w:rFonts w:hint="eastAsia" w:ascii="宋体" w:hAnsi="宋体" w:cs="宋体"/>
          <w:sz w:val="24"/>
          <w:szCs w:val="32"/>
        </w:rPr>
        <w:br w:type="page"/>
      </w:r>
      <w:r>
        <w:rPr>
          <w:rFonts w:hint="eastAsia" w:ascii="宋体" w:hAnsi="宋体" w:cs="宋体"/>
          <w:sz w:val="24"/>
          <w:szCs w:val="32"/>
        </w:rPr>
        <w:t>4.</w:t>
      </w:r>
      <w:r>
        <w:rPr>
          <w:rFonts w:hint="eastAsia" w:ascii="宋体" w:hAnsi="宋体" w:cs="宋体"/>
          <w:b/>
          <w:sz w:val="24"/>
          <w:szCs w:val="32"/>
        </w:rPr>
        <w:t>残疾人福利性单位声明函（若有，则提供）</w:t>
      </w:r>
    </w:p>
    <w:p w14:paraId="21C1D8CD">
      <w:pPr>
        <w:spacing w:line="360" w:lineRule="auto"/>
        <w:ind w:firstLine="480" w:firstLineChars="200"/>
        <w:rPr>
          <w:rFonts w:hint="eastAsia" w:ascii="宋体" w:hAnsi="宋体" w:cs="宋体"/>
          <w:sz w:val="24"/>
          <w:szCs w:val="28"/>
        </w:rPr>
      </w:pPr>
      <w:r>
        <w:rPr>
          <w:rFonts w:hint="eastAsia" w:ascii="宋体" w:hAnsi="宋体" w:cs="宋体"/>
          <w:sz w:val="24"/>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4"/>
          <w:szCs w:val="28"/>
          <w:u w:val="single"/>
        </w:rPr>
        <w:t xml:space="preserve">       </w:t>
      </w:r>
      <w:r>
        <w:rPr>
          <w:rFonts w:hint="eastAsia" w:ascii="宋体" w:hAnsi="宋体" w:cs="宋体"/>
          <w:sz w:val="24"/>
          <w:szCs w:val="28"/>
        </w:rPr>
        <w:t>项目采购活动提供本单位制造的货物（由本单位承担工程/提供服务），或者提供其他残疾人福利性单位制造的货物（不包括使用非残疾人福利性单位注册商标的货物）。</w:t>
      </w:r>
    </w:p>
    <w:p w14:paraId="64ABA4D6">
      <w:pPr>
        <w:spacing w:line="360" w:lineRule="auto"/>
        <w:ind w:firstLine="480" w:firstLineChars="200"/>
        <w:rPr>
          <w:rFonts w:hint="eastAsia" w:ascii="宋体" w:hAnsi="宋体" w:cs="宋体"/>
          <w:sz w:val="24"/>
          <w:szCs w:val="28"/>
        </w:rPr>
      </w:pPr>
      <w:r>
        <w:rPr>
          <w:rFonts w:hint="eastAsia" w:ascii="宋体" w:hAnsi="宋体" w:cs="宋体"/>
          <w:sz w:val="24"/>
          <w:szCs w:val="28"/>
        </w:rPr>
        <w:t>本单位对上述声明的真实性负责。如有虚假，将依法承担相应责任。</w:t>
      </w:r>
    </w:p>
    <w:p w14:paraId="60C3DB92">
      <w:pPr>
        <w:spacing w:line="360" w:lineRule="auto"/>
        <w:ind w:firstLine="480" w:firstLineChars="200"/>
        <w:rPr>
          <w:rFonts w:hint="eastAsia" w:ascii="宋体" w:hAnsi="宋体" w:cs="宋体"/>
          <w:sz w:val="24"/>
          <w:szCs w:val="28"/>
        </w:rPr>
      </w:pPr>
      <w:r>
        <w:rPr>
          <w:rFonts w:hint="eastAsia" w:ascii="宋体" w:hAnsi="宋体" w:cs="宋体"/>
          <w:sz w:val="24"/>
          <w:szCs w:val="28"/>
        </w:rPr>
        <w:t>（备注：1、供应商如不提供此声明函，价格将不做相应扣除。2、成交供应商为残疾人福利单位的，此声明函将随成交结果同时公告，接受社会监督）</w:t>
      </w:r>
    </w:p>
    <w:p w14:paraId="7FE95E1F">
      <w:pPr>
        <w:spacing w:line="360" w:lineRule="auto"/>
        <w:ind w:firstLine="504" w:firstLineChars="200"/>
        <w:rPr>
          <w:rFonts w:hint="eastAsia" w:ascii="宋体" w:hAnsi="宋体" w:cs="宋体"/>
          <w:spacing w:val="6"/>
          <w:sz w:val="24"/>
          <w:szCs w:val="28"/>
        </w:rPr>
      </w:pPr>
    </w:p>
    <w:p w14:paraId="1277B771">
      <w:pPr>
        <w:tabs>
          <w:tab w:val="left" w:pos="4860"/>
        </w:tabs>
        <w:spacing w:line="360" w:lineRule="auto"/>
        <w:ind w:right="1560" w:firstLine="504" w:firstLineChars="200"/>
        <w:jc w:val="center"/>
        <w:rPr>
          <w:rFonts w:hint="eastAsia" w:ascii="宋体" w:hAnsi="宋体" w:cs="宋体"/>
          <w:sz w:val="24"/>
          <w:szCs w:val="28"/>
        </w:rPr>
      </w:pPr>
      <w:r>
        <w:rPr>
          <w:rFonts w:hint="eastAsia" w:ascii="宋体" w:hAnsi="宋体" w:cs="宋体"/>
          <w:spacing w:val="6"/>
          <w:sz w:val="24"/>
          <w:szCs w:val="28"/>
        </w:rPr>
        <w:t xml:space="preserve">             </w:t>
      </w:r>
      <w:r>
        <w:rPr>
          <w:rFonts w:hint="eastAsia" w:ascii="宋体" w:hAnsi="宋体" w:cs="宋体"/>
          <w:sz w:val="24"/>
          <w:szCs w:val="28"/>
        </w:rPr>
        <w:t xml:space="preserve">          供应商全称（盖章）：</w:t>
      </w:r>
    </w:p>
    <w:p w14:paraId="68E37E4B">
      <w:pPr>
        <w:tabs>
          <w:tab w:val="left" w:pos="4860"/>
        </w:tabs>
        <w:spacing w:line="360" w:lineRule="auto"/>
        <w:ind w:right="1560" w:firstLine="480" w:firstLineChars="200"/>
        <w:jc w:val="center"/>
        <w:rPr>
          <w:rFonts w:hint="eastAsia" w:ascii="宋体" w:hAnsi="宋体" w:cs="宋体"/>
          <w:sz w:val="24"/>
          <w:szCs w:val="28"/>
        </w:rPr>
      </w:pPr>
      <w:r>
        <w:rPr>
          <w:rFonts w:hint="eastAsia" w:ascii="宋体" w:hAnsi="宋体" w:cs="宋体"/>
          <w:sz w:val="24"/>
          <w:szCs w:val="28"/>
        </w:rPr>
        <w:t xml:space="preserve">              日  期：</w:t>
      </w:r>
    </w:p>
    <w:p w14:paraId="486F3AF3">
      <w:pPr>
        <w:spacing w:line="360" w:lineRule="auto"/>
        <w:ind w:firstLine="480" w:firstLineChars="200"/>
        <w:rPr>
          <w:rFonts w:hint="eastAsia" w:ascii="宋体" w:hAnsi="宋体" w:cs="宋体"/>
          <w:sz w:val="24"/>
          <w:szCs w:val="28"/>
        </w:rPr>
      </w:pPr>
    </w:p>
    <w:p w14:paraId="2E0DB2C5">
      <w:pPr>
        <w:spacing w:line="360" w:lineRule="auto"/>
        <w:ind w:firstLine="480" w:firstLineChars="200"/>
        <w:outlineLvl w:val="0"/>
        <w:rPr>
          <w:rFonts w:hint="eastAsia" w:ascii="宋体" w:hAnsi="宋体" w:cs="宋体"/>
          <w:sz w:val="24"/>
          <w:szCs w:val="28"/>
        </w:rPr>
      </w:pPr>
    </w:p>
    <w:p w14:paraId="4B021B31">
      <w:pPr>
        <w:spacing w:line="360" w:lineRule="auto"/>
        <w:ind w:firstLine="480" w:firstLineChars="200"/>
        <w:outlineLvl w:val="0"/>
        <w:rPr>
          <w:rFonts w:hint="eastAsia" w:ascii="宋体" w:hAnsi="宋体" w:cs="宋体"/>
          <w:sz w:val="24"/>
          <w:szCs w:val="28"/>
        </w:rPr>
      </w:pPr>
    </w:p>
    <w:p w14:paraId="00CA3766">
      <w:pPr>
        <w:spacing w:line="360" w:lineRule="auto"/>
        <w:ind w:firstLine="480" w:firstLineChars="200"/>
        <w:outlineLvl w:val="0"/>
        <w:rPr>
          <w:rFonts w:hint="eastAsia" w:ascii="宋体" w:hAnsi="宋体" w:cs="宋体"/>
          <w:sz w:val="24"/>
          <w:szCs w:val="28"/>
        </w:rPr>
      </w:pPr>
    </w:p>
    <w:p w14:paraId="57E4BDB9">
      <w:pPr>
        <w:spacing w:line="360" w:lineRule="auto"/>
        <w:ind w:firstLine="480" w:firstLineChars="200"/>
        <w:outlineLvl w:val="0"/>
        <w:rPr>
          <w:rFonts w:hint="eastAsia" w:ascii="宋体" w:hAnsi="宋体" w:cs="宋体"/>
          <w:sz w:val="24"/>
          <w:szCs w:val="28"/>
        </w:rPr>
      </w:pPr>
    </w:p>
    <w:p w14:paraId="738A6BA5">
      <w:pPr>
        <w:spacing w:line="360" w:lineRule="auto"/>
        <w:ind w:firstLine="482" w:firstLineChars="200"/>
        <w:jc w:val="center"/>
        <w:outlineLvl w:val="3"/>
        <w:rPr>
          <w:rFonts w:hint="eastAsia" w:ascii="宋体" w:hAnsi="宋体" w:cs="宋体"/>
          <w:b/>
          <w:bCs/>
          <w:sz w:val="24"/>
          <w:szCs w:val="32"/>
        </w:rPr>
      </w:pPr>
      <w:r>
        <w:rPr>
          <w:rFonts w:hint="eastAsia" w:ascii="宋体" w:hAnsi="宋体" w:cs="宋体"/>
          <w:b/>
          <w:bCs/>
          <w:sz w:val="24"/>
          <w:szCs w:val="32"/>
        </w:rPr>
        <w:br w:type="page"/>
      </w:r>
      <w:r>
        <w:rPr>
          <w:rFonts w:hint="eastAsia" w:ascii="宋体" w:hAnsi="宋体" w:cs="宋体"/>
          <w:b/>
          <w:bCs/>
          <w:sz w:val="24"/>
          <w:szCs w:val="32"/>
        </w:rPr>
        <w:t>5.监狱和戒毒企业证明材料（若有，则提供）</w:t>
      </w:r>
    </w:p>
    <w:p w14:paraId="61F0A977">
      <w:pPr>
        <w:spacing w:line="360" w:lineRule="auto"/>
        <w:ind w:firstLine="480" w:firstLineChars="200"/>
        <w:rPr>
          <w:rFonts w:hint="eastAsia" w:ascii="宋体" w:hAnsi="宋体" w:cs="宋体"/>
          <w:sz w:val="24"/>
          <w:szCs w:val="28"/>
        </w:rPr>
      </w:pPr>
    </w:p>
    <w:p w14:paraId="29D3479D">
      <w:pPr>
        <w:spacing w:line="360" w:lineRule="auto"/>
        <w:ind w:firstLine="482" w:firstLineChars="200"/>
        <w:rPr>
          <w:rFonts w:hint="eastAsia" w:ascii="宋体" w:hAnsi="宋体" w:cs="宋体"/>
          <w:b/>
          <w:sz w:val="24"/>
          <w:szCs w:val="28"/>
        </w:rPr>
      </w:pPr>
      <w:r>
        <w:rPr>
          <w:rFonts w:hint="eastAsia" w:ascii="宋体" w:hAnsi="宋体" w:cs="宋体"/>
          <w:b/>
          <w:sz w:val="24"/>
          <w:szCs w:val="28"/>
        </w:rPr>
        <w:t>（格式自拟）</w:t>
      </w:r>
    </w:p>
    <w:p w14:paraId="784DB602">
      <w:pPr>
        <w:spacing w:line="360" w:lineRule="auto"/>
        <w:ind w:firstLine="480" w:firstLineChars="200"/>
        <w:rPr>
          <w:rFonts w:hint="eastAsia" w:ascii="宋体" w:hAnsi="宋体" w:cs="宋体"/>
          <w:sz w:val="24"/>
          <w:szCs w:val="28"/>
        </w:rPr>
      </w:pPr>
    </w:p>
    <w:p w14:paraId="663CE79E">
      <w:pPr>
        <w:spacing w:line="360" w:lineRule="auto"/>
        <w:ind w:firstLine="480" w:firstLineChars="200"/>
        <w:rPr>
          <w:rFonts w:hint="eastAsia" w:ascii="宋体" w:hAnsi="宋体" w:cs="宋体"/>
          <w:sz w:val="24"/>
        </w:rPr>
      </w:pPr>
      <w:r>
        <w:rPr>
          <w:rFonts w:hint="eastAsia" w:ascii="宋体" w:hAnsi="宋体" w:cs="宋体"/>
          <w:sz w:val="24"/>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854C688">
      <w:pPr>
        <w:pStyle w:val="25"/>
        <w:spacing w:line="360" w:lineRule="auto"/>
        <w:ind w:firstLine="480" w:firstLineChars="200"/>
        <w:rPr>
          <w:rFonts w:hint="eastAsia" w:ascii="宋体" w:hAnsi="宋体" w:cs="宋体"/>
          <w:sz w:val="24"/>
          <w:szCs w:val="24"/>
        </w:rPr>
      </w:pPr>
    </w:p>
    <w:sectPr>
      <w:headerReference r:id="rId7" w:type="default"/>
      <w:footerReference r:id="rId8" w:type="default"/>
      <w:pgSz w:w="11906" w:h="16838"/>
      <w:pgMar w:top="1361" w:right="1361" w:bottom="1361" w:left="1361" w:header="708"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923A2">
    <w:pPr>
      <w:pStyle w:val="20"/>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F0F8">
    <w:pPr>
      <w:pStyle w:val="20"/>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5274E">
                          <w:pPr>
                            <w:pStyle w:val="2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65274E">
                    <w:pPr>
                      <w:pStyle w:val="2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2535">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56ED6">
                          <w:pPr>
                            <w:pStyle w:val="2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A56ED6">
                    <w:pPr>
                      <w:pStyle w:val="2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DC48">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6C90">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CE54B"/>
    <w:multiLevelType w:val="singleLevel"/>
    <w:tmpl w:val="9A4CE54B"/>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0ZjRiM2E0MGM0ZWE0YjM3ZjhhNjYwNmFhOTNkNTQifQ=="/>
    <w:docVar w:name="KSO_WPS_MARK_KEY" w:val="e22fb9ba-9bed-4e20-99df-37e0efc83781"/>
  </w:docVars>
  <w:rsids>
    <w:rsidRoot w:val="00D31D50"/>
    <w:rsid w:val="00004BA9"/>
    <w:rsid w:val="000069EA"/>
    <w:rsid w:val="00033F89"/>
    <w:rsid w:val="00042A27"/>
    <w:rsid w:val="00047E2C"/>
    <w:rsid w:val="00052825"/>
    <w:rsid w:val="00054B47"/>
    <w:rsid w:val="00060AAE"/>
    <w:rsid w:val="00067C9A"/>
    <w:rsid w:val="000759AA"/>
    <w:rsid w:val="000773A6"/>
    <w:rsid w:val="00082BDD"/>
    <w:rsid w:val="00083F8A"/>
    <w:rsid w:val="00093216"/>
    <w:rsid w:val="00096809"/>
    <w:rsid w:val="000B5BB1"/>
    <w:rsid w:val="000E0DBA"/>
    <w:rsid w:val="000E1C15"/>
    <w:rsid w:val="00102E92"/>
    <w:rsid w:val="0011220A"/>
    <w:rsid w:val="00130AC4"/>
    <w:rsid w:val="00191FFB"/>
    <w:rsid w:val="001A3F9A"/>
    <w:rsid w:val="001B2D9A"/>
    <w:rsid w:val="001B5580"/>
    <w:rsid w:val="001B665E"/>
    <w:rsid w:val="001B6C61"/>
    <w:rsid w:val="001B76F8"/>
    <w:rsid w:val="001C5849"/>
    <w:rsid w:val="001D08A9"/>
    <w:rsid w:val="001D7056"/>
    <w:rsid w:val="001D7444"/>
    <w:rsid w:val="001E63DD"/>
    <w:rsid w:val="00200CDF"/>
    <w:rsid w:val="00213A06"/>
    <w:rsid w:val="0022057C"/>
    <w:rsid w:val="00225F64"/>
    <w:rsid w:val="00235C62"/>
    <w:rsid w:val="00244B61"/>
    <w:rsid w:val="00245D5D"/>
    <w:rsid w:val="0024723B"/>
    <w:rsid w:val="002479F1"/>
    <w:rsid w:val="00257B0D"/>
    <w:rsid w:val="00262ACA"/>
    <w:rsid w:val="00263858"/>
    <w:rsid w:val="002742A2"/>
    <w:rsid w:val="00296707"/>
    <w:rsid w:val="002A0E56"/>
    <w:rsid w:val="002A209E"/>
    <w:rsid w:val="002C5E5D"/>
    <w:rsid w:val="002E55A6"/>
    <w:rsid w:val="002E5FAB"/>
    <w:rsid w:val="002F072D"/>
    <w:rsid w:val="002F167C"/>
    <w:rsid w:val="002F6872"/>
    <w:rsid w:val="00300396"/>
    <w:rsid w:val="00323537"/>
    <w:rsid w:val="00323B43"/>
    <w:rsid w:val="003278B3"/>
    <w:rsid w:val="0033028C"/>
    <w:rsid w:val="00336766"/>
    <w:rsid w:val="00344AB2"/>
    <w:rsid w:val="00351AB4"/>
    <w:rsid w:val="0035293C"/>
    <w:rsid w:val="00357EF3"/>
    <w:rsid w:val="003776F1"/>
    <w:rsid w:val="003B7BBA"/>
    <w:rsid w:val="003D26DB"/>
    <w:rsid w:val="003D37D8"/>
    <w:rsid w:val="003D4CB0"/>
    <w:rsid w:val="003E31F3"/>
    <w:rsid w:val="003F417C"/>
    <w:rsid w:val="00421506"/>
    <w:rsid w:val="00426133"/>
    <w:rsid w:val="00435570"/>
    <w:rsid w:val="004358AB"/>
    <w:rsid w:val="00445DE8"/>
    <w:rsid w:val="00457BB7"/>
    <w:rsid w:val="004661E7"/>
    <w:rsid w:val="00476BA7"/>
    <w:rsid w:val="004812AC"/>
    <w:rsid w:val="00485775"/>
    <w:rsid w:val="00490A97"/>
    <w:rsid w:val="0049333B"/>
    <w:rsid w:val="004A3661"/>
    <w:rsid w:val="004A4051"/>
    <w:rsid w:val="004B15B1"/>
    <w:rsid w:val="004C0E70"/>
    <w:rsid w:val="004C2CA7"/>
    <w:rsid w:val="004D3293"/>
    <w:rsid w:val="005000F1"/>
    <w:rsid w:val="0050229C"/>
    <w:rsid w:val="0050319E"/>
    <w:rsid w:val="005162BA"/>
    <w:rsid w:val="00524167"/>
    <w:rsid w:val="005332F0"/>
    <w:rsid w:val="0053571E"/>
    <w:rsid w:val="005571E9"/>
    <w:rsid w:val="00563504"/>
    <w:rsid w:val="005704C6"/>
    <w:rsid w:val="005715F2"/>
    <w:rsid w:val="00595554"/>
    <w:rsid w:val="005A622D"/>
    <w:rsid w:val="005F0883"/>
    <w:rsid w:val="005F1E51"/>
    <w:rsid w:val="005F5DF7"/>
    <w:rsid w:val="00604F4E"/>
    <w:rsid w:val="00615F9D"/>
    <w:rsid w:val="00631930"/>
    <w:rsid w:val="00631F0F"/>
    <w:rsid w:val="0063222F"/>
    <w:rsid w:val="00633068"/>
    <w:rsid w:val="00633457"/>
    <w:rsid w:val="00637CF6"/>
    <w:rsid w:val="00645CDE"/>
    <w:rsid w:val="00671FD8"/>
    <w:rsid w:val="00684AD9"/>
    <w:rsid w:val="006A40F1"/>
    <w:rsid w:val="006A700F"/>
    <w:rsid w:val="006C1704"/>
    <w:rsid w:val="006D1D9C"/>
    <w:rsid w:val="006D447E"/>
    <w:rsid w:val="006E732A"/>
    <w:rsid w:val="006F7281"/>
    <w:rsid w:val="00705D4E"/>
    <w:rsid w:val="0071400E"/>
    <w:rsid w:val="00716F4C"/>
    <w:rsid w:val="0072484E"/>
    <w:rsid w:val="00731497"/>
    <w:rsid w:val="00743EC7"/>
    <w:rsid w:val="00750F92"/>
    <w:rsid w:val="007517F5"/>
    <w:rsid w:val="00753DBB"/>
    <w:rsid w:val="007619ED"/>
    <w:rsid w:val="00766CF5"/>
    <w:rsid w:val="007711BA"/>
    <w:rsid w:val="00782F33"/>
    <w:rsid w:val="007A0D10"/>
    <w:rsid w:val="007A3CAE"/>
    <w:rsid w:val="007C0720"/>
    <w:rsid w:val="007E4E3C"/>
    <w:rsid w:val="00803D35"/>
    <w:rsid w:val="008055AC"/>
    <w:rsid w:val="00822CE9"/>
    <w:rsid w:val="008326D9"/>
    <w:rsid w:val="00840556"/>
    <w:rsid w:val="0084762B"/>
    <w:rsid w:val="00860F1D"/>
    <w:rsid w:val="00872DB2"/>
    <w:rsid w:val="00877042"/>
    <w:rsid w:val="008872AF"/>
    <w:rsid w:val="008A73D9"/>
    <w:rsid w:val="008A7FD0"/>
    <w:rsid w:val="008B6960"/>
    <w:rsid w:val="008B7726"/>
    <w:rsid w:val="008B7819"/>
    <w:rsid w:val="008B7FC5"/>
    <w:rsid w:val="008D42F0"/>
    <w:rsid w:val="008F0E86"/>
    <w:rsid w:val="00903896"/>
    <w:rsid w:val="00903A3E"/>
    <w:rsid w:val="009056D8"/>
    <w:rsid w:val="0091244B"/>
    <w:rsid w:val="009154C8"/>
    <w:rsid w:val="0093381E"/>
    <w:rsid w:val="009407CC"/>
    <w:rsid w:val="009414CB"/>
    <w:rsid w:val="0095404B"/>
    <w:rsid w:val="0095604C"/>
    <w:rsid w:val="009679F1"/>
    <w:rsid w:val="009818E0"/>
    <w:rsid w:val="00994345"/>
    <w:rsid w:val="009953F1"/>
    <w:rsid w:val="009963A7"/>
    <w:rsid w:val="009963B4"/>
    <w:rsid w:val="00997E61"/>
    <w:rsid w:val="009B4F42"/>
    <w:rsid w:val="009C1F4F"/>
    <w:rsid w:val="009D5E18"/>
    <w:rsid w:val="009E03B1"/>
    <w:rsid w:val="009E3F42"/>
    <w:rsid w:val="009E6CDA"/>
    <w:rsid w:val="009F62E5"/>
    <w:rsid w:val="00A04F23"/>
    <w:rsid w:val="00A36436"/>
    <w:rsid w:val="00A415A1"/>
    <w:rsid w:val="00A84072"/>
    <w:rsid w:val="00A94652"/>
    <w:rsid w:val="00AB7166"/>
    <w:rsid w:val="00AD052A"/>
    <w:rsid w:val="00AD54D0"/>
    <w:rsid w:val="00AE1FB8"/>
    <w:rsid w:val="00AF0D89"/>
    <w:rsid w:val="00AF23E2"/>
    <w:rsid w:val="00AF6521"/>
    <w:rsid w:val="00B0022C"/>
    <w:rsid w:val="00B00DC9"/>
    <w:rsid w:val="00B050B5"/>
    <w:rsid w:val="00B10C42"/>
    <w:rsid w:val="00B323FE"/>
    <w:rsid w:val="00B373BB"/>
    <w:rsid w:val="00B41099"/>
    <w:rsid w:val="00B62085"/>
    <w:rsid w:val="00B736AD"/>
    <w:rsid w:val="00B74CCA"/>
    <w:rsid w:val="00B75196"/>
    <w:rsid w:val="00BA6ED1"/>
    <w:rsid w:val="00BB4947"/>
    <w:rsid w:val="00BC3731"/>
    <w:rsid w:val="00BC7B7E"/>
    <w:rsid w:val="00BD28D7"/>
    <w:rsid w:val="00BE118D"/>
    <w:rsid w:val="00C00B5B"/>
    <w:rsid w:val="00C076EE"/>
    <w:rsid w:val="00C14228"/>
    <w:rsid w:val="00C14283"/>
    <w:rsid w:val="00C16747"/>
    <w:rsid w:val="00C24B68"/>
    <w:rsid w:val="00C44C60"/>
    <w:rsid w:val="00C551E7"/>
    <w:rsid w:val="00C555F4"/>
    <w:rsid w:val="00C65E9D"/>
    <w:rsid w:val="00C80958"/>
    <w:rsid w:val="00C85252"/>
    <w:rsid w:val="00C85DEF"/>
    <w:rsid w:val="00CA7666"/>
    <w:rsid w:val="00CA783A"/>
    <w:rsid w:val="00CD401C"/>
    <w:rsid w:val="00D036E2"/>
    <w:rsid w:val="00D11250"/>
    <w:rsid w:val="00D236F9"/>
    <w:rsid w:val="00D24F23"/>
    <w:rsid w:val="00D31D50"/>
    <w:rsid w:val="00D53C34"/>
    <w:rsid w:val="00D5492D"/>
    <w:rsid w:val="00D5506E"/>
    <w:rsid w:val="00DC75F8"/>
    <w:rsid w:val="00DF0BEA"/>
    <w:rsid w:val="00DF4EA9"/>
    <w:rsid w:val="00E11E8A"/>
    <w:rsid w:val="00E125C0"/>
    <w:rsid w:val="00E1648E"/>
    <w:rsid w:val="00E225AB"/>
    <w:rsid w:val="00E22C45"/>
    <w:rsid w:val="00E437E5"/>
    <w:rsid w:val="00E51C53"/>
    <w:rsid w:val="00E67218"/>
    <w:rsid w:val="00E67974"/>
    <w:rsid w:val="00E74AF4"/>
    <w:rsid w:val="00E762DD"/>
    <w:rsid w:val="00E81CC9"/>
    <w:rsid w:val="00E84B4F"/>
    <w:rsid w:val="00E97B66"/>
    <w:rsid w:val="00EB47C5"/>
    <w:rsid w:val="00EB5F04"/>
    <w:rsid w:val="00EC3880"/>
    <w:rsid w:val="00EC6511"/>
    <w:rsid w:val="00ED5D4D"/>
    <w:rsid w:val="00EE00E7"/>
    <w:rsid w:val="00EE42E4"/>
    <w:rsid w:val="00EE7621"/>
    <w:rsid w:val="00EF6B79"/>
    <w:rsid w:val="00EF7F42"/>
    <w:rsid w:val="00F10030"/>
    <w:rsid w:val="00F11E5D"/>
    <w:rsid w:val="00F310AF"/>
    <w:rsid w:val="00F34D22"/>
    <w:rsid w:val="00F40315"/>
    <w:rsid w:val="00F46106"/>
    <w:rsid w:val="00F46E52"/>
    <w:rsid w:val="00F51CAF"/>
    <w:rsid w:val="00F5280D"/>
    <w:rsid w:val="00F550ED"/>
    <w:rsid w:val="00F83F4E"/>
    <w:rsid w:val="00F97645"/>
    <w:rsid w:val="00FA2AC7"/>
    <w:rsid w:val="00FC1922"/>
    <w:rsid w:val="00FC253C"/>
    <w:rsid w:val="00FE4454"/>
    <w:rsid w:val="00FF08D0"/>
    <w:rsid w:val="00FF2C02"/>
    <w:rsid w:val="00FF336A"/>
    <w:rsid w:val="010509E6"/>
    <w:rsid w:val="011A24F4"/>
    <w:rsid w:val="016F218C"/>
    <w:rsid w:val="019C6989"/>
    <w:rsid w:val="01B25389"/>
    <w:rsid w:val="01B50251"/>
    <w:rsid w:val="01C963F3"/>
    <w:rsid w:val="01D732A6"/>
    <w:rsid w:val="020A2568"/>
    <w:rsid w:val="02337D11"/>
    <w:rsid w:val="028F7BE9"/>
    <w:rsid w:val="02DE7C7D"/>
    <w:rsid w:val="03063B82"/>
    <w:rsid w:val="03304250"/>
    <w:rsid w:val="03335D27"/>
    <w:rsid w:val="033622D0"/>
    <w:rsid w:val="03626655"/>
    <w:rsid w:val="03A9794B"/>
    <w:rsid w:val="041532A2"/>
    <w:rsid w:val="042B51A0"/>
    <w:rsid w:val="04445C87"/>
    <w:rsid w:val="0466617C"/>
    <w:rsid w:val="04687D1B"/>
    <w:rsid w:val="048B5BE2"/>
    <w:rsid w:val="04E377CC"/>
    <w:rsid w:val="05006CB1"/>
    <w:rsid w:val="050140F6"/>
    <w:rsid w:val="05172E33"/>
    <w:rsid w:val="05A1711C"/>
    <w:rsid w:val="05A54A82"/>
    <w:rsid w:val="05C237BA"/>
    <w:rsid w:val="0651540A"/>
    <w:rsid w:val="06671F0C"/>
    <w:rsid w:val="0668471E"/>
    <w:rsid w:val="066B3E27"/>
    <w:rsid w:val="06B50CF4"/>
    <w:rsid w:val="06C37571"/>
    <w:rsid w:val="06C673A5"/>
    <w:rsid w:val="06CF6A92"/>
    <w:rsid w:val="070B300A"/>
    <w:rsid w:val="076C2262"/>
    <w:rsid w:val="077E095C"/>
    <w:rsid w:val="078A0FA6"/>
    <w:rsid w:val="07DD4E5C"/>
    <w:rsid w:val="081C344C"/>
    <w:rsid w:val="0854453D"/>
    <w:rsid w:val="088363CB"/>
    <w:rsid w:val="08B1198F"/>
    <w:rsid w:val="08B14A44"/>
    <w:rsid w:val="08E23C96"/>
    <w:rsid w:val="08F655F4"/>
    <w:rsid w:val="08FA50E4"/>
    <w:rsid w:val="08FF767A"/>
    <w:rsid w:val="09004CE3"/>
    <w:rsid w:val="09971289"/>
    <w:rsid w:val="09E35B78"/>
    <w:rsid w:val="0A530B6C"/>
    <w:rsid w:val="0A5D1DCF"/>
    <w:rsid w:val="0A9D3ECC"/>
    <w:rsid w:val="0AB269A0"/>
    <w:rsid w:val="0AB67731"/>
    <w:rsid w:val="0B001553"/>
    <w:rsid w:val="0B121A42"/>
    <w:rsid w:val="0B423B3C"/>
    <w:rsid w:val="0B610ED4"/>
    <w:rsid w:val="0B754EF6"/>
    <w:rsid w:val="0C1E733C"/>
    <w:rsid w:val="0C3721AC"/>
    <w:rsid w:val="0C41127C"/>
    <w:rsid w:val="0C82292B"/>
    <w:rsid w:val="0C9B4CC7"/>
    <w:rsid w:val="0CBE011B"/>
    <w:rsid w:val="0CF174DE"/>
    <w:rsid w:val="0DE33693"/>
    <w:rsid w:val="0DF540CC"/>
    <w:rsid w:val="0DF76096"/>
    <w:rsid w:val="0E0B6422"/>
    <w:rsid w:val="0E70686C"/>
    <w:rsid w:val="0E707BF7"/>
    <w:rsid w:val="0E8D07A9"/>
    <w:rsid w:val="0EA7186A"/>
    <w:rsid w:val="0F546D8C"/>
    <w:rsid w:val="0F655282"/>
    <w:rsid w:val="0F87344A"/>
    <w:rsid w:val="0F8B27BA"/>
    <w:rsid w:val="0FAA3873"/>
    <w:rsid w:val="0FF74F88"/>
    <w:rsid w:val="106C2DCB"/>
    <w:rsid w:val="107C2883"/>
    <w:rsid w:val="109126F6"/>
    <w:rsid w:val="109B5B2B"/>
    <w:rsid w:val="10A623C8"/>
    <w:rsid w:val="11062F9A"/>
    <w:rsid w:val="111927C8"/>
    <w:rsid w:val="1136590C"/>
    <w:rsid w:val="115630D4"/>
    <w:rsid w:val="117028A0"/>
    <w:rsid w:val="11B524F0"/>
    <w:rsid w:val="11BF511D"/>
    <w:rsid w:val="12780CAB"/>
    <w:rsid w:val="12FE1C75"/>
    <w:rsid w:val="136F4C96"/>
    <w:rsid w:val="1377583F"/>
    <w:rsid w:val="139548CF"/>
    <w:rsid w:val="13A938D2"/>
    <w:rsid w:val="13B80076"/>
    <w:rsid w:val="13DA3720"/>
    <w:rsid w:val="14467430"/>
    <w:rsid w:val="14B06690"/>
    <w:rsid w:val="153802B0"/>
    <w:rsid w:val="154E5837"/>
    <w:rsid w:val="1563166D"/>
    <w:rsid w:val="15682010"/>
    <w:rsid w:val="15D62A35"/>
    <w:rsid w:val="15E06243"/>
    <w:rsid w:val="166662E2"/>
    <w:rsid w:val="16667265"/>
    <w:rsid w:val="168752E0"/>
    <w:rsid w:val="17B60D70"/>
    <w:rsid w:val="180928BA"/>
    <w:rsid w:val="18591E4E"/>
    <w:rsid w:val="18B057C0"/>
    <w:rsid w:val="18E66346"/>
    <w:rsid w:val="193F08F1"/>
    <w:rsid w:val="194660D8"/>
    <w:rsid w:val="196F567B"/>
    <w:rsid w:val="19753563"/>
    <w:rsid w:val="19836A30"/>
    <w:rsid w:val="198C1D89"/>
    <w:rsid w:val="19BE42D5"/>
    <w:rsid w:val="1A157B94"/>
    <w:rsid w:val="1A7E085D"/>
    <w:rsid w:val="1A8E38DF"/>
    <w:rsid w:val="1AA43102"/>
    <w:rsid w:val="1AD25EC1"/>
    <w:rsid w:val="1AE6196C"/>
    <w:rsid w:val="1B1464DA"/>
    <w:rsid w:val="1B216501"/>
    <w:rsid w:val="1B5332D3"/>
    <w:rsid w:val="1B6E4666"/>
    <w:rsid w:val="1B8D0519"/>
    <w:rsid w:val="1BCB28B9"/>
    <w:rsid w:val="1C0F024E"/>
    <w:rsid w:val="1C4844E0"/>
    <w:rsid w:val="1C494CB8"/>
    <w:rsid w:val="1C676ADD"/>
    <w:rsid w:val="1C8D1897"/>
    <w:rsid w:val="1CE123EB"/>
    <w:rsid w:val="1D1502E7"/>
    <w:rsid w:val="1D2621C1"/>
    <w:rsid w:val="1D3D7269"/>
    <w:rsid w:val="1D61352C"/>
    <w:rsid w:val="1D721295"/>
    <w:rsid w:val="1D7C3EC2"/>
    <w:rsid w:val="1DAA17BA"/>
    <w:rsid w:val="1E0C3498"/>
    <w:rsid w:val="1E0F2F88"/>
    <w:rsid w:val="1E1D4585"/>
    <w:rsid w:val="1E3649B9"/>
    <w:rsid w:val="1E3B1FCF"/>
    <w:rsid w:val="1EE60DDA"/>
    <w:rsid w:val="1F095C2A"/>
    <w:rsid w:val="1F2B34FD"/>
    <w:rsid w:val="1F8B79D0"/>
    <w:rsid w:val="1FFB1A16"/>
    <w:rsid w:val="2016077D"/>
    <w:rsid w:val="202F7213"/>
    <w:rsid w:val="204022DE"/>
    <w:rsid w:val="206E6E1D"/>
    <w:rsid w:val="20775C57"/>
    <w:rsid w:val="209C61B0"/>
    <w:rsid w:val="20D11C13"/>
    <w:rsid w:val="214473ED"/>
    <w:rsid w:val="21576CFE"/>
    <w:rsid w:val="218F4348"/>
    <w:rsid w:val="219914E7"/>
    <w:rsid w:val="21B31E7D"/>
    <w:rsid w:val="21B36EA6"/>
    <w:rsid w:val="226A2E83"/>
    <w:rsid w:val="22D731A7"/>
    <w:rsid w:val="23280067"/>
    <w:rsid w:val="236E4680"/>
    <w:rsid w:val="237F470C"/>
    <w:rsid w:val="239E3ED6"/>
    <w:rsid w:val="23D35321"/>
    <w:rsid w:val="23F4590F"/>
    <w:rsid w:val="23FF584D"/>
    <w:rsid w:val="2419493C"/>
    <w:rsid w:val="245E7561"/>
    <w:rsid w:val="2466767A"/>
    <w:rsid w:val="24AD640C"/>
    <w:rsid w:val="24B47693"/>
    <w:rsid w:val="24BD48C6"/>
    <w:rsid w:val="24C148B0"/>
    <w:rsid w:val="24E24F53"/>
    <w:rsid w:val="24F12526"/>
    <w:rsid w:val="24F66303"/>
    <w:rsid w:val="25037B70"/>
    <w:rsid w:val="25C167AF"/>
    <w:rsid w:val="25E23E0B"/>
    <w:rsid w:val="25F64996"/>
    <w:rsid w:val="265F53DE"/>
    <w:rsid w:val="2666570F"/>
    <w:rsid w:val="26C6629F"/>
    <w:rsid w:val="27000880"/>
    <w:rsid w:val="27725DC5"/>
    <w:rsid w:val="27B64475"/>
    <w:rsid w:val="27EE75F1"/>
    <w:rsid w:val="27F37477"/>
    <w:rsid w:val="27F72D22"/>
    <w:rsid w:val="28670794"/>
    <w:rsid w:val="288E39BA"/>
    <w:rsid w:val="28A73EDA"/>
    <w:rsid w:val="28B24203"/>
    <w:rsid w:val="28EF304D"/>
    <w:rsid w:val="29070581"/>
    <w:rsid w:val="29390F28"/>
    <w:rsid w:val="295300F4"/>
    <w:rsid w:val="297035D9"/>
    <w:rsid w:val="29852351"/>
    <w:rsid w:val="299005B7"/>
    <w:rsid w:val="29AD6D01"/>
    <w:rsid w:val="29BB41C4"/>
    <w:rsid w:val="29CD6432"/>
    <w:rsid w:val="29E03A2B"/>
    <w:rsid w:val="29E4176D"/>
    <w:rsid w:val="29E4376C"/>
    <w:rsid w:val="29E52AE6"/>
    <w:rsid w:val="2AD4279C"/>
    <w:rsid w:val="2AD73080"/>
    <w:rsid w:val="2B01637D"/>
    <w:rsid w:val="2B1B15F8"/>
    <w:rsid w:val="2B667F60"/>
    <w:rsid w:val="2B920E72"/>
    <w:rsid w:val="2BC43D5C"/>
    <w:rsid w:val="2C057779"/>
    <w:rsid w:val="2C1D7A22"/>
    <w:rsid w:val="2C6426F1"/>
    <w:rsid w:val="2C864EA5"/>
    <w:rsid w:val="2CD86F07"/>
    <w:rsid w:val="2D502120"/>
    <w:rsid w:val="2D7E5A35"/>
    <w:rsid w:val="2D841D24"/>
    <w:rsid w:val="2D870D8D"/>
    <w:rsid w:val="2DAB5B69"/>
    <w:rsid w:val="2ED718A0"/>
    <w:rsid w:val="2EF37D5C"/>
    <w:rsid w:val="2F124909"/>
    <w:rsid w:val="2F212B1B"/>
    <w:rsid w:val="2F8A6913"/>
    <w:rsid w:val="2F8E5ED1"/>
    <w:rsid w:val="2F9221AC"/>
    <w:rsid w:val="2F9C22EC"/>
    <w:rsid w:val="2FBE480E"/>
    <w:rsid w:val="2FD40BCE"/>
    <w:rsid w:val="2FE50D35"/>
    <w:rsid w:val="3002152D"/>
    <w:rsid w:val="30110DE2"/>
    <w:rsid w:val="309C385D"/>
    <w:rsid w:val="30C9339C"/>
    <w:rsid w:val="30DD56CC"/>
    <w:rsid w:val="30F02EBD"/>
    <w:rsid w:val="30F24F4D"/>
    <w:rsid w:val="31080849"/>
    <w:rsid w:val="31542076"/>
    <w:rsid w:val="31B859B9"/>
    <w:rsid w:val="31ED4F37"/>
    <w:rsid w:val="32251378"/>
    <w:rsid w:val="328C4750"/>
    <w:rsid w:val="32A11B4B"/>
    <w:rsid w:val="33300A50"/>
    <w:rsid w:val="337A06CC"/>
    <w:rsid w:val="337C5E32"/>
    <w:rsid w:val="338B706B"/>
    <w:rsid w:val="33F35A93"/>
    <w:rsid w:val="34120D4F"/>
    <w:rsid w:val="34190265"/>
    <w:rsid w:val="34405134"/>
    <w:rsid w:val="35A97BD0"/>
    <w:rsid w:val="36034158"/>
    <w:rsid w:val="36435A6D"/>
    <w:rsid w:val="364E318A"/>
    <w:rsid w:val="3739694B"/>
    <w:rsid w:val="373C4996"/>
    <w:rsid w:val="374675C3"/>
    <w:rsid w:val="378D2FB4"/>
    <w:rsid w:val="37D50947"/>
    <w:rsid w:val="37D5554A"/>
    <w:rsid w:val="37ED5C91"/>
    <w:rsid w:val="37F039D3"/>
    <w:rsid w:val="388366EC"/>
    <w:rsid w:val="38A41E58"/>
    <w:rsid w:val="38B30C88"/>
    <w:rsid w:val="38F03BCC"/>
    <w:rsid w:val="392B392A"/>
    <w:rsid w:val="394144E6"/>
    <w:rsid w:val="396C7089"/>
    <w:rsid w:val="397F500E"/>
    <w:rsid w:val="398E0DAD"/>
    <w:rsid w:val="39B53A46"/>
    <w:rsid w:val="39DB5125"/>
    <w:rsid w:val="39E41C18"/>
    <w:rsid w:val="3A1E2650"/>
    <w:rsid w:val="3A3C2EFF"/>
    <w:rsid w:val="3A3E6152"/>
    <w:rsid w:val="3A983FF6"/>
    <w:rsid w:val="3A995EC5"/>
    <w:rsid w:val="3B4C5D0D"/>
    <w:rsid w:val="3B7936BD"/>
    <w:rsid w:val="3B835F2D"/>
    <w:rsid w:val="3C830195"/>
    <w:rsid w:val="3C864CA8"/>
    <w:rsid w:val="3D8E75CE"/>
    <w:rsid w:val="3E741B5D"/>
    <w:rsid w:val="3E94330A"/>
    <w:rsid w:val="3E9E5BC4"/>
    <w:rsid w:val="3EBE2135"/>
    <w:rsid w:val="3EF47F62"/>
    <w:rsid w:val="3F03223E"/>
    <w:rsid w:val="3F051C93"/>
    <w:rsid w:val="3F7075E6"/>
    <w:rsid w:val="3F7F7B16"/>
    <w:rsid w:val="3F94385C"/>
    <w:rsid w:val="40030CD8"/>
    <w:rsid w:val="40063D93"/>
    <w:rsid w:val="40A06FCC"/>
    <w:rsid w:val="413D2F06"/>
    <w:rsid w:val="41447126"/>
    <w:rsid w:val="418775F4"/>
    <w:rsid w:val="419C4C20"/>
    <w:rsid w:val="423544BC"/>
    <w:rsid w:val="423E74D3"/>
    <w:rsid w:val="42613503"/>
    <w:rsid w:val="42924946"/>
    <w:rsid w:val="42E859D2"/>
    <w:rsid w:val="42FA3C08"/>
    <w:rsid w:val="430B346F"/>
    <w:rsid w:val="431E7646"/>
    <w:rsid w:val="43236A0A"/>
    <w:rsid w:val="43362BE2"/>
    <w:rsid w:val="43C50056"/>
    <w:rsid w:val="43DE2931"/>
    <w:rsid w:val="441D3743"/>
    <w:rsid w:val="44246EDE"/>
    <w:rsid w:val="44315157"/>
    <w:rsid w:val="4475773A"/>
    <w:rsid w:val="44C14DFA"/>
    <w:rsid w:val="44D459F5"/>
    <w:rsid w:val="44D81A76"/>
    <w:rsid w:val="44F92558"/>
    <w:rsid w:val="450D1A53"/>
    <w:rsid w:val="45C4637F"/>
    <w:rsid w:val="45E645A2"/>
    <w:rsid w:val="4622721C"/>
    <w:rsid w:val="464777FB"/>
    <w:rsid w:val="46584C1D"/>
    <w:rsid w:val="46C518D2"/>
    <w:rsid w:val="47017063"/>
    <w:rsid w:val="473C62ED"/>
    <w:rsid w:val="47577944"/>
    <w:rsid w:val="47F97AC9"/>
    <w:rsid w:val="4810155E"/>
    <w:rsid w:val="483E6BD8"/>
    <w:rsid w:val="485D651B"/>
    <w:rsid w:val="48710218"/>
    <w:rsid w:val="48736D31"/>
    <w:rsid w:val="48873598"/>
    <w:rsid w:val="48952158"/>
    <w:rsid w:val="48987D09"/>
    <w:rsid w:val="48C9393B"/>
    <w:rsid w:val="48CA1C78"/>
    <w:rsid w:val="491F3C5F"/>
    <w:rsid w:val="49360896"/>
    <w:rsid w:val="49706721"/>
    <w:rsid w:val="49CD147E"/>
    <w:rsid w:val="49CE6EA6"/>
    <w:rsid w:val="49EF34AE"/>
    <w:rsid w:val="49F924B4"/>
    <w:rsid w:val="4A1E1CDA"/>
    <w:rsid w:val="4A361719"/>
    <w:rsid w:val="4A8204BA"/>
    <w:rsid w:val="4A952667"/>
    <w:rsid w:val="4B103D18"/>
    <w:rsid w:val="4B3C3949"/>
    <w:rsid w:val="4B455253"/>
    <w:rsid w:val="4B6716A1"/>
    <w:rsid w:val="4BE0548C"/>
    <w:rsid w:val="4BEB208F"/>
    <w:rsid w:val="4BFD2500"/>
    <w:rsid w:val="4C8428B7"/>
    <w:rsid w:val="4CA26760"/>
    <w:rsid w:val="4CD3324F"/>
    <w:rsid w:val="4D355F0D"/>
    <w:rsid w:val="4D537EEC"/>
    <w:rsid w:val="4DC911E0"/>
    <w:rsid w:val="4DE11035"/>
    <w:rsid w:val="4E035DB6"/>
    <w:rsid w:val="4E27506D"/>
    <w:rsid w:val="4E5B34FC"/>
    <w:rsid w:val="4E6C39DB"/>
    <w:rsid w:val="4E843280"/>
    <w:rsid w:val="4EAD187E"/>
    <w:rsid w:val="4EB22041"/>
    <w:rsid w:val="4EE06AA7"/>
    <w:rsid w:val="4F4C447B"/>
    <w:rsid w:val="4F5D2DEA"/>
    <w:rsid w:val="4F702FD7"/>
    <w:rsid w:val="4FE237A9"/>
    <w:rsid w:val="505428F9"/>
    <w:rsid w:val="50965048"/>
    <w:rsid w:val="50B25FB2"/>
    <w:rsid w:val="51022209"/>
    <w:rsid w:val="51B11685"/>
    <w:rsid w:val="521340EE"/>
    <w:rsid w:val="526E7576"/>
    <w:rsid w:val="52840D37"/>
    <w:rsid w:val="52B04A46"/>
    <w:rsid w:val="52F83868"/>
    <w:rsid w:val="530F49E7"/>
    <w:rsid w:val="533E4CD2"/>
    <w:rsid w:val="536E3CD2"/>
    <w:rsid w:val="53890B0C"/>
    <w:rsid w:val="54175A7C"/>
    <w:rsid w:val="542033BF"/>
    <w:rsid w:val="552C42B7"/>
    <w:rsid w:val="55AD3E7B"/>
    <w:rsid w:val="55C84A4F"/>
    <w:rsid w:val="56245E8D"/>
    <w:rsid w:val="56666EE2"/>
    <w:rsid w:val="568E01E7"/>
    <w:rsid w:val="57350F22"/>
    <w:rsid w:val="57786CD5"/>
    <w:rsid w:val="57E1566B"/>
    <w:rsid w:val="57EE5899"/>
    <w:rsid w:val="580105CE"/>
    <w:rsid w:val="580611A1"/>
    <w:rsid w:val="581356E9"/>
    <w:rsid w:val="586A2AC3"/>
    <w:rsid w:val="58831FCD"/>
    <w:rsid w:val="58DF4D2A"/>
    <w:rsid w:val="59123ED5"/>
    <w:rsid w:val="59376914"/>
    <w:rsid w:val="595A017F"/>
    <w:rsid w:val="595F4C29"/>
    <w:rsid w:val="59705C64"/>
    <w:rsid w:val="597C265C"/>
    <w:rsid w:val="599E16E4"/>
    <w:rsid w:val="59C03FFF"/>
    <w:rsid w:val="59F14380"/>
    <w:rsid w:val="59F45DA4"/>
    <w:rsid w:val="5A144EA7"/>
    <w:rsid w:val="5A2D7859"/>
    <w:rsid w:val="5A5C5212"/>
    <w:rsid w:val="5ACB1A0A"/>
    <w:rsid w:val="5B8766D2"/>
    <w:rsid w:val="5B946C1C"/>
    <w:rsid w:val="5B9A4731"/>
    <w:rsid w:val="5BB01406"/>
    <w:rsid w:val="5BED7022"/>
    <w:rsid w:val="5BF40AEC"/>
    <w:rsid w:val="5C0351D3"/>
    <w:rsid w:val="5C08375C"/>
    <w:rsid w:val="5C163158"/>
    <w:rsid w:val="5C2146E4"/>
    <w:rsid w:val="5C45759A"/>
    <w:rsid w:val="5C8025B9"/>
    <w:rsid w:val="5C843EE4"/>
    <w:rsid w:val="5C86208C"/>
    <w:rsid w:val="5CB3614D"/>
    <w:rsid w:val="5CC901CB"/>
    <w:rsid w:val="5CF936D6"/>
    <w:rsid w:val="5D0B2591"/>
    <w:rsid w:val="5D32553A"/>
    <w:rsid w:val="5D3F66DF"/>
    <w:rsid w:val="5D682F5B"/>
    <w:rsid w:val="5D6F1FE6"/>
    <w:rsid w:val="5D721E3E"/>
    <w:rsid w:val="5D78775B"/>
    <w:rsid w:val="5D8C0BEF"/>
    <w:rsid w:val="5D997B9D"/>
    <w:rsid w:val="5E013860"/>
    <w:rsid w:val="5E0E058B"/>
    <w:rsid w:val="5E14191A"/>
    <w:rsid w:val="5E231B5D"/>
    <w:rsid w:val="5E28792C"/>
    <w:rsid w:val="5E855651"/>
    <w:rsid w:val="5ECB6C91"/>
    <w:rsid w:val="5EF57C17"/>
    <w:rsid w:val="5F1E0DC8"/>
    <w:rsid w:val="5F8E3006"/>
    <w:rsid w:val="5FCA669A"/>
    <w:rsid w:val="5FE33352"/>
    <w:rsid w:val="60221DB4"/>
    <w:rsid w:val="602776E2"/>
    <w:rsid w:val="60433DF0"/>
    <w:rsid w:val="60567FC7"/>
    <w:rsid w:val="60F56BDC"/>
    <w:rsid w:val="613C71BD"/>
    <w:rsid w:val="6153644A"/>
    <w:rsid w:val="61854675"/>
    <w:rsid w:val="61926DDD"/>
    <w:rsid w:val="61F730E4"/>
    <w:rsid w:val="62037CDB"/>
    <w:rsid w:val="622540F5"/>
    <w:rsid w:val="623205C0"/>
    <w:rsid w:val="62BE7207"/>
    <w:rsid w:val="63493A10"/>
    <w:rsid w:val="636165B6"/>
    <w:rsid w:val="63F8665E"/>
    <w:rsid w:val="63FD16EA"/>
    <w:rsid w:val="641E6CBB"/>
    <w:rsid w:val="64342B40"/>
    <w:rsid w:val="643D7A34"/>
    <w:rsid w:val="64414FC4"/>
    <w:rsid w:val="64835103"/>
    <w:rsid w:val="64BE6D9E"/>
    <w:rsid w:val="64D92F75"/>
    <w:rsid w:val="6516510E"/>
    <w:rsid w:val="65420ABD"/>
    <w:rsid w:val="65A47D37"/>
    <w:rsid w:val="660F794F"/>
    <w:rsid w:val="66296935"/>
    <w:rsid w:val="665E7BD6"/>
    <w:rsid w:val="66C13CC1"/>
    <w:rsid w:val="66F02910"/>
    <w:rsid w:val="672C55DE"/>
    <w:rsid w:val="676B55A8"/>
    <w:rsid w:val="678466CD"/>
    <w:rsid w:val="67E06AB1"/>
    <w:rsid w:val="67E20393"/>
    <w:rsid w:val="681A04AD"/>
    <w:rsid w:val="686139AD"/>
    <w:rsid w:val="68F30B64"/>
    <w:rsid w:val="690F7E0A"/>
    <w:rsid w:val="691D5B26"/>
    <w:rsid w:val="693B7D5A"/>
    <w:rsid w:val="69BB74C6"/>
    <w:rsid w:val="6A046F3F"/>
    <w:rsid w:val="6AB719E5"/>
    <w:rsid w:val="6AD246EE"/>
    <w:rsid w:val="6AF01018"/>
    <w:rsid w:val="6B3524F5"/>
    <w:rsid w:val="6B3810D4"/>
    <w:rsid w:val="6BCC4BC6"/>
    <w:rsid w:val="6BD46244"/>
    <w:rsid w:val="6C313697"/>
    <w:rsid w:val="6C6E7111"/>
    <w:rsid w:val="6CDD1436"/>
    <w:rsid w:val="6D175D0D"/>
    <w:rsid w:val="6D4B0788"/>
    <w:rsid w:val="6D611D5A"/>
    <w:rsid w:val="6DBB3ECD"/>
    <w:rsid w:val="6E444275"/>
    <w:rsid w:val="6E841486"/>
    <w:rsid w:val="6E8E6BDC"/>
    <w:rsid w:val="6EAE0FCF"/>
    <w:rsid w:val="6EB92A2A"/>
    <w:rsid w:val="6ED7307C"/>
    <w:rsid w:val="6F977CE2"/>
    <w:rsid w:val="6FE27182"/>
    <w:rsid w:val="70840239"/>
    <w:rsid w:val="709516BD"/>
    <w:rsid w:val="70DC0935"/>
    <w:rsid w:val="71066EA0"/>
    <w:rsid w:val="713B491C"/>
    <w:rsid w:val="7167757A"/>
    <w:rsid w:val="71E80DFD"/>
    <w:rsid w:val="71FA573D"/>
    <w:rsid w:val="71FF6EA4"/>
    <w:rsid w:val="722A7AC1"/>
    <w:rsid w:val="723C1321"/>
    <w:rsid w:val="724E2412"/>
    <w:rsid w:val="725E4ABA"/>
    <w:rsid w:val="72706CBC"/>
    <w:rsid w:val="72840105"/>
    <w:rsid w:val="72AB13CD"/>
    <w:rsid w:val="72B41921"/>
    <w:rsid w:val="739F35DC"/>
    <w:rsid w:val="73A02D82"/>
    <w:rsid w:val="73AB01D2"/>
    <w:rsid w:val="73C0165D"/>
    <w:rsid w:val="73FC11BA"/>
    <w:rsid w:val="745B6486"/>
    <w:rsid w:val="74920373"/>
    <w:rsid w:val="74D106C3"/>
    <w:rsid w:val="74F053D6"/>
    <w:rsid w:val="752D4797"/>
    <w:rsid w:val="753D4E5A"/>
    <w:rsid w:val="75A153E9"/>
    <w:rsid w:val="75EC6147"/>
    <w:rsid w:val="760405C4"/>
    <w:rsid w:val="76065B94"/>
    <w:rsid w:val="76262BBD"/>
    <w:rsid w:val="76510DDE"/>
    <w:rsid w:val="769870D9"/>
    <w:rsid w:val="76C025DC"/>
    <w:rsid w:val="77373D3C"/>
    <w:rsid w:val="77452BA0"/>
    <w:rsid w:val="777A3A22"/>
    <w:rsid w:val="78171724"/>
    <w:rsid w:val="78393BDC"/>
    <w:rsid w:val="784529A4"/>
    <w:rsid w:val="788E46DA"/>
    <w:rsid w:val="788F00C3"/>
    <w:rsid w:val="78D06E02"/>
    <w:rsid w:val="79387CB6"/>
    <w:rsid w:val="794B26E3"/>
    <w:rsid w:val="797D616D"/>
    <w:rsid w:val="799F17E8"/>
    <w:rsid w:val="79BD47BC"/>
    <w:rsid w:val="7A613213"/>
    <w:rsid w:val="7A9960BE"/>
    <w:rsid w:val="7AF70275"/>
    <w:rsid w:val="7B486307"/>
    <w:rsid w:val="7B6B0973"/>
    <w:rsid w:val="7BF3250D"/>
    <w:rsid w:val="7CED69AF"/>
    <w:rsid w:val="7D537911"/>
    <w:rsid w:val="7D5D1BB2"/>
    <w:rsid w:val="7D851A94"/>
    <w:rsid w:val="7DE24E98"/>
    <w:rsid w:val="7E130E4E"/>
    <w:rsid w:val="7E3239CA"/>
    <w:rsid w:val="7E626030"/>
    <w:rsid w:val="7E7D57AD"/>
    <w:rsid w:val="7EBE525E"/>
    <w:rsid w:val="7ED4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paragraph" w:styleId="4">
    <w:name w:val="heading 1"/>
    <w:basedOn w:val="1"/>
    <w:next w:val="1"/>
    <w:link w:val="41"/>
    <w:qFormat/>
    <w:uiPriority w:val="0"/>
    <w:pPr>
      <w:keepNext/>
      <w:keepLines/>
      <w:spacing w:before="340" w:after="330" w:line="578" w:lineRule="auto"/>
      <w:outlineLvl w:val="0"/>
    </w:pPr>
    <w:rPr>
      <w:rFonts w:eastAsia="楷体_GB2312"/>
      <w:b/>
      <w:kern w:val="44"/>
      <w:sz w:val="44"/>
    </w:rPr>
  </w:style>
  <w:style w:type="paragraph" w:styleId="5">
    <w:name w:val="heading 2"/>
    <w:basedOn w:val="1"/>
    <w:next w:val="1"/>
    <w:link w:val="45"/>
    <w:qFormat/>
    <w:uiPriority w:val="9"/>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1"/>
    <w:link w:val="46"/>
    <w:autoRedefine/>
    <w:qFormat/>
    <w:uiPriority w:val="99"/>
    <w:pPr>
      <w:keepNext/>
      <w:keepLines/>
      <w:widowControl w:val="0"/>
      <w:adjustRightInd/>
      <w:snapToGrid/>
      <w:spacing w:before="20" w:after="20" w:line="415" w:lineRule="auto"/>
      <w:ind w:firstLine="137" w:firstLineChars="49"/>
      <w:jc w:val="both"/>
      <w:outlineLvl w:val="2"/>
    </w:pPr>
    <w:rPr>
      <w:rFonts w:ascii="Times New Roman" w:hAnsi="黑体" w:eastAsia="黑体"/>
      <w:kern w:val="2"/>
      <w:sz w:val="2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spacing w:line="360" w:lineRule="auto"/>
      <w:ind w:firstLine="200"/>
    </w:pPr>
    <w:rPr>
      <w:rFonts w:ascii="仿宋_GB2312" w:hAnsi="Times New Roman" w:eastAsia="仿宋_GB2312"/>
      <w:sz w:val="30"/>
      <w:szCs w:val="30"/>
    </w:rPr>
  </w:style>
  <w:style w:type="paragraph" w:customStyle="1" w:styleId="3">
    <w:name w:val="正文文本1"/>
    <w:basedOn w:val="1"/>
    <w:next w:val="1"/>
    <w:qFormat/>
    <w:uiPriority w:val="0"/>
    <w:rPr>
      <w:rFonts w:ascii="楷体_GB2312" w:hAnsi="Arial" w:eastAsia="楷体_GB2312"/>
      <w:sz w:val="28"/>
      <w:szCs w:val="28"/>
    </w:rPr>
  </w:style>
  <w:style w:type="paragraph" w:styleId="7">
    <w:name w:val="Normal Indent"/>
    <w:basedOn w:val="1"/>
    <w:next w:val="8"/>
    <w:link w:val="47"/>
    <w:autoRedefine/>
    <w:qFormat/>
    <w:uiPriority w:val="0"/>
    <w:pPr>
      <w:widowControl w:val="0"/>
      <w:adjustRightInd/>
      <w:snapToGrid/>
      <w:spacing w:after="0"/>
      <w:ind w:firstLine="420"/>
      <w:jc w:val="both"/>
    </w:pPr>
    <w:rPr>
      <w:rFonts w:ascii="Times New Roman" w:hAnsi="Times New Roman"/>
      <w:kern w:val="2"/>
      <w:sz w:val="21"/>
      <w:szCs w:val="20"/>
    </w:rPr>
  </w:style>
  <w:style w:type="paragraph" w:styleId="8">
    <w:name w:val="Plain Text"/>
    <w:basedOn w:val="1"/>
    <w:link w:val="48"/>
    <w:autoRedefine/>
    <w:unhideWhenUsed/>
    <w:qFormat/>
    <w:uiPriority w:val="99"/>
    <w:pPr>
      <w:shd w:val="clear" w:color="auto" w:fill="FFFFFF"/>
      <w:adjustRightInd/>
      <w:snapToGrid/>
      <w:spacing w:before="100" w:beforeAutospacing="1" w:after="100" w:afterAutospacing="1"/>
    </w:pPr>
    <w:rPr>
      <w:rFonts w:ascii="ˎ̥" w:hAnsi="ˎ̥"/>
      <w:sz w:val="18"/>
      <w:szCs w:val="18"/>
    </w:rPr>
  </w:style>
  <w:style w:type="paragraph" w:styleId="9">
    <w:name w:val="toa heading"/>
    <w:basedOn w:val="1"/>
    <w:next w:val="1"/>
    <w:qFormat/>
    <w:uiPriority w:val="0"/>
    <w:pPr>
      <w:spacing w:line="360" w:lineRule="atLeast"/>
      <w:jc w:val="center"/>
      <w:textAlignment w:val="baseline"/>
    </w:pPr>
    <w:rPr>
      <w:rFonts w:ascii="Arial" w:hAnsi="Arial" w:eastAsia="黑体"/>
      <w:sz w:val="36"/>
      <w:szCs w:val="20"/>
    </w:rPr>
  </w:style>
  <w:style w:type="paragraph" w:styleId="10">
    <w:name w:val="annotation text"/>
    <w:basedOn w:val="1"/>
    <w:link w:val="49"/>
    <w:unhideWhenUsed/>
    <w:qFormat/>
    <w:uiPriority w:val="99"/>
  </w:style>
  <w:style w:type="paragraph" w:styleId="11">
    <w:name w:val="Body Text"/>
    <w:basedOn w:val="1"/>
    <w:next w:val="12"/>
    <w:link w:val="50"/>
    <w:autoRedefine/>
    <w:qFormat/>
    <w:uiPriority w:val="0"/>
    <w:pPr>
      <w:spacing w:line="400" w:lineRule="exact"/>
    </w:pPr>
    <w:rPr>
      <w:rFonts w:ascii="楷体_GB2312"/>
      <w:sz w:val="28"/>
    </w:rPr>
  </w:style>
  <w:style w:type="paragraph" w:customStyle="1" w:styleId="12">
    <w:name w:val="style4"/>
    <w:basedOn w:val="1"/>
    <w:next w:val="13"/>
    <w:autoRedefine/>
    <w:qFormat/>
    <w:uiPriority w:val="0"/>
    <w:pPr>
      <w:spacing w:before="280" w:after="280"/>
    </w:pPr>
    <w:rPr>
      <w:rFonts w:ascii="宋体"/>
      <w:sz w:val="18"/>
    </w:rPr>
  </w:style>
  <w:style w:type="paragraph" w:customStyle="1" w:styleId="1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4">
    <w:name w:val="Body Text Indent"/>
    <w:basedOn w:val="1"/>
    <w:next w:val="15"/>
    <w:link w:val="43"/>
    <w:unhideWhenUsed/>
    <w:qFormat/>
    <w:uiPriority w:val="99"/>
    <w:pPr>
      <w:spacing w:after="120"/>
      <w:ind w:left="420" w:leftChars="200"/>
    </w:pPr>
  </w:style>
  <w:style w:type="paragraph" w:styleId="15">
    <w:name w:val="envelope return"/>
    <w:basedOn w:val="1"/>
    <w:autoRedefine/>
    <w:unhideWhenUsed/>
    <w:qFormat/>
    <w:uiPriority w:val="99"/>
    <w:rPr>
      <w:rFonts w:ascii="Arial" w:hAnsi="Arial"/>
    </w:rPr>
  </w:style>
  <w:style w:type="paragraph" w:styleId="16">
    <w:name w:val="Block Text"/>
    <w:basedOn w:val="1"/>
    <w:next w:val="11"/>
    <w:autoRedefine/>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7">
    <w:name w:val="toc 3"/>
    <w:basedOn w:val="1"/>
    <w:next w:val="1"/>
    <w:qFormat/>
    <w:uiPriority w:val="0"/>
    <w:pPr>
      <w:ind w:left="420"/>
    </w:pPr>
    <w:rPr>
      <w:i/>
      <w:sz w:val="20"/>
      <w:szCs w:val="20"/>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51"/>
    <w:unhideWhenUsed/>
    <w:qFormat/>
    <w:uiPriority w:val="99"/>
    <w:pPr>
      <w:spacing w:after="0"/>
    </w:pPr>
    <w:rPr>
      <w:sz w:val="18"/>
      <w:szCs w:val="18"/>
    </w:rPr>
  </w:style>
  <w:style w:type="paragraph" w:styleId="20">
    <w:name w:val="footer"/>
    <w:basedOn w:val="1"/>
    <w:link w:val="52"/>
    <w:autoRedefine/>
    <w:unhideWhenUsed/>
    <w:qFormat/>
    <w:uiPriority w:val="99"/>
    <w:pPr>
      <w:tabs>
        <w:tab w:val="center" w:pos="4153"/>
        <w:tab w:val="right" w:pos="8306"/>
      </w:tabs>
    </w:pPr>
    <w:rPr>
      <w:sz w:val="18"/>
      <w:szCs w:val="18"/>
    </w:rPr>
  </w:style>
  <w:style w:type="paragraph" w:styleId="21">
    <w:name w:val="header"/>
    <w:basedOn w:val="1"/>
    <w:link w:val="53"/>
    <w:autoRedefine/>
    <w:unhideWhenUsed/>
    <w:qFormat/>
    <w:uiPriority w:val="99"/>
    <w:pPr>
      <w:pBdr>
        <w:bottom w:val="single" w:color="auto" w:sz="6" w:space="1"/>
      </w:pBdr>
      <w:tabs>
        <w:tab w:val="center" w:pos="4153"/>
        <w:tab w:val="right" w:pos="8306"/>
      </w:tabs>
      <w:jc w:val="center"/>
    </w:pPr>
    <w:rPr>
      <w:sz w:val="18"/>
      <w:szCs w:val="18"/>
    </w:rPr>
  </w:style>
  <w:style w:type="paragraph" w:styleId="22">
    <w:name w:val="toc 1"/>
    <w:basedOn w:val="1"/>
    <w:next w:val="1"/>
    <w:qFormat/>
    <w:uiPriority w:val="39"/>
    <w:pPr>
      <w:widowControl w:val="0"/>
      <w:adjustRightInd/>
      <w:snapToGrid/>
      <w:spacing w:before="120" w:after="120"/>
    </w:pPr>
    <w:rPr>
      <w:rFonts w:ascii="Times New Roman" w:hAnsi="Times New Roman" w:cs="Calibri"/>
      <w:b/>
      <w:bCs/>
      <w:caps/>
      <w:kern w:val="2"/>
      <w:sz w:val="20"/>
      <w:szCs w:val="20"/>
    </w:rPr>
  </w:style>
  <w:style w:type="paragraph" w:styleId="23">
    <w:name w:val="Body Text Indent 3"/>
    <w:basedOn w:val="1"/>
    <w:next w:val="9"/>
    <w:link w:val="54"/>
    <w:qFormat/>
    <w:uiPriority w:val="0"/>
    <w:pPr>
      <w:spacing w:after="120"/>
      <w:ind w:left="420" w:leftChars="200"/>
    </w:pPr>
    <w:rPr>
      <w:sz w:val="16"/>
      <w:szCs w:val="16"/>
    </w:rPr>
  </w:style>
  <w:style w:type="paragraph" w:styleId="24">
    <w:name w:val="Normal (Web)"/>
    <w:basedOn w:val="1"/>
    <w:qFormat/>
    <w:uiPriority w:val="0"/>
    <w:pPr>
      <w:spacing w:before="100" w:beforeAutospacing="1" w:after="100" w:afterAutospacing="1"/>
    </w:pPr>
    <w:rPr>
      <w:rFonts w:ascii="Calibri" w:hAnsi="Calibri"/>
      <w:sz w:val="24"/>
      <w:szCs w:val="24"/>
    </w:rPr>
  </w:style>
  <w:style w:type="paragraph" w:styleId="25">
    <w:name w:val="Body Text First Indent"/>
    <w:basedOn w:val="11"/>
    <w:next w:val="26"/>
    <w:link w:val="55"/>
    <w:qFormat/>
    <w:uiPriority w:val="0"/>
    <w:pPr>
      <w:tabs>
        <w:tab w:val="left" w:pos="2020"/>
        <w:tab w:val="center" w:pos="4535"/>
      </w:tabs>
      <w:ind w:firstLine="420" w:firstLineChars="100"/>
    </w:pPr>
  </w:style>
  <w:style w:type="paragraph" w:styleId="26">
    <w:name w:val="Body Text First Indent 2"/>
    <w:basedOn w:val="14"/>
    <w:next w:val="1"/>
    <w:link w:val="44"/>
    <w:qFormat/>
    <w:uiPriority w:val="0"/>
    <w:pPr>
      <w:widowControl w:val="0"/>
      <w:adjustRightInd/>
      <w:snapToGrid/>
      <w:ind w:firstLine="420" w:firstLineChars="200"/>
      <w:jc w:val="both"/>
    </w:pPr>
    <w:rPr>
      <w:rFonts w:ascii="Times New Roman" w:hAnsi="Times New Roman"/>
      <w:kern w:val="2"/>
      <w:sz w:val="21"/>
      <w:szCs w:val="24"/>
    </w:rPr>
  </w:style>
  <w:style w:type="table" w:styleId="28">
    <w:name w:val="Table Grid"/>
    <w:basedOn w:val="27"/>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autoRedefine/>
    <w:unhideWhenUsed/>
    <w:qFormat/>
    <w:uiPriority w:val="99"/>
    <w:rPr>
      <w:color w:val="800080"/>
      <w:u w:val="none"/>
    </w:rPr>
  </w:style>
  <w:style w:type="character" w:styleId="31">
    <w:name w:val="HTML Definition"/>
    <w:unhideWhenUsed/>
    <w:qFormat/>
    <w:uiPriority w:val="99"/>
  </w:style>
  <w:style w:type="character" w:styleId="32">
    <w:name w:val="HTML Typewriter"/>
    <w:unhideWhenUsed/>
    <w:qFormat/>
    <w:uiPriority w:val="99"/>
    <w:rPr>
      <w:rFonts w:hint="default" w:ascii="monospace" w:hAnsi="monospace" w:eastAsia="monospace" w:cs="monospace"/>
      <w:sz w:val="20"/>
    </w:rPr>
  </w:style>
  <w:style w:type="character" w:styleId="33">
    <w:name w:val="HTML Acronym"/>
    <w:unhideWhenUsed/>
    <w:qFormat/>
    <w:uiPriority w:val="99"/>
  </w:style>
  <w:style w:type="character" w:styleId="34">
    <w:name w:val="HTML Variable"/>
    <w:unhideWhenUsed/>
    <w:qFormat/>
    <w:uiPriority w:val="99"/>
  </w:style>
  <w:style w:type="character" w:styleId="35">
    <w:name w:val="Hyperlink"/>
    <w:autoRedefine/>
    <w:unhideWhenUsed/>
    <w:qFormat/>
    <w:uiPriority w:val="99"/>
    <w:rPr>
      <w:color w:val="0000FF"/>
      <w:u w:val="none"/>
    </w:rPr>
  </w:style>
  <w:style w:type="character" w:styleId="36">
    <w:name w:val="HTML Code"/>
    <w:unhideWhenUsed/>
    <w:qFormat/>
    <w:uiPriority w:val="99"/>
    <w:rPr>
      <w:rFonts w:hint="default" w:ascii="monospace" w:hAnsi="monospace" w:eastAsia="monospace" w:cs="monospace"/>
      <w:sz w:val="20"/>
    </w:rPr>
  </w:style>
  <w:style w:type="character" w:styleId="37">
    <w:name w:val="annotation reference"/>
    <w:basedOn w:val="29"/>
    <w:semiHidden/>
    <w:unhideWhenUsed/>
    <w:qFormat/>
    <w:uiPriority w:val="99"/>
    <w:rPr>
      <w:sz w:val="21"/>
      <w:szCs w:val="21"/>
    </w:rPr>
  </w:style>
  <w:style w:type="character" w:styleId="38">
    <w:name w:val="HTML Cite"/>
    <w:autoRedefine/>
    <w:unhideWhenUsed/>
    <w:qFormat/>
    <w:uiPriority w:val="99"/>
    <w:rPr>
      <w:u w:val="none"/>
    </w:rPr>
  </w:style>
  <w:style w:type="character" w:styleId="39">
    <w:name w:val="HTML Keyboard"/>
    <w:unhideWhenUsed/>
    <w:qFormat/>
    <w:uiPriority w:val="99"/>
    <w:rPr>
      <w:rFonts w:ascii="monospace" w:hAnsi="monospace" w:eastAsia="monospace" w:cs="monospace"/>
      <w:sz w:val="20"/>
    </w:rPr>
  </w:style>
  <w:style w:type="character" w:styleId="40">
    <w:name w:val="HTML Sample"/>
    <w:unhideWhenUsed/>
    <w:qFormat/>
    <w:uiPriority w:val="99"/>
    <w:rPr>
      <w:rFonts w:hint="default" w:ascii="monospace" w:hAnsi="monospace" w:eastAsia="monospace" w:cs="monospace"/>
    </w:rPr>
  </w:style>
  <w:style w:type="character" w:customStyle="1" w:styleId="41">
    <w:name w:val="标题 1 字符"/>
    <w:link w:val="4"/>
    <w:qFormat/>
    <w:uiPriority w:val="0"/>
    <w:rPr>
      <w:rFonts w:ascii="Tahoma" w:hAnsi="Tahoma" w:eastAsia="楷体_GB2312"/>
      <w:b/>
      <w:kern w:val="44"/>
      <w:sz w:val="44"/>
      <w:szCs w:val="22"/>
    </w:rPr>
  </w:style>
  <w:style w:type="paragraph" w:customStyle="1" w:styleId="42">
    <w:name w:val="Default"/>
    <w:next w:val="1"/>
    <w:qFormat/>
    <w:uiPriority w:val="0"/>
    <w:pPr>
      <w:autoSpaceDE w:val="0"/>
      <w:autoSpaceDN w:val="0"/>
    </w:pPr>
    <w:rPr>
      <w:rFonts w:ascii="Arial,Bold" w:hAnsi="Arial,Bold" w:eastAsia="PMingLiU" w:cs="Times New Roman"/>
      <w:lang w:val="en-US" w:eastAsia="en-US" w:bidi="ar-SA"/>
    </w:rPr>
  </w:style>
  <w:style w:type="character" w:customStyle="1" w:styleId="43">
    <w:name w:val="正文文本缩进 字符"/>
    <w:link w:val="14"/>
    <w:autoRedefine/>
    <w:semiHidden/>
    <w:qFormat/>
    <w:uiPriority w:val="99"/>
    <w:rPr>
      <w:rFonts w:ascii="Tahoma" w:hAnsi="Tahoma"/>
      <w:sz w:val="22"/>
      <w:szCs w:val="22"/>
    </w:rPr>
  </w:style>
  <w:style w:type="character" w:customStyle="1" w:styleId="44">
    <w:name w:val="正文文本首行缩进 2 字符"/>
    <w:link w:val="26"/>
    <w:qFormat/>
    <w:uiPriority w:val="0"/>
    <w:rPr>
      <w:rFonts w:ascii="Times New Roman" w:hAnsi="Times New Roman"/>
      <w:kern w:val="2"/>
      <w:sz w:val="21"/>
      <w:szCs w:val="24"/>
    </w:rPr>
  </w:style>
  <w:style w:type="character" w:customStyle="1" w:styleId="45">
    <w:name w:val="标题 2 字符"/>
    <w:link w:val="5"/>
    <w:qFormat/>
    <w:uiPriority w:val="9"/>
    <w:rPr>
      <w:rFonts w:ascii="等线 Light" w:hAnsi="等线 Light" w:eastAsia="等线 Light" w:cs="Times New Roman"/>
      <w:b/>
      <w:bCs/>
      <w:sz w:val="32"/>
      <w:szCs w:val="32"/>
    </w:rPr>
  </w:style>
  <w:style w:type="character" w:customStyle="1" w:styleId="46">
    <w:name w:val="标题 3 字符"/>
    <w:link w:val="6"/>
    <w:qFormat/>
    <w:uiPriority w:val="99"/>
    <w:rPr>
      <w:rFonts w:ascii="Times New Roman" w:hAnsi="黑体" w:eastAsia="黑体"/>
      <w:kern w:val="2"/>
      <w:sz w:val="24"/>
    </w:rPr>
  </w:style>
  <w:style w:type="character" w:customStyle="1" w:styleId="47">
    <w:name w:val="正文缩进 字符"/>
    <w:link w:val="7"/>
    <w:qFormat/>
    <w:uiPriority w:val="0"/>
    <w:rPr>
      <w:kern w:val="2"/>
      <w:sz w:val="21"/>
    </w:rPr>
  </w:style>
  <w:style w:type="character" w:customStyle="1" w:styleId="48">
    <w:name w:val="纯文本 字符"/>
    <w:link w:val="8"/>
    <w:qFormat/>
    <w:uiPriority w:val="99"/>
    <w:rPr>
      <w:rFonts w:ascii="ˎ̥" w:hAnsi="ˎ̥" w:cs="宋体"/>
      <w:sz w:val="18"/>
      <w:szCs w:val="18"/>
      <w:shd w:val="clear" w:color="auto" w:fill="FFFFFF"/>
    </w:rPr>
  </w:style>
  <w:style w:type="character" w:customStyle="1" w:styleId="49">
    <w:name w:val="批注文字 字符"/>
    <w:link w:val="10"/>
    <w:qFormat/>
    <w:uiPriority w:val="99"/>
    <w:rPr>
      <w:rFonts w:ascii="Tahoma" w:hAnsi="Tahoma"/>
      <w:sz w:val="22"/>
      <w:szCs w:val="22"/>
    </w:rPr>
  </w:style>
  <w:style w:type="character" w:customStyle="1" w:styleId="50">
    <w:name w:val="正文文本 字符"/>
    <w:link w:val="11"/>
    <w:autoRedefine/>
    <w:qFormat/>
    <w:uiPriority w:val="0"/>
    <w:rPr>
      <w:rFonts w:ascii="楷体_GB2312" w:hAnsi="Tahoma"/>
      <w:sz w:val="28"/>
      <w:szCs w:val="22"/>
    </w:rPr>
  </w:style>
  <w:style w:type="character" w:customStyle="1" w:styleId="51">
    <w:name w:val="批注框文本 字符"/>
    <w:link w:val="19"/>
    <w:qFormat/>
    <w:uiPriority w:val="99"/>
    <w:rPr>
      <w:rFonts w:ascii="Tahoma" w:hAnsi="Tahoma"/>
      <w:sz w:val="18"/>
      <w:szCs w:val="18"/>
    </w:rPr>
  </w:style>
  <w:style w:type="character" w:customStyle="1" w:styleId="52">
    <w:name w:val="页脚 字符"/>
    <w:link w:val="20"/>
    <w:qFormat/>
    <w:uiPriority w:val="99"/>
    <w:rPr>
      <w:rFonts w:ascii="Tahoma" w:hAnsi="Tahoma"/>
      <w:sz w:val="18"/>
      <w:szCs w:val="18"/>
    </w:rPr>
  </w:style>
  <w:style w:type="character" w:customStyle="1" w:styleId="53">
    <w:name w:val="页眉 字符"/>
    <w:link w:val="21"/>
    <w:autoRedefine/>
    <w:qFormat/>
    <w:uiPriority w:val="99"/>
    <w:rPr>
      <w:rFonts w:ascii="Tahoma" w:hAnsi="Tahoma"/>
      <w:sz w:val="18"/>
      <w:szCs w:val="18"/>
    </w:rPr>
  </w:style>
  <w:style w:type="character" w:customStyle="1" w:styleId="54">
    <w:name w:val="正文文本缩进 3 字符"/>
    <w:link w:val="23"/>
    <w:qFormat/>
    <w:uiPriority w:val="0"/>
    <w:rPr>
      <w:rFonts w:ascii="Tahoma" w:hAnsi="Tahoma"/>
      <w:sz w:val="16"/>
      <w:szCs w:val="16"/>
    </w:rPr>
  </w:style>
  <w:style w:type="character" w:customStyle="1" w:styleId="55">
    <w:name w:val="正文文本首行缩进 字符"/>
    <w:link w:val="25"/>
    <w:autoRedefine/>
    <w:qFormat/>
    <w:uiPriority w:val="0"/>
    <w:rPr>
      <w:rFonts w:ascii="楷体_GB2312" w:hAnsi="Tahoma"/>
      <w:sz w:val="28"/>
      <w:szCs w:val="22"/>
    </w:rPr>
  </w:style>
  <w:style w:type="paragraph" w:customStyle="1" w:styleId="56">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57">
    <w:name w:val="普通正文"/>
    <w:basedOn w:val="1"/>
    <w:qFormat/>
    <w:uiPriority w:val="0"/>
    <w:pPr>
      <w:spacing w:before="120" w:after="120" w:line="360" w:lineRule="auto"/>
      <w:ind w:firstLine="480"/>
      <w:textAlignment w:val="baseline"/>
    </w:pPr>
    <w:rPr>
      <w:rFonts w:ascii="Arial" w:hAnsi="Arial"/>
      <w:sz w:val="24"/>
      <w:szCs w:val="24"/>
    </w:rPr>
  </w:style>
  <w:style w:type="paragraph" w:customStyle="1" w:styleId="58">
    <w:name w:val="标题 5（有编号）（绿盟科技）"/>
    <w:basedOn w:val="1"/>
    <w:next w:val="59"/>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59">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60">
    <w:name w:val="layui-this"/>
    <w:autoRedefine/>
    <w:qFormat/>
    <w:uiPriority w:val="0"/>
    <w:rPr>
      <w:bdr w:val="single" w:color="EEEEEE" w:sz="6" w:space="0"/>
      <w:shd w:val="clear" w:color="auto" w:fill="FFFFFF"/>
    </w:rPr>
  </w:style>
  <w:style w:type="character" w:customStyle="1" w:styleId="61">
    <w:name w:val="first-child"/>
    <w:autoRedefine/>
    <w:qFormat/>
    <w:uiPriority w:val="0"/>
  </w:style>
  <w:style w:type="character" w:customStyle="1" w:styleId="62">
    <w:name w:val="*正文 Char"/>
    <w:link w:val="63"/>
    <w:autoRedefine/>
    <w:qFormat/>
    <w:uiPriority w:val="0"/>
    <w:rPr>
      <w:rFonts w:ascii="宋体" w:hAnsi="宋体" w:eastAsia="仿宋_GB2312"/>
      <w:sz w:val="32"/>
    </w:rPr>
  </w:style>
  <w:style w:type="paragraph" w:customStyle="1" w:styleId="63">
    <w:name w:val="*正文"/>
    <w:basedOn w:val="1"/>
    <w:link w:val="62"/>
    <w:autoRedefine/>
    <w:qFormat/>
    <w:uiPriority w:val="0"/>
    <w:pPr>
      <w:widowControl w:val="0"/>
      <w:adjustRightInd/>
      <w:snapToGrid/>
      <w:spacing w:after="0" w:line="580" w:lineRule="exact"/>
      <w:ind w:firstLine="200" w:firstLineChars="200"/>
      <w:jc w:val="both"/>
    </w:pPr>
    <w:rPr>
      <w:rFonts w:ascii="宋体" w:hAnsi="宋体" w:eastAsia="仿宋_GB2312"/>
      <w:sz w:val="32"/>
      <w:szCs w:val="20"/>
    </w:rPr>
  </w:style>
  <w:style w:type="character" w:customStyle="1" w:styleId="64">
    <w:name w:val="font31"/>
    <w:autoRedefine/>
    <w:qFormat/>
    <w:uiPriority w:val="0"/>
    <w:rPr>
      <w:rFonts w:hint="eastAsia" w:ascii="宋体" w:hAnsi="宋体" w:eastAsia="宋体" w:cs="宋体"/>
      <w:color w:val="000000"/>
      <w:sz w:val="21"/>
      <w:szCs w:val="21"/>
      <w:u w:val="none"/>
    </w:rPr>
  </w:style>
  <w:style w:type="character" w:customStyle="1" w:styleId="65">
    <w:name w:val="font21"/>
    <w:autoRedefine/>
    <w:qFormat/>
    <w:uiPriority w:val="0"/>
    <w:rPr>
      <w:rFonts w:hint="default" w:ascii="Times New Roman" w:hAnsi="Times New Roman" w:cs="Times New Roman"/>
      <w:color w:val="000000"/>
      <w:sz w:val="24"/>
      <w:szCs w:val="24"/>
      <w:u w:val="none"/>
    </w:rPr>
  </w:style>
  <w:style w:type="character" w:customStyle="1" w:styleId="66">
    <w:name w:val="标题 3 Char"/>
    <w:autoRedefine/>
    <w:qFormat/>
    <w:uiPriority w:val="0"/>
    <w:rPr>
      <w:rFonts w:ascii="Times New Roman" w:hAnsi="Times New Roman" w:eastAsia="宋体" w:cs="Times New Roman"/>
      <w:b/>
      <w:bCs/>
      <w:sz w:val="32"/>
      <w:szCs w:val="32"/>
    </w:rPr>
  </w:style>
  <w:style w:type="character" w:customStyle="1" w:styleId="67">
    <w:name w:val="纯文本 Char1"/>
    <w:autoRedefine/>
    <w:semiHidden/>
    <w:qFormat/>
    <w:uiPriority w:val="99"/>
    <w:rPr>
      <w:rFonts w:ascii="宋体" w:hAnsi="Courier New" w:eastAsia="宋体" w:cs="Courier New"/>
      <w:sz w:val="21"/>
      <w:szCs w:val="21"/>
    </w:rPr>
  </w:style>
  <w:style w:type="character" w:customStyle="1" w:styleId="68">
    <w:name w:val="NormalCharacter"/>
    <w:autoRedefine/>
    <w:qFormat/>
    <w:uiPriority w:val="0"/>
  </w:style>
  <w:style w:type="character" w:customStyle="1" w:styleId="69">
    <w:name w:val="hover"/>
    <w:autoRedefine/>
    <w:qFormat/>
    <w:uiPriority w:val="0"/>
    <w:rPr>
      <w:color w:val="FFFFFF"/>
    </w:rPr>
  </w:style>
  <w:style w:type="character" w:customStyle="1" w:styleId="70">
    <w:name w:val="font01"/>
    <w:autoRedefine/>
    <w:qFormat/>
    <w:uiPriority w:val="0"/>
    <w:rPr>
      <w:rFonts w:hint="default" w:ascii="Calibri" w:hAnsi="Calibri" w:cs="Calibri"/>
      <w:color w:val="000000"/>
      <w:sz w:val="21"/>
      <w:szCs w:val="21"/>
      <w:u w:val="none"/>
    </w:rPr>
  </w:style>
  <w:style w:type="character" w:customStyle="1" w:styleId="71">
    <w:name w:val="正文缩进2格 Char"/>
    <w:link w:val="72"/>
    <w:autoRedefine/>
    <w:qFormat/>
    <w:locked/>
    <w:uiPriority w:val="0"/>
    <w:rPr>
      <w:rFonts w:ascii="仿宋_GB2312" w:hAnsi="宋体" w:eastAsia="仿宋_GB2312"/>
      <w:kern w:val="2"/>
      <w:sz w:val="31"/>
      <w:szCs w:val="28"/>
    </w:rPr>
  </w:style>
  <w:style w:type="paragraph" w:customStyle="1" w:styleId="72">
    <w:name w:val="正文缩进2格"/>
    <w:basedOn w:val="1"/>
    <w:link w:val="71"/>
    <w:autoRedefine/>
    <w:qFormat/>
    <w:uiPriority w:val="0"/>
    <w:pPr>
      <w:widowControl w:val="0"/>
      <w:adjustRightInd/>
      <w:snapToGrid/>
      <w:spacing w:after="0" w:line="600" w:lineRule="exact"/>
      <w:ind w:firstLine="639" w:firstLineChars="206"/>
      <w:jc w:val="both"/>
    </w:pPr>
    <w:rPr>
      <w:rFonts w:ascii="仿宋_GB2312" w:hAnsi="宋体" w:eastAsia="仿宋_GB2312"/>
      <w:kern w:val="2"/>
      <w:sz w:val="31"/>
      <w:szCs w:val="28"/>
    </w:rPr>
  </w:style>
  <w:style w:type="character" w:customStyle="1" w:styleId="73">
    <w:name w:val="hover2"/>
    <w:autoRedefine/>
    <w:qFormat/>
    <w:uiPriority w:val="0"/>
    <w:rPr>
      <w:color w:val="5FB878"/>
    </w:rPr>
  </w:style>
  <w:style w:type="character" w:customStyle="1" w:styleId="74">
    <w:name w:val="hover1"/>
    <w:autoRedefine/>
    <w:qFormat/>
    <w:uiPriority w:val="0"/>
    <w:rPr>
      <w:color w:val="5FB878"/>
    </w:rPr>
  </w:style>
  <w:style w:type="character" w:customStyle="1" w:styleId="75">
    <w:name w:val="列表段落 字符"/>
    <w:link w:val="76"/>
    <w:autoRedefine/>
    <w:qFormat/>
    <w:locked/>
    <w:uiPriority w:val="34"/>
    <w:rPr>
      <w:rFonts w:ascii="Calibri" w:hAnsi="Calibri" w:eastAsia="宋体" w:cs="Times New Roman"/>
      <w:kern w:val="2"/>
      <w:sz w:val="21"/>
      <w:szCs w:val="20"/>
    </w:rPr>
  </w:style>
  <w:style w:type="paragraph" w:styleId="76">
    <w:name w:val="List Paragraph"/>
    <w:basedOn w:val="1"/>
    <w:link w:val="75"/>
    <w:autoRedefine/>
    <w:qFormat/>
    <w:uiPriority w:val="34"/>
    <w:pPr>
      <w:widowControl w:val="0"/>
      <w:adjustRightInd/>
      <w:snapToGrid/>
      <w:spacing w:after="0"/>
      <w:ind w:firstLine="420" w:firstLineChars="200"/>
      <w:jc w:val="both"/>
    </w:pPr>
    <w:rPr>
      <w:rFonts w:ascii="Calibri" w:hAnsi="Calibri"/>
      <w:kern w:val="2"/>
      <w:sz w:val="21"/>
      <w:szCs w:val="20"/>
    </w:rPr>
  </w:style>
  <w:style w:type="paragraph" w:customStyle="1" w:styleId="77">
    <w:name w:val="样式 首行缩进:  0 字符"/>
    <w:basedOn w:val="1"/>
    <w:autoRedefine/>
    <w:qFormat/>
    <w:uiPriority w:val="0"/>
    <w:pPr>
      <w:widowControl w:val="0"/>
      <w:adjustRightInd/>
      <w:snapToGrid/>
      <w:spacing w:after="0" w:line="360" w:lineRule="auto"/>
      <w:jc w:val="both"/>
    </w:pPr>
    <w:rPr>
      <w:rFonts w:ascii="Arial" w:hAnsi="Arial" w:cs="宋体"/>
      <w:kern w:val="2"/>
      <w:sz w:val="24"/>
      <w:szCs w:val="20"/>
    </w:rPr>
  </w:style>
  <w:style w:type="paragraph" w:customStyle="1" w:styleId="78">
    <w:name w:val="首行缩进"/>
    <w:basedOn w:val="1"/>
    <w:autoRedefine/>
    <w:qFormat/>
    <w:uiPriority w:val="0"/>
    <w:pPr>
      <w:widowControl w:val="0"/>
      <w:adjustRightInd/>
      <w:snapToGrid/>
      <w:spacing w:after="0"/>
      <w:ind w:firstLine="480" w:firstLineChars="200"/>
      <w:jc w:val="both"/>
    </w:pPr>
    <w:rPr>
      <w:rFonts w:ascii="Times New Roman" w:hAnsi="Times New Roman"/>
      <w:kern w:val="2"/>
      <w:sz w:val="21"/>
      <w:szCs w:val="24"/>
      <w:lang w:val="zh-CN"/>
    </w:rPr>
  </w:style>
  <w:style w:type="paragraph" w:customStyle="1" w:styleId="79">
    <w:name w:val="普通(网站) Char"/>
    <w:basedOn w:val="1"/>
    <w:autoRedefine/>
    <w:qFormat/>
    <w:uiPriority w:val="99"/>
    <w:pPr>
      <w:adjustRightInd/>
      <w:snapToGrid/>
      <w:spacing w:before="100" w:beforeAutospacing="1" w:after="100" w:afterAutospacing="1"/>
    </w:pPr>
    <w:rPr>
      <w:rFonts w:ascii="宋体" w:hAnsi="宋体" w:cs="宋体"/>
      <w:sz w:val="24"/>
    </w:rPr>
  </w:style>
  <w:style w:type="paragraph" w:customStyle="1" w:styleId="80">
    <w:name w:val="BodyText1I2"/>
    <w:basedOn w:val="81"/>
    <w:autoRedefine/>
    <w:qFormat/>
    <w:uiPriority w:val="0"/>
    <w:pPr>
      <w:ind w:firstLine="420" w:firstLineChars="200"/>
    </w:pPr>
  </w:style>
  <w:style w:type="paragraph" w:customStyle="1" w:styleId="81">
    <w:name w:val="BodyTextIndent"/>
    <w:basedOn w:val="1"/>
    <w:next w:val="82"/>
    <w:autoRedefine/>
    <w:qFormat/>
    <w:uiPriority w:val="0"/>
    <w:pPr>
      <w:ind w:firstLine="480"/>
      <w:jc w:val="both"/>
      <w:textAlignment w:val="baseline"/>
    </w:pPr>
    <w:rPr>
      <w:rFonts w:eastAsia="楷体_GB2312"/>
      <w:kern w:val="2"/>
      <w:sz w:val="24"/>
    </w:rPr>
  </w:style>
  <w:style w:type="paragraph" w:customStyle="1" w:styleId="82">
    <w:name w:val="EnvelopeReturn"/>
    <w:basedOn w:val="1"/>
    <w:autoRedefine/>
    <w:qFormat/>
    <w:uiPriority w:val="0"/>
    <w:pPr>
      <w:jc w:val="both"/>
      <w:textAlignment w:val="baseline"/>
    </w:pPr>
    <w:rPr>
      <w:rFonts w:ascii="Arial" w:hAnsi="Arial" w:eastAsia="楷体_GB2312"/>
      <w:kern w:val="2"/>
      <w:sz w:val="26"/>
    </w:rPr>
  </w:style>
  <w:style w:type="paragraph" w:customStyle="1" w:styleId="83">
    <w:name w:val="列出段落1"/>
    <w:basedOn w:val="1"/>
    <w:autoRedefine/>
    <w:qFormat/>
    <w:uiPriority w:val="0"/>
    <w:pPr>
      <w:ind w:firstLine="200" w:firstLineChars="200"/>
    </w:pPr>
    <w:rPr>
      <w:rFonts w:ascii="Calibri" w:hAnsi="Calibri"/>
    </w:rPr>
  </w:style>
  <w:style w:type="character" w:customStyle="1" w:styleId="84">
    <w:name w:val="font41"/>
    <w:autoRedefine/>
    <w:qFormat/>
    <w:uiPriority w:val="0"/>
    <w:rPr>
      <w:rFonts w:hint="eastAsia" w:ascii="宋体" w:hAnsi="宋体" w:eastAsia="宋体" w:cs="宋体"/>
      <w:color w:val="000000"/>
      <w:sz w:val="20"/>
      <w:szCs w:val="20"/>
      <w:u w:val="none"/>
    </w:rPr>
  </w:style>
  <w:style w:type="character" w:customStyle="1" w:styleId="85">
    <w:name w:val="font11"/>
    <w:autoRedefine/>
    <w:qFormat/>
    <w:uiPriority w:val="0"/>
    <w:rPr>
      <w:rFonts w:hint="default" w:ascii="Times New Roman" w:hAnsi="Times New Roman" w:cs="Times New Roman"/>
      <w:color w:val="000000"/>
      <w:sz w:val="20"/>
      <w:szCs w:val="20"/>
      <w:u w:val="none"/>
    </w:rPr>
  </w:style>
  <w:style w:type="character" w:customStyle="1" w:styleId="86">
    <w:name w:val="font51"/>
    <w:autoRedefine/>
    <w:qFormat/>
    <w:uiPriority w:val="0"/>
    <w:rPr>
      <w:rFonts w:hint="default" w:ascii="Times New Roman" w:hAnsi="Times New Roman" w:cs="Times New Roman"/>
      <w:color w:val="000000"/>
      <w:sz w:val="20"/>
      <w:szCs w:val="20"/>
      <w:u w:val="none"/>
    </w:rPr>
  </w:style>
  <w:style w:type="paragraph" w:customStyle="1" w:styleId="87">
    <w:name w:val="paragraph"/>
    <w:basedOn w:val="1"/>
    <w:autoRedefine/>
    <w:qFormat/>
    <w:uiPriority w:val="0"/>
    <w:pPr>
      <w:spacing w:before="100" w:beforeAutospacing="1" w:after="100" w:afterAutospacing="1"/>
    </w:pPr>
    <w:rPr>
      <w:rFonts w:ascii="宋体" w:hAnsi="宋体" w:cs="宋体"/>
      <w:sz w:val="24"/>
      <w:szCs w:val="24"/>
    </w:rPr>
  </w:style>
  <w:style w:type="paragraph" w:customStyle="1" w:styleId="88">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89">
    <w:name w:val="表格"/>
    <w:basedOn w:val="1"/>
    <w:uiPriority w:val="0"/>
    <w:pPr>
      <w:spacing w:after="0" w:line="460" w:lineRule="exact"/>
    </w:pPr>
    <w:rPr>
      <w:rFonts w:hint="eastAsia" w:ascii="宋体" w:hAnsi="宋体" w:cs="宋体"/>
      <w:spacing w:val="7"/>
      <w:sz w:val="24"/>
      <w:szCs w:val="28"/>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15222</Words>
  <Characters>15913</Characters>
  <Lines>120</Lines>
  <Paragraphs>33</Paragraphs>
  <TotalTime>3</TotalTime>
  <ScaleCrop>false</ScaleCrop>
  <LinksUpToDate>false</LinksUpToDate>
  <CharactersWithSpaces>16569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2025-08-14T00:30:00Z</dcterms:created>
  <dc:creator>Administrator</dc:creator>
  <cp:lastModifiedBy>Frank</cp:lastModifiedBy>
  <cp:lastPrinted>2019-08-12T03:11:00Z</cp:lastPrinted>
  <dcterms:modified xsi:type="dcterms:W3CDTF">2025-08-14T12:40:17Z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69B10B0F61704CBBA923CF9538A219F3_13</vt:lpwstr>
  </property>
  <property fmtid="{D5CDD505-2E9C-101B-9397-08002B2CF9AE}" pid="4" name="KSOTemplateDocerSaveRecord">
    <vt:lpwstr>eyJoZGlkIjoiNTY5NTM1NDMzNDhkNmY5ZTM3ZWY1NDg4MDI3YzA3OTAiLCJ1c2VySWQiOiI3MjE2OTA4NzMifQ==</vt:lpwstr>
  </property>
</Properties>
</file>