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58436">
      <w:pPr>
        <w:pStyle w:val="57"/>
        <w:ind w:firstLine="510" w:firstLineChars="200"/>
        <w:jc w:val="center"/>
        <w:rPr>
          <w:rFonts w:hint="eastAsia" w:ascii="宋体" w:hAnsi="宋体" w:cs="宋体"/>
          <w:b/>
          <w:color w:val="333333"/>
          <w:spacing w:val="7"/>
          <w:szCs w:val="44"/>
        </w:rPr>
      </w:pPr>
    </w:p>
    <w:p w14:paraId="58F5B452">
      <w:pPr>
        <w:pStyle w:val="57"/>
        <w:ind w:firstLine="0"/>
        <w:jc w:val="both"/>
        <w:rPr>
          <w:rFonts w:hint="eastAsia" w:ascii="宋体" w:hAnsi="宋体" w:cs="宋体"/>
          <w:b/>
          <w:color w:val="333333"/>
          <w:spacing w:val="7"/>
          <w:szCs w:val="48"/>
        </w:rPr>
      </w:pPr>
    </w:p>
    <w:p w14:paraId="6067CE77">
      <w:pPr>
        <w:pStyle w:val="57"/>
        <w:ind w:firstLine="510" w:firstLineChars="200"/>
        <w:jc w:val="center"/>
        <w:rPr>
          <w:rFonts w:hint="eastAsia" w:ascii="宋体" w:hAnsi="宋体" w:cs="宋体"/>
          <w:b/>
          <w:color w:val="333333"/>
          <w:spacing w:val="7"/>
          <w:szCs w:val="48"/>
        </w:rPr>
      </w:pPr>
    </w:p>
    <w:p w14:paraId="36E34DEA">
      <w:pPr>
        <w:pStyle w:val="57"/>
        <w:ind w:firstLine="0"/>
        <w:jc w:val="center"/>
        <w:rPr>
          <w:rFonts w:hint="eastAsia" w:ascii="宋体" w:hAnsi="宋体" w:eastAsia="宋体" w:cs="宋体"/>
          <w:b/>
          <w:color w:val="333333"/>
          <w:spacing w:val="7"/>
          <w:sz w:val="56"/>
          <w:szCs w:val="56"/>
          <w:lang w:eastAsia="zh-CN"/>
        </w:rPr>
      </w:pPr>
      <w:r>
        <w:rPr>
          <w:rFonts w:hint="eastAsia" w:ascii="宋体" w:hAnsi="宋体" w:cs="宋体"/>
          <w:b/>
          <w:color w:val="333333"/>
          <w:spacing w:val="7"/>
          <w:sz w:val="48"/>
          <w:szCs w:val="48"/>
          <w:lang w:eastAsia="zh-CN"/>
        </w:rPr>
        <w:t>江苏商贸职业学院工会社团活动中心会议桌椅采购项目</w:t>
      </w:r>
    </w:p>
    <w:p w14:paraId="211B01BD">
      <w:pPr>
        <w:pStyle w:val="57"/>
        <w:ind w:firstLine="0"/>
        <w:jc w:val="center"/>
        <w:rPr>
          <w:rFonts w:hint="eastAsia" w:ascii="宋体" w:hAnsi="宋体" w:cs="宋体"/>
          <w:b/>
          <w:color w:val="333333"/>
          <w:spacing w:val="7"/>
          <w:sz w:val="72"/>
          <w:szCs w:val="72"/>
        </w:rPr>
      </w:pPr>
    </w:p>
    <w:p w14:paraId="4BEA95ED">
      <w:pPr>
        <w:pStyle w:val="57"/>
        <w:ind w:firstLine="0"/>
        <w:jc w:val="center"/>
        <w:rPr>
          <w:rFonts w:ascii="宋体" w:hAnsi="宋体" w:cs="宋体"/>
          <w:b/>
          <w:color w:val="333333"/>
          <w:spacing w:val="7"/>
          <w:sz w:val="56"/>
          <w:szCs w:val="56"/>
        </w:rPr>
      </w:pPr>
      <w:r>
        <w:rPr>
          <w:rFonts w:hint="eastAsia" w:ascii="宋体" w:hAnsi="宋体" w:cs="宋体"/>
          <w:b/>
          <w:color w:val="333333"/>
          <w:spacing w:val="7"/>
          <w:sz w:val="72"/>
          <w:szCs w:val="72"/>
        </w:rPr>
        <w:t>询价文件</w:t>
      </w:r>
    </w:p>
    <w:p w14:paraId="08D8453C">
      <w:pPr>
        <w:pStyle w:val="57"/>
        <w:ind w:firstLine="0"/>
        <w:jc w:val="center"/>
        <w:rPr>
          <w:rFonts w:ascii="宋体" w:hAnsi="宋体" w:cs="宋体"/>
          <w:b/>
          <w:bCs/>
          <w:color w:val="000000" w:themeColor="text1"/>
          <w:spacing w:val="7"/>
          <w:sz w:val="32"/>
          <w:szCs w:val="32"/>
          <w14:textFill>
            <w14:solidFill>
              <w14:schemeClr w14:val="tx1"/>
            </w14:solidFill>
          </w14:textFill>
        </w:rPr>
      </w:pPr>
      <w:r>
        <w:rPr>
          <w:rFonts w:hint="eastAsia" w:ascii="宋体" w:hAnsi="宋体" w:cs="宋体"/>
          <w:b/>
          <w:bCs/>
          <w:color w:val="000000" w:themeColor="text1"/>
          <w:spacing w:val="7"/>
          <w:sz w:val="32"/>
          <w:szCs w:val="32"/>
          <w14:textFill>
            <w14:solidFill>
              <w14:schemeClr w14:val="tx1"/>
            </w14:solidFill>
          </w14:textFill>
        </w:rPr>
        <w:t>项目编号：JSSYCG20251009059</w:t>
      </w:r>
    </w:p>
    <w:p w14:paraId="7D1984B5">
      <w:pPr>
        <w:pStyle w:val="57"/>
        <w:rPr>
          <w:rFonts w:ascii="宋体" w:hAnsi="宋体" w:cs="宋体"/>
          <w:color w:val="333333"/>
          <w:spacing w:val="7"/>
          <w:sz w:val="28"/>
          <w:szCs w:val="28"/>
        </w:rPr>
      </w:pPr>
    </w:p>
    <w:p w14:paraId="037071B2">
      <w:pPr>
        <w:pStyle w:val="57"/>
        <w:rPr>
          <w:rFonts w:ascii="宋体" w:hAnsi="宋体" w:cs="宋体"/>
          <w:b/>
          <w:bCs/>
          <w:color w:val="000000"/>
          <w:sz w:val="36"/>
          <w:szCs w:val="36"/>
        </w:rPr>
      </w:pPr>
    </w:p>
    <w:p w14:paraId="6A45F689">
      <w:pPr>
        <w:pStyle w:val="57"/>
        <w:rPr>
          <w:rFonts w:ascii="宋体" w:hAnsi="宋体" w:cs="宋体"/>
          <w:b/>
          <w:bCs/>
          <w:color w:val="000000"/>
          <w:sz w:val="36"/>
          <w:szCs w:val="36"/>
        </w:rPr>
      </w:pPr>
    </w:p>
    <w:p w14:paraId="5729FD43">
      <w:pPr>
        <w:pStyle w:val="57"/>
        <w:rPr>
          <w:rFonts w:ascii="宋体" w:hAnsi="宋体" w:cs="宋体"/>
          <w:b/>
          <w:bCs/>
          <w:color w:val="000000"/>
          <w:sz w:val="36"/>
          <w:szCs w:val="36"/>
        </w:rPr>
      </w:pPr>
    </w:p>
    <w:p w14:paraId="5B863C43">
      <w:pPr>
        <w:spacing w:line="500" w:lineRule="exact"/>
        <w:jc w:val="both"/>
        <w:rPr>
          <w:rFonts w:ascii="宋体" w:hAnsi="宋体" w:cs="宋体"/>
          <w:b/>
          <w:bCs/>
          <w:spacing w:val="20"/>
          <w:sz w:val="32"/>
          <w:szCs w:val="32"/>
        </w:rPr>
      </w:pPr>
    </w:p>
    <w:p w14:paraId="21C1A8F2">
      <w:pPr>
        <w:spacing w:line="500" w:lineRule="exact"/>
        <w:jc w:val="center"/>
        <w:rPr>
          <w:rFonts w:ascii="宋体" w:hAnsi="宋体" w:cs="宋体"/>
          <w:b/>
          <w:sz w:val="36"/>
          <w:szCs w:val="36"/>
        </w:rPr>
      </w:pPr>
      <w:r>
        <w:rPr>
          <w:rFonts w:hint="eastAsia" w:ascii="宋体" w:hAnsi="宋体" w:cs="宋体"/>
          <w:b/>
          <w:bCs/>
          <w:spacing w:val="20"/>
          <w:sz w:val="32"/>
          <w:szCs w:val="32"/>
        </w:rPr>
        <w:t>江苏商贸职业学院</w:t>
      </w:r>
    </w:p>
    <w:p w14:paraId="67F81023">
      <w:pPr>
        <w:spacing w:line="500" w:lineRule="exact"/>
        <w:jc w:val="center"/>
        <w:rPr>
          <w:rFonts w:ascii="宋体" w:hAnsi="宋体" w:cs="宋体"/>
          <w:b/>
          <w:bCs/>
          <w:spacing w:val="20"/>
          <w:sz w:val="32"/>
          <w:szCs w:val="32"/>
        </w:rPr>
      </w:pPr>
      <w:r>
        <w:rPr>
          <w:rFonts w:hint="eastAsia" w:ascii="宋体" w:hAnsi="宋体" w:cs="宋体"/>
          <w:b/>
          <w:bCs/>
          <w:spacing w:val="20"/>
          <w:sz w:val="32"/>
          <w:szCs w:val="32"/>
        </w:rPr>
        <w:t>二○二</w:t>
      </w:r>
      <w:r>
        <w:rPr>
          <w:rFonts w:hint="eastAsia" w:ascii="宋体" w:hAnsi="宋体" w:cs="宋体"/>
          <w:b/>
          <w:bCs/>
          <w:spacing w:val="20"/>
          <w:sz w:val="32"/>
          <w:szCs w:val="32"/>
          <w:lang w:val="en-US" w:eastAsia="zh-CN"/>
        </w:rPr>
        <w:t>五</w:t>
      </w:r>
      <w:r>
        <w:rPr>
          <w:rFonts w:hint="eastAsia" w:ascii="宋体" w:hAnsi="宋体" w:cs="宋体"/>
          <w:b/>
          <w:bCs/>
          <w:spacing w:val="20"/>
          <w:sz w:val="32"/>
          <w:szCs w:val="32"/>
        </w:rPr>
        <w:t xml:space="preserve">年十月   </w:t>
      </w:r>
    </w:p>
    <w:p w14:paraId="100A9D45">
      <w:pPr>
        <w:shd w:val="clear" w:color="auto" w:fill="FFFFFF"/>
        <w:ind w:firstLine="503"/>
        <w:jc w:val="center"/>
        <w:rPr>
          <w:rFonts w:ascii="宋体" w:hAnsi="宋体" w:cs="宋体"/>
          <w:b/>
          <w:bCs/>
          <w:color w:val="000000"/>
          <w:sz w:val="36"/>
          <w:szCs w:val="36"/>
        </w:rPr>
        <w:sectPr>
          <w:headerReference r:id="rId4" w:type="default"/>
          <w:footerReference r:id="rId5" w:type="default"/>
          <w:pgSz w:w="11906" w:h="16838"/>
          <w:pgMar w:top="1361" w:right="1361" w:bottom="1361" w:left="1361" w:header="708" w:footer="709" w:gutter="0"/>
          <w:cols w:space="720" w:num="1"/>
          <w:docGrid w:linePitch="360" w:charSpace="0"/>
        </w:sectPr>
      </w:pPr>
    </w:p>
    <w:p w14:paraId="173D16BF">
      <w:pPr>
        <w:shd w:val="clear" w:color="auto" w:fill="FFFFFF"/>
        <w:spacing w:line="360" w:lineRule="auto"/>
        <w:ind w:firstLine="602" w:firstLineChars="200"/>
        <w:jc w:val="center"/>
        <w:rPr>
          <w:rFonts w:hint="eastAsia" w:ascii="宋体" w:hAnsi="宋体" w:cs="宋体"/>
          <w:b/>
          <w:bCs/>
          <w:color w:val="333333"/>
          <w:spacing w:val="7"/>
          <w:sz w:val="30"/>
          <w:szCs w:val="30"/>
        </w:rPr>
      </w:pPr>
      <w:r>
        <w:rPr>
          <w:rFonts w:hint="eastAsia" w:ascii="宋体" w:hAnsi="宋体" w:cs="宋体"/>
          <w:b/>
          <w:bCs/>
          <w:color w:val="000000"/>
          <w:sz w:val="30"/>
          <w:szCs w:val="30"/>
          <w:lang w:eastAsia="zh-CN"/>
        </w:rPr>
        <w:t>江苏商贸职业学院工会社团活动中心会议桌椅采购项目</w:t>
      </w:r>
      <w:r>
        <w:rPr>
          <w:rFonts w:hint="eastAsia" w:ascii="宋体" w:hAnsi="宋体" w:cs="宋体"/>
          <w:b/>
          <w:bCs/>
          <w:color w:val="000000"/>
          <w:sz w:val="30"/>
          <w:szCs w:val="30"/>
        </w:rPr>
        <w:t>询价公告</w:t>
      </w:r>
    </w:p>
    <w:p w14:paraId="1A9EC1F1">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项目概况：</w:t>
      </w:r>
    </w:p>
    <w:p w14:paraId="40F5C6D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lang w:eastAsia="zh-CN"/>
        </w:rPr>
        <w:t>江苏商贸职业学院工会社团活动中心会议桌椅采购项目</w:t>
      </w:r>
      <w:r>
        <w:rPr>
          <w:rFonts w:hint="eastAsia" w:ascii="宋体" w:hAnsi="宋体" w:cs="宋体"/>
          <w:color w:val="333333"/>
          <w:spacing w:val="7"/>
          <w:sz w:val="24"/>
          <w:szCs w:val="28"/>
        </w:rPr>
        <w:t xml:space="preserve">的潜在供应商应在江苏商贸职业学院网站获取采购文件，并于2025年 </w:t>
      </w:r>
      <w:r>
        <w:rPr>
          <w:rFonts w:hint="eastAsia" w:ascii="宋体" w:hAnsi="宋体" w:cs="宋体"/>
          <w:color w:val="333333"/>
          <w:spacing w:val="7"/>
          <w:sz w:val="24"/>
          <w:szCs w:val="28"/>
          <w:lang w:val="en-US" w:eastAsia="zh-CN"/>
        </w:rPr>
        <w:t>1</w:t>
      </w:r>
      <w:r>
        <w:rPr>
          <w:rFonts w:hint="eastAsia" w:ascii="宋体" w:hAnsi="宋体" w:cs="宋体"/>
          <w:color w:val="000000" w:themeColor="text1"/>
          <w:spacing w:val="7"/>
          <w:sz w:val="24"/>
          <w:szCs w:val="28"/>
          <w:lang w:val="en-US" w:eastAsia="zh-CN"/>
          <w14:textFill>
            <w14:solidFill>
              <w14:schemeClr w14:val="tx1"/>
            </w14:solidFill>
          </w14:textFill>
        </w:rPr>
        <w:t>0</w:t>
      </w:r>
      <w:r>
        <w:rPr>
          <w:rFonts w:hint="eastAsia" w:ascii="宋体" w:hAnsi="宋体" w:cs="宋体"/>
          <w:color w:val="000000" w:themeColor="text1"/>
          <w:spacing w:val="7"/>
          <w:sz w:val="24"/>
          <w:szCs w:val="28"/>
          <w14:textFill>
            <w14:solidFill>
              <w14:schemeClr w14:val="tx1"/>
            </w14:solidFill>
          </w14:textFill>
        </w:rPr>
        <w:t>月</w:t>
      </w:r>
      <w:r>
        <w:rPr>
          <w:rFonts w:hint="eastAsia" w:ascii="宋体" w:hAnsi="宋体" w:cs="宋体"/>
          <w:color w:val="000000" w:themeColor="text1"/>
          <w:spacing w:val="7"/>
          <w:sz w:val="24"/>
          <w:szCs w:val="28"/>
          <w:lang w:val="en-US" w:eastAsia="zh-CN"/>
          <w14:textFill>
            <w14:solidFill>
              <w14:schemeClr w14:val="tx1"/>
            </w14:solidFill>
          </w14:textFill>
        </w:rPr>
        <w:t>20</w:t>
      </w:r>
      <w:r>
        <w:rPr>
          <w:rFonts w:hint="eastAsia" w:ascii="宋体" w:hAnsi="宋体" w:cs="宋体"/>
          <w:color w:val="000000" w:themeColor="text1"/>
          <w:spacing w:val="7"/>
          <w:sz w:val="24"/>
          <w:szCs w:val="28"/>
          <w14:textFill>
            <w14:solidFill>
              <w14:schemeClr w14:val="tx1"/>
            </w14:solidFill>
          </w14:textFill>
        </w:rPr>
        <w:t>日09点00分</w:t>
      </w:r>
      <w:r>
        <w:rPr>
          <w:rFonts w:hint="eastAsia" w:ascii="宋体" w:hAnsi="宋体" w:cs="宋体"/>
          <w:color w:val="333333"/>
          <w:spacing w:val="7"/>
          <w:sz w:val="24"/>
          <w:szCs w:val="28"/>
        </w:rPr>
        <w:t>（北京时间）前提交响应文件。</w:t>
      </w:r>
    </w:p>
    <w:p w14:paraId="0B71269E">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一、项目基本情况</w:t>
      </w:r>
    </w:p>
    <w:p w14:paraId="7B2CFA0C">
      <w:pPr>
        <w:shd w:val="clear" w:color="auto" w:fill="FFFFFF"/>
        <w:spacing w:after="0" w:line="360" w:lineRule="auto"/>
        <w:ind w:firstLine="508" w:firstLineChars="200"/>
        <w:rPr>
          <w:rFonts w:hint="eastAsia" w:ascii="宋体" w:hAnsi="宋体" w:cs="宋体"/>
          <w:color w:val="000000" w:themeColor="text1"/>
          <w:spacing w:val="7"/>
          <w:sz w:val="24"/>
          <w:szCs w:val="28"/>
          <w14:textFill>
            <w14:solidFill>
              <w14:schemeClr w14:val="tx1"/>
            </w14:solidFill>
          </w14:textFill>
        </w:rPr>
      </w:pPr>
      <w:r>
        <w:rPr>
          <w:rFonts w:hint="eastAsia" w:ascii="宋体" w:hAnsi="宋体" w:cs="宋体"/>
          <w:color w:val="000000" w:themeColor="text1"/>
          <w:spacing w:val="7"/>
          <w:sz w:val="24"/>
          <w:szCs w:val="28"/>
          <w14:textFill>
            <w14:solidFill>
              <w14:schemeClr w14:val="tx1"/>
            </w14:solidFill>
          </w14:textFill>
        </w:rPr>
        <w:t>项目编号：JSSYCG20251009059</w:t>
      </w:r>
    </w:p>
    <w:p w14:paraId="440F7168">
      <w:pPr>
        <w:shd w:val="clear" w:color="auto" w:fill="FFFFFF"/>
        <w:spacing w:after="0" w:line="360" w:lineRule="auto"/>
        <w:ind w:firstLine="508" w:firstLineChars="200"/>
        <w:rPr>
          <w:rFonts w:hint="eastAsia" w:ascii="宋体" w:hAnsi="宋体" w:eastAsia="宋体" w:cs="宋体"/>
          <w:color w:val="333333"/>
          <w:spacing w:val="7"/>
          <w:sz w:val="24"/>
          <w:szCs w:val="28"/>
          <w:lang w:eastAsia="zh-CN"/>
        </w:rPr>
      </w:pPr>
      <w:r>
        <w:rPr>
          <w:rFonts w:hint="eastAsia" w:ascii="宋体" w:hAnsi="宋体" w:cs="宋体"/>
          <w:color w:val="333333"/>
          <w:spacing w:val="7"/>
          <w:sz w:val="24"/>
          <w:szCs w:val="28"/>
        </w:rPr>
        <w:t>项目名称：</w:t>
      </w:r>
      <w:r>
        <w:rPr>
          <w:rFonts w:hint="eastAsia" w:ascii="宋体" w:hAnsi="宋体" w:cs="宋体"/>
          <w:color w:val="333333"/>
          <w:spacing w:val="7"/>
          <w:sz w:val="24"/>
          <w:szCs w:val="28"/>
          <w:lang w:eastAsia="zh-CN"/>
        </w:rPr>
        <w:t>江苏商贸职业学院工会社团活动中心会议桌椅采购项目</w:t>
      </w:r>
    </w:p>
    <w:p w14:paraId="61483A14">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项目类型：货物</w:t>
      </w:r>
    </w:p>
    <w:p w14:paraId="77B01FC7">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所属行业：工业</w:t>
      </w:r>
    </w:p>
    <w:p w14:paraId="47315A50">
      <w:pPr>
        <w:shd w:val="clear" w:color="auto" w:fill="FFFFFF"/>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预算金额：</w:t>
      </w:r>
      <w:r>
        <w:rPr>
          <w:rFonts w:hint="eastAsia" w:ascii="宋体" w:hAnsi="宋体" w:cs="宋体"/>
          <w:spacing w:val="7"/>
          <w:sz w:val="24"/>
          <w:szCs w:val="28"/>
          <w:lang w:val="en-US" w:eastAsia="zh-CN"/>
        </w:rPr>
        <w:t>3</w:t>
      </w:r>
      <w:r>
        <w:rPr>
          <w:rFonts w:hint="eastAsia" w:ascii="宋体" w:hAnsi="宋体" w:cs="宋体"/>
          <w:spacing w:val="7"/>
          <w:sz w:val="24"/>
          <w:szCs w:val="28"/>
        </w:rPr>
        <w:t>万元</w:t>
      </w:r>
    </w:p>
    <w:p w14:paraId="027E94C9">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最高限价：</w:t>
      </w:r>
      <w:r>
        <w:rPr>
          <w:rFonts w:hint="eastAsia" w:ascii="宋体" w:hAnsi="宋体" w:cs="宋体"/>
          <w:spacing w:val="7"/>
          <w:sz w:val="24"/>
          <w:szCs w:val="28"/>
          <w:lang w:val="en-US" w:eastAsia="zh-CN"/>
        </w:rPr>
        <w:t>3</w:t>
      </w:r>
      <w:r>
        <w:rPr>
          <w:rFonts w:hint="eastAsia" w:ascii="宋体" w:hAnsi="宋体" w:cs="宋体"/>
          <w:spacing w:val="7"/>
          <w:sz w:val="24"/>
          <w:szCs w:val="28"/>
        </w:rPr>
        <w:t>万元，</w:t>
      </w:r>
      <w:r>
        <w:rPr>
          <w:rFonts w:hint="eastAsia" w:ascii="宋体" w:hAnsi="宋体" w:cs="宋体"/>
          <w:color w:val="333333"/>
          <w:spacing w:val="7"/>
          <w:sz w:val="24"/>
          <w:szCs w:val="28"/>
        </w:rPr>
        <w:t>投标报价高于最高限价的作无效报价处理。</w:t>
      </w:r>
    </w:p>
    <w:p w14:paraId="2AC362AA">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合同履约期限：成交人应在合同签订后</w:t>
      </w:r>
      <w:r>
        <w:rPr>
          <w:rFonts w:hint="eastAsia" w:ascii="宋体" w:hAnsi="宋体" w:cs="宋体"/>
          <w:color w:val="000000" w:themeColor="text1"/>
          <w:spacing w:val="7"/>
          <w:sz w:val="24"/>
          <w:szCs w:val="28"/>
          <w:lang w:val="en-US" w:eastAsia="zh-CN"/>
          <w14:textFill>
            <w14:solidFill>
              <w14:schemeClr w14:val="tx1"/>
            </w14:solidFill>
          </w14:textFill>
        </w:rPr>
        <w:t>15</w:t>
      </w:r>
      <w:bookmarkStart w:id="3" w:name="_GoBack"/>
      <w:bookmarkEnd w:id="3"/>
      <w:r>
        <w:rPr>
          <w:rFonts w:hint="eastAsia" w:ascii="宋体" w:hAnsi="宋体" w:cs="宋体"/>
          <w:spacing w:val="7"/>
          <w:sz w:val="24"/>
          <w:szCs w:val="28"/>
        </w:rPr>
        <w:t>天内，完成设备的安装、调试工作。</w:t>
      </w:r>
      <w:r>
        <w:rPr>
          <w:rFonts w:hint="eastAsia" w:ascii="宋体" w:hAnsi="宋体" w:cs="宋体"/>
          <w:color w:val="333333"/>
          <w:spacing w:val="7"/>
          <w:sz w:val="24"/>
          <w:szCs w:val="28"/>
        </w:rPr>
        <w:t xml:space="preserve">  </w:t>
      </w:r>
    </w:p>
    <w:p w14:paraId="46F6704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本项目不接受联合体。</w:t>
      </w:r>
    </w:p>
    <w:p w14:paraId="7BFD640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246AB8E3">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.本项目的特定资格要求：</w:t>
      </w:r>
      <w:r>
        <w:rPr>
          <w:rFonts w:hint="eastAsia"/>
          <w:sz w:val="24"/>
          <w:lang w:val="en-US" w:eastAsia="zh-CN"/>
        </w:rPr>
        <w:t>无</w:t>
      </w:r>
      <w:r>
        <w:rPr>
          <w:rFonts w:hint="eastAsia" w:ascii="宋体" w:hAnsi="宋体" w:cs="宋体"/>
          <w:color w:val="333333"/>
          <w:spacing w:val="7"/>
          <w:sz w:val="24"/>
          <w:szCs w:val="28"/>
          <w:lang w:val="zh-CN"/>
        </w:rPr>
        <w:t>。</w:t>
      </w:r>
    </w:p>
    <w:p w14:paraId="45D7D6D9">
      <w:pPr>
        <w:shd w:val="clear" w:color="auto" w:fill="FFFFFF"/>
        <w:spacing w:after="0" w:line="360" w:lineRule="auto"/>
        <w:ind w:firstLine="508" w:firstLineChars="200"/>
        <w:outlineLvl w:val="1"/>
        <w:rPr>
          <w:rFonts w:hint="eastAsia" w:ascii="宋体" w:hAnsi="宋体" w:cs="宋体"/>
          <w:color w:val="000000" w:themeColor="text1"/>
          <w:spacing w:val="7"/>
          <w:sz w:val="24"/>
          <w:szCs w:val="28"/>
          <w14:textFill>
            <w14:solidFill>
              <w14:schemeClr w14:val="tx1"/>
            </w14:solidFill>
          </w14:textFill>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hint="eastAsia"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时间：公告发布之日起至2025年</w:t>
      </w:r>
      <w:r>
        <w:rPr>
          <w:rFonts w:hint="eastAsia" w:ascii="宋体" w:hAnsi="宋体" w:cs="宋体"/>
          <w:b/>
          <w:bCs/>
          <w:color w:val="000000" w:themeColor="text1"/>
          <w:sz w:val="24"/>
          <w:szCs w:val="28"/>
          <w:lang w:val="en-US" w:eastAsia="zh-CN"/>
          <w14:textFill>
            <w14:solidFill>
              <w14:schemeClr w14:val="tx1"/>
            </w14:solidFill>
          </w14:textFill>
        </w:rPr>
        <w:t xml:space="preserve">10月19 </w:t>
      </w:r>
      <w:r>
        <w:rPr>
          <w:rFonts w:hint="eastAsia" w:ascii="宋体" w:hAnsi="宋体" w:cs="宋体"/>
          <w:b/>
          <w:bCs/>
          <w:color w:val="000000" w:themeColor="text1"/>
          <w:sz w:val="24"/>
          <w:szCs w:val="28"/>
          <w14:textFill>
            <w14:solidFill>
              <w14:schemeClr w14:val="tx1"/>
            </w14:solidFill>
          </w14:textFill>
        </w:rPr>
        <w:t>日</w:t>
      </w:r>
    </w:p>
    <w:p w14:paraId="0595EEF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hint="eastAsia" w:ascii="宋体" w:hAnsi="宋体" w:cs="宋体"/>
          <w:color w:val="auto"/>
          <w:spacing w:val="7"/>
          <w:sz w:val="24"/>
          <w:szCs w:val="28"/>
        </w:rPr>
      </w:pPr>
      <w:r>
        <w:rPr>
          <w:rFonts w:hint="eastAsia" w:ascii="宋体" w:hAnsi="宋体" w:cs="宋体"/>
          <w:color w:val="333333"/>
          <w:spacing w:val="7"/>
          <w:sz w:val="24"/>
          <w:szCs w:val="28"/>
        </w:rPr>
        <w:t>四、响应文件</w:t>
      </w:r>
      <w:r>
        <w:rPr>
          <w:rFonts w:hint="eastAsia" w:ascii="宋体" w:hAnsi="宋体" w:cs="宋体"/>
          <w:color w:val="auto"/>
          <w:spacing w:val="7"/>
          <w:sz w:val="24"/>
          <w:szCs w:val="28"/>
        </w:rPr>
        <w:t>提交</w:t>
      </w:r>
    </w:p>
    <w:p w14:paraId="42CCFF8F">
      <w:pPr>
        <w:shd w:val="clear" w:color="auto" w:fill="FFFFFF"/>
        <w:spacing w:after="0" w:line="360" w:lineRule="auto"/>
        <w:ind w:firstLine="482" w:firstLineChars="200"/>
        <w:rPr>
          <w:rFonts w:hint="eastAsia" w:ascii="宋体" w:hAnsi="宋体" w:cs="宋体"/>
          <w:color w:val="auto"/>
          <w:spacing w:val="7"/>
          <w:sz w:val="24"/>
          <w:szCs w:val="28"/>
          <w:u w:val="single"/>
        </w:rPr>
      </w:pPr>
      <w:r>
        <w:rPr>
          <w:rFonts w:hint="eastAsia" w:ascii="宋体" w:hAnsi="宋体" w:cs="宋体"/>
          <w:b/>
          <w:bCs/>
          <w:color w:val="auto"/>
          <w:sz w:val="24"/>
          <w:szCs w:val="28"/>
        </w:rPr>
        <w:t>截止时间：202</w:t>
      </w:r>
      <w:r>
        <w:rPr>
          <w:rFonts w:hint="eastAsia" w:ascii="宋体" w:hAnsi="宋体" w:cs="宋体"/>
          <w:b/>
          <w:bCs/>
          <w:color w:val="000000" w:themeColor="text1"/>
          <w:sz w:val="24"/>
          <w:szCs w:val="28"/>
          <w14:textFill>
            <w14:solidFill>
              <w14:schemeClr w14:val="tx1"/>
            </w14:solidFill>
          </w14:textFill>
        </w:rPr>
        <w:t xml:space="preserve">5年 </w:t>
      </w:r>
      <w:r>
        <w:rPr>
          <w:rFonts w:hint="eastAsia" w:ascii="宋体" w:hAnsi="宋体" w:cs="宋体"/>
          <w:b/>
          <w:bCs/>
          <w:color w:val="000000" w:themeColor="text1"/>
          <w:sz w:val="24"/>
          <w:szCs w:val="28"/>
          <w:lang w:val="en-US" w:eastAsia="zh-CN"/>
          <w14:textFill>
            <w14:solidFill>
              <w14:schemeClr w14:val="tx1"/>
            </w14:solidFill>
          </w14:textFill>
        </w:rPr>
        <w:t>10</w:t>
      </w:r>
      <w:r>
        <w:rPr>
          <w:rFonts w:hint="eastAsia" w:ascii="宋体" w:hAnsi="宋体" w:cs="宋体"/>
          <w:b/>
          <w:bCs/>
          <w:color w:val="000000" w:themeColor="text1"/>
          <w:sz w:val="24"/>
          <w:szCs w:val="28"/>
          <w14:textFill>
            <w14:solidFill>
              <w14:schemeClr w14:val="tx1"/>
            </w14:solidFill>
          </w14:textFill>
        </w:rPr>
        <w:t>月</w:t>
      </w:r>
      <w:r>
        <w:rPr>
          <w:rFonts w:hint="eastAsia" w:ascii="宋体" w:hAnsi="宋体" w:cs="宋体"/>
          <w:b/>
          <w:bCs/>
          <w:color w:val="000000" w:themeColor="text1"/>
          <w:sz w:val="24"/>
          <w:szCs w:val="28"/>
          <w:lang w:val="en-US" w:eastAsia="zh-CN"/>
          <w14:textFill>
            <w14:solidFill>
              <w14:schemeClr w14:val="tx1"/>
            </w14:solidFill>
          </w14:textFill>
        </w:rPr>
        <w:t>20</w:t>
      </w:r>
      <w:r>
        <w:rPr>
          <w:rFonts w:hint="eastAsia" w:ascii="宋体" w:hAnsi="宋体" w:cs="宋体"/>
          <w:b/>
          <w:bCs/>
          <w:color w:val="000000" w:themeColor="text1"/>
          <w:sz w:val="24"/>
          <w:szCs w:val="28"/>
          <w14:textFill>
            <w14:solidFill>
              <w14:schemeClr w14:val="tx1"/>
            </w14:solidFill>
          </w14:textFill>
        </w:rPr>
        <w:t>日09点00分</w:t>
      </w:r>
      <w:r>
        <w:rPr>
          <w:rFonts w:hint="eastAsia" w:ascii="宋体" w:hAnsi="宋体" w:cs="宋体"/>
          <w:b/>
          <w:bCs/>
          <w:color w:val="auto"/>
          <w:sz w:val="24"/>
          <w:szCs w:val="28"/>
        </w:rPr>
        <w:t>（北京时间）</w:t>
      </w:r>
    </w:p>
    <w:p w14:paraId="77E2C167">
      <w:pPr>
        <w:tabs>
          <w:tab w:val="left" w:pos="360"/>
        </w:tabs>
        <w:spacing w:after="60" w:line="360" w:lineRule="auto"/>
        <w:ind w:firstLine="508" w:firstLineChars="200"/>
        <w:rPr>
          <w:rFonts w:hint="eastAsia"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五、开启</w:t>
      </w:r>
    </w:p>
    <w:p w14:paraId="582DF787">
      <w:pPr>
        <w:shd w:val="clear" w:color="auto" w:fill="FFFFFF"/>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时间：2025</w:t>
      </w:r>
      <w:r>
        <w:rPr>
          <w:rFonts w:hint="eastAsia" w:ascii="宋体" w:hAnsi="宋体" w:cs="宋体"/>
          <w:b/>
          <w:bCs/>
          <w:color w:val="000000" w:themeColor="text1"/>
          <w:sz w:val="24"/>
          <w:szCs w:val="28"/>
          <w14:textFill>
            <w14:solidFill>
              <w14:schemeClr w14:val="tx1"/>
            </w14:solidFill>
          </w14:textFill>
        </w:rPr>
        <w:t>年</w:t>
      </w:r>
      <w:r>
        <w:rPr>
          <w:rFonts w:hint="eastAsia" w:ascii="宋体" w:hAnsi="宋体" w:cs="宋体"/>
          <w:b/>
          <w:bCs/>
          <w:color w:val="000000" w:themeColor="text1"/>
          <w:sz w:val="24"/>
          <w:szCs w:val="28"/>
          <w:lang w:val="en-US" w:eastAsia="zh-CN"/>
          <w14:textFill>
            <w14:solidFill>
              <w14:schemeClr w14:val="tx1"/>
            </w14:solidFill>
          </w14:textFill>
        </w:rPr>
        <w:t>10</w:t>
      </w:r>
      <w:r>
        <w:rPr>
          <w:rFonts w:hint="eastAsia" w:ascii="宋体" w:hAnsi="宋体" w:cs="宋体"/>
          <w:b/>
          <w:bCs/>
          <w:color w:val="000000" w:themeColor="text1"/>
          <w:sz w:val="24"/>
          <w:szCs w:val="28"/>
          <w14:textFill>
            <w14:solidFill>
              <w14:schemeClr w14:val="tx1"/>
            </w14:solidFill>
          </w14:textFill>
        </w:rPr>
        <w:t>月</w:t>
      </w:r>
      <w:r>
        <w:rPr>
          <w:rFonts w:hint="eastAsia" w:ascii="宋体" w:hAnsi="宋体" w:cs="宋体"/>
          <w:b/>
          <w:bCs/>
          <w:color w:val="000000" w:themeColor="text1"/>
          <w:sz w:val="24"/>
          <w:szCs w:val="28"/>
          <w:lang w:val="en-US" w:eastAsia="zh-CN"/>
          <w14:textFill>
            <w14:solidFill>
              <w14:schemeClr w14:val="tx1"/>
            </w14:solidFill>
          </w14:textFill>
        </w:rPr>
        <w:t>20</w:t>
      </w:r>
      <w:r>
        <w:rPr>
          <w:rFonts w:hint="eastAsia" w:ascii="宋体" w:hAnsi="宋体" w:cs="宋体"/>
          <w:b/>
          <w:bCs/>
          <w:color w:val="000000" w:themeColor="text1"/>
          <w:sz w:val="24"/>
          <w:szCs w:val="28"/>
          <w14:textFill>
            <w14:solidFill>
              <w14:schemeClr w14:val="tx1"/>
            </w14:solidFill>
          </w14:textFill>
        </w:rPr>
        <w:t>日09点00分</w:t>
      </w:r>
      <w:r>
        <w:rPr>
          <w:rFonts w:hint="eastAsia" w:ascii="宋体" w:hAnsi="宋体" w:cs="宋体"/>
          <w:b/>
          <w:bCs/>
          <w:color w:val="auto"/>
          <w:sz w:val="24"/>
          <w:szCs w:val="28"/>
        </w:rPr>
        <w:t>（北京时间）</w:t>
      </w:r>
    </w:p>
    <w:p w14:paraId="423B453C">
      <w:pPr>
        <w:widowControl w:val="0"/>
        <w:adjustRightInd/>
        <w:snapToGrid/>
        <w:spacing w:after="0" w:line="360" w:lineRule="auto"/>
        <w:ind w:firstLine="480" w:firstLineChars="200"/>
        <w:rPr>
          <w:rFonts w:hint="eastAsia"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自本公告发布之日起3个工作日。</w:t>
      </w:r>
    </w:p>
    <w:p w14:paraId="48E4A858">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hint="eastAsia"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508" w:firstLineChars="200"/>
        <w:rPr>
          <w:rFonts w:hint="default" w:ascii="宋体" w:hAnsi="宋体" w:eastAsia="宋体" w:cs="宋体"/>
          <w:spacing w:val="7"/>
          <w:sz w:val="24"/>
          <w:szCs w:val="28"/>
          <w:lang w:val="en-US" w:eastAsia="zh-CN"/>
        </w:rPr>
      </w:pPr>
      <w:r>
        <w:rPr>
          <w:rFonts w:hint="eastAsia" w:ascii="宋体" w:hAnsi="宋体" w:cs="宋体"/>
          <w:spacing w:val="7"/>
          <w:sz w:val="24"/>
          <w:szCs w:val="28"/>
          <w:lang w:val="en-US" w:eastAsia="zh-CN"/>
        </w:rPr>
        <w:t>梁老师</w:t>
      </w:r>
      <w:r>
        <w:rPr>
          <w:rFonts w:hint="eastAsia" w:ascii="宋体" w:hAnsi="宋体" w:cs="宋体"/>
          <w:spacing w:val="7"/>
          <w:sz w:val="24"/>
          <w:szCs w:val="28"/>
        </w:rPr>
        <w:t>（</w:t>
      </w:r>
      <w:r>
        <w:rPr>
          <w:rFonts w:hint="eastAsia" w:ascii="宋体" w:hAnsi="宋体" w:cs="宋体"/>
          <w:spacing w:val="7"/>
          <w:sz w:val="24"/>
          <w:szCs w:val="28"/>
          <w:lang w:val="en-US" w:eastAsia="zh-CN"/>
        </w:rPr>
        <w:t>工会</w:t>
      </w:r>
      <w:r>
        <w:rPr>
          <w:rFonts w:hint="eastAsia" w:ascii="宋体" w:hAnsi="宋体" w:cs="宋体"/>
          <w:spacing w:val="7"/>
          <w:sz w:val="24"/>
          <w:szCs w:val="28"/>
          <w:lang w:eastAsia="zh-CN"/>
        </w:rPr>
        <w:t>）</w:t>
      </w:r>
      <w:r>
        <w:rPr>
          <w:rFonts w:hint="eastAsia" w:ascii="宋体" w:hAnsi="宋体" w:cs="宋体"/>
          <w:spacing w:val="7"/>
          <w:sz w:val="24"/>
          <w:szCs w:val="28"/>
        </w:rPr>
        <w:t xml:space="preserve">   </w:t>
      </w:r>
      <w:r>
        <w:rPr>
          <w:rFonts w:hint="eastAsia" w:ascii="宋体" w:hAnsi="宋体" w:cs="宋体"/>
          <w:spacing w:val="7"/>
          <w:sz w:val="24"/>
          <w:szCs w:val="28"/>
          <w:lang w:val="en-US" w:eastAsia="zh-CN"/>
        </w:rPr>
        <w:t xml:space="preserve">          </w:t>
      </w:r>
      <w:r>
        <w:rPr>
          <w:rFonts w:hint="eastAsia" w:ascii="宋体" w:hAnsi="宋体" w:cs="宋体"/>
          <w:spacing w:val="7"/>
          <w:sz w:val="24"/>
          <w:szCs w:val="28"/>
        </w:rPr>
        <w:t>联系电话：</w:t>
      </w:r>
      <w:r>
        <w:rPr>
          <w:rFonts w:hint="eastAsia" w:ascii="宋体" w:hAnsi="宋体" w:cs="宋体"/>
          <w:spacing w:val="7"/>
          <w:sz w:val="24"/>
          <w:szCs w:val="28"/>
          <w:lang w:val="en-US" w:eastAsia="zh-CN"/>
        </w:rPr>
        <w:t>13862916390</w:t>
      </w:r>
    </w:p>
    <w:p w14:paraId="5C38783B">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杨老师 （资产管理处）      联系电话：0513-85679264；</w:t>
      </w:r>
    </w:p>
    <w:p w14:paraId="3BCC9261">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邮箱：dfhxnt@126.com</w:t>
      </w:r>
    </w:p>
    <w:p w14:paraId="2D995773">
      <w:pPr>
        <w:pStyle w:val="76"/>
        <w:adjustRightInd w:val="0"/>
        <w:snapToGrid w:val="0"/>
        <w:spacing w:line="360" w:lineRule="auto"/>
        <w:ind w:firstLine="482"/>
        <w:jc w:val="center"/>
        <w:rPr>
          <w:rFonts w:hint="eastAsia" w:ascii="宋体" w:hAnsi="宋体" w:cs="宋体"/>
          <w:b/>
          <w:bCs/>
          <w:sz w:val="24"/>
          <w:szCs w:val="32"/>
        </w:rPr>
      </w:pPr>
      <w:r>
        <w:rPr>
          <w:rFonts w:hint="eastAsia" w:ascii="宋体" w:hAnsi="宋体" w:cs="宋体"/>
          <w:b/>
          <w:bCs/>
          <w:sz w:val="24"/>
          <w:szCs w:val="32"/>
        </w:rPr>
        <w:br w:type="page"/>
      </w:r>
      <w:r>
        <w:rPr>
          <w:rFonts w:hint="eastAsia" w:ascii="宋体" w:hAnsi="宋体" w:cs="宋体"/>
          <w:b/>
          <w:bCs/>
          <w:sz w:val="24"/>
          <w:szCs w:val="32"/>
        </w:rPr>
        <w:t>第二部分  项目需求</w:t>
      </w:r>
    </w:p>
    <w:p w14:paraId="72F083E4">
      <w:pPr>
        <w:spacing w:after="0" w:line="360" w:lineRule="auto"/>
        <w:ind w:firstLine="480" w:firstLineChars="200"/>
        <w:rPr>
          <w:rFonts w:hint="eastAsia" w:ascii="宋体" w:hAnsi="宋体" w:cs="宋体"/>
          <w:spacing w:val="7"/>
          <w:sz w:val="24"/>
          <w:szCs w:val="28"/>
        </w:rPr>
      </w:pPr>
      <w:r>
        <w:rPr>
          <w:rFonts w:hint="eastAsia" w:ascii="宋体" w:hAnsi="宋体" w:cs="宋体"/>
          <w:sz w:val="24"/>
          <w:szCs w:val="28"/>
        </w:rPr>
        <w:t>采购人江苏商贸职业学院对</w:t>
      </w:r>
      <w:r>
        <w:rPr>
          <w:rFonts w:hint="eastAsia" w:ascii="宋体" w:hAnsi="宋体" w:cs="宋体"/>
          <w:sz w:val="24"/>
          <w:szCs w:val="28"/>
          <w:lang w:eastAsia="zh-CN"/>
        </w:rPr>
        <w:t>江苏商贸职业学院工会社团活动中心会议桌椅采购项目</w:t>
      </w:r>
      <w:r>
        <w:rPr>
          <w:rFonts w:hint="eastAsia" w:ascii="宋体" w:hAnsi="宋体" w:cs="宋体"/>
          <w:sz w:val="24"/>
          <w:szCs w:val="28"/>
        </w:rPr>
        <w:t>进行采购招标。响应供应商需仔细研读采购文件，以充分了解</w:t>
      </w:r>
      <w:r>
        <w:rPr>
          <w:rFonts w:hint="eastAsia" w:ascii="宋体" w:hAnsi="宋体" w:cs="宋体"/>
          <w:sz w:val="24"/>
          <w:szCs w:val="28"/>
          <w:lang w:val="en-US" w:eastAsia="zh-CN"/>
        </w:rPr>
        <w:t>采购</w:t>
      </w:r>
      <w:r>
        <w:rPr>
          <w:rFonts w:hint="eastAsia" w:ascii="宋体" w:hAnsi="宋体" w:cs="宋体"/>
          <w:sz w:val="24"/>
          <w:szCs w:val="28"/>
        </w:rPr>
        <w:t>人</w:t>
      </w:r>
      <w:r>
        <w:rPr>
          <w:rFonts w:hint="eastAsia" w:ascii="宋体" w:hAnsi="宋体" w:cs="宋体"/>
          <w:sz w:val="24"/>
          <w:szCs w:val="28"/>
          <w:lang w:val="en-US" w:eastAsia="zh-CN"/>
        </w:rPr>
        <w:t>的</w:t>
      </w:r>
      <w:r>
        <w:rPr>
          <w:rFonts w:hint="eastAsia" w:ascii="宋体" w:hAnsi="宋体" w:cs="宋体"/>
          <w:sz w:val="24"/>
          <w:szCs w:val="28"/>
        </w:rPr>
        <w:t>采购需要，作出合理的响应。具体内容如下：</w:t>
      </w:r>
    </w:p>
    <w:p w14:paraId="6C071021">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auto"/>
        <w:ind w:firstLine="482" w:firstLineChars="200"/>
        <w:textAlignment w:val="auto"/>
        <w:outlineLvl w:val="1"/>
        <w:rPr>
          <w:rFonts w:hint="eastAsia" w:ascii="宋体" w:hAnsi="宋体" w:eastAsia="宋体" w:cs="宋体"/>
          <w:b/>
          <w:color w:val="000000" w:themeColor="text1"/>
          <w:kern w:val="0"/>
          <w:sz w:val="24"/>
          <w:szCs w:val="24"/>
          <w:lang w:val="en-US" w:eastAsia="en-US" w:bidi="en-US"/>
          <w14:textFill>
            <w14:solidFill>
              <w14:schemeClr w14:val="tx1"/>
            </w14:solidFill>
          </w14:textFill>
        </w:rPr>
      </w:pPr>
      <w:r>
        <w:rPr>
          <w:rFonts w:hint="eastAsia" w:ascii="宋体" w:hAnsi="宋体" w:eastAsia="宋体" w:cs="宋体"/>
          <w:b/>
          <w:color w:val="000000" w:themeColor="text1"/>
          <w:kern w:val="0"/>
          <w:sz w:val="24"/>
          <w:szCs w:val="24"/>
          <w:lang w:val="en-US" w:eastAsia="en-US" w:bidi="en-US"/>
          <w14:textFill>
            <w14:solidFill>
              <w14:schemeClr w14:val="tx1"/>
            </w14:solidFill>
          </w14:textFill>
        </w:rPr>
        <w:t>项目说明</w:t>
      </w:r>
    </w:p>
    <w:p w14:paraId="505183C2">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学校图文信息大</w:t>
      </w:r>
      <w:r>
        <w:rPr>
          <w:rFonts w:hint="eastAsia" w:ascii="宋体" w:hAnsi="宋体" w:cs="宋体"/>
          <w:color w:val="000000"/>
          <w:sz w:val="24"/>
          <w:szCs w:val="24"/>
        </w:rPr>
        <w:t>楼</w:t>
      </w:r>
      <w:r>
        <w:rPr>
          <w:rFonts w:hint="eastAsia" w:ascii="宋体" w:hAnsi="宋体" w:cs="宋体"/>
          <w:color w:val="000000"/>
          <w:sz w:val="24"/>
          <w:szCs w:val="24"/>
          <w:lang w:val="en-US" w:eastAsia="zh-CN"/>
        </w:rPr>
        <w:t>21</w:t>
      </w:r>
      <w:r>
        <w:rPr>
          <w:rFonts w:hint="eastAsia" w:ascii="宋体" w:hAnsi="宋体" w:cs="宋体"/>
          <w:color w:val="000000"/>
          <w:sz w:val="24"/>
          <w:szCs w:val="24"/>
        </w:rPr>
        <w:t>楼</w:t>
      </w:r>
      <w:r>
        <w:rPr>
          <w:rFonts w:hint="eastAsia" w:ascii="宋体" w:hAnsi="宋体" w:cs="宋体"/>
          <w:color w:val="000000"/>
          <w:sz w:val="24"/>
          <w:szCs w:val="24"/>
          <w:lang w:val="en-US" w:eastAsia="zh-CN"/>
        </w:rPr>
        <w:t>工会社团活动中心</w:t>
      </w:r>
      <w:r>
        <w:rPr>
          <w:rFonts w:hint="eastAsia" w:ascii="宋体" w:hAnsi="宋体" w:cs="宋体"/>
          <w:color w:val="000000"/>
          <w:sz w:val="24"/>
          <w:szCs w:val="24"/>
        </w:rPr>
        <w:t>，</w:t>
      </w:r>
      <w:r>
        <w:rPr>
          <w:rFonts w:hint="eastAsia" w:ascii="宋体" w:hAnsi="宋体" w:cs="宋体"/>
          <w:color w:val="000000"/>
          <w:sz w:val="24"/>
          <w:szCs w:val="24"/>
          <w:lang w:val="en-US" w:eastAsia="zh-CN"/>
        </w:rPr>
        <w:t>共需24张会议桌，54张会议椅</w:t>
      </w:r>
      <w:r>
        <w:rPr>
          <w:rFonts w:hint="eastAsia" w:ascii="宋体" w:hAnsi="宋体" w:cs="宋体"/>
          <w:color w:val="000000"/>
          <w:sz w:val="24"/>
          <w:szCs w:val="24"/>
        </w:rPr>
        <w:t>的采购及安装。</w:t>
      </w:r>
    </w:p>
    <w:p w14:paraId="2A7987DF">
      <w:pPr>
        <w:keepNext w:val="0"/>
        <w:keepLines w:val="0"/>
        <w:pageBreakBefore w:val="0"/>
        <w:widowControl w:val="0"/>
        <w:kinsoku/>
        <w:wordWrap/>
        <w:overflowPunct/>
        <w:topLinePunct w:val="0"/>
        <w:autoSpaceDE/>
        <w:autoSpaceDN/>
        <w:bidi w:val="0"/>
        <w:adjustRightInd/>
        <w:snapToGrid w:val="0"/>
        <w:spacing w:after="0" w:line="360" w:lineRule="auto"/>
        <w:ind w:firstLine="482" w:firstLineChars="200"/>
        <w:textAlignment w:val="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项目需求清单及技术参数</w:t>
      </w:r>
      <w:r>
        <w:rPr>
          <w:rFonts w:hint="eastAsia" w:ascii="宋体" w:hAnsi="宋体" w:cs="宋体"/>
          <w:b/>
          <w:bCs/>
          <w:color w:val="000000" w:themeColor="text1"/>
          <w:sz w:val="24"/>
          <w:szCs w:val="24"/>
          <w:lang w:eastAsia="zh-CN"/>
          <w14:textFill>
            <w14:solidFill>
              <w14:schemeClr w14:val="tx1"/>
            </w14:solidFill>
          </w14:textFill>
        </w:rPr>
        <w:t>：</w:t>
      </w:r>
    </w:p>
    <w:p w14:paraId="25A598D3">
      <w:pPr>
        <w:keepNext w:val="0"/>
        <w:keepLines w:val="0"/>
        <w:pageBreakBefore w:val="0"/>
        <w:widowControl w:val="0"/>
        <w:kinsoku/>
        <w:wordWrap/>
        <w:overflowPunct/>
        <w:topLinePunct w:val="0"/>
        <w:autoSpaceDE/>
        <w:autoSpaceDN/>
        <w:bidi w:val="0"/>
        <w:adjustRightInd/>
        <w:snapToGrid w:val="0"/>
        <w:spacing w:after="0" w:line="360" w:lineRule="auto"/>
        <w:ind w:firstLine="482" w:firstLineChars="200"/>
        <w:textAlignment w:val="auto"/>
        <w:rPr>
          <w:rFonts w:hint="default" w:ascii="宋体" w:hAnsi="宋体" w:cs="宋体"/>
          <w:b/>
          <w:bCs/>
          <w:sz w:val="24"/>
          <w:szCs w:val="24"/>
          <w:lang w:val="en-US" w:eastAsia="zh-CN"/>
        </w:rPr>
      </w:pPr>
      <w:r>
        <w:rPr>
          <w:rFonts w:hint="eastAsia" w:ascii="宋体" w:hAnsi="宋体" w:cs="宋体"/>
          <w:b/>
          <w:bCs/>
          <w:color w:val="000000" w:themeColor="text1"/>
          <w:sz w:val="24"/>
          <w:szCs w:val="24"/>
          <w:lang w:val="en-US" w:eastAsia="zh-CN"/>
          <w14:textFill>
            <w14:solidFill>
              <w14:schemeClr w14:val="tx1"/>
            </w14:solidFill>
          </w14:textFill>
        </w:rPr>
        <w:t>（1）会议桌；</w:t>
      </w:r>
      <w:r>
        <w:rPr>
          <w:rFonts w:hint="eastAsia" w:ascii="宋体" w:hAnsi="宋体" w:cs="宋体"/>
          <w:b/>
          <w:bCs/>
          <w:sz w:val="24"/>
          <w:szCs w:val="24"/>
          <w:lang w:val="en-US" w:eastAsia="zh-CN"/>
        </w:rPr>
        <w:t>数量：24张</w:t>
      </w:r>
    </w:p>
    <w:tbl>
      <w:tblPr>
        <w:tblStyle w:val="2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1"/>
        <w:gridCol w:w="1503"/>
        <w:gridCol w:w="5697"/>
      </w:tblGrid>
      <w:tr w14:paraId="463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8521" w:type="dxa"/>
            <w:gridSpan w:val="3"/>
            <w:vAlign w:val="center"/>
          </w:tcPr>
          <w:p w14:paraId="5E5942BE">
            <w:pPr>
              <w:spacing w:after="0"/>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技术要求</w:t>
            </w:r>
          </w:p>
        </w:tc>
      </w:tr>
      <w:tr w14:paraId="4E3C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9" w:hRule="atLeast"/>
          <w:jc w:val="center"/>
        </w:trPr>
        <w:tc>
          <w:tcPr>
            <w:tcW w:w="1321" w:type="dxa"/>
            <w:vMerge w:val="restart"/>
            <w:tcMar>
              <w:top w:w="15" w:type="dxa"/>
              <w:left w:w="15" w:type="dxa"/>
              <w:bottom w:w="15" w:type="dxa"/>
              <w:right w:w="15" w:type="dxa"/>
            </w:tcMar>
            <w:vAlign w:val="center"/>
          </w:tcPr>
          <w:p w14:paraId="2A190CE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rPr>
            </w:pPr>
            <w:r>
              <w:rPr>
                <w:rFonts w:hint="eastAsia"/>
                <w:spacing w:val="-1"/>
                <w:sz w:val="21"/>
                <w:szCs w:val="21"/>
                <w:lang w:val="en-US" w:eastAsia="zh-CN"/>
              </w:rPr>
              <w:t>会议</w:t>
            </w:r>
            <w:r>
              <w:rPr>
                <w:rFonts w:hint="eastAsia"/>
                <w:spacing w:val="-1"/>
                <w:sz w:val="21"/>
                <w:szCs w:val="21"/>
              </w:rPr>
              <w:t>桌</w:t>
            </w:r>
          </w:p>
          <w:p w14:paraId="3D4B80F5">
            <w:pPr>
              <w:jc w:val="center"/>
              <w:rPr>
                <w:rFonts w:hint="default" w:ascii="宋体" w:hAnsi="宋体" w:eastAsia="宋体" w:cs="宋体"/>
                <w:sz w:val="21"/>
                <w:szCs w:val="21"/>
                <w:lang w:val="en-US" w:eastAsia="zh-CN"/>
              </w:rPr>
            </w:pPr>
          </w:p>
        </w:tc>
        <w:tc>
          <w:tcPr>
            <w:tcW w:w="1503" w:type="dxa"/>
            <w:shd w:val="clear" w:color="auto" w:fill="auto"/>
            <w:tcMar>
              <w:top w:w="15" w:type="dxa"/>
              <w:left w:w="15" w:type="dxa"/>
              <w:bottom w:w="15" w:type="dxa"/>
              <w:right w:w="15" w:type="dxa"/>
            </w:tcMar>
            <w:vAlign w:val="center"/>
          </w:tcPr>
          <w:p w14:paraId="46CD9BE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rPr>
              <w:t>桌面</w:t>
            </w:r>
          </w:p>
        </w:tc>
        <w:tc>
          <w:tcPr>
            <w:tcW w:w="5697" w:type="dxa"/>
            <w:shd w:val="clear" w:color="auto" w:fill="auto"/>
            <w:tcMar>
              <w:top w:w="15" w:type="dxa"/>
              <w:left w:w="15" w:type="dxa"/>
              <w:bottom w:w="15" w:type="dxa"/>
              <w:right w:w="15" w:type="dxa"/>
            </w:tcMar>
            <w:vAlign w:val="center"/>
          </w:tcPr>
          <w:p w14:paraId="332DD3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eastAsia="宋体"/>
                <w:spacing w:val="-1"/>
                <w:sz w:val="21"/>
                <w:szCs w:val="21"/>
                <w:lang w:val="en-US" w:eastAsia="zh-CN"/>
              </w:rPr>
            </w:pPr>
            <w:r>
              <w:rPr>
                <w:rFonts w:hint="eastAsia"/>
                <w:spacing w:val="-1"/>
                <w:sz w:val="21"/>
                <w:szCs w:val="21"/>
              </w:rPr>
              <w:t>实木多层板桌面，厚度</w:t>
            </w:r>
            <w:r>
              <w:rPr>
                <w:rFonts w:hint="eastAsia"/>
                <w:b/>
                <w:bCs/>
                <w:spacing w:val="-1"/>
                <w:sz w:val="21"/>
                <w:szCs w:val="21"/>
              </w:rPr>
              <w:t>2</w:t>
            </w:r>
            <w:r>
              <w:rPr>
                <w:rFonts w:hint="eastAsia"/>
                <w:b/>
                <w:bCs/>
                <w:spacing w:val="-1"/>
                <w:sz w:val="21"/>
                <w:szCs w:val="21"/>
                <w:lang w:val="en-US" w:eastAsia="zh-CN"/>
              </w:rPr>
              <w:t>.5 CM</w:t>
            </w:r>
            <w:r>
              <w:rPr>
                <w:rFonts w:hint="eastAsia"/>
                <w:spacing w:val="-1"/>
                <w:sz w:val="21"/>
                <w:szCs w:val="21"/>
              </w:rPr>
              <w:t>；整体采用静电高温喷涂工艺，桌面板所有棱边都采用弧形设计</w:t>
            </w:r>
            <w:r>
              <w:rPr>
                <w:rFonts w:hint="eastAsia"/>
                <w:spacing w:val="-1"/>
                <w:sz w:val="21"/>
                <w:szCs w:val="21"/>
                <w:lang w:eastAsia="zh-CN"/>
              </w:rPr>
              <w:t>；</w:t>
            </w:r>
          </w:p>
        </w:tc>
      </w:tr>
      <w:tr w14:paraId="24CA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3" w:hRule="atLeast"/>
          <w:jc w:val="center"/>
        </w:trPr>
        <w:tc>
          <w:tcPr>
            <w:tcW w:w="1321" w:type="dxa"/>
            <w:vMerge w:val="continue"/>
            <w:tcMar>
              <w:top w:w="15" w:type="dxa"/>
              <w:left w:w="15" w:type="dxa"/>
              <w:bottom w:w="15" w:type="dxa"/>
              <w:right w:w="15" w:type="dxa"/>
            </w:tcMar>
            <w:vAlign w:val="center"/>
          </w:tcPr>
          <w:p w14:paraId="0E2C262C">
            <w:pPr>
              <w:jc w:val="center"/>
              <w:rPr>
                <w:sz w:val="21"/>
                <w:szCs w:val="21"/>
              </w:rPr>
            </w:pPr>
          </w:p>
        </w:tc>
        <w:tc>
          <w:tcPr>
            <w:tcW w:w="1503" w:type="dxa"/>
            <w:shd w:val="clear" w:color="auto" w:fill="auto"/>
            <w:tcMar>
              <w:top w:w="15" w:type="dxa"/>
              <w:left w:w="15" w:type="dxa"/>
              <w:bottom w:w="15" w:type="dxa"/>
              <w:right w:w="15" w:type="dxa"/>
            </w:tcMar>
            <w:vAlign w:val="center"/>
          </w:tcPr>
          <w:p w14:paraId="7511588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rPr>
              <w:t>桌架</w:t>
            </w:r>
          </w:p>
        </w:tc>
        <w:tc>
          <w:tcPr>
            <w:tcW w:w="5697" w:type="dxa"/>
            <w:shd w:val="clear" w:color="auto" w:fill="auto"/>
            <w:tcMar>
              <w:top w:w="15" w:type="dxa"/>
              <w:left w:w="15" w:type="dxa"/>
              <w:bottom w:w="15" w:type="dxa"/>
              <w:right w:w="15" w:type="dxa"/>
            </w:tcMar>
            <w:vAlign w:val="center"/>
          </w:tcPr>
          <w:p w14:paraId="418D39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b w:val="0"/>
                <w:bCs w:val="0"/>
                <w:spacing w:val="-1"/>
                <w:sz w:val="21"/>
                <w:szCs w:val="21"/>
                <w:lang w:val="en-US" w:eastAsia="zh-CN"/>
              </w:rPr>
            </w:pPr>
            <w:r>
              <w:rPr>
                <w:rFonts w:hint="eastAsia"/>
                <w:b w:val="0"/>
                <w:bCs w:val="0"/>
                <w:spacing w:val="-1"/>
                <w:sz w:val="21"/>
                <w:szCs w:val="21"/>
                <w:lang w:val="en-US" w:eastAsia="zh-CN"/>
              </w:rPr>
              <w:t>加厚台面托架，壁厚不低于</w:t>
            </w:r>
            <w:r>
              <w:rPr>
                <w:rFonts w:hint="eastAsia"/>
                <w:b/>
                <w:bCs/>
                <w:spacing w:val="-1"/>
                <w:sz w:val="21"/>
                <w:szCs w:val="21"/>
                <w:lang w:val="en-US" w:eastAsia="zh-CN"/>
              </w:rPr>
              <w:t>2mm</w:t>
            </w:r>
            <w:r>
              <w:rPr>
                <w:rFonts w:hint="eastAsia"/>
                <w:b w:val="0"/>
                <w:bCs w:val="0"/>
                <w:spacing w:val="-1"/>
                <w:sz w:val="21"/>
                <w:szCs w:val="21"/>
                <w:lang w:val="en-US" w:eastAsia="zh-CN"/>
              </w:rPr>
              <w:t xml:space="preserve">；      </w:t>
            </w:r>
          </w:p>
          <w:p w14:paraId="2FE6D95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eastAsia="宋体"/>
                <w:spacing w:val="-1"/>
                <w:sz w:val="21"/>
                <w:szCs w:val="21"/>
                <w:lang w:val="en-US" w:eastAsia="zh-CN"/>
              </w:rPr>
            </w:pPr>
            <w:r>
              <w:rPr>
                <w:rFonts w:hint="eastAsia"/>
                <w:b/>
                <w:bCs/>
                <w:spacing w:val="-1"/>
                <w:sz w:val="21"/>
                <w:szCs w:val="21"/>
              </w:rPr>
              <w:t>1.2mm</w:t>
            </w:r>
            <w:r>
              <w:rPr>
                <w:rFonts w:hint="eastAsia"/>
                <w:b w:val="0"/>
                <w:bCs w:val="0"/>
                <w:spacing w:val="-1"/>
                <w:sz w:val="21"/>
                <w:szCs w:val="21"/>
                <w:lang w:val="en-US" w:eastAsia="zh-CN"/>
              </w:rPr>
              <w:t>高精度</w:t>
            </w:r>
            <w:r>
              <w:rPr>
                <w:rFonts w:hint="eastAsia"/>
                <w:spacing w:val="-1"/>
                <w:sz w:val="21"/>
                <w:szCs w:val="21"/>
              </w:rPr>
              <w:t>冷轧</w:t>
            </w:r>
            <w:r>
              <w:rPr>
                <w:rFonts w:hint="eastAsia"/>
                <w:spacing w:val="-1"/>
                <w:sz w:val="21"/>
                <w:szCs w:val="21"/>
                <w:lang w:val="en-US" w:eastAsia="zh-CN"/>
              </w:rPr>
              <w:t>管桌架</w:t>
            </w:r>
            <w:r>
              <w:rPr>
                <w:rFonts w:hint="eastAsia"/>
                <w:spacing w:val="-1"/>
                <w:sz w:val="21"/>
                <w:szCs w:val="21"/>
              </w:rPr>
              <w:t>，表面高温静电喷涂</w:t>
            </w:r>
            <w:r>
              <w:rPr>
                <w:rFonts w:hint="eastAsia"/>
                <w:spacing w:val="-1"/>
                <w:sz w:val="21"/>
                <w:szCs w:val="21"/>
                <w:lang w:val="en-US" w:eastAsia="zh-CN"/>
              </w:rPr>
              <w:t>处理</w:t>
            </w:r>
            <w:r>
              <w:rPr>
                <w:rFonts w:hint="eastAsia"/>
                <w:spacing w:val="-1"/>
                <w:sz w:val="21"/>
                <w:szCs w:val="21"/>
                <w:lang w:eastAsia="zh-CN"/>
              </w:rPr>
              <w:t>；</w:t>
            </w:r>
          </w:p>
        </w:tc>
      </w:tr>
      <w:tr w14:paraId="7C8B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jc w:val="center"/>
        </w:trPr>
        <w:tc>
          <w:tcPr>
            <w:tcW w:w="1321" w:type="dxa"/>
            <w:vMerge w:val="continue"/>
            <w:tcMar>
              <w:top w:w="15" w:type="dxa"/>
              <w:left w:w="15" w:type="dxa"/>
              <w:bottom w:w="15" w:type="dxa"/>
              <w:right w:w="15" w:type="dxa"/>
            </w:tcMar>
            <w:vAlign w:val="center"/>
          </w:tcPr>
          <w:p w14:paraId="04AE3CEB">
            <w:pPr>
              <w:jc w:val="center"/>
              <w:rPr>
                <w:rFonts w:hint="default" w:ascii="宋体" w:hAnsi="宋体" w:eastAsia="宋体" w:cs="宋体"/>
                <w:sz w:val="21"/>
                <w:szCs w:val="21"/>
                <w:lang w:val="en-US" w:eastAsia="zh-CN"/>
              </w:rPr>
            </w:pPr>
          </w:p>
        </w:tc>
        <w:tc>
          <w:tcPr>
            <w:tcW w:w="1503" w:type="dxa"/>
            <w:shd w:val="clear" w:color="auto" w:fill="auto"/>
            <w:tcMar>
              <w:top w:w="15" w:type="dxa"/>
              <w:left w:w="15" w:type="dxa"/>
              <w:bottom w:w="15" w:type="dxa"/>
              <w:right w:w="15" w:type="dxa"/>
            </w:tcMar>
            <w:vAlign w:val="center"/>
          </w:tcPr>
          <w:p w14:paraId="62E3DFA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rPr>
              <w:t>书网</w:t>
            </w:r>
          </w:p>
        </w:tc>
        <w:tc>
          <w:tcPr>
            <w:tcW w:w="5697" w:type="dxa"/>
            <w:shd w:val="clear" w:color="auto" w:fill="auto"/>
            <w:tcMar>
              <w:top w:w="15" w:type="dxa"/>
              <w:left w:w="15" w:type="dxa"/>
              <w:bottom w:w="15" w:type="dxa"/>
              <w:right w:w="15" w:type="dxa"/>
            </w:tcMar>
            <w:vAlign w:val="center"/>
          </w:tcPr>
          <w:p w14:paraId="4C7203BA">
            <w:pPr>
              <w:keepNext w:val="0"/>
              <w:keepLines w:val="0"/>
              <w:pageBreakBefore w:val="0"/>
              <w:widowControl w:val="0"/>
              <w:kinsoku/>
              <w:wordWrap/>
              <w:overflowPunct/>
              <w:topLinePunct w:val="0"/>
              <w:autoSpaceDE/>
              <w:autoSpaceDN/>
              <w:bidi w:val="0"/>
              <w:adjustRightInd/>
              <w:snapToGrid/>
              <w:spacing w:after="0" w:line="400" w:lineRule="exact"/>
              <w:ind w:firstLine="209" w:firstLineChars="100"/>
              <w:jc w:val="center"/>
              <w:textAlignment w:val="auto"/>
              <w:rPr>
                <w:rFonts w:hint="eastAsia"/>
                <w:spacing w:val="-1"/>
                <w:sz w:val="21"/>
                <w:szCs w:val="21"/>
                <w:lang w:val="en-US" w:eastAsia="en-US"/>
              </w:rPr>
            </w:pPr>
            <w:r>
              <w:rPr>
                <w:rFonts w:hint="eastAsia"/>
                <w:b/>
                <w:bCs/>
                <w:spacing w:val="-1"/>
                <w:sz w:val="21"/>
                <w:szCs w:val="21"/>
                <w:lang w:val="en-US" w:eastAsia="zh-CN"/>
              </w:rPr>
              <w:t>φ14mm</w:t>
            </w:r>
            <w:r>
              <w:rPr>
                <w:rFonts w:hint="eastAsia"/>
                <w:spacing w:val="-1"/>
                <w:sz w:val="21"/>
                <w:szCs w:val="21"/>
              </w:rPr>
              <w:t>冷轧钢架，表面高温静电喷涂；</w:t>
            </w:r>
          </w:p>
        </w:tc>
      </w:tr>
      <w:tr w14:paraId="5D13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1321" w:type="dxa"/>
            <w:vMerge w:val="continue"/>
            <w:tcMar>
              <w:top w:w="15" w:type="dxa"/>
              <w:left w:w="15" w:type="dxa"/>
              <w:bottom w:w="15" w:type="dxa"/>
              <w:right w:w="15" w:type="dxa"/>
            </w:tcMar>
            <w:vAlign w:val="center"/>
          </w:tcPr>
          <w:p w14:paraId="46CDEA2D">
            <w:pPr>
              <w:jc w:val="center"/>
            </w:pPr>
          </w:p>
        </w:tc>
        <w:tc>
          <w:tcPr>
            <w:tcW w:w="1503" w:type="dxa"/>
            <w:shd w:val="clear" w:color="auto" w:fill="auto"/>
            <w:tcMar>
              <w:top w:w="15" w:type="dxa"/>
              <w:left w:w="15" w:type="dxa"/>
              <w:bottom w:w="15" w:type="dxa"/>
              <w:right w:w="15" w:type="dxa"/>
            </w:tcMar>
            <w:vAlign w:val="center"/>
          </w:tcPr>
          <w:p w14:paraId="3F309C6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rPr>
              <w:t>挡板</w:t>
            </w:r>
          </w:p>
        </w:tc>
        <w:tc>
          <w:tcPr>
            <w:tcW w:w="5697" w:type="dxa"/>
            <w:shd w:val="clear" w:color="auto" w:fill="auto"/>
            <w:tcMar>
              <w:top w:w="15" w:type="dxa"/>
              <w:left w:w="15" w:type="dxa"/>
              <w:bottom w:w="15" w:type="dxa"/>
              <w:right w:w="15" w:type="dxa"/>
            </w:tcMar>
            <w:vAlign w:val="center"/>
          </w:tcPr>
          <w:p w14:paraId="46542A95">
            <w:pPr>
              <w:keepNext w:val="0"/>
              <w:keepLines w:val="0"/>
              <w:pageBreakBefore w:val="0"/>
              <w:widowControl w:val="0"/>
              <w:kinsoku/>
              <w:wordWrap/>
              <w:overflowPunct/>
              <w:topLinePunct w:val="0"/>
              <w:autoSpaceDE/>
              <w:autoSpaceDN/>
              <w:bidi w:val="0"/>
              <w:adjustRightInd/>
              <w:snapToGrid/>
              <w:spacing w:after="0" w:line="400" w:lineRule="exact"/>
              <w:ind w:firstLine="208" w:firstLineChars="100"/>
              <w:jc w:val="center"/>
              <w:textAlignment w:val="auto"/>
              <w:rPr>
                <w:rFonts w:hint="eastAsia"/>
                <w:spacing w:val="-1"/>
                <w:sz w:val="21"/>
                <w:szCs w:val="21"/>
                <w:lang w:val="en-US" w:eastAsia="zh-CN"/>
              </w:rPr>
            </w:pPr>
            <w:r>
              <w:rPr>
                <w:rFonts w:hint="eastAsia"/>
                <w:spacing w:val="-1"/>
                <w:sz w:val="21"/>
                <w:szCs w:val="21"/>
                <w:lang w:val="en-US" w:eastAsia="zh-CN"/>
              </w:rPr>
              <w:t>E1级环保板材</w:t>
            </w:r>
            <w:r>
              <w:rPr>
                <w:rFonts w:hint="eastAsia"/>
                <w:spacing w:val="-1"/>
                <w:sz w:val="21"/>
                <w:szCs w:val="21"/>
              </w:rPr>
              <w:t>，厚度</w:t>
            </w:r>
            <w:r>
              <w:rPr>
                <w:rFonts w:hint="eastAsia"/>
                <w:b/>
                <w:bCs/>
                <w:spacing w:val="-1"/>
                <w:sz w:val="21"/>
                <w:szCs w:val="21"/>
              </w:rPr>
              <w:t>1.</w:t>
            </w:r>
            <w:r>
              <w:rPr>
                <w:rFonts w:hint="eastAsia"/>
                <w:b/>
                <w:bCs/>
                <w:spacing w:val="-1"/>
                <w:sz w:val="21"/>
                <w:szCs w:val="21"/>
                <w:lang w:val="en-US" w:eastAsia="zh-CN"/>
              </w:rPr>
              <w:t xml:space="preserve"> 6</w:t>
            </w:r>
            <w:r>
              <w:rPr>
                <w:rFonts w:hint="eastAsia"/>
                <w:b/>
                <w:bCs/>
                <w:spacing w:val="-1"/>
                <w:sz w:val="21"/>
                <w:szCs w:val="21"/>
              </w:rPr>
              <w:t>CM；</w:t>
            </w:r>
          </w:p>
        </w:tc>
      </w:tr>
      <w:tr w14:paraId="6EA2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jc w:val="center"/>
        </w:trPr>
        <w:tc>
          <w:tcPr>
            <w:tcW w:w="1321" w:type="dxa"/>
            <w:vMerge w:val="continue"/>
            <w:tcMar>
              <w:top w:w="15" w:type="dxa"/>
              <w:left w:w="15" w:type="dxa"/>
              <w:bottom w:w="15" w:type="dxa"/>
              <w:right w:w="15" w:type="dxa"/>
            </w:tcMar>
            <w:vAlign w:val="center"/>
          </w:tcPr>
          <w:p w14:paraId="4E161E14">
            <w:pPr>
              <w:jc w:val="center"/>
              <w:rPr>
                <w:rFonts w:hint="eastAsia" w:ascii="宋体" w:hAnsi="宋体" w:cs="宋体"/>
                <w:sz w:val="21"/>
                <w:szCs w:val="21"/>
              </w:rPr>
            </w:pPr>
          </w:p>
        </w:tc>
        <w:tc>
          <w:tcPr>
            <w:tcW w:w="1503" w:type="dxa"/>
            <w:shd w:val="clear" w:color="auto" w:fill="auto"/>
            <w:tcMar>
              <w:top w:w="15" w:type="dxa"/>
              <w:left w:w="15" w:type="dxa"/>
              <w:bottom w:w="15" w:type="dxa"/>
              <w:right w:w="15" w:type="dxa"/>
            </w:tcMar>
            <w:vAlign w:val="center"/>
          </w:tcPr>
          <w:p w14:paraId="3BA37AC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rPr>
              <w:t>脚轮</w:t>
            </w:r>
          </w:p>
        </w:tc>
        <w:tc>
          <w:tcPr>
            <w:tcW w:w="5697" w:type="dxa"/>
            <w:shd w:val="clear" w:color="auto" w:fill="auto"/>
            <w:tcMar>
              <w:top w:w="15" w:type="dxa"/>
              <w:left w:w="15" w:type="dxa"/>
              <w:bottom w:w="15" w:type="dxa"/>
              <w:right w:w="15" w:type="dxa"/>
            </w:tcMar>
            <w:vAlign w:val="center"/>
          </w:tcPr>
          <w:p w14:paraId="3BF52D64">
            <w:pPr>
              <w:keepNext w:val="0"/>
              <w:keepLines w:val="0"/>
              <w:pageBreakBefore w:val="0"/>
              <w:widowControl w:val="0"/>
              <w:kinsoku/>
              <w:wordWrap/>
              <w:overflowPunct/>
              <w:topLinePunct w:val="0"/>
              <w:autoSpaceDE/>
              <w:autoSpaceDN/>
              <w:bidi w:val="0"/>
              <w:adjustRightInd/>
              <w:snapToGrid/>
              <w:spacing w:after="0" w:line="400" w:lineRule="exact"/>
              <w:ind w:firstLine="208" w:firstLineChars="100"/>
              <w:jc w:val="center"/>
              <w:textAlignment w:val="auto"/>
              <w:rPr>
                <w:rFonts w:hint="eastAsia"/>
                <w:spacing w:val="-1"/>
                <w:sz w:val="21"/>
                <w:szCs w:val="21"/>
                <w:lang w:val="en-US" w:eastAsia="en-US"/>
              </w:rPr>
            </w:pPr>
            <w:r>
              <w:rPr>
                <w:rFonts w:hint="eastAsia"/>
                <w:spacing w:val="-1"/>
                <w:sz w:val="21"/>
                <w:szCs w:val="21"/>
              </w:rPr>
              <w:t>可调节高低，带</w:t>
            </w:r>
            <w:r>
              <w:rPr>
                <w:rFonts w:hint="eastAsia"/>
                <w:spacing w:val="-1"/>
                <w:sz w:val="21"/>
                <w:szCs w:val="21"/>
                <w:lang w:val="en-US" w:eastAsia="zh-CN"/>
              </w:rPr>
              <w:t>万向</w:t>
            </w:r>
            <w:r>
              <w:rPr>
                <w:rFonts w:hint="eastAsia"/>
                <w:spacing w:val="-1"/>
                <w:sz w:val="21"/>
                <w:szCs w:val="21"/>
              </w:rPr>
              <w:t>刹车轮</w:t>
            </w:r>
            <w:r>
              <w:rPr>
                <w:rFonts w:hint="eastAsia"/>
                <w:spacing w:val="-1"/>
                <w:sz w:val="21"/>
                <w:szCs w:val="21"/>
                <w:lang w:eastAsia="zh-CN"/>
              </w:rPr>
              <w:t>，</w:t>
            </w:r>
            <w:r>
              <w:rPr>
                <w:rFonts w:hint="eastAsia"/>
                <w:spacing w:val="-1"/>
                <w:sz w:val="21"/>
                <w:szCs w:val="21"/>
                <w:lang w:val="en-US" w:eastAsia="zh-CN"/>
              </w:rPr>
              <w:t>也可安装可调节重型支撑脚杯</w:t>
            </w:r>
            <w:r>
              <w:rPr>
                <w:rFonts w:hint="eastAsia"/>
                <w:spacing w:val="-1"/>
                <w:sz w:val="21"/>
                <w:szCs w:val="21"/>
              </w:rPr>
              <w:t>；</w:t>
            </w:r>
          </w:p>
        </w:tc>
      </w:tr>
      <w:tr w14:paraId="58F4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321" w:type="dxa"/>
            <w:vMerge w:val="continue"/>
            <w:tcMar>
              <w:top w:w="15" w:type="dxa"/>
              <w:left w:w="15" w:type="dxa"/>
              <w:bottom w:w="15" w:type="dxa"/>
              <w:right w:w="15" w:type="dxa"/>
            </w:tcMar>
            <w:vAlign w:val="center"/>
          </w:tcPr>
          <w:p w14:paraId="5EFFC8F9">
            <w:pPr>
              <w:jc w:val="center"/>
              <w:rPr>
                <w:rFonts w:hint="eastAsia" w:ascii="宋体" w:hAnsi="宋体" w:cs="宋体"/>
                <w:sz w:val="21"/>
                <w:szCs w:val="21"/>
              </w:rPr>
            </w:pPr>
          </w:p>
        </w:tc>
        <w:tc>
          <w:tcPr>
            <w:tcW w:w="1503" w:type="dxa"/>
            <w:shd w:val="clear" w:color="auto" w:fill="auto"/>
            <w:tcMar>
              <w:top w:w="15" w:type="dxa"/>
              <w:left w:w="15" w:type="dxa"/>
              <w:bottom w:w="15" w:type="dxa"/>
              <w:right w:w="15" w:type="dxa"/>
            </w:tcMar>
            <w:vAlign w:val="center"/>
          </w:tcPr>
          <w:p w14:paraId="0555EE7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rPr>
              <w:t>折叠</w:t>
            </w:r>
          </w:p>
        </w:tc>
        <w:tc>
          <w:tcPr>
            <w:tcW w:w="5697" w:type="dxa"/>
            <w:shd w:val="clear" w:color="auto" w:fill="auto"/>
            <w:tcMar>
              <w:top w:w="15" w:type="dxa"/>
              <w:left w:w="15" w:type="dxa"/>
              <w:bottom w:w="15" w:type="dxa"/>
              <w:right w:w="15" w:type="dxa"/>
            </w:tcMar>
            <w:vAlign w:val="center"/>
          </w:tcPr>
          <w:p w14:paraId="5F636DD7">
            <w:pPr>
              <w:keepNext w:val="0"/>
              <w:keepLines w:val="0"/>
              <w:pageBreakBefore w:val="0"/>
              <w:widowControl w:val="0"/>
              <w:kinsoku/>
              <w:wordWrap/>
              <w:overflowPunct/>
              <w:topLinePunct w:val="0"/>
              <w:autoSpaceDE/>
              <w:autoSpaceDN/>
              <w:bidi w:val="0"/>
              <w:adjustRightInd/>
              <w:snapToGrid/>
              <w:spacing w:after="0" w:line="400" w:lineRule="exact"/>
              <w:ind w:firstLine="208" w:firstLineChars="100"/>
              <w:jc w:val="center"/>
              <w:textAlignment w:val="auto"/>
              <w:rPr>
                <w:rFonts w:hint="eastAsia"/>
                <w:spacing w:val="-1"/>
                <w:sz w:val="21"/>
                <w:szCs w:val="21"/>
                <w:lang w:val="en-US" w:eastAsia="en-US"/>
              </w:rPr>
            </w:pPr>
            <w:r>
              <w:rPr>
                <w:rFonts w:hint="eastAsia"/>
                <w:spacing w:val="-1"/>
                <w:sz w:val="21"/>
                <w:szCs w:val="21"/>
              </w:rPr>
              <w:t>整个桌</w:t>
            </w:r>
            <w:r>
              <w:rPr>
                <w:rFonts w:hint="eastAsia"/>
                <w:spacing w:val="-1"/>
                <w:sz w:val="21"/>
                <w:szCs w:val="21"/>
                <w:lang w:val="en-US" w:eastAsia="zh-CN"/>
              </w:rPr>
              <w:t>面</w:t>
            </w:r>
            <w:r>
              <w:rPr>
                <w:rFonts w:hint="eastAsia"/>
                <w:spacing w:val="-1"/>
                <w:sz w:val="21"/>
                <w:szCs w:val="21"/>
              </w:rPr>
              <w:t>可90度折叠；</w:t>
            </w:r>
          </w:p>
        </w:tc>
      </w:tr>
      <w:tr w14:paraId="723C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jc w:val="center"/>
        </w:trPr>
        <w:tc>
          <w:tcPr>
            <w:tcW w:w="1321" w:type="dxa"/>
            <w:vMerge w:val="continue"/>
            <w:tcMar>
              <w:top w:w="15" w:type="dxa"/>
              <w:left w:w="15" w:type="dxa"/>
              <w:bottom w:w="15" w:type="dxa"/>
              <w:right w:w="15" w:type="dxa"/>
            </w:tcMar>
            <w:vAlign w:val="center"/>
          </w:tcPr>
          <w:p w14:paraId="6852B6FA">
            <w:pPr>
              <w:jc w:val="center"/>
              <w:rPr>
                <w:rFonts w:hint="eastAsia" w:ascii="宋体" w:hAnsi="宋体" w:cs="宋体"/>
                <w:sz w:val="21"/>
                <w:szCs w:val="21"/>
              </w:rPr>
            </w:pPr>
          </w:p>
        </w:tc>
        <w:tc>
          <w:tcPr>
            <w:tcW w:w="1503" w:type="dxa"/>
            <w:shd w:val="clear" w:color="auto" w:fill="auto"/>
            <w:tcMar>
              <w:top w:w="15" w:type="dxa"/>
              <w:left w:w="15" w:type="dxa"/>
              <w:bottom w:w="15" w:type="dxa"/>
              <w:right w:w="15" w:type="dxa"/>
            </w:tcMar>
            <w:vAlign w:val="center"/>
          </w:tcPr>
          <w:p w14:paraId="4199F0A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rPr>
              <w:t>木板颜色</w:t>
            </w:r>
          </w:p>
        </w:tc>
        <w:tc>
          <w:tcPr>
            <w:tcW w:w="5697" w:type="dxa"/>
            <w:shd w:val="clear" w:color="auto" w:fill="auto"/>
            <w:tcMar>
              <w:top w:w="15" w:type="dxa"/>
              <w:left w:w="15" w:type="dxa"/>
              <w:bottom w:w="15" w:type="dxa"/>
              <w:right w:w="15" w:type="dxa"/>
            </w:tcMar>
            <w:vAlign w:val="center"/>
          </w:tcPr>
          <w:p w14:paraId="24D133F5">
            <w:pPr>
              <w:keepNext w:val="0"/>
              <w:keepLines w:val="0"/>
              <w:pageBreakBefore w:val="0"/>
              <w:widowControl w:val="0"/>
              <w:kinsoku/>
              <w:wordWrap/>
              <w:overflowPunct/>
              <w:topLinePunct w:val="0"/>
              <w:autoSpaceDE/>
              <w:autoSpaceDN/>
              <w:bidi w:val="0"/>
              <w:adjustRightInd/>
              <w:snapToGrid/>
              <w:spacing w:after="0" w:line="400" w:lineRule="exact"/>
              <w:ind w:firstLine="208" w:firstLineChars="100"/>
              <w:jc w:val="center"/>
              <w:textAlignment w:val="auto"/>
              <w:rPr>
                <w:rFonts w:hint="eastAsia"/>
                <w:spacing w:val="-1"/>
                <w:sz w:val="21"/>
                <w:szCs w:val="21"/>
                <w:lang w:val="en-US" w:eastAsia="en-US"/>
              </w:rPr>
            </w:pPr>
            <w:r>
              <w:rPr>
                <w:rFonts w:hint="eastAsia"/>
                <w:spacing w:val="-1"/>
                <w:sz w:val="21"/>
                <w:szCs w:val="21"/>
              </w:rPr>
              <w:t>多色可选或提供样品色定制 （与</w:t>
            </w:r>
            <w:r>
              <w:rPr>
                <w:rFonts w:hint="eastAsia"/>
                <w:spacing w:val="-1"/>
                <w:sz w:val="21"/>
                <w:szCs w:val="21"/>
                <w:lang w:val="en-US" w:eastAsia="zh-CN"/>
              </w:rPr>
              <w:t>会场</w:t>
            </w:r>
            <w:r>
              <w:rPr>
                <w:rFonts w:hint="eastAsia"/>
                <w:spacing w:val="-1"/>
                <w:sz w:val="21"/>
                <w:szCs w:val="21"/>
              </w:rPr>
              <w:t>整体风格一致）</w:t>
            </w:r>
          </w:p>
        </w:tc>
      </w:tr>
      <w:tr w14:paraId="6966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jc w:val="center"/>
        </w:trPr>
        <w:tc>
          <w:tcPr>
            <w:tcW w:w="1321" w:type="dxa"/>
            <w:vMerge w:val="continue"/>
            <w:tcMar>
              <w:top w:w="15" w:type="dxa"/>
              <w:left w:w="15" w:type="dxa"/>
              <w:bottom w:w="15" w:type="dxa"/>
              <w:right w:w="15" w:type="dxa"/>
            </w:tcMar>
            <w:vAlign w:val="center"/>
          </w:tcPr>
          <w:p w14:paraId="3E9A907D">
            <w:pPr>
              <w:jc w:val="center"/>
              <w:rPr>
                <w:rFonts w:hint="eastAsia" w:ascii="宋体" w:hAnsi="宋体" w:cs="宋体"/>
                <w:sz w:val="21"/>
                <w:szCs w:val="21"/>
              </w:rPr>
            </w:pPr>
          </w:p>
        </w:tc>
        <w:tc>
          <w:tcPr>
            <w:tcW w:w="1503" w:type="dxa"/>
            <w:shd w:val="clear" w:color="auto" w:fill="auto"/>
            <w:tcMar>
              <w:top w:w="15" w:type="dxa"/>
              <w:left w:w="15" w:type="dxa"/>
              <w:bottom w:w="15" w:type="dxa"/>
              <w:right w:w="15" w:type="dxa"/>
            </w:tcMar>
            <w:vAlign w:val="center"/>
          </w:tcPr>
          <w:p w14:paraId="33C92077">
            <w:pPr>
              <w:keepNext w:val="0"/>
              <w:keepLines w:val="0"/>
              <w:pageBreakBefore w:val="0"/>
              <w:widowControl w:val="0"/>
              <w:kinsoku/>
              <w:wordWrap/>
              <w:overflowPunct/>
              <w:topLinePunct w:val="0"/>
              <w:autoSpaceDE/>
              <w:autoSpaceDN/>
              <w:bidi w:val="0"/>
              <w:adjustRightInd/>
              <w:snapToGrid/>
              <w:spacing w:after="0" w:line="400" w:lineRule="exact"/>
              <w:ind w:firstLine="208" w:firstLineChars="100"/>
              <w:jc w:val="center"/>
              <w:textAlignment w:val="auto"/>
              <w:rPr>
                <w:rFonts w:hint="eastAsia"/>
                <w:spacing w:val="-1"/>
                <w:sz w:val="21"/>
                <w:szCs w:val="21"/>
                <w:lang w:val="en-US" w:eastAsia="en-US"/>
              </w:rPr>
            </w:pPr>
            <w:r>
              <w:rPr>
                <w:rFonts w:hint="eastAsia"/>
                <w:spacing w:val="-1"/>
                <w:sz w:val="21"/>
                <w:szCs w:val="21"/>
              </w:rPr>
              <w:t>尺寸</w:t>
            </w:r>
          </w:p>
        </w:tc>
        <w:tc>
          <w:tcPr>
            <w:tcW w:w="5697" w:type="dxa"/>
            <w:shd w:val="clear" w:color="auto" w:fill="auto"/>
            <w:tcMar>
              <w:top w:w="15" w:type="dxa"/>
              <w:left w:w="15" w:type="dxa"/>
              <w:bottom w:w="15" w:type="dxa"/>
              <w:right w:w="15" w:type="dxa"/>
            </w:tcMar>
            <w:vAlign w:val="center"/>
          </w:tcPr>
          <w:p w14:paraId="015E27C5">
            <w:pPr>
              <w:keepNext w:val="0"/>
              <w:keepLines w:val="0"/>
              <w:pageBreakBefore w:val="0"/>
              <w:widowControl w:val="0"/>
              <w:kinsoku/>
              <w:wordWrap/>
              <w:overflowPunct/>
              <w:topLinePunct w:val="0"/>
              <w:autoSpaceDE/>
              <w:autoSpaceDN/>
              <w:bidi w:val="0"/>
              <w:adjustRightInd/>
              <w:snapToGrid/>
              <w:spacing w:after="0" w:line="400" w:lineRule="exact"/>
              <w:ind w:firstLine="208" w:firstLineChars="100"/>
              <w:jc w:val="center"/>
              <w:textAlignment w:val="auto"/>
              <w:rPr>
                <w:rFonts w:hint="eastAsia"/>
                <w:spacing w:val="-1"/>
                <w:sz w:val="21"/>
                <w:szCs w:val="21"/>
                <w:lang w:val="en-US" w:eastAsia="en-US"/>
              </w:rPr>
            </w:pPr>
            <w:r>
              <w:rPr>
                <w:rFonts w:hint="eastAsia"/>
                <w:spacing w:val="-1"/>
                <w:sz w:val="21"/>
                <w:szCs w:val="21"/>
              </w:rPr>
              <w:t>约为：1</w:t>
            </w:r>
            <w:r>
              <w:rPr>
                <w:rFonts w:hint="eastAsia"/>
                <w:spacing w:val="-1"/>
                <w:sz w:val="21"/>
                <w:szCs w:val="21"/>
                <w:lang w:val="en-US" w:eastAsia="zh-CN"/>
              </w:rPr>
              <w:t>4</w:t>
            </w:r>
            <w:r>
              <w:rPr>
                <w:rFonts w:hint="eastAsia"/>
                <w:spacing w:val="-1"/>
                <w:sz w:val="21"/>
                <w:szCs w:val="21"/>
              </w:rPr>
              <w:t>00mm×</w:t>
            </w:r>
            <w:r>
              <w:rPr>
                <w:rFonts w:hint="eastAsia"/>
                <w:spacing w:val="-1"/>
                <w:sz w:val="21"/>
                <w:szCs w:val="21"/>
                <w:lang w:val="en-US" w:eastAsia="zh-CN"/>
              </w:rPr>
              <w:t>60</w:t>
            </w:r>
            <w:r>
              <w:rPr>
                <w:rFonts w:hint="eastAsia"/>
                <w:spacing w:val="-1"/>
                <w:sz w:val="21"/>
                <w:szCs w:val="21"/>
              </w:rPr>
              <w:t>0mm×750mm（长*宽*高）。</w:t>
            </w:r>
          </w:p>
        </w:tc>
      </w:tr>
    </w:tbl>
    <w:p w14:paraId="6F5EC0B0">
      <w:pPr>
        <w:keepNext w:val="0"/>
        <w:keepLines w:val="0"/>
        <w:pageBreakBefore w:val="0"/>
        <w:widowControl w:val="0"/>
        <w:kinsoku/>
        <w:wordWrap/>
        <w:overflowPunct/>
        <w:topLinePunct w:val="0"/>
        <w:autoSpaceDE/>
        <w:autoSpaceDN/>
        <w:bidi w:val="0"/>
        <w:adjustRightInd/>
        <w:spacing w:after="0" w:line="240" w:lineRule="auto"/>
        <w:ind w:firstLine="240" w:firstLineChars="100"/>
        <w:textAlignment w:val="auto"/>
        <w:rPr>
          <w:rFonts w:hint="eastAsia" w:ascii="宋体" w:hAnsi="宋体" w:cs="宋体"/>
          <w:sz w:val="24"/>
          <w:szCs w:val="24"/>
          <w:lang w:val="en-US" w:eastAsia="zh-CN"/>
        </w:rPr>
      </w:pPr>
      <w:r>
        <w:rPr>
          <w:rFonts w:hint="eastAsia" w:ascii="宋体" w:hAnsi="宋体" w:cs="宋体"/>
          <w:sz w:val="24"/>
          <w:szCs w:val="24"/>
          <w:lang w:val="en-US" w:eastAsia="zh-CN"/>
        </w:rPr>
        <w:drawing>
          <wp:anchor distT="0" distB="0" distL="114300" distR="114300" simplePos="0" relativeHeight="251659264" behindDoc="0" locked="0" layoutInCell="1" allowOverlap="1">
            <wp:simplePos x="0" y="0"/>
            <wp:positionH relativeFrom="column">
              <wp:posOffset>1120140</wp:posOffset>
            </wp:positionH>
            <wp:positionV relativeFrom="paragraph">
              <wp:posOffset>196215</wp:posOffset>
            </wp:positionV>
            <wp:extent cx="2360930" cy="1742440"/>
            <wp:effectExtent l="0" t="0" r="1270" b="10160"/>
            <wp:wrapSquare wrapText="bothSides"/>
            <wp:docPr id="3" name="图片 3" descr="会议桌（T型腿带滑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会议桌（T型腿带滑轮）"/>
                    <pic:cNvPicPr>
                      <a:picLocks noChangeAspect="1"/>
                    </pic:cNvPicPr>
                  </pic:nvPicPr>
                  <pic:blipFill>
                    <a:blip r:embed="rId11"/>
                    <a:srcRect l="9761" t="21074" r="11054" b="10246"/>
                    <a:stretch>
                      <a:fillRect/>
                    </a:stretch>
                  </pic:blipFill>
                  <pic:spPr>
                    <a:xfrm>
                      <a:off x="0" y="0"/>
                      <a:ext cx="2360930" cy="1742440"/>
                    </a:xfrm>
                    <a:prstGeom prst="rect">
                      <a:avLst/>
                    </a:prstGeom>
                  </pic:spPr>
                </pic:pic>
              </a:graphicData>
            </a:graphic>
          </wp:anchor>
        </w:drawing>
      </w:r>
      <w:r>
        <w:rPr>
          <w:rFonts w:hint="eastAsia" w:ascii="宋体" w:hAnsi="宋体" w:cs="宋体"/>
          <w:sz w:val="28"/>
          <w:szCs w:val="28"/>
          <w:lang w:val="en-US" w:eastAsia="zh-CN"/>
        </w:rPr>
        <w:t>参考图片：</w:t>
      </w:r>
    </w:p>
    <w:p w14:paraId="135B1A43">
      <w:pPr>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br w:type="page"/>
      </w:r>
    </w:p>
    <w:p w14:paraId="5C29D05F">
      <w:pPr>
        <w:spacing w:before="120" w:beforeLines="50" w:after="0" w:line="360" w:lineRule="auto"/>
        <w:ind w:firstLine="241" w:firstLineChars="100"/>
        <w:rPr>
          <w:rFonts w:hint="default" w:ascii="宋体" w:hAnsi="宋体" w:cs="宋体"/>
          <w:b/>
          <w:bCs/>
          <w:sz w:val="24"/>
          <w:szCs w:val="24"/>
          <w:lang w:val="en-US" w:eastAsia="zh-CN"/>
        </w:rPr>
      </w:pPr>
      <w:r>
        <w:rPr>
          <w:rFonts w:hint="eastAsia" w:ascii="宋体" w:hAnsi="宋体" w:cs="宋体"/>
          <w:b/>
          <w:bCs/>
          <w:color w:val="000000" w:themeColor="text1"/>
          <w:sz w:val="24"/>
          <w:szCs w:val="24"/>
          <w:lang w:val="en-US" w:eastAsia="zh-CN"/>
          <w14:textFill>
            <w14:solidFill>
              <w14:schemeClr w14:val="tx1"/>
            </w14:solidFill>
          </w14:textFill>
        </w:rPr>
        <w:t>（2）会议椅；</w:t>
      </w:r>
      <w:r>
        <w:rPr>
          <w:rFonts w:hint="eastAsia" w:ascii="宋体" w:hAnsi="宋体" w:cs="宋体"/>
          <w:b/>
          <w:bCs/>
          <w:sz w:val="24"/>
          <w:szCs w:val="24"/>
          <w:lang w:val="en-US" w:eastAsia="zh-CN"/>
        </w:rPr>
        <w:t>数量：54张</w:t>
      </w:r>
    </w:p>
    <w:tbl>
      <w:tblPr>
        <w:tblStyle w:val="2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1"/>
        <w:gridCol w:w="1503"/>
        <w:gridCol w:w="5697"/>
      </w:tblGrid>
      <w:tr w14:paraId="6F09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7" w:hRule="atLeast"/>
          <w:jc w:val="center"/>
        </w:trPr>
        <w:tc>
          <w:tcPr>
            <w:tcW w:w="8521" w:type="dxa"/>
            <w:gridSpan w:val="3"/>
            <w:vAlign w:val="center"/>
          </w:tcPr>
          <w:p w14:paraId="4E3B56F4">
            <w:pPr>
              <w:spacing w:after="0"/>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技术要求</w:t>
            </w:r>
          </w:p>
        </w:tc>
      </w:tr>
      <w:tr w14:paraId="0C95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9" w:hRule="atLeast"/>
          <w:jc w:val="center"/>
        </w:trPr>
        <w:tc>
          <w:tcPr>
            <w:tcW w:w="1321" w:type="dxa"/>
            <w:vMerge w:val="restart"/>
            <w:tcMar>
              <w:top w:w="15" w:type="dxa"/>
              <w:left w:w="15" w:type="dxa"/>
              <w:bottom w:w="15" w:type="dxa"/>
              <w:right w:w="15" w:type="dxa"/>
            </w:tcMar>
            <w:vAlign w:val="center"/>
          </w:tcPr>
          <w:p w14:paraId="05BB0EB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eastAsia="宋体"/>
                <w:spacing w:val="-1"/>
                <w:sz w:val="21"/>
                <w:szCs w:val="21"/>
                <w:lang w:val="en-US" w:eastAsia="zh-CN"/>
              </w:rPr>
            </w:pPr>
            <w:r>
              <w:rPr>
                <w:rFonts w:hint="eastAsia"/>
                <w:spacing w:val="-1"/>
                <w:sz w:val="21"/>
                <w:szCs w:val="21"/>
                <w:lang w:val="en-US" w:eastAsia="zh-CN"/>
              </w:rPr>
              <w:t>会议椅</w:t>
            </w:r>
          </w:p>
          <w:p w14:paraId="76788B25">
            <w:pPr>
              <w:jc w:val="center"/>
              <w:rPr>
                <w:rFonts w:hint="default" w:ascii="宋体" w:hAnsi="宋体" w:eastAsia="宋体" w:cs="宋体"/>
                <w:sz w:val="21"/>
                <w:szCs w:val="21"/>
                <w:lang w:val="en-US" w:eastAsia="zh-CN"/>
              </w:rPr>
            </w:pPr>
          </w:p>
        </w:tc>
        <w:tc>
          <w:tcPr>
            <w:tcW w:w="1503" w:type="dxa"/>
            <w:shd w:val="clear" w:color="auto" w:fill="auto"/>
            <w:tcMar>
              <w:top w:w="15" w:type="dxa"/>
              <w:left w:w="15" w:type="dxa"/>
              <w:bottom w:w="15" w:type="dxa"/>
              <w:right w:w="15" w:type="dxa"/>
            </w:tcMar>
            <w:vAlign w:val="center"/>
          </w:tcPr>
          <w:p w14:paraId="32214A7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lang w:val="en-US" w:eastAsia="en-US"/>
              </w:rPr>
              <w:t>背板</w:t>
            </w:r>
          </w:p>
        </w:tc>
        <w:tc>
          <w:tcPr>
            <w:tcW w:w="5697" w:type="dxa"/>
            <w:shd w:val="clear" w:color="auto" w:fill="auto"/>
            <w:tcMar>
              <w:top w:w="15" w:type="dxa"/>
              <w:left w:w="15" w:type="dxa"/>
              <w:bottom w:w="15" w:type="dxa"/>
              <w:right w:w="15" w:type="dxa"/>
            </w:tcMar>
            <w:vAlign w:val="center"/>
          </w:tcPr>
          <w:p w14:paraId="3E460F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eastAsia="宋体"/>
                <w:spacing w:val="-1"/>
                <w:sz w:val="21"/>
                <w:szCs w:val="21"/>
                <w:lang w:val="en-US" w:eastAsia="zh-CN"/>
              </w:rPr>
            </w:pPr>
            <w:r>
              <w:rPr>
                <w:rFonts w:hint="eastAsia"/>
                <w:spacing w:val="-1"/>
                <w:sz w:val="21"/>
                <w:szCs w:val="21"/>
                <w:lang w:val="en-US" w:eastAsia="en-US"/>
              </w:rPr>
              <w:t>采用尼龙塑料加网布靠背</w:t>
            </w:r>
            <w:r>
              <w:rPr>
                <w:rFonts w:hint="eastAsia"/>
                <w:spacing w:val="-1"/>
                <w:sz w:val="21"/>
                <w:szCs w:val="21"/>
                <w:lang w:val="en-US" w:eastAsia="zh-CN"/>
              </w:rPr>
              <w:t>，</w:t>
            </w:r>
            <w:r>
              <w:rPr>
                <w:rFonts w:hint="eastAsia"/>
                <w:spacing w:val="-1"/>
                <w:sz w:val="21"/>
                <w:szCs w:val="21"/>
                <w:lang w:val="en-US" w:eastAsia="en-US"/>
              </w:rPr>
              <w:t>靠背连接件为工程塑料ABS；</w:t>
            </w:r>
          </w:p>
        </w:tc>
      </w:tr>
      <w:tr w14:paraId="4953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3" w:hRule="atLeast"/>
          <w:jc w:val="center"/>
        </w:trPr>
        <w:tc>
          <w:tcPr>
            <w:tcW w:w="1321" w:type="dxa"/>
            <w:vMerge w:val="continue"/>
            <w:tcMar>
              <w:top w:w="15" w:type="dxa"/>
              <w:left w:w="15" w:type="dxa"/>
              <w:bottom w:w="15" w:type="dxa"/>
              <w:right w:w="15" w:type="dxa"/>
            </w:tcMar>
            <w:vAlign w:val="center"/>
          </w:tcPr>
          <w:p w14:paraId="5E0C1F43">
            <w:pPr>
              <w:jc w:val="center"/>
              <w:rPr>
                <w:sz w:val="21"/>
                <w:szCs w:val="21"/>
              </w:rPr>
            </w:pPr>
          </w:p>
        </w:tc>
        <w:tc>
          <w:tcPr>
            <w:tcW w:w="1503" w:type="dxa"/>
            <w:shd w:val="clear" w:color="auto" w:fill="auto"/>
            <w:tcMar>
              <w:top w:w="15" w:type="dxa"/>
              <w:left w:w="15" w:type="dxa"/>
              <w:bottom w:w="15" w:type="dxa"/>
              <w:right w:w="15" w:type="dxa"/>
            </w:tcMar>
            <w:vAlign w:val="center"/>
          </w:tcPr>
          <w:p w14:paraId="208D708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lang w:val="en-US" w:eastAsia="en-US"/>
              </w:rPr>
              <w:t>坐板</w:t>
            </w:r>
          </w:p>
        </w:tc>
        <w:tc>
          <w:tcPr>
            <w:tcW w:w="5697" w:type="dxa"/>
            <w:shd w:val="clear" w:color="auto" w:fill="auto"/>
            <w:tcMar>
              <w:top w:w="15" w:type="dxa"/>
              <w:left w:w="15" w:type="dxa"/>
              <w:bottom w:w="15" w:type="dxa"/>
              <w:right w:w="15" w:type="dxa"/>
            </w:tcMar>
            <w:vAlign w:val="center"/>
          </w:tcPr>
          <w:p w14:paraId="7D2B26E2">
            <w:pPr>
              <w:keepNext w:val="0"/>
              <w:keepLines w:val="0"/>
              <w:pageBreakBefore w:val="0"/>
              <w:widowControl w:val="0"/>
              <w:kinsoku/>
              <w:wordWrap/>
              <w:overflowPunct/>
              <w:topLinePunct w:val="0"/>
              <w:autoSpaceDE/>
              <w:autoSpaceDN/>
              <w:bidi w:val="0"/>
              <w:adjustRightInd/>
              <w:snapToGrid/>
              <w:spacing w:after="0" w:line="400" w:lineRule="exact"/>
              <w:ind w:firstLine="208" w:firstLineChars="100"/>
              <w:jc w:val="center"/>
              <w:textAlignment w:val="auto"/>
              <w:rPr>
                <w:rFonts w:hint="eastAsia" w:eastAsia="宋体"/>
                <w:spacing w:val="-1"/>
                <w:sz w:val="21"/>
                <w:szCs w:val="21"/>
                <w:lang w:val="en-US" w:eastAsia="zh-CN"/>
              </w:rPr>
            </w:pPr>
            <w:r>
              <w:rPr>
                <w:rFonts w:hint="eastAsia"/>
                <w:spacing w:val="-1"/>
                <w:sz w:val="21"/>
                <w:szCs w:val="21"/>
                <w:lang w:val="en-US" w:eastAsia="en-US"/>
              </w:rPr>
              <w:t>采用定型海绵加耐污弹力布饰面，坐板可翻折；</w:t>
            </w:r>
          </w:p>
        </w:tc>
      </w:tr>
      <w:tr w14:paraId="2B0A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3" w:hRule="atLeast"/>
          <w:jc w:val="center"/>
        </w:trPr>
        <w:tc>
          <w:tcPr>
            <w:tcW w:w="1321" w:type="dxa"/>
            <w:vMerge w:val="continue"/>
            <w:tcMar>
              <w:top w:w="15" w:type="dxa"/>
              <w:left w:w="15" w:type="dxa"/>
              <w:bottom w:w="15" w:type="dxa"/>
              <w:right w:w="15" w:type="dxa"/>
            </w:tcMar>
            <w:vAlign w:val="center"/>
          </w:tcPr>
          <w:p w14:paraId="52500DC0">
            <w:pPr>
              <w:jc w:val="center"/>
              <w:rPr>
                <w:rFonts w:hint="default" w:ascii="宋体" w:hAnsi="宋体" w:eastAsia="宋体" w:cs="宋体"/>
                <w:sz w:val="21"/>
                <w:szCs w:val="21"/>
                <w:lang w:val="en-US" w:eastAsia="zh-CN"/>
              </w:rPr>
            </w:pPr>
          </w:p>
        </w:tc>
        <w:tc>
          <w:tcPr>
            <w:tcW w:w="1503" w:type="dxa"/>
            <w:shd w:val="clear" w:color="auto" w:fill="auto"/>
            <w:tcMar>
              <w:top w:w="15" w:type="dxa"/>
              <w:left w:w="15" w:type="dxa"/>
              <w:bottom w:w="15" w:type="dxa"/>
              <w:right w:w="15" w:type="dxa"/>
            </w:tcMar>
            <w:vAlign w:val="center"/>
          </w:tcPr>
          <w:p w14:paraId="4E555B6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lang w:val="en-US" w:eastAsia="en-US"/>
              </w:rPr>
              <w:t>椅架</w:t>
            </w:r>
          </w:p>
        </w:tc>
        <w:tc>
          <w:tcPr>
            <w:tcW w:w="5697" w:type="dxa"/>
            <w:shd w:val="clear" w:color="auto" w:fill="auto"/>
            <w:tcMar>
              <w:top w:w="15" w:type="dxa"/>
              <w:left w:w="15" w:type="dxa"/>
              <w:bottom w:w="15" w:type="dxa"/>
              <w:right w:w="15" w:type="dxa"/>
            </w:tcMar>
            <w:vAlign w:val="center"/>
          </w:tcPr>
          <w:p w14:paraId="34FC34BE">
            <w:pPr>
              <w:keepNext w:val="0"/>
              <w:keepLines w:val="0"/>
              <w:pageBreakBefore w:val="0"/>
              <w:widowControl w:val="0"/>
              <w:kinsoku/>
              <w:wordWrap/>
              <w:overflowPunct/>
              <w:topLinePunct w:val="0"/>
              <w:autoSpaceDE/>
              <w:autoSpaceDN/>
              <w:bidi w:val="0"/>
              <w:adjustRightInd/>
              <w:snapToGrid/>
              <w:spacing w:after="0" w:line="400" w:lineRule="exact"/>
              <w:ind w:firstLine="208" w:firstLineChars="100"/>
              <w:jc w:val="center"/>
              <w:textAlignment w:val="auto"/>
              <w:rPr>
                <w:rFonts w:hint="eastAsia"/>
                <w:spacing w:val="-1"/>
                <w:sz w:val="21"/>
                <w:szCs w:val="21"/>
                <w:lang w:val="en-US" w:eastAsia="en-US"/>
              </w:rPr>
            </w:pPr>
            <w:r>
              <w:rPr>
                <w:rFonts w:hint="eastAsia"/>
                <w:spacing w:val="-1"/>
                <w:sz w:val="21"/>
                <w:szCs w:val="21"/>
                <w:lang w:val="en-US" w:eastAsia="en-US"/>
              </w:rPr>
              <w:t>不低于A3冷碳钢管；可折叠，烤漆工艺；</w:t>
            </w:r>
            <w:r>
              <w:rPr>
                <w:rFonts w:hint="eastAsia"/>
                <w:spacing w:val="-1"/>
                <w:sz w:val="21"/>
                <w:szCs w:val="21"/>
                <w:lang w:val="en-US" w:eastAsia="zh-CN"/>
              </w:rPr>
              <w:t>如</w:t>
            </w:r>
            <w:r>
              <w:rPr>
                <w:rFonts w:hint="eastAsia"/>
                <w:spacing w:val="-1"/>
                <w:sz w:val="21"/>
                <w:szCs w:val="21"/>
                <w:lang w:val="en-US" w:eastAsia="en-US"/>
              </w:rPr>
              <w:t>配</w:t>
            </w:r>
            <w:r>
              <w:rPr>
                <w:rFonts w:hint="eastAsia"/>
                <w:spacing w:val="-1"/>
                <w:sz w:val="21"/>
                <w:szCs w:val="21"/>
                <w:lang w:val="en-US" w:eastAsia="zh-CN"/>
              </w:rPr>
              <w:t>有</w:t>
            </w:r>
            <w:r>
              <w:rPr>
                <w:rFonts w:hint="eastAsia"/>
                <w:spacing w:val="-1"/>
                <w:sz w:val="21"/>
                <w:szCs w:val="21"/>
                <w:lang w:val="en-US" w:eastAsia="en-US"/>
              </w:rPr>
              <w:t>可移动万向轮</w:t>
            </w:r>
            <w:r>
              <w:rPr>
                <w:rFonts w:hint="eastAsia"/>
                <w:spacing w:val="-1"/>
                <w:sz w:val="21"/>
                <w:szCs w:val="21"/>
                <w:lang w:val="en-US" w:eastAsia="zh-CN"/>
              </w:rPr>
              <w:t>，必须可拆卸，拆卸后须保证椅子稳定性</w:t>
            </w:r>
            <w:r>
              <w:rPr>
                <w:rFonts w:hint="eastAsia"/>
                <w:spacing w:val="-1"/>
                <w:sz w:val="21"/>
                <w:szCs w:val="21"/>
                <w:lang w:val="en-US" w:eastAsia="en-US"/>
              </w:rPr>
              <w:t>；</w:t>
            </w:r>
          </w:p>
        </w:tc>
      </w:tr>
      <w:tr w14:paraId="7D08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3" w:hRule="atLeast"/>
          <w:jc w:val="center"/>
        </w:trPr>
        <w:tc>
          <w:tcPr>
            <w:tcW w:w="1321" w:type="dxa"/>
            <w:vMerge w:val="continue"/>
            <w:tcMar>
              <w:top w:w="15" w:type="dxa"/>
              <w:left w:w="15" w:type="dxa"/>
              <w:bottom w:w="15" w:type="dxa"/>
              <w:right w:w="15" w:type="dxa"/>
            </w:tcMar>
            <w:vAlign w:val="center"/>
          </w:tcPr>
          <w:p w14:paraId="6CEA3DF8">
            <w:pPr>
              <w:jc w:val="center"/>
            </w:pPr>
          </w:p>
        </w:tc>
        <w:tc>
          <w:tcPr>
            <w:tcW w:w="1503" w:type="dxa"/>
            <w:shd w:val="clear" w:color="auto" w:fill="auto"/>
            <w:tcMar>
              <w:top w:w="15" w:type="dxa"/>
              <w:left w:w="15" w:type="dxa"/>
              <w:bottom w:w="15" w:type="dxa"/>
              <w:right w:w="15" w:type="dxa"/>
            </w:tcMar>
            <w:vAlign w:val="center"/>
          </w:tcPr>
          <w:p w14:paraId="350B8A3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lang w:val="en-US" w:eastAsia="en-US"/>
              </w:rPr>
              <w:t>承重</w:t>
            </w:r>
          </w:p>
        </w:tc>
        <w:tc>
          <w:tcPr>
            <w:tcW w:w="5697" w:type="dxa"/>
            <w:shd w:val="clear" w:color="auto" w:fill="auto"/>
            <w:tcMar>
              <w:top w:w="15" w:type="dxa"/>
              <w:left w:w="15" w:type="dxa"/>
              <w:bottom w:w="15" w:type="dxa"/>
              <w:right w:w="15" w:type="dxa"/>
            </w:tcMar>
            <w:vAlign w:val="center"/>
          </w:tcPr>
          <w:p w14:paraId="1BBC515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zh-CN"/>
              </w:rPr>
            </w:pPr>
            <w:r>
              <w:rPr>
                <w:rFonts w:hint="eastAsia"/>
                <w:spacing w:val="-1"/>
                <w:sz w:val="21"/>
                <w:szCs w:val="21"/>
                <w:lang w:val="en-US" w:eastAsia="en-US"/>
              </w:rPr>
              <w:t>不低于</w:t>
            </w:r>
            <w:r>
              <w:rPr>
                <w:rFonts w:hint="eastAsia"/>
                <w:spacing w:val="-1"/>
                <w:sz w:val="21"/>
                <w:szCs w:val="21"/>
                <w:lang w:val="en-US" w:eastAsia="zh-CN"/>
              </w:rPr>
              <w:t>15</w:t>
            </w:r>
            <w:r>
              <w:rPr>
                <w:rFonts w:hint="eastAsia"/>
                <w:spacing w:val="-1"/>
                <w:sz w:val="21"/>
                <w:szCs w:val="21"/>
                <w:lang w:val="en-US" w:eastAsia="en-US"/>
              </w:rPr>
              <w:t>0KG；</w:t>
            </w:r>
          </w:p>
        </w:tc>
      </w:tr>
      <w:tr w14:paraId="7BD2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7" w:hRule="atLeast"/>
          <w:jc w:val="center"/>
        </w:trPr>
        <w:tc>
          <w:tcPr>
            <w:tcW w:w="1321" w:type="dxa"/>
            <w:vMerge w:val="continue"/>
            <w:tcMar>
              <w:top w:w="15" w:type="dxa"/>
              <w:left w:w="15" w:type="dxa"/>
              <w:bottom w:w="15" w:type="dxa"/>
              <w:right w:w="15" w:type="dxa"/>
            </w:tcMar>
            <w:vAlign w:val="center"/>
          </w:tcPr>
          <w:p w14:paraId="6C144E56">
            <w:pPr>
              <w:jc w:val="center"/>
              <w:rPr>
                <w:rFonts w:hint="eastAsia" w:ascii="宋体" w:hAnsi="宋体" w:cs="宋体"/>
                <w:sz w:val="21"/>
                <w:szCs w:val="21"/>
              </w:rPr>
            </w:pPr>
          </w:p>
        </w:tc>
        <w:tc>
          <w:tcPr>
            <w:tcW w:w="1503" w:type="dxa"/>
            <w:shd w:val="clear" w:color="auto" w:fill="auto"/>
            <w:tcMar>
              <w:top w:w="15" w:type="dxa"/>
              <w:left w:w="15" w:type="dxa"/>
              <w:bottom w:w="15" w:type="dxa"/>
              <w:right w:w="15" w:type="dxa"/>
            </w:tcMar>
            <w:vAlign w:val="center"/>
          </w:tcPr>
          <w:p w14:paraId="280C103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spacing w:val="-1"/>
                <w:sz w:val="21"/>
                <w:szCs w:val="21"/>
                <w:lang w:val="en-US" w:eastAsia="en-US"/>
              </w:rPr>
            </w:pPr>
            <w:r>
              <w:rPr>
                <w:rFonts w:hint="eastAsia"/>
                <w:spacing w:val="-1"/>
                <w:sz w:val="21"/>
                <w:szCs w:val="21"/>
              </w:rPr>
              <w:t>尺寸</w:t>
            </w:r>
          </w:p>
        </w:tc>
        <w:tc>
          <w:tcPr>
            <w:tcW w:w="5697" w:type="dxa"/>
            <w:shd w:val="clear" w:color="auto" w:fill="auto"/>
            <w:tcMar>
              <w:top w:w="15" w:type="dxa"/>
              <w:left w:w="15" w:type="dxa"/>
              <w:bottom w:w="15" w:type="dxa"/>
              <w:right w:w="15" w:type="dxa"/>
            </w:tcMar>
            <w:vAlign w:val="center"/>
          </w:tcPr>
          <w:p w14:paraId="36BA6F4F">
            <w:pPr>
              <w:keepNext w:val="0"/>
              <w:keepLines w:val="0"/>
              <w:pageBreakBefore w:val="0"/>
              <w:widowControl w:val="0"/>
              <w:kinsoku/>
              <w:wordWrap/>
              <w:overflowPunct/>
              <w:topLinePunct w:val="0"/>
              <w:autoSpaceDE/>
              <w:autoSpaceDN/>
              <w:bidi w:val="0"/>
              <w:adjustRightInd/>
              <w:snapToGrid/>
              <w:spacing w:after="0" w:line="400" w:lineRule="exact"/>
              <w:ind w:firstLine="208" w:firstLineChars="100"/>
              <w:jc w:val="center"/>
              <w:textAlignment w:val="auto"/>
              <w:rPr>
                <w:rFonts w:hint="eastAsia"/>
                <w:spacing w:val="-1"/>
                <w:sz w:val="21"/>
                <w:szCs w:val="21"/>
                <w:lang w:val="en-US" w:eastAsia="en-US"/>
              </w:rPr>
            </w:pPr>
            <w:r>
              <w:rPr>
                <w:rFonts w:hint="eastAsia"/>
                <w:spacing w:val="-1"/>
                <w:sz w:val="21"/>
                <w:szCs w:val="21"/>
                <w:lang w:val="en-US" w:eastAsia="zh-CN"/>
              </w:rPr>
              <w:t>约为：</w:t>
            </w:r>
            <w:r>
              <w:rPr>
                <w:rFonts w:hint="eastAsia"/>
                <w:spacing w:val="-1"/>
                <w:sz w:val="21"/>
                <w:szCs w:val="21"/>
                <w:lang w:val="en-US" w:eastAsia="en-US"/>
              </w:rPr>
              <w:t>600</w:t>
            </w:r>
            <w:r>
              <w:rPr>
                <w:rFonts w:hint="eastAsia"/>
                <w:spacing w:val="-1"/>
                <w:sz w:val="21"/>
                <w:szCs w:val="21"/>
              </w:rPr>
              <w:t>mm</w:t>
            </w:r>
            <w:r>
              <w:rPr>
                <w:rFonts w:hint="eastAsia"/>
                <w:spacing w:val="-1"/>
                <w:sz w:val="21"/>
                <w:szCs w:val="21"/>
                <w:lang w:val="en-US" w:eastAsia="en-US"/>
              </w:rPr>
              <w:t>*550</w:t>
            </w:r>
            <w:r>
              <w:rPr>
                <w:rFonts w:hint="eastAsia"/>
                <w:spacing w:val="-1"/>
                <w:sz w:val="21"/>
                <w:szCs w:val="21"/>
              </w:rPr>
              <w:t>mm</w:t>
            </w:r>
            <w:r>
              <w:rPr>
                <w:rFonts w:hint="eastAsia"/>
                <w:spacing w:val="-1"/>
                <w:sz w:val="21"/>
                <w:szCs w:val="21"/>
                <w:lang w:val="en-US" w:eastAsia="en-US"/>
              </w:rPr>
              <w:t>*830</w:t>
            </w:r>
            <w:r>
              <w:rPr>
                <w:rFonts w:hint="eastAsia"/>
                <w:spacing w:val="-1"/>
                <w:sz w:val="21"/>
                <w:szCs w:val="21"/>
              </w:rPr>
              <w:t>mm（长*宽*高）</w:t>
            </w:r>
          </w:p>
        </w:tc>
      </w:tr>
      <w:tr w14:paraId="7493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7" w:hRule="atLeast"/>
          <w:jc w:val="center"/>
        </w:trPr>
        <w:tc>
          <w:tcPr>
            <w:tcW w:w="1321" w:type="dxa"/>
            <w:vMerge w:val="continue"/>
            <w:tcMar>
              <w:top w:w="15" w:type="dxa"/>
              <w:left w:w="15" w:type="dxa"/>
              <w:bottom w:w="15" w:type="dxa"/>
              <w:right w:w="15" w:type="dxa"/>
            </w:tcMar>
            <w:vAlign w:val="center"/>
          </w:tcPr>
          <w:p w14:paraId="6CAFDB9B">
            <w:pPr>
              <w:jc w:val="center"/>
              <w:rPr>
                <w:rFonts w:hint="eastAsia" w:ascii="宋体" w:hAnsi="宋体" w:cs="宋体"/>
                <w:sz w:val="21"/>
                <w:szCs w:val="21"/>
              </w:rPr>
            </w:pPr>
          </w:p>
        </w:tc>
        <w:tc>
          <w:tcPr>
            <w:tcW w:w="1503" w:type="dxa"/>
            <w:shd w:val="clear" w:color="auto" w:fill="auto"/>
            <w:tcMar>
              <w:top w:w="15" w:type="dxa"/>
              <w:left w:w="15" w:type="dxa"/>
              <w:bottom w:w="15" w:type="dxa"/>
              <w:right w:w="15" w:type="dxa"/>
            </w:tcMar>
            <w:vAlign w:val="center"/>
          </w:tcPr>
          <w:p w14:paraId="5CA1F64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eastAsia="宋体"/>
                <w:spacing w:val="-1"/>
                <w:sz w:val="21"/>
                <w:szCs w:val="21"/>
                <w:lang w:val="en-US" w:eastAsia="zh-CN"/>
              </w:rPr>
            </w:pPr>
            <w:r>
              <w:rPr>
                <w:rFonts w:hint="eastAsia"/>
                <w:spacing w:val="-1"/>
                <w:sz w:val="21"/>
                <w:szCs w:val="21"/>
                <w:lang w:val="en-US" w:eastAsia="zh-CN"/>
              </w:rPr>
              <w:t>颜色</w:t>
            </w:r>
          </w:p>
        </w:tc>
        <w:tc>
          <w:tcPr>
            <w:tcW w:w="5697" w:type="dxa"/>
            <w:shd w:val="clear" w:color="auto" w:fill="auto"/>
            <w:tcMar>
              <w:top w:w="15" w:type="dxa"/>
              <w:left w:w="15" w:type="dxa"/>
              <w:bottom w:w="15" w:type="dxa"/>
              <w:right w:w="15" w:type="dxa"/>
            </w:tcMar>
            <w:vAlign w:val="center"/>
          </w:tcPr>
          <w:p w14:paraId="084E3288">
            <w:pPr>
              <w:keepNext w:val="0"/>
              <w:keepLines w:val="0"/>
              <w:pageBreakBefore w:val="0"/>
              <w:widowControl w:val="0"/>
              <w:kinsoku/>
              <w:wordWrap/>
              <w:overflowPunct/>
              <w:topLinePunct w:val="0"/>
              <w:autoSpaceDE/>
              <w:autoSpaceDN/>
              <w:bidi w:val="0"/>
              <w:adjustRightInd/>
              <w:snapToGrid/>
              <w:spacing w:after="0" w:line="400" w:lineRule="exact"/>
              <w:ind w:firstLine="208" w:firstLineChars="100"/>
              <w:jc w:val="center"/>
              <w:textAlignment w:val="auto"/>
              <w:rPr>
                <w:rFonts w:hint="eastAsia"/>
                <w:spacing w:val="-1"/>
                <w:sz w:val="21"/>
                <w:szCs w:val="21"/>
                <w:lang w:val="en-US" w:eastAsia="zh-CN"/>
              </w:rPr>
            </w:pPr>
            <w:r>
              <w:rPr>
                <w:rFonts w:hint="eastAsia"/>
                <w:spacing w:val="-1"/>
                <w:sz w:val="21"/>
                <w:szCs w:val="21"/>
              </w:rPr>
              <w:t>多色可选或提供样品色定制 （与</w:t>
            </w:r>
            <w:r>
              <w:rPr>
                <w:rFonts w:hint="eastAsia"/>
                <w:spacing w:val="-1"/>
                <w:sz w:val="21"/>
                <w:szCs w:val="21"/>
                <w:lang w:val="en-US" w:eastAsia="zh-CN"/>
              </w:rPr>
              <w:t>会议桌</w:t>
            </w:r>
            <w:r>
              <w:rPr>
                <w:rFonts w:hint="eastAsia"/>
                <w:spacing w:val="-1"/>
                <w:sz w:val="21"/>
                <w:szCs w:val="21"/>
              </w:rPr>
              <w:t>风格一致）</w:t>
            </w:r>
          </w:p>
        </w:tc>
      </w:tr>
    </w:tbl>
    <w:p w14:paraId="0A96A5ED">
      <w:pPr>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参考图片：</w:t>
      </w:r>
    </w:p>
    <w:p w14:paraId="16F91F7F">
      <w:pPr>
        <w:spacing w:before="120" w:beforeLines="50" w:after="0" w:line="360" w:lineRule="auto"/>
        <w:ind w:firstLine="320" w:firstLineChars="100"/>
        <w:rPr>
          <w:rFonts w:hint="eastAsia" w:ascii="宋体" w:hAnsi="宋体" w:eastAsia="宋体" w:cs="宋体"/>
          <w:sz w:val="32"/>
          <w:szCs w:val="32"/>
          <w:lang w:eastAsia="zh-CN"/>
        </w:rPr>
      </w:pPr>
      <w:r>
        <w:rPr>
          <w:rFonts w:hint="eastAsia" w:ascii="宋体" w:hAnsi="宋体" w:eastAsia="宋体" w:cs="宋体"/>
          <w:sz w:val="32"/>
          <w:szCs w:val="32"/>
          <w:lang w:eastAsia="zh-CN"/>
        </w:rPr>
        <w:drawing>
          <wp:inline distT="0" distB="0" distL="114300" distR="114300">
            <wp:extent cx="1859280" cy="1774190"/>
            <wp:effectExtent l="0" t="0" r="7620" b="16510"/>
            <wp:docPr id="4" name="图片 4" descr="豪华扶手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豪华扶手椅"/>
                    <pic:cNvPicPr>
                      <a:picLocks noChangeAspect="1"/>
                    </pic:cNvPicPr>
                  </pic:nvPicPr>
                  <pic:blipFill>
                    <a:blip r:embed="rId12"/>
                    <a:stretch>
                      <a:fillRect/>
                    </a:stretch>
                  </pic:blipFill>
                  <pic:spPr>
                    <a:xfrm>
                      <a:off x="0" y="0"/>
                      <a:ext cx="1859280" cy="1774190"/>
                    </a:xfrm>
                    <a:prstGeom prst="rect">
                      <a:avLst/>
                    </a:prstGeom>
                  </pic:spPr>
                </pic:pic>
              </a:graphicData>
            </a:graphic>
          </wp:inline>
        </w:drawing>
      </w:r>
    </w:p>
    <w:p w14:paraId="44FB8B2E">
      <w:pPr>
        <w:pStyle w:val="83"/>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二、产品执行的国家相关标准、行业标准、地方标准或者其他标准、规范</w:t>
      </w:r>
    </w:p>
    <w:p w14:paraId="02B548D2">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1.项目提供的技术要求(规格)只是对产品的一些原则性要求，并不是最详尽的描述和要求，投标供应商有责任依据相关设计技术规范和有关行业国家标准执行。</w:t>
      </w:r>
    </w:p>
    <w:p w14:paraId="135F8B62">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2.投标产品的技术标准按国家标准执行，无国家标准的，按行业标准执行；无国家和行业标准的，按企业标准执行；在</w:t>
      </w:r>
      <w:r>
        <w:rPr>
          <w:rFonts w:hint="eastAsia" w:ascii="宋体" w:hAnsi="宋体" w:cs="宋体"/>
          <w:bCs/>
          <w:color w:val="000000" w:themeColor="text1"/>
          <w:sz w:val="24"/>
          <w:szCs w:val="24"/>
          <w:lang w:val="en-US" w:eastAsia="zh-CN"/>
          <w14:textFill>
            <w14:solidFill>
              <w14:schemeClr w14:val="tx1"/>
            </w14:solidFill>
          </w14:textFill>
        </w:rPr>
        <w:t>采购</w:t>
      </w:r>
      <w:r>
        <w:rPr>
          <w:rFonts w:hint="eastAsia" w:ascii="宋体" w:hAnsi="宋体" w:cs="宋体"/>
          <w:bCs/>
          <w:color w:val="000000" w:themeColor="text1"/>
          <w:sz w:val="24"/>
          <w:szCs w:val="24"/>
          <w14:textFill>
            <w14:solidFill>
              <w14:schemeClr w14:val="tx1"/>
            </w14:solidFill>
          </w14:textFill>
        </w:rPr>
        <w:t>文件中有特别要求的，按</w:t>
      </w:r>
      <w:r>
        <w:rPr>
          <w:rFonts w:hint="eastAsia" w:ascii="宋体" w:hAnsi="宋体" w:cs="宋体"/>
          <w:bCs/>
          <w:color w:val="000000" w:themeColor="text1"/>
          <w:sz w:val="24"/>
          <w:szCs w:val="24"/>
          <w:lang w:val="en-US" w:eastAsia="zh-CN"/>
          <w14:textFill>
            <w14:solidFill>
              <w14:schemeClr w14:val="tx1"/>
            </w14:solidFill>
          </w14:textFill>
        </w:rPr>
        <w:t>采购</w:t>
      </w:r>
      <w:r>
        <w:rPr>
          <w:rFonts w:hint="eastAsia" w:ascii="宋体" w:hAnsi="宋体" w:cs="宋体"/>
          <w:bCs/>
          <w:color w:val="000000" w:themeColor="text1"/>
          <w:sz w:val="24"/>
          <w:szCs w:val="24"/>
          <w14:textFill>
            <w14:solidFill>
              <w14:schemeClr w14:val="tx1"/>
            </w14:solidFill>
          </w14:textFill>
        </w:rPr>
        <w:t>文件中规定的要求执行，并且符合相关法律、法规规定的要求。</w:t>
      </w:r>
    </w:p>
    <w:p w14:paraId="22CECAC8">
      <w:pPr>
        <w:keepNext w:val="0"/>
        <w:keepLines w:val="0"/>
        <w:pageBreakBefore w:val="0"/>
        <w:kinsoku/>
        <w:wordWrap/>
        <w:overflowPunct/>
        <w:topLinePunct w:val="0"/>
        <w:autoSpaceDE/>
        <w:autoSpaceDN/>
        <w:bidi w:val="0"/>
        <w:adjustRightInd/>
        <w:snapToGrid/>
        <w:spacing w:after="0" w:line="480" w:lineRule="exact"/>
        <w:textAlignment w:val="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w:t>
      </w:r>
      <w:r>
        <w:rPr>
          <w:rFonts w:hint="eastAsia" w:ascii="宋体" w:hAnsi="宋体" w:cs="宋体"/>
          <w:b/>
          <w:color w:val="000000" w:themeColor="text1"/>
          <w:sz w:val="24"/>
          <w:szCs w:val="24"/>
          <w:lang w:val="en-US" w:eastAsia="zh-CN"/>
          <w14:textFill>
            <w14:solidFill>
              <w14:schemeClr w14:val="tx1"/>
            </w14:solidFill>
          </w14:textFill>
        </w:rPr>
        <w:t>产品</w:t>
      </w:r>
      <w:r>
        <w:rPr>
          <w:rFonts w:hint="eastAsia" w:ascii="宋体" w:hAnsi="宋体" w:cs="宋体"/>
          <w:b/>
          <w:color w:val="000000" w:themeColor="text1"/>
          <w:sz w:val="24"/>
          <w:szCs w:val="24"/>
          <w14:textFill>
            <w14:solidFill>
              <w14:schemeClr w14:val="tx1"/>
            </w14:solidFill>
          </w14:textFill>
        </w:rPr>
        <w:t>质量要求</w:t>
      </w:r>
    </w:p>
    <w:p w14:paraId="4891D262">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1.免费维修期：不少于两年的免费维修承诺。</w:t>
      </w:r>
    </w:p>
    <w:p w14:paraId="2659CAA9">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2.原材料环保要求：</w:t>
      </w:r>
    </w:p>
    <w:p w14:paraId="1AE1D65D">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原材料及辅材</w:t>
      </w:r>
      <w:r>
        <w:rPr>
          <w:rFonts w:hint="eastAsia" w:ascii="宋体" w:hAnsi="宋体" w:cs="宋体"/>
          <w:color w:val="000000" w:themeColor="text1"/>
          <w:sz w:val="24"/>
          <w:szCs w:val="24"/>
          <w:lang w:val="en-US" w:eastAsia="zh-CN"/>
          <w14:textFill>
            <w14:solidFill>
              <w14:schemeClr w14:val="tx1"/>
            </w14:solidFill>
          </w14:textFill>
        </w:rPr>
        <w:t>产品</w:t>
      </w:r>
      <w:r>
        <w:rPr>
          <w:rFonts w:hint="eastAsia" w:ascii="宋体" w:hAnsi="宋体" w:cs="宋体"/>
          <w:color w:val="000000" w:themeColor="text1"/>
          <w:sz w:val="24"/>
          <w:szCs w:val="24"/>
          <w14:textFill>
            <w14:solidFill>
              <w14:schemeClr w14:val="tx1"/>
            </w14:solidFill>
          </w14:textFill>
        </w:rPr>
        <w:t>应符合国家规定的强制性环保指标,投标供应商</w:t>
      </w:r>
      <w:r>
        <w:rPr>
          <w:rFonts w:hint="eastAsia" w:ascii="宋体" w:hAnsi="宋体" w:cs="宋体"/>
          <w:color w:val="000000" w:themeColor="text1"/>
          <w:sz w:val="24"/>
          <w:szCs w:val="24"/>
          <w:lang w:val="en-US" w:eastAsia="zh-CN"/>
          <w14:textFill>
            <w14:solidFill>
              <w14:schemeClr w14:val="tx1"/>
            </w14:solidFill>
          </w14:textFill>
        </w:rPr>
        <w:t>成交</w:t>
      </w:r>
      <w:r>
        <w:rPr>
          <w:rFonts w:hint="eastAsia" w:ascii="宋体" w:hAnsi="宋体" w:cs="宋体"/>
          <w:color w:val="000000" w:themeColor="text1"/>
          <w:sz w:val="24"/>
          <w:szCs w:val="24"/>
          <w14:textFill>
            <w14:solidFill>
              <w14:schemeClr w14:val="tx1"/>
            </w14:solidFill>
          </w14:textFill>
        </w:rPr>
        <w:t>后，应提供家具材质清单、原材料产地证明，需就拟投入本项目生产的原材料和主要辅材进行送检，并提供市级或以上质检部门出具的有效检测报告。免漆多层实木板（甲醛释放量≤0.05mg/m3）。</w:t>
      </w:r>
    </w:p>
    <w:p w14:paraId="4702EF1C">
      <w:pPr>
        <w:keepNext w:val="0"/>
        <w:keepLines w:val="0"/>
        <w:pageBreakBefore w:val="0"/>
        <w:kinsoku/>
        <w:wordWrap/>
        <w:overflowPunct/>
        <w:topLinePunct w:val="0"/>
        <w:autoSpaceDE/>
        <w:autoSpaceDN/>
        <w:bidi w:val="0"/>
        <w:adjustRightInd/>
        <w:snapToGrid/>
        <w:spacing w:after="0" w:line="480" w:lineRule="exact"/>
        <w:ind w:firstLine="573"/>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3.设计、制造相关问题：</w:t>
      </w:r>
    </w:p>
    <w:p w14:paraId="1DC347DF">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3.1采购家具数量、规格、材质及工艺要求，详见项目需求清单。</w:t>
      </w:r>
    </w:p>
    <w:p w14:paraId="6A0D9AD6">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14:textFill>
            <w14:solidFill>
              <w14:schemeClr w14:val="tx1"/>
            </w14:solidFill>
          </w14:textFill>
        </w:rPr>
        <w:t>文件所附的图样为示意图，材质及工艺要求中有关技术指标为本次采购的最低要求。投标供应商应在不低于本</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14:textFill>
            <w14:solidFill>
              <w14:schemeClr w14:val="tx1"/>
            </w14:solidFill>
          </w14:textFill>
        </w:rPr>
        <w:t>文件所提供的技术指标前提下，优化设计方案（包括原料、配件、生产、安装、验收、售后服务等），但尺寸、工艺要求需满足现场需求。</w:t>
      </w:r>
    </w:p>
    <w:p w14:paraId="40164177">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w:t>
      </w:r>
      <w:r>
        <w:rPr>
          <w:rFonts w:hint="eastAsia" w:ascii="宋体" w:hAnsi="宋体" w:cs="宋体"/>
          <w:color w:val="000000" w:themeColor="text1"/>
          <w:sz w:val="24"/>
          <w:szCs w:val="24"/>
          <w:lang w:val="en-US" w:eastAsia="zh-CN"/>
          <w14:textFill>
            <w14:solidFill>
              <w14:schemeClr w14:val="tx1"/>
            </w14:solidFill>
          </w14:textFill>
        </w:rPr>
        <w:t>成交后</w:t>
      </w:r>
      <w:r>
        <w:rPr>
          <w:rFonts w:hint="eastAsia" w:ascii="宋体" w:hAnsi="宋体" w:cs="宋体"/>
          <w:color w:val="000000" w:themeColor="text1"/>
          <w:sz w:val="24"/>
          <w:szCs w:val="24"/>
          <w14:textFill>
            <w14:solidFill>
              <w14:schemeClr w14:val="tx1"/>
            </w14:solidFill>
          </w14:textFill>
        </w:rPr>
        <w:t>须说明家具在生产安装过程中，所采用的主要配件的名称及生产厂家，并提供相应的技术说明书。所有内部配件（螺丝等）必须进行防腐蚀处理。</w:t>
      </w:r>
    </w:p>
    <w:p w14:paraId="0B07E1AC">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3.4所供</w:t>
      </w:r>
      <w:r>
        <w:rPr>
          <w:rFonts w:hint="eastAsia" w:ascii="宋体" w:hAnsi="宋体" w:cs="宋体"/>
          <w:color w:val="000000" w:themeColor="text1"/>
          <w:sz w:val="24"/>
          <w:szCs w:val="24"/>
          <w:lang w:val="en-US" w:eastAsia="zh-CN"/>
          <w14:textFill>
            <w14:solidFill>
              <w14:schemeClr w14:val="tx1"/>
            </w14:solidFill>
          </w14:textFill>
        </w:rPr>
        <w:t>产品</w:t>
      </w:r>
      <w:r>
        <w:rPr>
          <w:rFonts w:hint="eastAsia" w:ascii="宋体" w:hAnsi="宋体" w:cs="宋体"/>
          <w:color w:val="000000" w:themeColor="text1"/>
          <w:sz w:val="24"/>
          <w:szCs w:val="24"/>
          <w14:textFill>
            <w14:solidFill>
              <w14:schemeClr w14:val="tx1"/>
            </w14:solidFill>
          </w14:textFill>
        </w:rPr>
        <w:t>的颜色与款式等最终由采购方确定后才可生产。</w:t>
      </w:r>
    </w:p>
    <w:p w14:paraId="605D23F1">
      <w:pPr>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color w:val="000000" w:themeColor="text1"/>
          <w:sz w:val="24"/>
          <w:szCs w:val="24"/>
          <w14:textFill>
            <w14:solidFill>
              <w14:schemeClr w14:val="tx1"/>
            </w14:solidFill>
          </w14:textFill>
        </w:rPr>
        <w:t>3.5所供</w:t>
      </w:r>
      <w:r>
        <w:rPr>
          <w:rFonts w:hint="eastAsia" w:ascii="宋体" w:hAnsi="宋体" w:cs="宋体"/>
          <w:color w:val="000000" w:themeColor="text1"/>
          <w:sz w:val="24"/>
          <w:szCs w:val="24"/>
          <w:lang w:val="en-US" w:eastAsia="zh-CN"/>
          <w14:textFill>
            <w14:solidFill>
              <w14:schemeClr w14:val="tx1"/>
            </w14:solidFill>
          </w14:textFill>
        </w:rPr>
        <w:t>产品</w:t>
      </w:r>
      <w:r>
        <w:rPr>
          <w:rFonts w:hint="eastAsia" w:ascii="宋体" w:hAnsi="宋体" w:cs="宋体"/>
          <w:color w:val="000000" w:themeColor="text1"/>
          <w:sz w:val="24"/>
          <w:szCs w:val="24"/>
          <w14:textFill>
            <w14:solidFill>
              <w14:schemeClr w14:val="tx1"/>
            </w14:solidFill>
          </w14:textFill>
        </w:rPr>
        <w:t>应按国家相关强制标准或行业标准进行设计和制造。</w:t>
      </w:r>
      <w:r>
        <w:rPr>
          <w:rFonts w:hint="eastAsia" w:ascii="宋体" w:hAnsi="宋体" w:cs="宋体"/>
          <w:color w:val="000000" w:themeColor="text1"/>
          <w:sz w:val="24"/>
          <w:szCs w:val="24"/>
          <w:lang w:val="en-US" w:eastAsia="zh-CN"/>
          <w14:textFill>
            <w14:solidFill>
              <w14:schemeClr w14:val="tx1"/>
            </w14:solidFill>
          </w14:textFill>
        </w:rPr>
        <w:t>产品</w:t>
      </w:r>
      <w:r>
        <w:rPr>
          <w:rFonts w:hint="eastAsia" w:ascii="宋体" w:hAnsi="宋体" w:cs="宋体"/>
          <w:color w:val="000000" w:themeColor="text1"/>
          <w:sz w:val="24"/>
          <w:szCs w:val="24"/>
          <w14:textFill>
            <w14:solidFill>
              <w14:schemeClr w14:val="tx1"/>
            </w14:solidFill>
          </w14:textFill>
        </w:rPr>
        <w:t>及其原材料应符合国家规定的强制性环保要求。所使用的主辅材料应符合国家环保标准。响应供应商成交后应提供家具材质清单、原材料检验报告、材料产地证明。须说明家具在生产安装过程中，所采用的主要配件的名称及生产厂家，并提供相应的技术说明书。证明</w:t>
      </w:r>
      <w:r>
        <w:rPr>
          <w:rFonts w:hint="eastAsia" w:ascii="宋体" w:hAnsi="宋体" w:cs="宋体"/>
          <w:color w:val="000000" w:themeColor="text1"/>
          <w:sz w:val="24"/>
          <w:szCs w:val="24"/>
          <w:lang w:val="en-US" w:eastAsia="zh-CN"/>
          <w14:textFill>
            <w14:solidFill>
              <w14:schemeClr w14:val="tx1"/>
            </w14:solidFill>
          </w14:textFill>
        </w:rPr>
        <w:t>响应</w:t>
      </w:r>
      <w:r>
        <w:rPr>
          <w:rFonts w:hint="eastAsia" w:ascii="宋体" w:hAnsi="宋体" w:cs="宋体"/>
          <w:color w:val="000000" w:themeColor="text1"/>
          <w:sz w:val="24"/>
          <w:szCs w:val="24"/>
          <w14:textFill>
            <w14:solidFill>
              <w14:schemeClr w14:val="tx1"/>
            </w14:solidFill>
          </w14:textFill>
        </w:rPr>
        <w:t>供应商所提供货物与</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14:textFill>
            <w14:solidFill>
              <w14:schemeClr w14:val="tx1"/>
            </w14:solidFill>
          </w14:textFill>
        </w:rPr>
        <w:t>文件的要求相一致的文件可以是手册、图纸、图片、文字资料和数据等。</w:t>
      </w:r>
    </w:p>
    <w:p w14:paraId="7BDFF2F2">
      <w:pPr>
        <w:numPr>
          <w:ilvl w:val="0"/>
          <w:numId w:val="3"/>
        </w:numPr>
        <w:spacing w:after="0" w:line="360" w:lineRule="auto"/>
        <w:ind w:firstLine="510" w:firstLineChars="200"/>
        <w:jc w:val="both"/>
        <w:rPr>
          <w:rFonts w:hint="eastAsia" w:ascii="宋体" w:hAnsi="宋体" w:cs="宋体"/>
          <w:b/>
          <w:bCs/>
          <w:spacing w:val="7"/>
          <w:sz w:val="24"/>
          <w:szCs w:val="24"/>
          <w:lang w:val="en-US" w:eastAsia="zh-CN"/>
        </w:rPr>
      </w:pPr>
      <w:r>
        <w:rPr>
          <w:rFonts w:hint="eastAsia" w:ascii="宋体" w:hAnsi="宋体" w:cs="宋体"/>
          <w:b/>
          <w:bCs/>
          <w:spacing w:val="7"/>
          <w:sz w:val="24"/>
          <w:szCs w:val="24"/>
          <w:lang w:val="en-US" w:eastAsia="zh-CN"/>
        </w:rPr>
        <w:t>付款方式</w:t>
      </w:r>
    </w:p>
    <w:p w14:paraId="2FAAA8F6">
      <w:pPr>
        <w:pStyle w:val="2"/>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合同签订</w:t>
      </w:r>
      <w:r>
        <w:rPr>
          <w:rFonts w:hint="eastAsia" w:ascii="宋体" w:hAnsi="宋体" w:cs="宋体"/>
          <w:color w:val="000000" w:themeColor="text1"/>
          <w:sz w:val="24"/>
          <w:szCs w:val="24"/>
          <w:lang w:val="en-US" w:eastAsia="zh-CN" w:bidi="ar-SA"/>
          <w14:textFill>
            <w14:solidFill>
              <w14:schemeClr w14:val="tx1"/>
            </w14:solidFill>
          </w14:textFill>
        </w:rPr>
        <w:t>后付合同价的30%，产品到货</w:t>
      </w:r>
      <w:r>
        <w:rPr>
          <w:rFonts w:hint="eastAsia" w:ascii="宋体" w:hAnsi="宋体" w:eastAsia="宋体" w:cs="宋体"/>
          <w:color w:val="000000" w:themeColor="text1"/>
          <w:sz w:val="24"/>
          <w:szCs w:val="24"/>
          <w:lang w:val="en-US" w:eastAsia="zh-CN" w:bidi="ar-SA"/>
          <w14:textFill>
            <w14:solidFill>
              <w14:schemeClr w14:val="tx1"/>
            </w14:solidFill>
          </w14:textFill>
        </w:rPr>
        <w:t>安装调试完毕</w:t>
      </w:r>
      <w:r>
        <w:rPr>
          <w:rFonts w:hint="eastAsia" w:ascii="宋体" w:hAnsi="宋体" w:cs="宋体"/>
          <w:color w:val="000000" w:themeColor="text1"/>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bidi="ar-SA"/>
          <w14:textFill>
            <w14:solidFill>
              <w14:schemeClr w14:val="tx1"/>
            </w14:solidFill>
          </w14:textFill>
        </w:rPr>
        <w:t>经采购人验收合格后付</w:t>
      </w:r>
      <w:r>
        <w:rPr>
          <w:rFonts w:hint="eastAsia" w:ascii="宋体" w:hAnsi="宋体" w:cs="宋体"/>
          <w:color w:val="000000" w:themeColor="text1"/>
          <w:sz w:val="24"/>
          <w:szCs w:val="24"/>
          <w:lang w:val="en-US" w:eastAsia="zh-CN" w:bidi="ar-SA"/>
          <w14:textFill>
            <w14:solidFill>
              <w14:schemeClr w14:val="tx1"/>
            </w14:solidFill>
          </w14:textFill>
        </w:rPr>
        <w:t>至</w:t>
      </w:r>
      <w:r>
        <w:rPr>
          <w:rFonts w:hint="eastAsia" w:ascii="宋体" w:hAnsi="宋体" w:eastAsia="宋体" w:cs="宋体"/>
          <w:color w:val="000000" w:themeColor="text1"/>
          <w:sz w:val="24"/>
          <w:szCs w:val="24"/>
          <w:lang w:val="en-US" w:eastAsia="zh-CN" w:bidi="ar-SA"/>
          <w14:textFill>
            <w14:solidFill>
              <w14:schemeClr w14:val="tx1"/>
            </w14:solidFill>
          </w14:textFill>
        </w:rPr>
        <w:t>合同价的95%，同时退还履约保证金（无息），</w:t>
      </w:r>
      <w:r>
        <w:rPr>
          <w:rFonts w:hint="eastAsia" w:ascii="宋体" w:hAnsi="宋体" w:cs="宋体"/>
          <w:color w:val="000000" w:themeColor="text1"/>
          <w:sz w:val="24"/>
          <w:szCs w:val="24"/>
          <w:lang w:val="en-US" w:eastAsia="zh-CN" w:bidi="ar-SA"/>
          <w14:textFill>
            <w14:solidFill>
              <w14:schemeClr w14:val="tx1"/>
            </w14:solidFill>
          </w14:textFill>
        </w:rPr>
        <w:t>合同尾</w:t>
      </w:r>
      <w:r>
        <w:rPr>
          <w:rFonts w:hint="eastAsia" w:ascii="宋体" w:hAnsi="宋体" w:eastAsia="宋体" w:cs="宋体"/>
          <w:color w:val="000000" w:themeColor="text1"/>
          <w:sz w:val="24"/>
          <w:szCs w:val="24"/>
          <w:lang w:val="en-US" w:eastAsia="zh-CN" w:bidi="ar-SA"/>
          <w14:textFill>
            <w14:solidFill>
              <w14:schemeClr w14:val="tx1"/>
            </w14:solidFill>
          </w14:textFill>
        </w:rPr>
        <w:t>款5%</w:t>
      </w:r>
      <w:r>
        <w:rPr>
          <w:rFonts w:hint="eastAsia" w:ascii="宋体" w:hAnsi="宋体" w:cs="宋体"/>
          <w:color w:val="000000" w:themeColor="text1"/>
          <w:sz w:val="24"/>
          <w:szCs w:val="24"/>
          <w:lang w:val="en-US" w:eastAsia="zh-CN" w:bidi="ar-SA"/>
          <w14:textFill>
            <w14:solidFill>
              <w14:schemeClr w14:val="tx1"/>
            </w14:solidFill>
          </w14:textFill>
        </w:rPr>
        <w:t>一年</w:t>
      </w:r>
      <w:r>
        <w:rPr>
          <w:rFonts w:hint="eastAsia" w:ascii="宋体" w:hAnsi="宋体" w:eastAsia="宋体" w:cs="宋体"/>
          <w:color w:val="000000" w:themeColor="text1"/>
          <w:sz w:val="24"/>
          <w:szCs w:val="24"/>
          <w:lang w:val="en-US" w:eastAsia="zh-CN" w:bidi="ar-SA"/>
          <w14:textFill>
            <w14:solidFill>
              <w14:schemeClr w14:val="tx1"/>
            </w14:solidFill>
          </w14:textFill>
        </w:rPr>
        <w:t>质保期满后一次性付清（无息）。</w:t>
      </w:r>
    </w:p>
    <w:p w14:paraId="23530CC5">
      <w:pPr>
        <w:pStyle w:val="2"/>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cs="宋体"/>
          <w:b/>
          <w:bCs/>
          <w:spacing w:val="7"/>
          <w:sz w:val="24"/>
          <w:szCs w:val="24"/>
          <w:lang w:val="en-US" w:eastAsia="zh-CN"/>
        </w:rPr>
      </w:pPr>
      <w:r>
        <w:rPr>
          <w:rFonts w:hint="eastAsia" w:ascii="宋体" w:hAnsi="宋体" w:eastAsia="宋体" w:cs="宋体"/>
          <w:color w:val="000000" w:themeColor="text1"/>
          <w:sz w:val="24"/>
          <w:szCs w:val="24"/>
          <w:lang w:val="en-US" w:eastAsia="zh-CN" w:bidi="ar-SA"/>
          <w14:textFill>
            <w14:solidFill>
              <w14:schemeClr w14:val="tx1"/>
            </w14:solidFill>
          </w14:textFill>
        </w:rPr>
        <w:t>款项由采购人按相关财务支付规定办理支付手续</w:t>
      </w:r>
      <w:r>
        <w:rPr>
          <w:rFonts w:hint="eastAsia" w:ascii="宋体" w:hAnsi="宋体" w:cs="宋体"/>
          <w:color w:val="000000" w:themeColor="text1"/>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bidi="ar-SA"/>
          <w14:textFill>
            <w14:solidFill>
              <w14:schemeClr w14:val="tx1"/>
            </w14:solidFill>
          </w14:textFill>
        </w:rPr>
        <w:t>供货商需提供正规发票。以上付款均不计利息。</w:t>
      </w:r>
    </w:p>
    <w:p w14:paraId="7BAC700D">
      <w:pPr>
        <w:spacing w:after="0" w:line="360" w:lineRule="auto"/>
        <w:ind w:firstLine="510" w:firstLineChars="200"/>
        <w:jc w:val="both"/>
        <w:rPr>
          <w:rFonts w:hint="eastAsia" w:ascii="宋体" w:hAnsi="宋体" w:cs="宋体"/>
          <w:b/>
          <w:bCs/>
          <w:spacing w:val="7"/>
          <w:sz w:val="24"/>
          <w:szCs w:val="24"/>
        </w:rPr>
      </w:pPr>
      <w:r>
        <w:rPr>
          <w:rFonts w:hint="eastAsia" w:ascii="宋体" w:hAnsi="宋体" w:cs="宋体"/>
          <w:b/>
          <w:bCs/>
          <w:spacing w:val="7"/>
          <w:sz w:val="24"/>
          <w:szCs w:val="24"/>
          <w:lang w:val="en-US" w:eastAsia="zh-CN"/>
        </w:rPr>
        <w:t>五、</w:t>
      </w:r>
      <w:r>
        <w:rPr>
          <w:rFonts w:hint="eastAsia" w:ascii="宋体" w:hAnsi="宋体" w:cs="宋体"/>
          <w:b/>
          <w:bCs/>
          <w:spacing w:val="7"/>
          <w:sz w:val="24"/>
          <w:szCs w:val="24"/>
        </w:rPr>
        <w:t>履约保证金</w:t>
      </w:r>
    </w:p>
    <w:p w14:paraId="69D041C6">
      <w:pPr>
        <w:spacing w:after="0" w:line="360" w:lineRule="auto"/>
        <w:ind w:firstLine="480" w:firstLineChars="200"/>
        <w:jc w:val="both"/>
        <w:rPr>
          <w:rFonts w:hint="eastAsia" w:ascii="宋体" w:hAnsi="宋体" w:cs="宋体"/>
          <w:bCs/>
          <w:sz w:val="24"/>
          <w:szCs w:val="24"/>
        </w:rPr>
      </w:pPr>
      <w:r>
        <w:rPr>
          <w:rFonts w:hint="eastAsia" w:ascii="宋体" w:hAnsi="宋体" w:cs="宋体"/>
          <w:bCs/>
          <w:sz w:val="24"/>
          <w:szCs w:val="24"/>
        </w:rPr>
        <w:t>1.本项目成交后的履约保证金为项目成交价的</w:t>
      </w:r>
      <w:r>
        <w:rPr>
          <w:rFonts w:hint="eastAsia" w:ascii="宋体" w:hAnsi="宋体" w:cs="宋体"/>
          <w:bCs/>
          <w:sz w:val="24"/>
          <w:szCs w:val="24"/>
          <w:lang w:val="en-US" w:eastAsia="zh-CN"/>
        </w:rPr>
        <w:t>10</w:t>
      </w:r>
      <w:r>
        <w:rPr>
          <w:rFonts w:hint="eastAsia" w:ascii="宋体" w:hAnsi="宋体" w:cs="宋体"/>
          <w:bCs/>
          <w:sz w:val="24"/>
          <w:szCs w:val="24"/>
        </w:rPr>
        <w:t xml:space="preserve">% 。 </w:t>
      </w:r>
    </w:p>
    <w:p w14:paraId="4EE7C103">
      <w:pPr>
        <w:spacing w:after="0" w:line="360" w:lineRule="auto"/>
        <w:ind w:firstLine="480" w:firstLineChars="200"/>
        <w:jc w:val="both"/>
        <w:rPr>
          <w:rFonts w:hint="eastAsia" w:ascii="宋体" w:hAnsi="宋体" w:cs="宋体"/>
          <w:bCs/>
          <w:sz w:val="24"/>
          <w:szCs w:val="24"/>
        </w:rPr>
      </w:pPr>
      <w:r>
        <w:rPr>
          <w:rFonts w:hint="eastAsia" w:ascii="宋体" w:hAnsi="宋体" w:cs="宋体"/>
          <w:bCs/>
          <w:sz w:val="24"/>
          <w:szCs w:val="24"/>
        </w:rPr>
        <w:t>2.成交供应商的履约保证金须在成交通知书发出之日起至合同签订前汇入采购单位账户，成交供应商凭成交通知书与采购单位签订合同。超期或未有协商，则视为自动放弃成交资格。</w:t>
      </w:r>
    </w:p>
    <w:p w14:paraId="54DB75A5">
      <w:pPr>
        <w:spacing w:after="0" w:line="360" w:lineRule="auto"/>
        <w:ind w:firstLine="480" w:firstLineChars="200"/>
        <w:jc w:val="both"/>
        <w:rPr>
          <w:rFonts w:hint="eastAsia" w:ascii="宋体" w:hAnsi="宋体" w:cs="宋体"/>
          <w:bCs/>
          <w:sz w:val="24"/>
          <w:szCs w:val="24"/>
        </w:rPr>
      </w:pPr>
      <w:r>
        <w:rPr>
          <w:rFonts w:hint="eastAsia" w:ascii="宋体" w:hAnsi="宋体" w:cs="宋体"/>
          <w:bCs/>
          <w:sz w:val="24"/>
          <w:szCs w:val="24"/>
        </w:rPr>
        <w:t>3.成交供应商全部履约合同义务，经采购单位验收合格无质量、进度等问题的，采购人一次性无息退还履约保证金；</w:t>
      </w:r>
    </w:p>
    <w:p w14:paraId="37DDE806">
      <w:pPr>
        <w:spacing w:after="0" w:line="360" w:lineRule="auto"/>
        <w:ind w:firstLine="480" w:firstLineChars="200"/>
        <w:jc w:val="both"/>
        <w:rPr>
          <w:rFonts w:hint="eastAsia" w:ascii="宋体" w:hAnsi="宋体" w:cs="宋体"/>
          <w:bCs/>
          <w:sz w:val="24"/>
          <w:szCs w:val="24"/>
        </w:rPr>
      </w:pPr>
      <w:r>
        <w:rPr>
          <w:rFonts w:hint="eastAsia" w:ascii="宋体" w:hAnsi="宋体" w:cs="宋体"/>
          <w:bCs/>
          <w:sz w:val="24"/>
          <w:szCs w:val="24"/>
        </w:rPr>
        <w:t>4.发生以下情况的，履约保证金不予退还或部分退还：</w:t>
      </w:r>
    </w:p>
    <w:p w14:paraId="600BE8B8">
      <w:pPr>
        <w:spacing w:after="0" w:line="360" w:lineRule="auto"/>
        <w:ind w:firstLine="480" w:firstLineChars="200"/>
        <w:jc w:val="both"/>
        <w:rPr>
          <w:rFonts w:hint="eastAsia" w:ascii="宋体" w:hAnsi="宋体" w:cs="宋体"/>
          <w:bCs/>
          <w:sz w:val="24"/>
          <w:szCs w:val="24"/>
        </w:rPr>
      </w:pPr>
      <w:r>
        <w:rPr>
          <w:rFonts w:hint="eastAsia" w:ascii="宋体" w:hAnsi="宋体" w:cs="宋体"/>
          <w:bCs/>
          <w:sz w:val="24"/>
          <w:szCs w:val="24"/>
        </w:rPr>
        <w:t>4.1签订合同后，成交供应商不履行合同义务的，采购单位有权全额扣除履约保证金，全额不予退还，同时采购单位亦有权终止合同，成交供应商还须承担相应的法律赔偿责任。</w:t>
      </w:r>
    </w:p>
    <w:p w14:paraId="09A0687F">
      <w:pPr>
        <w:spacing w:after="0" w:line="360" w:lineRule="auto"/>
        <w:ind w:firstLine="480" w:firstLineChars="200"/>
        <w:jc w:val="both"/>
        <w:rPr>
          <w:rFonts w:hint="eastAsia" w:ascii="宋体" w:hAnsi="宋体" w:cs="宋体"/>
          <w:b/>
          <w:sz w:val="24"/>
          <w:szCs w:val="24"/>
        </w:rPr>
      </w:pPr>
      <w:r>
        <w:rPr>
          <w:rFonts w:hint="eastAsia" w:ascii="宋体" w:hAnsi="宋体" w:cs="宋体"/>
          <w:bCs/>
          <w:sz w:val="24"/>
          <w:szCs w:val="24"/>
        </w:rPr>
        <w:t>4.2成交供应商在履约过程中发生违约行为，给采购单位造成损失的，采购单位有权在成交供应商缴纳的履约保证金中予以扣款，以弥补采购单位经济损失，不足的成交供应商另外补齐。</w:t>
      </w:r>
    </w:p>
    <w:p w14:paraId="348691DE">
      <w:pPr>
        <w:rPr>
          <w:rFonts w:hint="eastAsia" w:ascii="宋体" w:hAnsi="宋体" w:cs="宋体"/>
          <w:b/>
          <w:bCs/>
          <w:sz w:val="24"/>
          <w:szCs w:val="24"/>
        </w:rPr>
      </w:pPr>
    </w:p>
    <w:p w14:paraId="34A39201">
      <w:pPr>
        <w:spacing w:after="0" w:line="360" w:lineRule="auto"/>
        <w:ind w:firstLine="482" w:firstLineChars="200"/>
        <w:jc w:val="center"/>
        <w:rPr>
          <w:rFonts w:hint="eastAsia" w:ascii="宋体" w:hAnsi="宋体" w:cs="宋体"/>
          <w:b/>
          <w:bCs/>
          <w:sz w:val="24"/>
          <w:szCs w:val="24"/>
          <w:lang w:val="zh-CN"/>
        </w:rPr>
      </w:pPr>
      <w:r>
        <w:rPr>
          <w:rFonts w:hint="eastAsia" w:ascii="宋体" w:hAnsi="宋体" w:cs="宋体"/>
          <w:b/>
          <w:bCs/>
          <w:sz w:val="24"/>
          <w:szCs w:val="24"/>
        </w:rPr>
        <w:t xml:space="preserve">第三部分 </w:t>
      </w:r>
      <w:r>
        <w:rPr>
          <w:rFonts w:hint="eastAsia" w:ascii="宋体" w:hAnsi="宋体" w:cs="宋体"/>
          <w:b/>
          <w:bCs/>
          <w:sz w:val="24"/>
          <w:szCs w:val="24"/>
          <w:lang w:val="zh-CN"/>
        </w:rPr>
        <w:t>开标、评标</w:t>
      </w:r>
    </w:p>
    <w:p w14:paraId="000EAB4B">
      <w:pPr>
        <w:spacing w:after="0" w:line="360" w:lineRule="auto"/>
        <w:ind w:firstLine="482" w:firstLineChars="200"/>
        <w:rPr>
          <w:rFonts w:hint="eastAsia" w:ascii="宋体" w:hAnsi="宋体" w:cs="宋体"/>
          <w:b/>
          <w:bCs/>
          <w:sz w:val="24"/>
          <w:szCs w:val="28"/>
          <w:lang w:val="zh-CN"/>
        </w:rPr>
      </w:pPr>
      <w:r>
        <w:rPr>
          <w:rFonts w:hint="eastAsia" w:ascii="宋体" w:hAnsi="宋体" w:cs="宋体"/>
          <w:b/>
          <w:bCs/>
          <w:sz w:val="24"/>
          <w:szCs w:val="28"/>
        </w:rPr>
        <w:t>一、</w:t>
      </w:r>
      <w:r>
        <w:rPr>
          <w:rFonts w:hint="eastAsia" w:ascii="宋体" w:hAnsi="宋体" w:cs="宋体"/>
          <w:b/>
          <w:bCs/>
          <w:sz w:val="24"/>
          <w:szCs w:val="28"/>
          <w:lang w:val="zh-CN"/>
        </w:rPr>
        <w:t>评标流程</w:t>
      </w:r>
    </w:p>
    <w:p w14:paraId="3AE24E8C">
      <w:pPr>
        <w:spacing w:after="0" w:line="360" w:lineRule="auto"/>
        <w:ind w:firstLine="482" w:firstLineChars="200"/>
        <w:rPr>
          <w:rFonts w:hint="eastAsia" w:ascii="宋体" w:hAnsi="宋体" w:cs="宋体"/>
          <w:b/>
          <w:bCs/>
          <w:sz w:val="24"/>
          <w:szCs w:val="28"/>
          <w:lang w:val="zh-CN"/>
        </w:rPr>
      </w:pPr>
      <w:r>
        <w:rPr>
          <w:rFonts w:hint="eastAsia" w:ascii="宋体" w:hAnsi="宋体" w:cs="宋体"/>
          <w:b/>
          <w:bCs/>
          <w:sz w:val="24"/>
          <w:szCs w:val="28"/>
          <w:lang w:val="zh-CN"/>
        </w:rPr>
        <w:t>询价小组将根据询价文件相关标准对供应商的资格进行审查，审查通过方可参与项目的价格评标。符合招标商务条款和技术参数要求的前提下，按供应商</w:t>
      </w:r>
      <w:r>
        <w:rPr>
          <w:rFonts w:hint="eastAsia" w:ascii="宋体" w:hAnsi="宋体" w:cs="宋体"/>
          <w:b/>
          <w:bCs/>
          <w:sz w:val="24"/>
          <w:szCs w:val="28"/>
        </w:rPr>
        <w:t>评审价</w:t>
      </w:r>
      <w:r>
        <w:rPr>
          <w:rFonts w:hint="eastAsia" w:ascii="宋体" w:hAnsi="宋体" w:cs="宋体"/>
          <w:b/>
          <w:bCs/>
          <w:sz w:val="24"/>
          <w:szCs w:val="28"/>
          <w:lang w:val="zh-CN"/>
        </w:rPr>
        <w:t>由低到高排序，推荐前三名为成交候选人，排名第一的为第一成交候选人，即为本项目的供应商，其投标价为本项目成交价,评审价如有相同者，抽签确定成交供应商。</w:t>
      </w:r>
    </w:p>
    <w:p w14:paraId="421A72C7">
      <w:pPr>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二、询价评审方法</w:t>
      </w:r>
    </w:p>
    <w:p w14:paraId="11D37659">
      <w:pPr>
        <w:spacing w:after="0" w:line="360" w:lineRule="auto"/>
        <w:ind w:firstLine="480" w:firstLineChars="200"/>
        <w:rPr>
          <w:rFonts w:hint="eastAsia" w:ascii="宋体" w:hAnsi="宋体" w:cs="宋体"/>
          <w:sz w:val="24"/>
          <w:szCs w:val="28"/>
        </w:rPr>
      </w:pPr>
      <w:r>
        <w:rPr>
          <w:rFonts w:hint="eastAsia" w:ascii="宋体" w:hAnsi="宋体" w:cs="宋体"/>
          <w:sz w:val="24"/>
          <w:szCs w:val="28"/>
        </w:rPr>
        <w:t>2.1询价小组严格按照询价文件的规定要求、条件标准，对询价响应供应商所提供的完整计划标的物采购的服务是否符合采购需求，对其质量和服务等实质性响应内容进行比较评价。</w:t>
      </w:r>
    </w:p>
    <w:p w14:paraId="4EDAE9A5">
      <w:pPr>
        <w:spacing w:after="0" w:line="360" w:lineRule="auto"/>
        <w:ind w:firstLine="480" w:firstLineChars="200"/>
        <w:rPr>
          <w:rFonts w:hint="eastAsia" w:ascii="宋体" w:hAnsi="宋体" w:cs="宋体"/>
          <w:sz w:val="24"/>
          <w:szCs w:val="28"/>
        </w:rPr>
      </w:pPr>
      <w:r>
        <w:rPr>
          <w:rFonts w:hint="eastAsia" w:ascii="宋体" w:hAnsi="宋体" w:cs="宋体"/>
          <w:sz w:val="24"/>
          <w:szCs w:val="28"/>
        </w:rPr>
        <w:t>2.2判定符合采购需求、质量和服务相等的询价响应供应商后，针对其报价进行最终判定。</w:t>
      </w:r>
    </w:p>
    <w:p w14:paraId="28EF53AA">
      <w:pPr>
        <w:spacing w:after="0" w:line="360" w:lineRule="auto"/>
        <w:ind w:firstLine="480" w:firstLineChars="200"/>
        <w:rPr>
          <w:rFonts w:hint="eastAsia" w:ascii="宋体" w:hAnsi="宋体" w:cs="宋体"/>
          <w:sz w:val="24"/>
          <w:szCs w:val="28"/>
        </w:rPr>
      </w:pPr>
      <w:r>
        <w:rPr>
          <w:rFonts w:hint="eastAsia" w:ascii="宋体" w:hAnsi="宋体" w:cs="宋体"/>
          <w:sz w:val="24"/>
          <w:szCs w:val="28"/>
        </w:rPr>
        <w:t xml:space="preserve">2.3价格评审 </w:t>
      </w:r>
    </w:p>
    <w:p w14:paraId="4F0BF938">
      <w:pPr>
        <w:spacing w:after="0" w:line="360" w:lineRule="auto"/>
        <w:ind w:firstLine="480" w:firstLineChars="200"/>
        <w:rPr>
          <w:rFonts w:hint="eastAsia" w:ascii="宋体" w:hAnsi="宋体" w:cs="宋体"/>
          <w:sz w:val="24"/>
          <w:szCs w:val="28"/>
        </w:rPr>
      </w:pPr>
      <w:r>
        <w:rPr>
          <w:rFonts w:hint="eastAsia" w:ascii="宋体" w:hAnsi="宋体" w:cs="宋体"/>
          <w:sz w:val="24"/>
          <w:szCs w:val="28"/>
        </w:rPr>
        <w:t>（1）价格评审内容包括分析项目需求各</w:t>
      </w:r>
      <w:r>
        <w:rPr>
          <w:rFonts w:hint="eastAsia" w:ascii="宋体" w:hAnsi="宋体" w:cs="宋体"/>
          <w:sz w:val="24"/>
          <w:szCs w:val="28"/>
          <w:lang w:eastAsia="zh-CN"/>
        </w:rPr>
        <w:t>货物</w:t>
      </w:r>
      <w:r>
        <w:rPr>
          <w:rFonts w:hint="eastAsia" w:ascii="宋体" w:hAnsi="宋体" w:cs="宋体"/>
          <w:sz w:val="24"/>
          <w:szCs w:val="28"/>
        </w:rPr>
        <w:t>单价是否合理，价格所含范围是否完整，有无重大错漏项。如果询价响应供应商的响应</w:t>
      </w:r>
      <w:r>
        <w:rPr>
          <w:rFonts w:hint="eastAsia" w:ascii="宋体" w:hAnsi="宋体" w:cs="宋体"/>
          <w:sz w:val="24"/>
          <w:szCs w:val="28"/>
          <w:lang w:eastAsia="zh-CN"/>
        </w:rPr>
        <w:t>货物</w:t>
      </w:r>
      <w:r>
        <w:rPr>
          <w:rFonts w:hint="eastAsia" w:ascii="宋体" w:hAnsi="宋体" w:cs="宋体"/>
          <w:sz w:val="24"/>
          <w:szCs w:val="28"/>
        </w:rPr>
        <w:t>清单中有漏项并构成未实质性响应询价文件要求的，按无效询价处理。</w:t>
      </w:r>
    </w:p>
    <w:p w14:paraId="66EB6BA3">
      <w:pPr>
        <w:spacing w:after="0"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（2）响应报价低于采购项目预算50%的，即响应报价＜采购项目预算×50%或者响应报价低于采购项目最高限价45%的，即响应报价＜采购项目最高限价×45%或者询价小组认为询价响应供应商报价过低，有可能影响</w:t>
      </w:r>
      <w:r>
        <w:rPr>
          <w:rFonts w:hint="eastAsia" w:ascii="宋体" w:hAnsi="宋体" w:cs="宋体"/>
          <w:b/>
          <w:bCs/>
          <w:sz w:val="24"/>
          <w:szCs w:val="24"/>
          <w:u w:val="single"/>
          <w:lang w:val="en-US" w:eastAsia="zh-CN"/>
        </w:rPr>
        <w:t>产品</w:t>
      </w:r>
      <w:r>
        <w:rPr>
          <w:rFonts w:hint="eastAsia" w:ascii="宋体" w:hAnsi="宋体" w:cs="宋体"/>
          <w:b/>
          <w:bCs/>
          <w:sz w:val="24"/>
          <w:szCs w:val="24"/>
          <w:u w:val="single"/>
        </w:rPr>
        <w:t>或服务的质量或者不能诚信履约的，应当要求其“在评审现场”合理的时间内提供“书面”说明，必要时提交“相关证明”材料；被要求的询价响应供应商不能证明其“报价合理性”的，询价小组应当将其作为无效询价处理。</w:t>
      </w:r>
    </w:p>
    <w:p w14:paraId="5BB9D04B">
      <w:pPr>
        <w:spacing w:after="0" w:line="360" w:lineRule="auto"/>
        <w:ind w:firstLine="480" w:firstLineChars="200"/>
        <w:rPr>
          <w:rFonts w:hint="eastAsia" w:ascii="宋体" w:hAnsi="宋体" w:cs="宋体"/>
          <w:sz w:val="24"/>
          <w:szCs w:val="28"/>
        </w:rPr>
      </w:pPr>
      <w:r>
        <w:rPr>
          <w:rFonts w:hint="eastAsia" w:ascii="宋体" w:hAnsi="宋体" w:cs="宋体"/>
          <w:sz w:val="24"/>
          <w:szCs w:val="28"/>
        </w:rPr>
        <w:t>2.4本项目在全部满足询价文件实质性要求前提下，依据“符合采购需求、质量和服务相等且报价最低的原则”，采购人授权询价小组确定成交人，并编写评审报告。</w:t>
      </w:r>
    </w:p>
    <w:p w14:paraId="030BDF3D">
      <w:pPr>
        <w:spacing w:after="0" w:line="360" w:lineRule="auto"/>
        <w:ind w:firstLine="480" w:firstLineChars="200"/>
        <w:rPr>
          <w:rFonts w:hint="eastAsia" w:ascii="宋体" w:hAnsi="宋体" w:cs="宋体"/>
          <w:sz w:val="24"/>
          <w:szCs w:val="28"/>
        </w:rPr>
      </w:pPr>
      <w:r>
        <w:rPr>
          <w:rFonts w:hint="eastAsia" w:ascii="宋体" w:hAnsi="宋体" w:cs="宋体"/>
          <w:sz w:val="24"/>
          <w:szCs w:val="28"/>
        </w:rPr>
        <w:t>2.5评审时的特殊情况处理：</w:t>
      </w:r>
    </w:p>
    <w:p w14:paraId="520E7331">
      <w:pPr>
        <w:spacing w:after="0" w:line="360" w:lineRule="auto"/>
        <w:ind w:firstLine="480" w:firstLineChars="200"/>
        <w:rPr>
          <w:rFonts w:hint="eastAsia" w:ascii="宋体" w:hAnsi="宋体" w:cs="宋体"/>
          <w:sz w:val="24"/>
          <w:szCs w:val="28"/>
        </w:rPr>
      </w:pPr>
      <w:r>
        <w:rPr>
          <w:rFonts w:hint="eastAsia" w:ascii="宋体" w:hAnsi="宋体" w:cs="宋体"/>
          <w:sz w:val="24"/>
          <w:szCs w:val="28"/>
        </w:rPr>
        <w:t>报价由低到高的顺序排列；报价相同的并列；排序并列第一的，则采取现场抽签的方式确定（供应商的抽签顺序分别为各供应商递交询价响应文件签到顺序号）。</w:t>
      </w:r>
    </w:p>
    <w:p w14:paraId="468548AE">
      <w:pPr>
        <w:spacing w:after="0" w:line="360" w:lineRule="auto"/>
        <w:ind w:firstLine="480" w:firstLineChars="200"/>
        <w:rPr>
          <w:rFonts w:hint="eastAsia" w:ascii="宋体" w:hAnsi="宋体" w:cs="宋体"/>
          <w:sz w:val="24"/>
          <w:szCs w:val="28"/>
        </w:rPr>
      </w:pPr>
      <w:r>
        <w:rPr>
          <w:rFonts w:hint="eastAsia" w:ascii="宋体" w:hAnsi="宋体" w:cs="宋体"/>
          <w:sz w:val="24"/>
          <w:szCs w:val="28"/>
        </w:rPr>
        <w:t>2.6询价小组对询价响应文件的判定，只依据询价响应文件内容本身，不依靠询价采购活动开始后的任何外来证明</w:t>
      </w:r>
      <w:bookmarkStart w:id="0" w:name="_Hlk67508224"/>
      <w:r>
        <w:rPr>
          <w:rFonts w:hint="eastAsia" w:ascii="宋体" w:hAnsi="宋体" w:cs="宋体"/>
          <w:sz w:val="24"/>
          <w:szCs w:val="28"/>
        </w:rPr>
        <w:t>【本章第四条第2.3点第（2）款除外】</w:t>
      </w:r>
      <w:bookmarkEnd w:id="0"/>
      <w:r>
        <w:rPr>
          <w:rFonts w:hint="eastAsia" w:ascii="宋体" w:hAnsi="宋体" w:cs="宋体"/>
          <w:sz w:val="24"/>
          <w:szCs w:val="28"/>
        </w:rPr>
        <w:t>。</w:t>
      </w:r>
    </w:p>
    <w:p w14:paraId="22DFC813">
      <w:pPr>
        <w:spacing w:after="0" w:line="360" w:lineRule="auto"/>
        <w:ind w:firstLine="480" w:firstLineChars="200"/>
        <w:rPr>
          <w:rFonts w:hint="eastAsia" w:ascii="宋体" w:hAnsi="宋体" w:cs="宋体"/>
          <w:sz w:val="24"/>
          <w:szCs w:val="28"/>
        </w:rPr>
      </w:pPr>
      <w:r>
        <w:rPr>
          <w:rFonts w:hint="eastAsia" w:ascii="宋体" w:hAnsi="宋体" w:cs="宋体"/>
          <w:sz w:val="24"/>
          <w:szCs w:val="28"/>
        </w:rPr>
        <w:t>2.7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77FB0A1D">
      <w:pPr>
        <w:spacing w:after="0" w:line="360" w:lineRule="auto"/>
        <w:ind w:firstLine="480" w:firstLineChars="200"/>
        <w:rPr>
          <w:rFonts w:hint="eastAsia" w:ascii="宋体" w:hAnsi="宋体" w:cs="宋体"/>
          <w:b/>
          <w:bCs/>
          <w:sz w:val="24"/>
          <w:szCs w:val="28"/>
        </w:rPr>
      </w:pPr>
      <w:r>
        <w:rPr>
          <w:rFonts w:hint="eastAsia" w:ascii="宋体" w:hAnsi="宋体" w:cs="宋体"/>
          <w:sz w:val="24"/>
          <w:szCs w:val="28"/>
        </w:rPr>
        <w:t>2.8询价小组对评审未尽情况有最终解释权，且对落标的询价响应供应商不做落标原因的解释。</w:t>
      </w:r>
    </w:p>
    <w:p w14:paraId="1232AE6A">
      <w:pPr>
        <w:spacing w:after="0" w:line="360" w:lineRule="auto"/>
        <w:ind w:firstLine="482" w:firstLineChars="200"/>
        <w:jc w:val="both"/>
        <w:rPr>
          <w:rFonts w:hint="eastAsia" w:ascii="宋体" w:hAnsi="宋体" w:cs="宋体"/>
          <w:b/>
          <w:bCs/>
          <w:sz w:val="24"/>
          <w:szCs w:val="28"/>
        </w:rPr>
      </w:pPr>
      <w:r>
        <w:rPr>
          <w:rFonts w:hint="eastAsia" w:ascii="宋体" w:hAnsi="宋体" w:cs="宋体"/>
          <w:b/>
          <w:bCs/>
          <w:sz w:val="24"/>
          <w:szCs w:val="28"/>
        </w:rPr>
        <w:t>三、政府采购政策功能落实</w:t>
      </w:r>
    </w:p>
    <w:p w14:paraId="646A9A08">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3.1小微型企业价格扣除</w:t>
      </w:r>
    </w:p>
    <w:p w14:paraId="797D860A">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（1）本项目对小型和微型企业</w:t>
      </w:r>
      <w:r>
        <w:rPr>
          <w:rFonts w:hint="eastAsia" w:ascii="宋体" w:hAnsi="宋体" w:cs="宋体"/>
          <w:color w:val="auto"/>
          <w:sz w:val="24"/>
          <w:szCs w:val="28"/>
        </w:rPr>
        <w:t>货物</w:t>
      </w:r>
      <w:r>
        <w:rPr>
          <w:rFonts w:hint="eastAsia" w:ascii="宋体" w:hAnsi="宋体" w:cs="宋体"/>
          <w:sz w:val="24"/>
          <w:szCs w:val="28"/>
        </w:rPr>
        <w:t>给予10%的扣除价格，用扣除后的价格参与评审。</w:t>
      </w:r>
    </w:p>
    <w:p w14:paraId="25E4A0DF">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（2）供应商需按照《政府采购促进中小企业发展管理办法》（财库﹝2020﹞46 号）的规定提供相应的《中小企业声明函》。</w:t>
      </w:r>
    </w:p>
    <w:p w14:paraId="6880FCC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（3）企业标准请参照《关于印发中小企业划型标准规定的通知》（工信部联企业﹝2011﹞300号）文件规定自行填写。</w:t>
      </w:r>
    </w:p>
    <w:p w14:paraId="0E528628">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3.2残疾人福利单位价格扣除</w:t>
      </w:r>
    </w:p>
    <w:p w14:paraId="79661B1F">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（1）本项目对残疾人福利性单位，给予10%的价格扣除，用扣除后的价格参与评审。</w:t>
      </w:r>
    </w:p>
    <w:p w14:paraId="5FE836C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（2）残疾人福利单位需按照采购文件的要求提供《残疾人福利性单位声明函》。</w:t>
      </w:r>
    </w:p>
    <w:p w14:paraId="52E7611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（3）残疾人福利单位标准请参照《关于促进残疾人就业政府采购政策的通知》（财库〔2017〕141号）。</w:t>
      </w:r>
    </w:p>
    <w:p w14:paraId="7F2D815D">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3.3监狱和戒毒企业价格扣除</w:t>
      </w:r>
    </w:p>
    <w:p w14:paraId="5AFAC0B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（1）本项目对监狱和戒毒企业（简称监狱企业）给予10%的价格扣除，用扣除后的价格参与评审。</w:t>
      </w:r>
    </w:p>
    <w:p w14:paraId="4EAB4C8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（2）监狱企业参加政府采购活动时，需提供由省级以上监狱管理局、戒毒管理局(含新疆生产建设兵团)出具的属于监狱企业的证明文件。供应商如不提供上述证明文件，价格将不做相应扣除。</w:t>
      </w:r>
    </w:p>
    <w:p w14:paraId="79E4A587">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（3）监狱企业标准请参照《关于政府采购支持监狱企业发展有关问题的通知》（财库﹝2014﹞68号）。</w:t>
      </w:r>
    </w:p>
    <w:p w14:paraId="676756D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3.4残疾人福利单位、监狱企业属于小型、微型企业的，不重复享受政策。</w:t>
      </w:r>
    </w:p>
    <w:p w14:paraId="6DF8BDBA">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四、</w:t>
      </w:r>
      <w:r>
        <w:rPr>
          <w:rFonts w:hint="eastAsia" w:ascii="宋体" w:hAnsi="宋体" w:cs="宋体"/>
          <w:b/>
          <w:bCs/>
          <w:sz w:val="24"/>
          <w:szCs w:val="28"/>
          <w:lang w:val="zh-CN"/>
        </w:rPr>
        <w:t>询价小组负责具体评标事务。</w:t>
      </w:r>
    </w:p>
    <w:p w14:paraId="6FBE646F">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五、</w:t>
      </w:r>
      <w:r>
        <w:rPr>
          <w:rFonts w:hint="eastAsia" w:ascii="宋体" w:hAnsi="宋体" w:cs="宋体"/>
          <w:b/>
          <w:bCs/>
          <w:sz w:val="24"/>
          <w:szCs w:val="28"/>
          <w:lang w:val="zh-CN"/>
        </w:rPr>
        <w:t>投标费用</w:t>
      </w:r>
    </w:p>
    <w:p w14:paraId="4FC452D9">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无论询价过程和结果如何，参加询价的响应人自行承担与本次项目询价有关的全部费用。</w:t>
      </w:r>
    </w:p>
    <w:p w14:paraId="79320A46">
      <w:pPr>
        <w:shd w:val="clear" w:color="auto" w:fill="FFFFFF"/>
        <w:spacing w:after="0" w:line="360" w:lineRule="auto"/>
        <w:ind w:firstLine="480" w:firstLineChars="200"/>
        <w:rPr>
          <w:rFonts w:hint="eastAsia" w:ascii="宋体" w:hAnsi="宋体" w:cs="宋体"/>
          <w:sz w:val="24"/>
          <w:szCs w:val="28"/>
          <w:shd w:val="clear" w:color="auto" w:fill="FFFFFF"/>
        </w:rPr>
      </w:pPr>
      <w:r>
        <w:rPr>
          <w:rFonts w:hint="eastAsia" w:ascii="宋体" w:hAnsi="宋体" w:cs="宋体"/>
          <w:sz w:val="24"/>
          <w:szCs w:val="28"/>
          <w:shd w:val="clear" w:color="auto" w:fill="FFFFFF"/>
        </w:rPr>
        <w:t>2.本项目招标代理费收取标准以成交价为基准，乘以招标代理收费费率，由成交供应商支付，响应供应商综合考虑在报价内（不单列）。</w:t>
      </w:r>
    </w:p>
    <w:tbl>
      <w:tblPr>
        <w:tblStyle w:val="2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4390"/>
        <w:gridCol w:w="3083"/>
      </w:tblGrid>
      <w:tr w14:paraId="2A0D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3AB0D9F6">
            <w:pPr>
              <w:spacing w:line="360" w:lineRule="auto"/>
              <w:ind w:firstLine="482" w:firstLineChars="200"/>
              <w:jc w:val="center"/>
              <w:rPr>
                <w:rFonts w:hint="eastAsia" w:ascii="宋体" w:hAnsi="宋体" w:cs="宋体"/>
                <w:b/>
                <w:bCs/>
                <w:sz w:val="24"/>
              </w:rPr>
            </w:pPr>
            <w:r>
              <w:rPr>
                <w:rFonts w:hint="eastAsia" w:ascii="宋体" w:hAnsi="宋体" w:cs="宋体"/>
                <w:b/>
                <w:bCs/>
                <w:sz w:val="24"/>
              </w:rPr>
              <w:t>序号</w:t>
            </w:r>
          </w:p>
        </w:tc>
        <w:tc>
          <w:tcPr>
            <w:tcW w:w="2533" w:type="pct"/>
            <w:vMerge w:val="restart"/>
            <w:tcBorders>
              <w:top w:val="single" w:color="auto" w:sz="4" w:space="0"/>
              <w:left w:val="single" w:color="auto" w:sz="4" w:space="0"/>
              <w:right w:val="single" w:color="auto" w:sz="4" w:space="0"/>
            </w:tcBorders>
            <w:vAlign w:val="center"/>
          </w:tcPr>
          <w:p w14:paraId="07C46AD9">
            <w:pPr>
              <w:spacing w:line="360" w:lineRule="auto"/>
              <w:ind w:firstLine="482" w:firstLineChars="200"/>
              <w:jc w:val="center"/>
              <w:rPr>
                <w:rFonts w:hint="eastAsia" w:ascii="宋体" w:hAnsi="宋体" w:cs="宋体"/>
                <w:b/>
                <w:bCs/>
                <w:sz w:val="24"/>
              </w:rPr>
            </w:pPr>
            <w:r>
              <w:rPr>
                <w:rFonts w:hint="eastAsia" w:ascii="宋体" w:hAnsi="宋体" w:cs="宋体"/>
                <w:b/>
                <w:bCs/>
                <w:sz w:val="24"/>
              </w:rPr>
              <w:t>服务费类型（按成交金额）</w:t>
            </w:r>
          </w:p>
        </w:tc>
        <w:tc>
          <w:tcPr>
            <w:tcW w:w="1779" w:type="pct"/>
            <w:vMerge w:val="restart"/>
            <w:tcBorders>
              <w:top w:val="single" w:color="auto" w:sz="4" w:space="0"/>
              <w:left w:val="single" w:color="auto" w:sz="4" w:space="0"/>
              <w:right w:val="single" w:color="auto" w:sz="4" w:space="0"/>
            </w:tcBorders>
            <w:vAlign w:val="center"/>
          </w:tcPr>
          <w:p w14:paraId="2DE84566">
            <w:pPr>
              <w:spacing w:line="360" w:lineRule="auto"/>
              <w:ind w:firstLine="482" w:firstLineChars="200"/>
              <w:jc w:val="center"/>
              <w:rPr>
                <w:rFonts w:hint="eastAsia" w:ascii="宋体" w:hAnsi="宋体" w:cs="宋体"/>
                <w:b/>
                <w:bCs/>
                <w:sz w:val="24"/>
              </w:rPr>
            </w:pPr>
            <w:r>
              <w:rPr>
                <w:rFonts w:hint="eastAsia" w:ascii="宋体" w:hAnsi="宋体" w:cs="宋体"/>
                <w:b/>
                <w:bCs/>
                <w:sz w:val="24"/>
              </w:rPr>
              <w:t xml:space="preserve">收费标准 </w:t>
            </w:r>
          </w:p>
        </w:tc>
      </w:tr>
      <w:tr w14:paraId="7E44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88" w:type="pct"/>
            <w:vMerge w:val="continue"/>
            <w:tcBorders>
              <w:left w:val="single" w:color="auto" w:sz="4" w:space="0"/>
              <w:bottom w:val="single" w:color="auto" w:sz="4" w:space="0"/>
              <w:right w:val="single" w:color="auto" w:sz="4" w:space="0"/>
            </w:tcBorders>
            <w:vAlign w:val="center"/>
          </w:tcPr>
          <w:p w14:paraId="69070B4C">
            <w:pPr>
              <w:spacing w:line="360" w:lineRule="auto"/>
              <w:ind w:firstLine="480" w:firstLineChars="200"/>
              <w:jc w:val="center"/>
              <w:rPr>
                <w:rFonts w:hint="eastAsia" w:ascii="宋体" w:hAnsi="宋体" w:cs="宋体"/>
                <w:sz w:val="24"/>
              </w:rPr>
            </w:pPr>
          </w:p>
        </w:tc>
        <w:tc>
          <w:tcPr>
            <w:tcW w:w="2533" w:type="pct"/>
            <w:vMerge w:val="continue"/>
            <w:tcBorders>
              <w:left w:val="single" w:color="auto" w:sz="4" w:space="0"/>
              <w:bottom w:val="single" w:color="auto" w:sz="4" w:space="0"/>
              <w:right w:val="single" w:color="auto" w:sz="4" w:space="0"/>
            </w:tcBorders>
            <w:vAlign w:val="center"/>
          </w:tcPr>
          <w:p w14:paraId="3D5FC4DB">
            <w:pPr>
              <w:spacing w:line="360" w:lineRule="auto"/>
              <w:ind w:firstLine="480" w:firstLineChars="200"/>
              <w:jc w:val="center"/>
              <w:rPr>
                <w:rFonts w:hint="eastAsia"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2B04E2C8">
            <w:pPr>
              <w:spacing w:line="360" w:lineRule="auto"/>
              <w:ind w:firstLine="480" w:firstLineChars="200"/>
              <w:jc w:val="center"/>
              <w:rPr>
                <w:rFonts w:hint="eastAsia" w:ascii="宋体" w:hAnsi="宋体" w:cs="宋体"/>
                <w:sz w:val="24"/>
              </w:rPr>
            </w:pPr>
          </w:p>
        </w:tc>
      </w:tr>
      <w:tr w14:paraId="39B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0D5A870">
            <w:pPr>
              <w:spacing w:line="360" w:lineRule="auto"/>
              <w:ind w:firstLine="480" w:firstLineChars="200"/>
              <w:jc w:val="center"/>
              <w:rPr>
                <w:rFonts w:hint="eastAsia" w:ascii="宋体" w:hAnsi="宋体" w:cs="宋体"/>
                <w:sz w:val="24"/>
              </w:rPr>
            </w:pPr>
            <w:r>
              <w:rPr>
                <w:rFonts w:hint="eastAsia" w:ascii="宋体" w:hAnsi="宋体" w:cs="宋体"/>
                <w:sz w:val="24"/>
              </w:rPr>
              <w:t>1</w:t>
            </w:r>
          </w:p>
        </w:tc>
        <w:tc>
          <w:tcPr>
            <w:tcW w:w="2533" w:type="pct"/>
            <w:tcBorders>
              <w:top w:val="single" w:color="auto" w:sz="4" w:space="0"/>
              <w:left w:val="single" w:color="auto" w:sz="4" w:space="0"/>
              <w:bottom w:val="single" w:color="auto" w:sz="4" w:space="0"/>
              <w:right w:val="single" w:color="auto" w:sz="4" w:space="0"/>
            </w:tcBorders>
            <w:vAlign w:val="center"/>
          </w:tcPr>
          <w:p w14:paraId="23DF2594">
            <w:pPr>
              <w:spacing w:line="360" w:lineRule="auto"/>
              <w:ind w:firstLine="480" w:firstLineChars="200"/>
              <w:jc w:val="center"/>
              <w:rPr>
                <w:rFonts w:hint="eastAsia"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2BC7AEA9">
            <w:pPr>
              <w:spacing w:line="360" w:lineRule="auto"/>
              <w:ind w:firstLine="480" w:firstLineChars="200"/>
              <w:jc w:val="center"/>
              <w:rPr>
                <w:rFonts w:hint="eastAsia" w:ascii="宋体" w:hAnsi="宋体" w:cs="宋体"/>
                <w:sz w:val="24"/>
              </w:rPr>
            </w:pPr>
            <w:r>
              <w:rPr>
                <w:rFonts w:hint="eastAsia" w:ascii="宋体" w:hAnsi="宋体" w:cs="宋体"/>
                <w:sz w:val="24"/>
              </w:rPr>
              <w:t>2000.00元</w:t>
            </w:r>
          </w:p>
        </w:tc>
      </w:tr>
      <w:tr w14:paraId="52D8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B785E57">
            <w:pPr>
              <w:spacing w:line="360" w:lineRule="auto"/>
              <w:ind w:firstLine="480" w:firstLineChars="200"/>
              <w:jc w:val="center"/>
              <w:rPr>
                <w:rFonts w:hint="eastAsia" w:ascii="宋体" w:hAnsi="宋体" w:cs="宋体"/>
                <w:sz w:val="24"/>
              </w:rPr>
            </w:pPr>
            <w:r>
              <w:rPr>
                <w:rFonts w:hint="eastAsia" w:ascii="宋体" w:hAnsi="宋体" w:cs="宋体"/>
                <w:sz w:val="24"/>
              </w:rPr>
              <w:t>2</w:t>
            </w:r>
          </w:p>
        </w:tc>
        <w:tc>
          <w:tcPr>
            <w:tcW w:w="2533" w:type="pct"/>
            <w:tcBorders>
              <w:top w:val="single" w:color="auto" w:sz="4" w:space="0"/>
              <w:left w:val="single" w:color="auto" w:sz="4" w:space="0"/>
              <w:bottom w:val="single" w:color="auto" w:sz="4" w:space="0"/>
              <w:right w:val="single" w:color="auto" w:sz="4" w:space="0"/>
            </w:tcBorders>
            <w:vAlign w:val="center"/>
          </w:tcPr>
          <w:p w14:paraId="4C9ABB86">
            <w:pPr>
              <w:spacing w:line="360" w:lineRule="auto"/>
              <w:ind w:firstLine="480" w:firstLineChars="200"/>
              <w:jc w:val="center"/>
              <w:rPr>
                <w:rFonts w:hint="eastAsia" w:ascii="宋体" w:hAnsi="宋体" w:cs="宋体"/>
                <w:sz w:val="24"/>
              </w:rPr>
            </w:pPr>
            <w:r>
              <w:rPr>
                <w:rFonts w:hint="eastAsia" w:ascii="宋体" w:hAnsi="宋体" w:cs="宋体"/>
                <w:sz w:val="24"/>
              </w:rPr>
              <w:t>货物、服务和工程招标代理、咨询服务（2万元-5万元）含2万</w:t>
            </w:r>
          </w:p>
        </w:tc>
        <w:tc>
          <w:tcPr>
            <w:tcW w:w="1779" w:type="pct"/>
            <w:tcBorders>
              <w:top w:val="single" w:color="auto" w:sz="4" w:space="0"/>
              <w:left w:val="single" w:color="auto" w:sz="4" w:space="0"/>
              <w:bottom w:val="single" w:color="auto" w:sz="4" w:space="0"/>
              <w:right w:val="single" w:color="auto" w:sz="4" w:space="0"/>
            </w:tcBorders>
            <w:vAlign w:val="center"/>
          </w:tcPr>
          <w:p w14:paraId="545BB23E">
            <w:pPr>
              <w:spacing w:line="360" w:lineRule="auto"/>
              <w:ind w:firstLine="480" w:firstLineChars="200"/>
              <w:jc w:val="center"/>
              <w:rPr>
                <w:rFonts w:hint="eastAsia" w:ascii="宋体" w:hAnsi="宋体" w:cs="宋体"/>
                <w:sz w:val="24"/>
              </w:rPr>
            </w:pPr>
            <w:r>
              <w:rPr>
                <w:rFonts w:hint="eastAsia" w:ascii="宋体" w:hAnsi="宋体" w:cs="宋体"/>
                <w:sz w:val="24"/>
              </w:rPr>
              <w:t>1500.00元</w:t>
            </w:r>
          </w:p>
        </w:tc>
      </w:tr>
    </w:tbl>
    <w:p w14:paraId="044962AC">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询价文件未列明，而响应供应商认为必需的费用也需列入报价。</w:t>
      </w:r>
    </w:p>
    <w:p w14:paraId="4E2BAC48">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lang w:val="zh-CN"/>
        </w:rPr>
        <w:t>代理费由成交供应商在开标现场定标后支付给代理机构，如因成交供应商原因导致本项目流标或改变成交结果或其被取消成交资格的，代理费不予退还。</w:t>
      </w:r>
    </w:p>
    <w:p w14:paraId="553F0F73">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六、</w:t>
      </w:r>
      <w:r>
        <w:rPr>
          <w:rFonts w:hint="eastAsia" w:ascii="宋体" w:hAnsi="宋体" w:cs="宋体"/>
          <w:b/>
          <w:bCs/>
          <w:sz w:val="24"/>
          <w:szCs w:val="28"/>
          <w:lang w:val="zh-CN"/>
        </w:rPr>
        <w:t>询价响应文件的编写及装订</w:t>
      </w:r>
    </w:p>
    <w:p w14:paraId="7EC4B84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lang w:val="zh-CN"/>
        </w:rPr>
        <w:t>（一）询价响应文件应包括“</w:t>
      </w:r>
      <w:r>
        <w:rPr>
          <w:rFonts w:hint="eastAsia" w:ascii="宋体" w:hAnsi="宋体" w:cs="宋体"/>
          <w:sz w:val="24"/>
          <w:szCs w:val="28"/>
        </w:rPr>
        <w:t>A资格审查文件”、“B商务报价文件”和</w:t>
      </w:r>
      <w:r>
        <w:rPr>
          <w:rFonts w:ascii="宋体" w:hAnsi="宋体" w:cs="宋体"/>
          <w:sz w:val="24"/>
          <w:szCs w:val="28"/>
        </w:rPr>
        <w:t>”</w:t>
      </w:r>
      <w:r>
        <w:rPr>
          <w:rFonts w:hint="eastAsia" w:ascii="宋体" w:hAnsi="宋体" w:cs="宋体"/>
          <w:sz w:val="24"/>
          <w:szCs w:val="28"/>
        </w:rPr>
        <w:t>C电子响应文件</w:t>
      </w:r>
      <w:r>
        <w:rPr>
          <w:rFonts w:ascii="宋体" w:hAnsi="宋体" w:cs="宋体"/>
          <w:sz w:val="24"/>
          <w:szCs w:val="28"/>
        </w:rPr>
        <w:t>”</w:t>
      </w:r>
      <w:r>
        <w:rPr>
          <w:rFonts w:hint="eastAsia" w:ascii="宋体" w:hAnsi="宋体" w:cs="宋体"/>
          <w:sz w:val="24"/>
          <w:szCs w:val="28"/>
        </w:rPr>
        <w:t>，具体要求如下：</w:t>
      </w:r>
    </w:p>
    <w:p w14:paraId="19699A20">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A、资格审查文件</w:t>
      </w:r>
    </w:p>
    <w:p w14:paraId="10D0841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（1）提供营业执照复印件加盖公章；</w:t>
      </w:r>
    </w:p>
    <w:p w14:paraId="7C0C524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（2）符合本项目采购人资格要求的承诺函</w:t>
      </w:r>
      <w:r>
        <w:rPr>
          <w:rFonts w:hint="eastAsia" w:ascii="宋体" w:hAnsi="宋体" w:cs="宋体"/>
          <w:sz w:val="24"/>
          <w:szCs w:val="28"/>
          <w:lang w:val="zh-CN"/>
        </w:rPr>
        <w:t>（</w:t>
      </w:r>
      <w:r>
        <w:rPr>
          <w:rFonts w:hint="eastAsia" w:ascii="宋体" w:hAnsi="宋体" w:cs="宋体"/>
          <w:color w:val="000000"/>
          <w:sz w:val="24"/>
          <w:szCs w:val="28"/>
        </w:rPr>
        <w:t>格式参见附件</w:t>
      </w:r>
      <w:r>
        <w:rPr>
          <w:rFonts w:hint="eastAsia" w:ascii="宋体" w:hAnsi="宋体" w:cs="宋体"/>
          <w:sz w:val="24"/>
          <w:szCs w:val="28"/>
          <w:lang w:val="zh-CN"/>
        </w:rPr>
        <w:t>）；</w:t>
      </w:r>
    </w:p>
    <w:p w14:paraId="44A7281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3</w:t>
      </w:r>
      <w:r>
        <w:rPr>
          <w:rFonts w:hint="eastAsia" w:ascii="宋体" w:hAnsi="宋体" w:cs="宋体"/>
          <w:sz w:val="24"/>
          <w:szCs w:val="28"/>
          <w:lang w:val="zh-CN"/>
        </w:rPr>
        <w:t>）如法定代表人参加投标，则提供法定代表人身份证明书（格式见附件）；如授权委托人参加投标，则提供法定代表人授权委托书（格式见附件）；</w:t>
      </w:r>
    </w:p>
    <w:p w14:paraId="194D0D5D">
      <w:pPr>
        <w:spacing w:after="0" w:line="360" w:lineRule="auto"/>
        <w:ind w:firstLine="480" w:firstLineChars="200"/>
        <w:jc w:val="both"/>
        <w:rPr>
          <w:rFonts w:hint="eastAsia" w:ascii="宋体" w:hAnsi="宋体" w:cs="宋体"/>
          <w:color w:val="000000"/>
          <w:sz w:val="24"/>
          <w:szCs w:val="28"/>
          <w:lang w:val="zh-CN"/>
        </w:rPr>
      </w:pPr>
      <w:r>
        <w:rPr>
          <w:rFonts w:hint="eastAsia" w:ascii="宋体" w:hAnsi="宋体" w:cs="宋体"/>
          <w:sz w:val="24"/>
          <w:szCs w:val="28"/>
        </w:rPr>
        <w:t>（4）</w:t>
      </w:r>
      <w:r>
        <w:rPr>
          <w:rFonts w:hint="eastAsia" w:ascii="宋体" w:hAnsi="宋体" w:cs="宋体"/>
          <w:color w:val="000000"/>
          <w:sz w:val="24"/>
          <w:szCs w:val="28"/>
          <w:lang w:val="zh-CN"/>
        </w:rPr>
        <w:t>未被“信用中国”网站列入失信被执行人、重大税收违法案件当事人名单、采购严重失信行为记录名单，</w:t>
      </w:r>
      <w:r>
        <w:rPr>
          <w:rFonts w:hint="eastAsia" w:ascii="宋体" w:hAnsi="宋体" w:cs="宋体"/>
          <w:color w:val="000000"/>
          <w:sz w:val="24"/>
          <w:szCs w:val="28"/>
        </w:rPr>
        <w:t>并提供无重大违法记录声明（格式参见附件）</w:t>
      </w:r>
      <w:r>
        <w:rPr>
          <w:rFonts w:hint="eastAsia" w:ascii="宋体" w:hAnsi="宋体" w:cs="宋体"/>
          <w:color w:val="000000"/>
          <w:sz w:val="24"/>
          <w:szCs w:val="28"/>
          <w:lang w:val="zh-CN"/>
        </w:rPr>
        <w:t>；</w:t>
      </w:r>
    </w:p>
    <w:p w14:paraId="22F0FBF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对询价文件要求的商务条款和技术参数的响应情况</w:t>
      </w:r>
      <w:r>
        <w:rPr>
          <w:rFonts w:hint="eastAsia" w:ascii="宋体" w:hAnsi="宋体" w:cs="宋体"/>
          <w:sz w:val="24"/>
          <w:szCs w:val="28"/>
          <w:lang w:val="zh-CN"/>
        </w:rPr>
        <w:t>（格式参见附件）；</w:t>
      </w:r>
    </w:p>
    <w:p w14:paraId="203BF805">
      <w:pPr>
        <w:pStyle w:val="2"/>
        <w:spacing w:after="0" w:line="360" w:lineRule="auto"/>
        <w:ind w:firstLine="480" w:firstLineChars="200"/>
        <w:rPr>
          <w:sz w:val="24"/>
        </w:rPr>
      </w:pPr>
      <w:r>
        <w:rPr>
          <w:rFonts w:hint="eastAsia" w:ascii="宋体" w:hAnsi="宋体" w:cs="宋体"/>
          <w:sz w:val="24"/>
          <w:szCs w:val="28"/>
        </w:rPr>
        <w:t>（</w:t>
      </w:r>
      <w:r>
        <w:rPr>
          <w:rFonts w:hint="eastAsia" w:ascii="宋体" w:hAnsi="宋体" w:cs="宋体"/>
          <w:sz w:val="24"/>
          <w:szCs w:val="28"/>
          <w:lang w:val="en-US" w:eastAsia="zh-CN"/>
        </w:rPr>
        <w:t>6</w:t>
      </w:r>
      <w:r>
        <w:rPr>
          <w:rFonts w:hint="eastAsia" w:ascii="宋体" w:hAnsi="宋体" w:cs="宋体"/>
          <w:sz w:val="24"/>
          <w:szCs w:val="28"/>
        </w:rPr>
        <w:t>）询价文件中要求提供的其他材料。</w:t>
      </w:r>
    </w:p>
    <w:p w14:paraId="0D6DF1C4">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B、商务报价响应文件</w:t>
      </w:r>
    </w:p>
    <w:p w14:paraId="10ED353D">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s="宋体"/>
          <w:sz w:val="24"/>
          <w:szCs w:val="28"/>
          <w:lang w:val="zh-CN"/>
        </w:rPr>
      </w:pPr>
      <w:r>
        <w:rPr>
          <w:rFonts w:hint="eastAsia" w:ascii="宋体" w:hAnsi="宋体" w:cs="宋体"/>
          <w:sz w:val="24"/>
          <w:szCs w:val="28"/>
          <w:lang w:val="zh-CN"/>
        </w:rPr>
        <w:t>商务报价应包括询价文件所确定的全部范围及相应说明的全部内容，包含</w:t>
      </w:r>
      <w:r>
        <w:rPr>
          <w:rFonts w:hint="eastAsia" w:ascii="宋体" w:hAnsi="宋体" w:cs="宋体"/>
          <w:sz w:val="24"/>
        </w:rPr>
        <w:t>所有</w:t>
      </w:r>
      <w:r>
        <w:rPr>
          <w:rFonts w:hint="eastAsia" w:ascii="宋体" w:hAnsi="宋体" w:cs="宋体"/>
          <w:color w:val="000000"/>
          <w:sz w:val="24"/>
          <w:lang w:eastAsia="zh-CN"/>
        </w:rPr>
        <w:t xml:space="preserve">货物 </w:t>
      </w:r>
      <w:r>
        <w:rPr>
          <w:rFonts w:hint="eastAsia" w:ascii="宋体" w:hAnsi="宋体" w:cs="宋体"/>
          <w:color w:val="000000"/>
          <w:sz w:val="24"/>
        </w:rPr>
        <w:t>的</w:t>
      </w:r>
      <w:r>
        <w:rPr>
          <w:rFonts w:hint="eastAsia" w:ascii="宋体" w:hAnsi="宋体" w:cs="宋体"/>
          <w:color w:val="000000"/>
          <w:sz w:val="24"/>
          <w:lang w:val="zh-CN"/>
        </w:rPr>
        <w:t>货物成本、劳务费、管理费、材料费、设备费、机械费、包装费、运输费、装卸费（含上下力资费）、二次搬运费、安装费、成品保护费、服务费、售后服务费、检测试验费、利润和税金、质保期内的维护保养费</w:t>
      </w:r>
      <w:r>
        <w:rPr>
          <w:rFonts w:hint="eastAsia" w:ascii="宋体" w:hAnsi="宋体" w:cs="宋体"/>
          <w:color w:val="000000"/>
          <w:sz w:val="24"/>
        </w:rPr>
        <w:t>等工作所发生的全部费用以及企业利润、税金和政策性文件规定及合同包含的所有风险、责任等各项应有费用。即</w:t>
      </w:r>
      <w:r>
        <w:rPr>
          <w:rFonts w:hint="eastAsia" w:ascii="宋体" w:hAnsi="宋体" w:cs="宋体"/>
          <w:color w:val="000000"/>
          <w:sz w:val="24"/>
          <w:lang w:val="en-US" w:eastAsia="zh-CN"/>
        </w:rPr>
        <w:t>采购</w:t>
      </w:r>
      <w:r>
        <w:rPr>
          <w:rFonts w:hint="eastAsia" w:ascii="宋体" w:hAnsi="宋体" w:cs="宋体"/>
          <w:color w:val="000000"/>
          <w:sz w:val="24"/>
        </w:rPr>
        <w:t>项目交付使用前的所有费用以及交付时和交付使用后的免保期内的费用。</w:t>
      </w:r>
      <w:r>
        <w:rPr>
          <w:rFonts w:hint="eastAsia" w:ascii="宋体" w:hAnsi="宋体" w:cs="宋体"/>
          <w:sz w:val="24"/>
          <w:szCs w:val="28"/>
          <w:lang w:val="zh-CN"/>
        </w:rPr>
        <w:t>且该价格不因市场价格因素及政策性调整的变化而调整。</w:t>
      </w:r>
    </w:p>
    <w:p w14:paraId="64B23B7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报价总表</w:t>
      </w:r>
      <w:r>
        <w:rPr>
          <w:rFonts w:hint="eastAsia" w:ascii="宋体" w:hAnsi="宋体" w:cs="宋体"/>
          <w:sz w:val="24"/>
          <w:szCs w:val="28"/>
          <w:lang w:val="zh-CN"/>
        </w:rPr>
        <w:t>（格式参见附件）；</w:t>
      </w:r>
    </w:p>
    <w:p w14:paraId="3611046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分项报价</w:t>
      </w:r>
      <w:r>
        <w:rPr>
          <w:rFonts w:hint="eastAsia" w:ascii="宋体" w:hAnsi="宋体" w:cs="宋体"/>
          <w:sz w:val="24"/>
          <w:szCs w:val="28"/>
          <w:lang w:val="zh-CN"/>
        </w:rPr>
        <w:t>表（格式参见附件）；</w:t>
      </w:r>
    </w:p>
    <w:p w14:paraId="601E3F01">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w:t>
      </w:r>
      <w:r>
        <w:rPr>
          <w:rFonts w:hint="eastAsia" w:ascii="宋体" w:hAnsi="宋体" w:cs="宋体"/>
          <w:sz w:val="24"/>
          <w:szCs w:val="28"/>
        </w:rPr>
        <w:t>政府采购政策功能落实</w:t>
      </w:r>
      <w:r>
        <w:rPr>
          <w:rFonts w:hint="eastAsia" w:ascii="宋体" w:hAnsi="宋体" w:cs="宋体"/>
          <w:sz w:val="24"/>
          <w:szCs w:val="28"/>
          <w:lang w:val="zh-CN"/>
        </w:rPr>
        <w:t>（</w:t>
      </w:r>
      <w:r>
        <w:rPr>
          <w:rFonts w:hint="eastAsia" w:ascii="宋体" w:hAnsi="宋体" w:cs="宋体"/>
          <w:sz w:val="24"/>
          <w:szCs w:val="28"/>
        </w:rPr>
        <w:t>如有</w:t>
      </w:r>
      <w:r>
        <w:rPr>
          <w:rFonts w:hint="eastAsia" w:ascii="宋体" w:hAnsi="宋体" w:cs="宋体"/>
          <w:sz w:val="24"/>
          <w:szCs w:val="28"/>
          <w:lang w:val="zh-CN"/>
        </w:rPr>
        <w:t>）：</w:t>
      </w:r>
    </w:p>
    <w:p w14:paraId="4BCCEB5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3.1</w:t>
      </w:r>
      <w:r>
        <w:rPr>
          <w:rFonts w:hint="eastAsia" w:ascii="宋体" w:hAnsi="宋体" w:cs="宋体"/>
          <w:sz w:val="24"/>
          <w:szCs w:val="28"/>
          <w:lang w:val="zh-CN"/>
        </w:rPr>
        <w:t>小型、微型企业声明函（</w:t>
      </w:r>
      <w:r>
        <w:rPr>
          <w:rFonts w:hint="eastAsia" w:ascii="宋体" w:hAnsi="宋体" w:cs="宋体"/>
          <w:color w:val="000000"/>
          <w:sz w:val="24"/>
          <w:szCs w:val="28"/>
        </w:rPr>
        <w:t>格式参见附件</w:t>
      </w:r>
      <w:r>
        <w:rPr>
          <w:rFonts w:hint="eastAsia" w:ascii="宋体" w:hAnsi="宋体" w:cs="宋体"/>
          <w:sz w:val="24"/>
          <w:szCs w:val="28"/>
          <w:lang w:val="zh-CN"/>
        </w:rPr>
        <w:t>）；</w:t>
      </w:r>
    </w:p>
    <w:p w14:paraId="52407C8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3.2</w:t>
      </w:r>
      <w:r>
        <w:rPr>
          <w:rFonts w:hint="eastAsia" w:ascii="宋体" w:hAnsi="宋体" w:cs="宋体"/>
          <w:sz w:val="24"/>
          <w:szCs w:val="28"/>
          <w:lang w:val="zh-CN"/>
        </w:rPr>
        <w:t>残疾人福利性单位声明函（</w:t>
      </w:r>
      <w:r>
        <w:rPr>
          <w:rFonts w:hint="eastAsia" w:ascii="宋体" w:hAnsi="宋体" w:cs="宋体"/>
          <w:color w:val="000000"/>
          <w:sz w:val="24"/>
          <w:szCs w:val="28"/>
        </w:rPr>
        <w:t>格式参见附件</w:t>
      </w:r>
      <w:r>
        <w:rPr>
          <w:rFonts w:hint="eastAsia" w:ascii="宋体" w:hAnsi="宋体" w:cs="宋体"/>
          <w:sz w:val="24"/>
          <w:szCs w:val="28"/>
          <w:lang w:val="zh-CN"/>
        </w:rPr>
        <w:t>）；</w:t>
      </w:r>
    </w:p>
    <w:p w14:paraId="6EEBCA0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3.3</w:t>
      </w:r>
      <w:r>
        <w:rPr>
          <w:rFonts w:hint="eastAsia" w:ascii="宋体" w:hAnsi="宋体" w:cs="宋体"/>
          <w:sz w:val="24"/>
          <w:szCs w:val="28"/>
          <w:lang w:val="zh-CN"/>
        </w:rPr>
        <w:t>监狱和戒毒企业证明材料（</w:t>
      </w:r>
      <w:r>
        <w:rPr>
          <w:rFonts w:hint="eastAsia" w:ascii="宋体" w:hAnsi="宋体" w:cs="宋体"/>
          <w:color w:val="000000"/>
          <w:sz w:val="24"/>
          <w:szCs w:val="28"/>
        </w:rPr>
        <w:t>格式参见附件</w:t>
      </w:r>
      <w:r>
        <w:rPr>
          <w:rFonts w:hint="eastAsia" w:ascii="宋体" w:hAnsi="宋体" w:cs="宋体"/>
          <w:sz w:val="24"/>
          <w:szCs w:val="28"/>
          <w:lang w:val="zh-CN"/>
        </w:rPr>
        <w:t>）。</w:t>
      </w:r>
    </w:p>
    <w:p w14:paraId="0D1ED948">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▲C、电子响应文件</w:t>
      </w:r>
    </w:p>
    <w:p w14:paraId="29F388C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电子响应文件一份，电子响应文件的内容为资格审查文件、商务报价响应文件的打印盖章后的响应文件的扫描件（资格审查文件、价格文件需分别逐页连续扫描为两个独立的PDF文件，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4"/>
        </w:rPr>
        <w:t>采用U盘方式单独密封提交</w:t>
      </w:r>
      <w:r>
        <w:rPr>
          <w:rFonts w:hint="eastAsia" w:ascii="宋体" w:hAnsi="宋体" w:cs="宋体"/>
          <w:sz w:val="24"/>
          <w:szCs w:val="28"/>
          <w:lang w:val="zh-CN"/>
        </w:rPr>
        <w:t>。</w:t>
      </w:r>
    </w:p>
    <w:p w14:paraId="3186E41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（二）询价响应文件的编制及装订</w:t>
      </w:r>
    </w:p>
    <w:p w14:paraId="3346D4E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.纸质</w:t>
      </w:r>
      <w:r>
        <w:rPr>
          <w:rFonts w:hint="eastAsia" w:ascii="宋体" w:hAnsi="宋体" w:cs="宋体"/>
          <w:sz w:val="24"/>
          <w:szCs w:val="28"/>
          <w:lang w:val="zh-CN"/>
        </w:rPr>
        <w:t>询价响应文件由：①资格审查文件、②商务报价响应文件共两部分组成。</w:t>
      </w:r>
    </w:p>
    <w:p w14:paraId="1E1992C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供应商按询价文件要求编写响应文件，并牢固装订成册。询价响应文件均需采用A4纸（图纸等除外）装订成册。询价响应文件不得行间插字、涂改、增删，如修改错漏处，须经询价响应文件签署人签字并加盖公章。</w:t>
      </w:r>
    </w:p>
    <w:p w14:paraId="32D1B8E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.纸质</w:t>
      </w:r>
      <w:r>
        <w:rPr>
          <w:rFonts w:hint="eastAsia" w:ascii="宋体" w:hAnsi="宋体" w:cs="宋体"/>
          <w:sz w:val="24"/>
          <w:szCs w:val="28"/>
          <w:lang w:val="zh-CN"/>
        </w:rPr>
        <w:t>询价响应文件的 “资格审查文件”、 “商务报价响应文件”各自装订成册。特别提示：“商务报价响应文件”必须单独装订和封装，不得出现在“资格审查文件”中。</w:t>
      </w:r>
    </w:p>
    <w:p w14:paraId="660EF22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（三）询价响应文件的份数、签署</w:t>
      </w:r>
    </w:p>
    <w:p w14:paraId="3EF51EA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供应商应准备</w:t>
      </w:r>
      <w:r>
        <w:rPr>
          <w:rFonts w:hint="eastAsia" w:ascii="宋体" w:hAnsi="宋体" w:cs="宋体"/>
          <w:b/>
          <w:bCs/>
          <w:sz w:val="24"/>
          <w:szCs w:val="28"/>
          <w:u w:val="single"/>
          <w:lang w:val="zh-CN"/>
        </w:rPr>
        <w:t xml:space="preserve"> </w:t>
      </w:r>
      <w:r>
        <w:rPr>
          <w:rFonts w:hint="eastAsia" w:ascii="宋体" w:hAnsi="宋体" w:cs="宋体"/>
          <w:b/>
          <w:bCs/>
          <w:sz w:val="24"/>
          <w:szCs w:val="28"/>
          <w:u w:val="single"/>
        </w:rPr>
        <w:t>肆</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份完整的询价响应文件，其中正本</w:t>
      </w:r>
      <w:r>
        <w:rPr>
          <w:rFonts w:hint="eastAsia" w:ascii="宋体" w:hAnsi="宋体" w:cs="宋体"/>
          <w:b/>
          <w:bCs/>
          <w:sz w:val="24"/>
          <w:szCs w:val="28"/>
          <w:u w:val="single"/>
          <w:lang w:val="zh-CN"/>
        </w:rPr>
        <w:t xml:space="preserve"> 壹 </w:t>
      </w:r>
      <w:r>
        <w:rPr>
          <w:rFonts w:hint="eastAsia" w:ascii="宋体" w:hAnsi="宋体" w:cs="宋体"/>
          <w:sz w:val="24"/>
          <w:szCs w:val="28"/>
          <w:lang w:val="zh-CN"/>
        </w:rPr>
        <w:t xml:space="preserve">份，副本 </w:t>
      </w:r>
      <w:r>
        <w:rPr>
          <w:rFonts w:hint="eastAsia" w:ascii="宋体" w:hAnsi="宋体" w:cs="宋体"/>
          <w:b/>
          <w:bCs/>
          <w:sz w:val="24"/>
          <w:szCs w:val="28"/>
          <w:u w:val="single"/>
        </w:rPr>
        <w:t>叁</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份，并标明“正本”或“副本”字样，</w:t>
      </w:r>
      <w:r>
        <w:rPr>
          <w:rFonts w:hint="eastAsia" w:ascii="宋体" w:hAnsi="宋体" w:cs="宋体"/>
          <w:sz w:val="24"/>
          <w:szCs w:val="28"/>
        </w:rPr>
        <w:t>响应文件</w:t>
      </w:r>
      <w:r>
        <w:rPr>
          <w:rFonts w:hint="eastAsia" w:ascii="宋体" w:hAnsi="宋体" w:cs="宋体"/>
          <w:sz w:val="24"/>
          <w:szCs w:val="28"/>
          <w:lang w:val="zh-CN"/>
        </w:rPr>
        <w:t>封面明确标注响应供应商全称、项目名称、日期</w:t>
      </w:r>
      <w:r>
        <w:rPr>
          <w:rFonts w:hint="eastAsia" w:ascii="宋体" w:hAnsi="宋体" w:cs="宋体"/>
          <w:sz w:val="24"/>
          <w:szCs w:val="28"/>
        </w:rPr>
        <w:t>等关键信息</w:t>
      </w:r>
      <w:r>
        <w:rPr>
          <w:rFonts w:hint="eastAsia" w:ascii="宋体" w:hAnsi="宋体" w:cs="宋体"/>
          <w:sz w:val="24"/>
          <w:szCs w:val="28"/>
          <w:lang w:val="zh-CN"/>
        </w:rPr>
        <w:t>。</w:t>
      </w:r>
    </w:p>
    <w:p w14:paraId="3C7D7D09">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“资格审查文件”、“商务报价响应文件”应分别密封，并在封袋上标明“资格审查文件”、“商务报价响应文件”以及项目名称。</w:t>
      </w:r>
    </w:p>
    <w:p w14:paraId="42DE30F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询价响应文件正本须按询价文件要求由法定代表人或被授权人签字或盖章并加盖单位印章。副本可复印，但须加盖单位印章。</w:t>
      </w:r>
    </w:p>
    <w:p w14:paraId="57E13A58">
      <w:pPr>
        <w:spacing w:after="0" w:line="360" w:lineRule="auto"/>
        <w:ind w:firstLine="482" w:firstLineChars="200"/>
        <w:jc w:val="both"/>
        <w:rPr>
          <w:rFonts w:hint="eastAsia" w:ascii="宋体" w:hAnsi="宋体" w:cs="宋体"/>
          <w:sz w:val="24"/>
          <w:szCs w:val="28"/>
          <w:lang w:val="zh-CN"/>
        </w:rPr>
      </w:pPr>
      <w:r>
        <w:rPr>
          <w:rFonts w:hint="eastAsia" w:ascii="宋体" w:hAnsi="宋体" w:cs="宋体"/>
          <w:b/>
          <w:sz w:val="24"/>
          <w:szCs w:val="28"/>
        </w:rPr>
        <w:t>凡是响应文件中涉及响应供应商资信认证、人员证书、业绩荣誉等复印件，和要求法定代表人或授权委托人签字，和以供应商名称落款并注明需要盖章的，均需相应盖章（鲜章）或签字。否则视为未按照采购文件要求盖章或签字。</w:t>
      </w:r>
    </w:p>
    <w:p w14:paraId="3F7C895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▲本项目要求提供电子响应文件一份，电子响应文件的内容为资格审查文件、商务报价响应文件打印盖章后的响应文件的扫描件（资格审查文件、商务报价响应文件需分别逐页连续扫描为</w:t>
      </w:r>
      <w:r>
        <w:rPr>
          <w:rFonts w:hint="eastAsia" w:ascii="宋体" w:hAnsi="宋体" w:cs="宋体"/>
          <w:sz w:val="24"/>
          <w:szCs w:val="28"/>
        </w:rPr>
        <w:t>两</w:t>
      </w:r>
      <w:r>
        <w:rPr>
          <w:rFonts w:hint="eastAsia" w:ascii="宋体" w:hAnsi="宋体" w:cs="宋体"/>
          <w:sz w:val="24"/>
          <w:szCs w:val="28"/>
          <w:lang w:val="zh-CN"/>
        </w:rPr>
        <w:t>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8"/>
        </w:rPr>
        <w:t>可以采取</w:t>
      </w:r>
      <w:r>
        <w:rPr>
          <w:rFonts w:hint="eastAsia" w:ascii="宋体" w:hAnsi="宋体" w:cs="宋体"/>
          <w:sz w:val="24"/>
          <w:szCs w:val="28"/>
          <w:lang w:val="zh-CN"/>
        </w:rPr>
        <w:t>U盘</w:t>
      </w:r>
      <w:r>
        <w:rPr>
          <w:rFonts w:hint="eastAsia" w:ascii="宋体" w:hAnsi="宋体" w:cs="宋体"/>
          <w:sz w:val="24"/>
          <w:szCs w:val="28"/>
        </w:rPr>
        <w:t>方式</w:t>
      </w:r>
      <w:r>
        <w:rPr>
          <w:rFonts w:hint="eastAsia" w:ascii="宋体" w:hAnsi="宋体" w:cs="宋体"/>
          <w:sz w:val="24"/>
          <w:szCs w:val="28"/>
          <w:lang w:val="zh-CN"/>
        </w:rPr>
        <w:t>提交，需单独密封提交。</w:t>
      </w:r>
    </w:p>
    <w:p w14:paraId="76F95E3F">
      <w:pPr>
        <w:pStyle w:val="2"/>
        <w:spacing w:after="0" w:line="360" w:lineRule="auto"/>
        <w:ind w:firstLine="482" w:firstLineChars="200"/>
        <w:rPr>
          <w:sz w:val="24"/>
          <w:u w:val="double"/>
          <w:lang w:val="zh-CN"/>
        </w:rPr>
      </w:pPr>
      <w:r>
        <w:rPr>
          <w:rFonts w:hint="eastAsia" w:ascii="宋体" w:hAnsi="宋体" w:cs="宋体"/>
          <w:b/>
          <w:bCs/>
          <w:kern w:val="2"/>
          <w:sz w:val="24"/>
          <w:szCs w:val="24"/>
          <w:u w:val="double"/>
        </w:rPr>
        <w:t>特别提醒：未提供电子询价文件的，则视为无效投标。</w:t>
      </w:r>
    </w:p>
    <w:p w14:paraId="423D2575">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（四）询价响应文件的密封及标记</w:t>
      </w:r>
    </w:p>
    <w:p w14:paraId="12AD62E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密封后应标明响应文件项目名称、供应商名称，边缝处加盖单位骑缝章或骑缝签字。</w:t>
      </w:r>
    </w:p>
    <w:p w14:paraId="001E3913">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七、</w:t>
      </w:r>
      <w:r>
        <w:rPr>
          <w:rFonts w:hint="eastAsia" w:ascii="宋体" w:hAnsi="宋体" w:cs="宋体"/>
          <w:b/>
          <w:bCs/>
          <w:sz w:val="24"/>
          <w:szCs w:val="28"/>
          <w:lang w:val="zh-CN"/>
        </w:rPr>
        <w:t>出现下列情形之一的，作无效投标处理：</w:t>
      </w:r>
    </w:p>
    <w:p w14:paraId="1E00BEA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1.</w:t>
      </w:r>
      <w:r>
        <w:rPr>
          <w:rFonts w:hint="eastAsia" w:ascii="宋体" w:hAnsi="宋体" w:cs="宋体"/>
          <w:sz w:val="24"/>
          <w:szCs w:val="28"/>
          <w:lang w:val="zh-CN"/>
        </w:rPr>
        <w:t>投标文件未按询价文件要求签署、盖章的；</w:t>
      </w:r>
    </w:p>
    <w:p w14:paraId="68E1E5C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2.</w:t>
      </w:r>
      <w:r>
        <w:rPr>
          <w:rFonts w:hint="eastAsia" w:ascii="宋体" w:hAnsi="宋体" w:cs="宋体"/>
          <w:sz w:val="24"/>
          <w:szCs w:val="28"/>
          <w:lang w:val="zh-CN"/>
        </w:rPr>
        <w:t>不具备询价文件中规定的资格要求的；</w:t>
      </w:r>
    </w:p>
    <w:p w14:paraId="41CB115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报价超过询价文件中规定的预算金额或者最高限价的；</w:t>
      </w:r>
    </w:p>
    <w:p w14:paraId="54F7047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询价响应文件资格审查文件部分出现商务报价的内容；</w:t>
      </w:r>
    </w:p>
    <w:p w14:paraId="1FFF603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6</w:t>
      </w:r>
      <w:r>
        <w:rPr>
          <w:rFonts w:hint="eastAsia" w:ascii="宋体" w:hAnsi="宋体" w:cs="宋体"/>
          <w:sz w:val="24"/>
          <w:szCs w:val="28"/>
        </w:rPr>
        <w:t>.</w:t>
      </w:r>
      <w:r>
        <w:rPr>
          <w:rFonts w:hint="eastAsia" w:ascii="宋体" w:hAnsi="宋体" w:cs="宋体"/>
          <w:sz w:val="24"/>
          <w:szCs w:val="28"/>
          <w:lang w:val="zh-CN"/>
        </w:rPr>
        <w:t>投标文件含有采购人不能接受的附加条件的；</w:t>
      </w:r>
    </w:p>
    <w:p w14:paraId="29FECD76">
      <w:pPr>
        <w:spacing w:after="0" w:line="360" w:lineRule="auto"/>
        <w:ind w:firstLine="482" w:firstLineChars="200"/>
        <w:jc w:val="both"/>
        <w:rPr>
          <w:rFonts w:hint="eastAsia" w:ascii="宋体" w:hAnsi="宋体" w:cs="宋体"/>
          <w:b/>
          <w:bCs/>
          <w:sz w:val="24"/>
          <w:szCs w:val="28"/>
        </w:rPr>
      </w:pPr>
      <w:r>
        <w:rPr>
          <w:rFonts w:hint="eastAsia" w:ascii="宋体" w:hAnsi="宋体" w:cs="宋体"/>
          <w:b/>
          <w:bCs/>
          <w:sz w:val="24"/>
          <w:szCs w:val="28"/>
        </w:rPr>
        <w:t>7.未提供电子档询价文件；</w:t>
      </w:r>
    </w:p>
    <w:p w14:paraId="4E7DE08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8.</w:t>
      </w:r>
      <w:r>
        <w:rPr>
          <w:rFonts w:hint="eastAsia" w:ascii="宋体" w:hAnsi="宋体" w:cs="宋体"/>
          <w:sz w:val="24"/>
          <w:szCs w:val="28"/>
          <w:lang w:val="zh-CN"/>
        </w:rPr>
        <w:t>法律、法规和询价文件规定的其他无效情形。</w:t>
      </w:r>
    </w:p>
    <w:p w14:paraId="00C8D0F4">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八</w:t>
      </w:r>
      <w:r>
        <w:rPr>
          <w:rFonts w:hint="eastAsia" w:ascii="宋体" w:hAnsi="宋体" w:cs="宋体"/>
          <w:b/>
          <w:bCs/>
          <w:sz w:val="24"/>
          <w:szCs w:val="28"/>
          <w:lang w:val="zh-CN"/>
        </w:rPr>
        <w:t>、有下列情形之一的，视为响应供应商串通投标，其投标无效：</w:t>
      </w:r>
    </w:p>
    <w:p w14:paraId="5E72E85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不同响应供应商的投标文件由同一单位或者个人编制；</w:t>
      </w:r>
    </w:p>
    <w:p w14:paraId="655EE9E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不同响应供应商委托同一单位或者个人办理投标事宜；</w:t>
      </w:r>
    </w:p>
    <w:p w14:paraId="116BF32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不同响应供应商的投标文件载明的项目管理成员或者联系人员为同一人；</w:t>
      </w:r>
    </w:p>
    <w:p w14:paraId="65ACA73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不同响应供应商的投标文件异常一致或者投标报价呈规律性差异；</w:t>
      </w:r>
    </w:p>
    <w:p w14:paraId="14B9883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不同响应供应商的投标文件相互混装。</w:t>
      </w:r>
    </w:p>
    <w:p w14:paraId="5993A3CA">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九</w:t>
      </w:r>
      <w:r>
        <w:rPr>
          <w:rFonts w:hint="eastAsia" w:ascii="宋体" w:hAnsi="宋体" w:cs="宋体"/>
          <w:b/>
          <w:bCs/>
          <w:sz w:val="24"/>
          <w:szCs w:val="28"/>
          <w:lang w:val="zh-CN"/>
        </w:rPr>
        <w:t>、变更为其他方式采购的情形处理</w:t>
      </w:r>
    </w:p>
    <w:p w14:paraId="289CBCE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投标截止后供应商不足3家或者通过资格审查或符合性审查的供应商不足3家的，除采购任务取消情形外，按照以下方式处理：</w:t>
      </w:r>
    </w:p>
    <w:p w14:paraId="13373978">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询价文件存在不合理条款或者招标程序不符合规定的，采购人、采购代理机构改正后依法重新</w:t>
      </w:r>
      <w:r>
        <w:rPr>
          <w:rFonts w:hint="eastAsia" w:ascii="宋体" w:hAnsi="宋体" w:cs="宋体"/>
          <w:sz w:val="24"/>
          <w:szCs w:val="28"/>
        </w:rPr>
        <w:t>采购</w:t>
      </w:r>
      <w:r>
        <w:rPr>
          <w:rFonts w:hint="eastAsia" w:ascii="宋体" w:hAnsi="宋体" w:cs="宋体"/>
          <w:sz w:val="24"/>
          <w:szCs w:val="28"/>
          <w:lang w:val="zh-CN"/>
        </w:rPr>
        <w:t>；</w:t>
      </w:r>
    </w:p>
    <w:p w14:paraId="3DB4F86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询价文件没有不合理条款、</w:t>
      </w:r>
      <w:r>
        <w:rPr>
          <w:rFonts w:hint="eastAsia" w:ascii="宋体" w:hAnsi="宋体" w:cs="宋体"/>
          <w:sz w:val="24"/>
          <w:szCs w:val="28"/>
        </w:rPr>
        <w:t>采购</w:t>
      </w:r>
      <w:r>
        <w:rPr>
          <w:rFonts w:hint="eastAsia" w:ascii="宋体" w:hAnsi="宋体" w:cs="宋体"/>
          <w:sz w:val="24"/>
          <w:szCs w:val="28"/>
          <w:lang w:val="zh-CN"/>
        </w:rPr>
        <w:t>程序符合规定，需要采用其他采购人式采购的，采购人应当</w:t>
      </w:r>
      <w:r>
        <w:rPr>
          <w:rFonts w:hint="eastAsia" w:ascii="宋体" w:hAnsi="宋体" w:cs="宋体"/>
          <w:sz w:val="24"/>
          <w:szCs w:val="28"/>
        </w:rPr>
        <w:t>报相关</w:t>
      </w:r>
      <w:r>
        <w:rPr>
          <w:rFonts w:hint="eastAsia" w:ascii="宋体" w:hAnsi="宋体" w:cs="宋体"/>
          <w:sz w:val="24"/>
          <w:szCs w:val="28"/>
          <w:lang w:val="zh-CN"/>
        </w:rPr>
        <w:t>部门批准。</w:t>
      </w:r>
    </w:p>
    <w:p w14:paraId="1010A0C1">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十</w:t>
      </w:r>
      <w:r>
        <w:rPr>
          <w:rFonts w:hint="eastAsia" w:ascii="宋体" w:hAnsi="宋体" w:cs="宋体"/>
          <w:b/>
          <w:bCs/>
          <w:sz w:val="24"/>
          <w:szCs w:val="28"/>
          <w:lang w:val="zh-CN"/>
        </w:rPr>
        <w:t>、出现下列情形之一的，作废标处理：</w:t>
      </w:r>
    </w:p>
    <w:p w14:paraId="23BEFE7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出现影响采购公正的违法违规行为的；</w:t>
      </w:r>
    </w:p>
    <w:p w14:paraId="4CF57B8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所有响应供应商报价超出采购控制价的；</w:t>
      </w:r>
    </w:p>
    <w:p w14:paraId="3703772A">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因重大变故，采购任务被取消的；</w:t>
      </w:r>
    </w:p>
    <w:p w14:paraId="511DB0E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询价小组依据法律法规可以认定为废标的其他情况。</w:t>
      </w:r>
    </w:p>
    <w:p w14:paraId="294F9C9F">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十一</w:t>
      </w:r>
      <w:r>
        <w:rPr>
          <w:rFonts w:hint="eastAsia" w:ascii="宋体" w:hAnsi="宋体" w:cs="宋体"/>
          <w:b/>
          <w:bCs/>
          <w:sz w:val="24"/>
          <w:szCs w:val="28"/>
          <w:lang w:val="zh-CN"/>
        </w:rPr>
        <w:t>、成交通知</w:t>
      </w:r>
    </w:p>
    <w:p w14:paraId="049937B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采购人自成交人确定之日起2个工作日内在</w:t>
      </w:r>
      <w:r>
        <w:rPr>
          <w:rFonts w:hint="eastAsia" w:ascii="宋体" w:hAnsi="宋体" w:cs="宋体"/>
          <w:sz w:val="24"/>
          <w:szCs w:val="28"/>
        </w:rPr>
        <w:t>江苏商贸职业学院网站</w:t>
      </w:r>
      <w:r>
        <w:rPr>
          <w:rFonts w:hint="eastAsia" w:ascii="宋体" w:hAnsi="宋体" w:cs="宋体"/>
          <w:sz w:val="24"/>
          <w:szCs w:val="28"/>
          <w:lang w:val="zh-CN"/>
        </w:rPr>
        <w:t>上公告成交结果。</w:t>
      </w:r>
    </w:p>
    <w:p w14:paraId="791A31E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成交公告期限为1个工作日，期限结束后向成交人发出《成交通知书》。</w:t>
      </w:r>
    </w:p>
    <w:p w14:paraId="792EEA1E">
      <w:pPr>
        <w:spacing w:after="0" w:line="360" w:lineRule="auto"/>
        <w:ind w:firstLine="480" w:firstLineChars="200"/>
        <w:jc w:val="both"/>
        <w:rPr>
          <w:rFonts w:hint="eastAsia" w:ascii="宋体" w:hAnsi="宋体" w:cs="宋体"/>
          <w:b/>
          <w:bCs/>
          <w:sz w:val="24"/>
          <w:szCs w:val="28"/>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《成交通知书》一经发出，即具有法律效力。采购人、成交人依法承担法律责任。</w:t>
      </w:r>
    </w:p>
    <w:p w14:paraId="66C7E9E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4.当成交供应商无正当理由放弃成交，被查实存在影响成交结果的违法行为等情形，采购人有权按照相关法律法规的规定对其采取惩戒措施，包含但不限于列入采购失信人黑名单等措施。</w:t>
      </w:r>
    </w:p>
    <w:p w14:paraId="3D0EA2CE">
      <w:pPr>
        <w:spacing w:after="0" w:line="360" w:lineRule="auto"/>
        <w:ind w:firstLine="480" w:firstLineChars="200"/>
        <w:rPr>
          <w:rFonts w:hint="eastAsia" w:ascii="宋体" w:hAnsi="宋体" w:cs="宋体"/>
          <w:sz w:val="24"/>
          <w:szCs w:val="28"/>
        </w:rPr>
      </w:pPr>
      <w:r>
        <w:rPr>
          <w:rFonts w:hint="eastAsia" w:ascii="宋体" w:hAnsi="宋体" w:cs="宋体"/>
          <w:sz w:val="24"/>
          <w:szCs w:val="28"/>
        </w:rPr>
        <w:t>5.当成交供应商放弃成交、因不可抗力不能履行合同，或者被查实存在影响成交结果的违法行为等情形，不符合成交条件的，采购人可以按照询价小组提出的成交候选人名单排序依次确定其他成交候选人为成交人，也可以重新采购。</w:t>
      </w:r>
    </w:p>
    <w:p w14:paraId="2352B5C7">
      <w:pPr>
        <w:pStyle w:val="16"/>
        <w:spacing w:after="0" w:line="360" w:lineRule="auto"/>
        <w:ind w:left="0" w:leftChars="0" w:firstLine="482" w:firstLineChars="200"/>
        <w:rPr>
          <w:rFonts w:hint="eastAsia" w:ascii="宋体" w:hAnsi="宋体" w:cs="宋体"/>
          <w:b/>
          <w:bCs/>
          <w:sz w:val="24"/>
          <w:szCs w:val="24"/>
        </w:rPr>
      </w:pPr>
      <w:r>
        <w:rPr>
          <w:rFonts w:hint="eastAsia" w:ascii="宋体" w:hAnsi="宋体" w:cs="宋体"/>
          <w:b/>
          <w:bCs/>
          <w:sz w:val="24"/>
          <w:szCs w:val="24"/>
        </w:rPr>
        <w:t>十二、授予合同</w:t>
      </w:r>
    </w:p>
    <w:p w14:paraId="6B9FE4E6">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1.签订合同</w:t>
      </w:r>
    </w:p>
    <w:p w14:paraId="1CF88665">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 xml:space="preserve">1.l成交人在《成交通知书》发出30日内必须按照采购文件确定的事项签订采购合同。采购人不得向成交人提出不合理的要求作为签订合同的条件，不得与成交人私下订立背离采购文件实质性内容的协议。  </w:t>
      </w:r>
    </w:p>
    <w:p w14:paraId="469A8265">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1.2采购人按合同约定积极配合成交人履约，成交人履约到位后，请以书面形式向采购人提出验收申请，采购人接到申请后原则上在5个工作日内及时组织相关专业技术人员，必要时邀请质检等部门共同参与验收，并出具验收报告。验收合格后，采购人凭收到货物或服务的验收凭证、验收合格文件等材料，且收到成交人提供发票的原则上15个工作日内支付相应款项。</w:t>
      </w:r>
    </w:p>
    <w:p w14:paraId="0070642D">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1.3采购人故意推迟项目验收时间的，与成交人串通或要求成交人降低服务标准的，在履行合同中采取更改条款、弄虚作假等手段的，要求成交人出具虚假发票或任意更改销售发票的，谋取不正当利益的，承担相应的法律责任。</w:t>
      </w:r>
    </w:p>
    <w:p w14:paraId="5A5EEA26">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1.4成交人出现违约情形，应当及时纠正或补偿；造成损失的，按合同约定追究违约责任；发现有假冒、伪劣、走私</w:t>
      </w:r>
      <w:r>
        <w:rPr>
          <w:rFonts w:hint="eastAsia" w:ascii="宋体" w:hAnsi="宋体" w:cs="宋体"/>
          <w:sz w:val="24"/>
          <w:lang w:eastAsia="zh-CN"/>
        </w:rPr>
        <w:t xml:space="preserve">货物 </w:t>
      </w:r>
      <w:r>
        <w:rPr>
          <w:rFonts w:hint="eastAsia" w:ascii="宋体" w:hAnsi="宋体" w:cs="宋体"/>
          <w:sz w:val="24"/>
        </w:rPr>
        <w:t>、商业贿赂等违法情形的，应由采购人移交工商、质监、公安等行政执法部门依法查处。</w:t>
      </w:r>
    </w:p>
    <w:p w14:paraId="2F0B3D8A">
      <w:pPr>
        <w:spacing w:after="0" w:line="360" w:lineRule="auto"/>
        <w:ind w:firstLine="484" w:firstLineChars="202"/>
        <w:rPr>
          <w:rFonts w:hint="eastAsia" w:ascii="宋体" w:hAnsi="宋体" w:cs="宋体"/>
          <w:sz w:val="24"/>
        </w:rPr>
      </w:pPr>
      <w:r>
        <w:rPr>
          <w:rFonts w:hint="eastAsia" w:ascii="宋体" w:hAnsi="宋体" w:cs="宋体"/>
          <w:sz w:val="24"/>
        </w:rPr>
        <w:t xml:space="preserve">1.5按采购合同约定支付的货款进行支付。 </w:t>
      </w:r>
    </w:p>
    <w:p w14:paraId="2DB7FC9F">
      <w:pPr>
        <w:spacing w:after="0" w:line="360" w:lineRule="auto"/>
        <w:ind w:firstLine="482" w:firstLineChars="200"/>
        <w:outlineLvl w:val="0"/>
        <w:rPr>
          <w:rFonts w:hint="eastAsia" w:ascii="宋体" w:hAnsi="宋体" w:cs="宋体"/>
          <w:b/>
          <w:sz w:val="24"/>
        </w:rPr>
      </w:pPr>
      <w:r>
        <w:rPr>
          <w:rFonts w:hint="eastAsia" w:ascii="宋体" w:hAnsi="宋体" w:cs="宋体"/>
          <w:b/>
          <w:bCs/>
          <w:sz w:val="24"/>
        </w:rPr>
        <w:t xml:space="preserve"> 十三、</w:t>
      </w:r>
      <w:r>
        <w:rPr>
          <w:rFonts w:hint="eastAsia" w:ascii="宋体" w:hAnsi="宋体" w:cs="宋体"/>
          <w:b/>
          <w:sz w:val="24"/>
        </w:rPr>
        <w:t>其他</w:t>
      </w:r>
    </w:p>
    <w:p w14:paraId="04A3B97F">
      <w:pPr>
        <w:spacing w:after="0" w:line="360" w:lineRule="auto"/>
        <w:ind w:firstLine="480" w:firstLineChars="200"/>
        <w:contextualSpacing/>
        <w:rPr>
          <w:rFonts w:hint="eastAsia" w:ascii="宋体" w:hAnsi="宋体" w:cs="宋体"/>
          <w:b/>
          <w:sz w:val="24"/>
        </w:rPr>
      </w:pPr>
      <w:r>
        <w:rPr>
          <w:rFonts w:hint="eastAsia" w:ascii="宋体" w:hAnsi="宋体" w:cs="宋体"/>
          <w:sz w:val="24"/>
        </w:rPr>
        <w:t>1.供应服务商下载询价文件后，应仔细检查询价文件的所有内容，如有内容或页码残缺、资格要求和技术参数含有倾向性或排他性等表述的，</w:t>
      </w:r>
      <w:r>
        <w:rPr>
          <w:rFonts w:hint="eastAsia" w:ascii="宋体" w:hAnsi="宋体" w:cs="宋体"/>
          <w:b/>
          <w:sz w:val="24"/>
        </w:rPr>
        <w:t>请在</w:t>
      </w:r>
      <w:r>
        <w:rPr>
          <w:rFonts w:hint="eastAsia" w:ascii="宋体" w:hAnsi="宋体" w:cs="宋体"/>
          <w:b/>
          <w:bCs/>
          <w:sz w:val="24"/>
        </w:rPr>
        <w:t>询价文件发布后2日内</w:t>
      </w:r>
      <w:r>
        <w:rPr>
          <w:rFonts w:hint="eastAsia" w:ascii="宋体" w:hAnsi="宋体" w:cs="宋体"/>
          <w:b/>
          <w:sz w:val="24"/>
        </w:rPr>
        <w:t>，以书面形式提出询问或疑问，</w:t>
      </w:r>
      <w:r>
        <w:rPr>
          <w:rFonts w:hint="eastAsia" w:ascii="宋体" w:hAnsi="宋体" w:cs="宋体"/>
          <w:sz w:val="24"/>
        </w:rPr>
        <w:t>未在规定时间内提出询问或疑问的，视同供应商理解并接受本询价文件所有内容，并由此引起的损失自负。供应商不得在响应结束后针对询价文件所有内容提出质疑事项。</w:t>
      </w:r>
      <w:r>
        <w:rPr>
          <w:rFonts w:hint="eastAsia" w:ascii="宋体" w:hAnsi="宋体" w:cs="宋体"/>
          <w:b/>
          <w:sz w:val="24"/>
        </w:rPr>
        <w:t>非书面形式的不作为日后质疑提出的依据。</w:t>
      </w:r>
    </w:p>
    <w:p w14:paraId="0B9D5A83">
      <w:pPr>
        <w:spacing w:after="0" w:line="360" w:lineRule="auto"/>
        <w:ind w:firstLine="480" w:firstLineChars="200"/>
        <w:rPr>
          <w:rFonts w:hint="eastAsia" w:ascii="宋体" w:hAnsi="宋体" w:cs="宋体"/>
          <w:sz w:val="24"/>
        </w:rPr>
      </w:pPr>
      <w:r>
        <w:rPr>
          <w:rFonts w:hint="eastAsia" w:ascii="宋体" w:hAnsi="宋体" w:cs="宋体"/>
          <w:sz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14:paraId="1C4926B1">
      <w:pPr>
        <w:spacing w:after="0" w:line="360" w:lineRule="auto"/>
        <w:ind w:firstLine="480" w:firstLineChars="200"/>
        <w:rPr>
          <w:rFonts w:hint="eastAsia" w:ascii="宋体" w:hAnsi="宋体" w:cs="宋体"/>
          <w:sz w:val="24"/>
        </w:rPr>
      </w:pPr>
      <w:r>
        <w:rPr>
          <w:rFonts w:hint="eastAsia" w:ascii="宋体" w:hAnsi="宋体" w:cs="宋体"/>
          <w:sz w:val="24"/>
        </w:rPr>
        <w:t>3.采购单位可以对已发出的询价文件进行必要的澄清或者修改，澄清或者修改的内容作为询价文件的组成部分。澄清或者修改的内容可能影响响应文件编制的，采购单位应当在提交首次响应文件截止之日3个日前，以网上发布形式通知所有接收询价文件的供应服务商，且以在</w:t>
      </w:r>
      <w:r>
        <w:rPr>
          <w:rFonts w:hint="eastAsia" w:ascii="宋体"/>
          <w:sz w:val="24"/>
        </w:rPr>
        <w:t>“江苏商贸职业学院校园网（</w:t>
      </w:r>
      <w:r>
        <w:rPr>
          <w:rFonts w:ascii="宋体"/>
          <w:sz w:val="24"/>
        </w:rPr>
        <w:t>http://www.jsbc.edu.cn/</w:t>
      </w:r>
      <w:r>
        <w:rPr>
          <w:rFonts w:hint="eastAsia" w:ascii="宋体"/>
          <w:sz w:val="24"/>
        </w:rPr>
        <w:t>）</w:t>
      </w:r>
      <w:r>
        <w:rPr>
          <w:rFonts w:hint="eastAsia" w:ascii="宋体" w:hAnsi="宋体" w:cs="宋体"/>
          <w:sz w:val="24"/>
        </w:rPr>
        <w:t xml:space="preserve">发布的信息为准，不足3日的，应当顺延提交首次响应文件截止之日。 </w:t>
      </w:r>
    </w:p>
    <w:p w14:paraId="6457B658">
      <w:pPr>
        <w:spacing w:after="0" w:line="360" w:lineRule="auto"/>
        <w:ind w:firstLine="480" w:firstLineChars="200"/>
        <w:rPr>
          <w:rFonts w:hint="eastAsia" w:ascii="宋体" w:hAnsi="宋体" w:cs="宋体"/>
          <w:sz w:val="24"/>
        </w:rPr>
      </w:pPr>
      <w:r>
        <w:rPr>
          <w:rFonts w:hint="eastAsia" w:ascii="宋体" w:hAnsi="宋体" w:cs="宋体"/>
          <w:sz w:val="24"/>
        </w:rPr>
        <w:t>4.供应商由于对文件的任何推论和误解以及采购单位、采购单位对有关问题的口头解释所造成的后果，均由供应商自负。</w:t>
      </w:r>
    </w:p>
    <w:p w14:paraId="0F79175F">
      <w:pPr>
        <w:spacing w:after="0" w:line="360" w:lineRule="auto"/>
        <w:ind w:firstLine="480" w:firstLineChars="200"/>
        <w:outlineLvl w:val="1"/>
        <w:rPr>
          <w:rFonts w:hint="eastAsia" w:ascii="宋体" w:hAnsi="宋体" w:cs="宋体"/>
          <w:sz w:val="24"/>
        </w:rPr>
      </w:pPr>
      <w:r>
        <w:rPr>
          <w:rFonts w:hint="eastAsia" w:ascii="宋体" w:hAnsi="宋体" w:cs="宋体"/>
          <w:sz w:val="24"/>
        </w:rPr>
        <w:t>5.采购单位可视情组织答疑会。如有答疑且对询价文件内容有修改，采购人将按照本须知有关规定，以补充通知（公告）的方式发出。</w:t>
      </w:r>
    </w:p>
    <w:p w14:paraId="0A360D08">
      <w:pPr>
        <w:spacing w:after="0" w:line="360" w:lineRule="auto"/>
        <w:ind w:firstLine="482" w:firstLineChars="200"/>
        <w:outlineLvl w:val="1"/>
        <w:rPr>
          <w:rFonts w:hint="eastAsia" w:ascii="宋体" w:hAnsi="宋体" w:cs="宋体"/>
          <w:b/>
          <w:bCs/>
          <w:sz w:val="24"/>
        </w:rPr>
      </w:pPr>
      <w:r>
        <w:rPr>
          <w:rFonts w:hint="eastAsia" w:ascii="宋体" w:hAnsi="宋体" w:cs="宋体"/>
          <w:b/>
          <w:bCs/>
          <w:sz w:val="24"/>
        </w:rPr>
        <w:t>十四、未尽事宜</w:t>
      </w:r>
    </w:p>
    <w:p w14:paraId="6ABCBDC4">
      <w:pPr>
        <w:pStyle w:val="15"/>
        <w:tabs>
          <w:tab w:val="left" w:pos="1050"/>
          <w:tab w:val="right" w:leader="dot" w:pos="9402"/>
        </w:tabs>
        <w:spacing w:line="360" w:lineRule="auto"/>
        <w:jc w:val="both"/>
        <w:outlineLvl w:val="0"/>
        <w:rPr>
          <w:rFonts w:hint="eastAsia" w:ascii="宋体" w:hAnsi="宋体" w:cs="宋体"/>
          <w:b/>
          <w:bCs/>
          <w:i w:val="0"/>
          <w:iCs/>
          <w:sz w:val="24"/>
          <w:szCs w:val="28"/>
        </w:rPr>
      </w:pPr>
      <w:r>
        <w:rPr>
          <w:rFonts w:hint="eastAsia" w:ascii="宋体" w:hAnsi="宋体" w:cs="宋体"/>
          <w:i w:val="0"/>
          <w:sz w:val="24"/>
          <w:szCs w:val="22"/>
        </w:rPr>
        <w:t>参照江苏商贸职业学院采购与招标管理内控制度规定执行。</w:t>
      </w:r>
      <w:r>
        <w:rPr>
          <w:rFonts w:hint="eastAsia" w:ascii="宋体" w:hAnsi="宋体" w:cs="宋体"/>
          <w:b/>
          <w:bCs/>
          <w:i w:val="0"/>
          <w:iCs/>
          <w:sz w:val="24"/>
          <w:szCs w:val="28"/>
        </w:rPr>
        <w:br w:type="page"/>
      </w:r>
    </w:p>
    <w:p w14:paraId="445251B4">
      <w:pPr>
        <w:pStyle w:val="15"/>
        <w:keepNext w:val="0"/>
        <w:keepLines w:val="0"/>
        <w:pageBreakBefore w:val="0"/>
        <w:widowControl/>
        <w:tabs>
          <w:tab w:val="left" w:pos="1050"/>
          <w:tab w:val="right" w:leader="dot" w:pos="9402"/>
        </w:tabs>
        <w:kinsoku/>
        <w:wordWrap/>
        <w:overflowPunct/>
        <w:topLinePunct w:val="0"/>
        <w:autoSpaceDE/>
        <w:autoSpaceDN/>
        <w:bidi w:val="0"/>
        <w:adjustRightInd w:val="0"/>
        <w:snapToGrid w:val="0"/>
        <w:spacing w:after="0" w:line="360" w:lineRule="auto"/>
        <w:ind w:left="0" w:firstLine="3373" w:firstLineChars="1400"/>
        <w:jc w:val="both"/>
        <w:textAlignment w:val="auto"/>
        <w:outlineLvl w:val="0"/>
        <w:rPr>
          <w:rFonts w:hint="eastAsia" w:ascii="宋体" w:hAnsi="宋体" w:cs="宋体"/>
          <w:b/>
          <w:bCs/>
          <w:i w:val="0"/>
          <w:sz w:val="24"/>
          <w:szCs w:val="24"/>
        </w:rPr>
      </w:pPr>
      <w:r>
        <w:rPr>
          <w:rFonts w:hint="eastAsia" w:ascii="宋体" w:hAnsi="宋体" w:cs="宋体"/>
          <w:b/>
          <w:bCs/>
          <w:i w:val="0"/>
          <w:sz w:val="24"/>
          <w:szCs w:val="24"/>
        </w:rPr>
        <w:t>第四部分</w:t>
      </w:r>
      <w:r>
        <w:rPr>
          <w:rFonts w:hint="eastAsia" w:ascii="宋体" w:hAnsi="宋体" w:cs="宋体"/>
          <w:b/>
          <w:bCs/>
          <w:sz w:val="24"/>
          <w:szCs w:val="24"/>
        </w:rPr>
        <w:t xml:space="preserve">   </w:t>
      </w:r>
      <w:r>
        <w:rPr>
          <w:rFonts w:hint="eastAsia" w:ascii="宋体" w:hAnsi="宋体" w:cs="宋体"/>
          <w:b/>
          <w:bCs/>
          <w:i w:val="0"/>
          <w:sz w:val="24"/>
          <w:szCs w:val="24"/>
        </w:rPr>
        <w:t>合同主要条款</w:t>
      </w:r>
    </w:p>
    <w:p w14:paraId="0A55B605">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2" w:firstLineChars="200"/>
        <w:jc w:val="center"/>
        <w:textAlignment w:val="auto"/>
        <w:rPr>
          <w:rFonts w:ascii="宋体" w:hAnsi="宋体" w:cs="仿宋"/>
          <w:b/>
          <w:bCs/>
          <w:sz w:val="24"/>
        </w:rPr>
      </w:pPr>
      <w:r>
        <w:rPr>
          <w:rFonts w:hint="eastAsia" w:ascii="宋体" w:hAnsi="宋体" w:cs="仿宋"/>
          <w:b/>
          <w:bCs/>
          <w:sz w:val="24"/>
          <w:lang w:eastAsia="zh-CN"/>
        </w:rPr>
        <w:t>江苏商贸职业学院工会社团活动中心会议桌椅采购项目</w:t>
      </w:r>
      <w:r>
        <w:rPr>
          <w:rFonts w:hint="eastAsia" w:ascii="宋体" w:hAnsi="宋体" w:cs="仿宋"/>
          <w:b/>
          <w:bCs/>
          <w:sz w:val="24"/>
        </w:rPr>
        <w:t>合同</w:t>
      </w:r>
    </w:p>
    <w:p w14:paraId="067F2110">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仿宋"/>
          <w:sz w:val="24"/>
          <w:u w:val="single"/>
        </w:rPr>
      </w:pPr>
      <w:r>
        <w:rPr>
          <w:rFonts w:hint="eastAsia" w:ascii="宋体" w:hAnsi="宋体" w:cs="仿宋"/>
          <w:sz w:val="24"/>
        </w:rPr>
        <w:t>采购人（或称甲方）：</w:t>
      </w:r>
      <w:r>
        <w:rPr>
          <w:rFonts w:hint="eastAsia" w:ascii="宋体" w:hAnsi="宋体" w:cs="仿宋"/>
          <w:sz w:val="24"/>
          <w:u w:val="single"/>
        </w:rPr>
        <w:t>江苏商贸职业学院</w:t>
      </w:r>
    </w:p>
    <w:p w14:paraId="00E57EB1">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仿宋"/>
          <w:sz w:val="24"/>
          <w:u w:val="single"/>
        </w:rPr>
      </w:pPr>
      <w:r>
        <w:rPr>
          <w:rFonts w:hint="eastAsia" w:ascii="宋体" w:hAnsi="宋体" w:cs="仿宋"/>
          <w:sz w:val="24"/>
          <w:lang w:eastAsia="zh-CN"/>
        </w:rPr>
        <w:t>成交人</w:t>
      </w:r>
      <w:r>
        <w:rPr>
          <w:rFonts w:hint="eastAsia" w:ascii="宋体" w:hAnsi="宋体" w:cs="仿宋"/>
          <w:sz w:val="24"/>
        </w:rPr>
        <w:t>（或称乙方）：</w:t>
      </w:r>
      <w:r>
        <w:rPr>
          <w:rFonts w:hint="eastAsia" w:ascii="宋体" w:hAnsi="宋体" w:cs="仿宋"/>
          <w:sz w:val="24"/>
          <w:u w:val="single"/>
        </w:rPr>
        <w:t xml:space="preserve">              </w:t>
      </w:r>
    </w:p>
    <w:p w14:paraId="0F14E7C0">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仿宋"/>
          <w:sz w:val="24"/>
        </w:rPr>
      </w:pPr>
      <w:r>
        <w:rPr>
          <w:rFonts w:hint="eastAsia" w:ascii="宋体" w:hAnsi="宋体" w:cs="仿宋"/>
          <w:sz w:val="24"/>
        </w:rPr>
        <w:t>签订时间：</w:t>
      </w:r>
      <w:r>
        <w:rPr>
          <w:rFonts w:hint="eastAsia" w:ascii="宋体" w:hAnsi="宋体" w:cs="仿宋"/>
          <w:sz w:val="24"/>
          <w:u w:val="single"/>
        </w:rPr>
        <w:t xml:space="preserve">   年  月   日</w:t>
      </w:r>
    </w:p>
    <w:p w14:paraId="5BAFCF0E">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仿宋"/>
          <w:sz w:val="24"/>
        </w:rPr>
      </w:pPr>
      <w:r>
        <w:rPr>
          <w:rFonts w:hint="eastAsia" w:ascii="宋体" w:hAnsi="宋体" w:cs="仿宋"/>
          <w:sz w:val="24"/>
        </w:rPr>
        <w:t>签订地点：</w:t>
      </w:r>
    </w:p>
    <w:p w14:paraId="656F1DC1">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仿宋"/>
          <w:sz w:val="24"/>
        </w:rPr>
      </w:pPr>
      <w:r>
        <w:rPr>
          <w:rFonts w:hint="eastAsia" w:ascii="宋体" w:hAnsi="宋体" w:cs="仿宋"/>
          <w:sz w:val="24"/>
        </w:rPr>
        <w:t>根据《</w:t>
      </w:r>
      <w:r>
        <w:rPr>
          <w:rFonts w:hint="eastAsia" w:ascii="宋体" w:hAnsi="宋体" w:cs="宋体"/>
          <w:sz w:val="24"/>
        </w:rPr>
        <w:t>中华人民共和国民法典</w:t>
      </w:r>
      <w:r>
        <w:rPr>
          <w:rFonts w:hint="eastAsia" w:ascii="宋体" w:hAnsi="宋体" w:cs="仿宋"/>
          <w:sz w:val="24"/>
        </w:rPr>
        <w:t>》及</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lang w:eastAsia="zh-CN"/>
        </w:rPr>
        <w:t>江苏商贸职业学院工会社团活动中心会议桌椅采购项目</w:t>
      </w:r>
      <w:r>
        <w:rPr>
          <w:rFonts w:hint="eastAsia" w:ascii="宋体" w:hAnsi="宋体" w:cs="仿宋"/>
          <w:sz w:val="24"/>
        </w:rPr>
        <w:t>(采购编号：</w:t>
      </w:r>
      <w:r>
        <w:rPr>
          <w:rFonts w:hint="eastAsia" w:ascii="宋体" w:hAnsi="宋体" w:cs="仿宋"/>
          <w:sz w:val="24"/>
          <w:u w:val="single"/>
        </w:rPr>
        <w:t xml:space="preserve">           </w:t>
      </w:r>
      <w:r>
        <w:rPr>
          <w:rFonts w:hint="eastAsia" w:ascii="宋体" w:hAnsi="宋体" w:cs="仿宋"/>
          <w:sz w:val="24"/>
        </w:rPr>
        <w:t>)的</w:t>
      </w:r>
      <w:r>
        <w:rPr>
          <w:rFonts w:hint="eastAsia" w:ascii="宋体" w:hAnsi="宋体" w:cs="仿宋"/>
          <w:sz w:val="24"/>
          <w:lang w:val="en-US" w:eastAsia="zh-CN"/>
        </w:rPr>
        <w:t>采购</w:t>
      </w:r>
      <w:r>
        <w:rPr>
          <w:rFonts w:hint="eastAsia" w:ascii="宋体" w:hAnsi="宋体" w:cs="仿宋"/>
          <w:sz w:val="24"/>
        </w:rPr>
        <w:t>结果、</w:t>
      </w:r>
      <w:r>
        <w:rPr>
          <w:rFonts w:hint="eastAsia" w:ascii="宋体" w:hAnsi="宋体" w:cs="仿宋"/>
          <w:sz w:val="24"/>
          <w:lang w:val="en-US" w:eastAsia="zh-CN"/>
        </w:rPr>
        <w:t>采购</w:t>
      </w:r>
      <w:r>
        <w:rPr>
          <w:rFonts w:hint="eastAsia" w:ascii="宋体" w:hAnsi="宋体" w:cs="仿宋"/>
          <w:sz w:val="24"/>
        </w:rPr>
        <w:t>文件、</w:t>
      </w:r>
      <w:r>
        <w:rPr>
          <w:rFonts w:hint="eastAsia" w:ascii="宋体" w:hAnsi="宋体" w:cs="仿宋"/>
          <w:sz w:val="24"/>
          <w:lang w:val="en-US" w:eastAsia="zh-CN"/>
        </w:rPr>
        <w:t>成交</w:t>
      </w:r>
      <w:r>
        <w:rPr>
          <w:rFonts w:hint="eastAsia" w:ascii="宋体" w:hAnsi="宋体" w:cs="仿宋"/>
          <w:sz w:val="24"/>
        </w:rPr>
        <w:t>通知书及</w:t>
      </w:r>
      <w:r>
        <w:rPr>
          <w:rFonts w:hint="eastAsia" w:ascii="宋体" w:hAnsi="宋体" w:cs="仿宋"/>
          <w:sz w:val="24"/>
          <w:lang w:val="en-US" w:eastAsia="zh-CN"/>
        </w:rPr>
        <w:t>成交</w:t>
      </w:r>
      <w:r>
        <w:rPr>
          <w:rFonts w:hint="eastAsia" w:ascii="宋体" w:hAnsi="宋体" w:cs="仿宋"/>
          <w:sz w:val="24"/>
        </w:rPr>
        <w:t>人的响应文件，经甲乙双方协商一致，签订本合同书。</w:t>
      </w:r>
    </w:p>
    <w:p w14:paraId="73EFCAEA">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olor w:val="000000"/>
          <w:sz w:val="24"/>
        </w:rPr>
      </w:pPr>
      <w:r>
        <w:rPr>
          <w:rFonts w:hint="eastAsia" w:ascii="宋体" w:hAnsi="宋体" w:cs="宋体"/>
          <w:color w:val="000000"/>
          <w:sz w:val="24"/>
        </w:rPr>
        <w:t>一、合同的标的物</w:t>
      </w:r>
    </w:p>
    <w:p w14:paraId="4A3B7A48">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olor w:val="000000"/>
          <w:sz w:val="24"/>
        </w:rPr>
      </w:pPr>
      <w:r>
        <w:rPr>
          <w:rFonts w:ascii="宋体" w:hAnsi="宋体" w:cs="宋体"/>
          <w:color w:val="000000"/>
          <w:sz w:val="24"/>
        </w:rPr>
        <w:t>1.1</w:t>
      </w:r>
      <w:r>
        <w:rPr>
          <w:rFonts w:hint="eastAsia" w:ascii="宋体" w:hAnsi="宋体" w:cs="宋体"/>
          <w:color w:val="000000"/>
          <w:sz w:val="24"/>
        </w:rPr>
        <w:t>甲方向乙方采购标的物，具体的品种、规格要求详见合同附件。</w:t>
      </w:r>
    </w:p>
    <w:p w14:paraId="748DA437">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olor w:val="000000"/>
          <w:sz w:val="24"/>
        </w:rPr>
      </w:pPr>
      <w:r>
        <w:rPr>
          <w:rFonts w:ascii="宋体" w:hAnsi="宋体" w:cs="宋体"/>
          <w:color w:val="000000"/>
          <w:sz w:val="24"/>
        </w:rPr>
        <w:t xml:space="preserve">1.2 </w:t>
      </w:r>
      <w:r>
        <w:rPr>
          <w:rFonts w:hint="eastAsia" w:ascii="宋体" w:hAnsi="宋体" w:cs="宋体"/>
          <w:color w:val="000000"/>
          <w:sz w:val="24"/>
        </w:rPr>
        <w:t>乙方对提供的标的物应当拥有完整的物权，并且负有保证第三人不得向甲方主张任何权利（包括知识产权）的义务。</w:t>
      </w:r>
    </w:p>
    <w:p w14:paraId="1D1C2E0A">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二、合同价格与支付</w:t>
      </w:r>
    </w:p>
    <w:p w14:paraId="3C73C94A">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ascii="宋体" w:hAnsi="宋体" w:cs="宋体"/>
          <w:color w:val="000000"/>
          <w:sz w:val="24"/>
        </w:rPr>
        <w:t xml:space="preserve">2.1 </w:t>
      </w:r>
      <w:r>
        <w:rPr>
          <w:rFonts w:hint="eastAsia" w:ascii="宋体" w:hAnsi="宋体" w:cs="宋体"/>
          <w:color w:val="000000"/>
          <w:sz w:val="24"/>
        </w:rPr>
        <w:t>合同价格按此次成交价格执行，合同金额为人民币</w:t>
      </w:r>
      <w:r>
        <w:rPr>
          <w:rFonts w:hint="eastAsia"/>
          <w:color w:val="000000"/>
          <w:u w:val="single"/>
        </w:rPr>
        <w:t xml:space="preserve">         </w:t>
      </w:r>
      <w:r>
        <w:rPr>
          <w:rFonts w:hint="eastAsia"/>
          <w:color w:val="000000"/>
          <w:u w:val="single"/>
          <w:lang w:val="en-US" w:eastAsia="zh-CN"/>
        </w:rPr>
        <w:t>元</w:t>
      </w:r>
      <w:r>
        <w:rPr>
          <w:rFonts w:hint="eastAsia"/>
          <w:color w:val="000000"/>
          <w:u w:val="single"/>
        </w:rPr>
        <w:t>（￥ ：    元）</w:t>
      </w:r>
      <w:r>
        <w:rPr>
          <w:rFonts w:hint="eastAsia" w:ascii="宋体" w:hAnsi="宋体" w:cs="宋体"/>
          <w:color w:val="000000"/>
          <w:sz w:val="24"/>
        </w:rPr>
        <w:t>，包含所有</w:t>
      </w:r>
      <w:r>
        <w:rPr>
          <w:rFonts w:hint="eastAsia" w:ascii="宋体" w:hAnsi="宋体" w:cs="宋体"/>
          <w:color w:val="000000"/>
          <w:sz w:val="24"/>
          <w:lang w:eastAsia="zh-CN"/>
        </w:rPr>
        <w:t>货物</w:t>
      </w:r>
      <w:r>
        <w:rPr>
          <w:rFonts w:hint="eastAsia" w:ascii="宋体" w:hAnsi="宋体" w:cs="宋体"/>
          <w:color w:val="000000"/>
          <w:sz w:val="24"/>
        </w:rPr>
        <w:t>的</w:t>
      </w:r>
      <w:r>
        <w:rPr>
          <w:rFonts w:hint="eastAsia" w:ascii="宋体" w:hAnsi="宋体" w:cs="宋体"/>
          <w:color w:val="000000"/>
          <w:sz w:val="24"/>
          <w:lang w:val="zh-CN"/>
        </w:rPr>
        <w:t>货物成本、劳务费、管理费、材料费、设备费、机械费、包装费、运输费、装卸费（含上下力资费）、二次搬运费、安装费、成品保护费、服务费、售后服务费、检测试验费、利润和税金、质保期内的维护保养费</w:t>
      </w:r>
      <w:r>
        <w:rPr>
          <w:rFonts w:hint="eastAsia" w:ascii="宋体" w:hAnsi="宋体" w:cs="宋体"/>
          <w:color w:val="000000"/>
          <w:sz w:val="24"/>
        </w:rPr>
        <w:t>等工作所发生的全部费用以及企业利润、税金和政策性文件规定及合同包含的所有风险、责任等各项应有费用。即</w:t>
      </w:r>
      <w:r>
        <w:rPr>
          <w:rFonts w:hint="eastAsia" w:ascii="宋体" w:hAnsi="宋体" w:cs="宋体"/>
          <w:color w:val="000000"/>
          <w:sz w:val="24"/>
          <w:lang w:val="en-US" w:eastAsia="zh-CN"/>
        </w:rPr>
        <w:t>采购</w:t>
      </w:r>
      <w:r>
        <w:rPr>
          <w:rFonts w:hint="eastAsia" w:ascii="宋体" w:hAnsi="宋体" w:cs="宋体"/>
          <w:color w:val="000000"/>
          <w:sz w:val="24"/>
        </w:rPr>
        <w:t>项目交付使用前的所有费用以及交付时和交付使用后的免保期内的费用等，同时还包含为完成本项目所必须的其他辅助工作的相关费用及响应</w:t>
      </w:r>
      <w:r>
        <w:rPr>
          <w:rFonts w:hint="eastAsia" w:ascii="宋体" w:hAnsi="宋体" w:cs="宋体"/>
          <w:color w:val="000000"/>
          <w:sz w:val="24"/>
          <w:lang w:eastAsia="zh-CN"/>
        </w:rPr>
        <w:t>采购文件</w:t>
      </w:r>
      <w:r>
        <w:rPr>
          <w:rFonts w:hint="eastAsia" w:ascii="宋体" w:hAnsi="宋体" w:cs="宋体"/>
          <w:color w:val="000000"/>
          <w:sz w:val="24"/>
        </w:rPr>
        <w:t>要求的所有费用。</w:t>
      </w:r>
    </w:p>
    <w:p w14:paraId="52E59996">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pPr>
      <w:r>
        <w:rPr>
          <w:rFonts w:hint="eastAsia" w:ascii="宋体" w:hAnsi="宋体" w:cs="宋体"/>
          <w:color w:val="000000"/>
          <w:sz w:val="24"/>
        </w:rPr>
        <w:t>2.2付款方式：</w:t>
      </w:r>
    </w:p>
    <w:p w14:paraId="6C9277F9">
      <w:pPr>
        <w:pStyle w:val="2"/>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合同签订</w:t>
      </w:r>
      <w:r>
        <w:rPr>
          <w:rFonts w:hint="eastAsia" w:ascii="宋体" w:hAnsi="宋体" w:cs="宋体"/>
          <w:color w:val="000000" w:themeColor="text1"/>
          <w:sz w:val="24"/>
          <w:szCs w:val="24"/>
          <w:lang w:val="en-US" w:eastAsia="zh-CN" w:bidi="ar-SA"/>
          <w14:textFill>
            <w14:solidFill>
              <w14:schemeClr w14:val="tx1"/>
            </w14:solidFill>
          </w14:textFill>
        </w:rPr>
        <w:t>后付合同价的30%，产品到货</w:t>
      </w:r>
      <w:r>
        <w:rPr>
          <w:rFonts w:hint="eastAsia" w:ascii="宋体" w:hAnsi="宋体" w:eastAsia="宋体" w:cs="宋体"/>
          <w:color w:val="000000" w:themeColor="text1"/>
          <w:sz w:val="24"/>
          <w:szCs w:val="24"/>
          <w:lang w:val="en-US" w:eastAsia="zh-CN" w:bidi="ar-SA"/>
          <w14:textFill>
            <w14:solidFill>
              <w14:schemeClr w14:val="tx1"/>
            </w14:solidFill>
          </w14:textFill>
        </w:rPr>
        <w:t>安装调试完毕</w:t>
      </w:r>
      <w:r>
        <w:rPr>
          <w:rFonts w:hint="eastAsia" w:ascii="宋体" w:hAnsi="宋体" w:cs="宋体"/>
          <w:color w:val="000000" w:themeColor="text1"/>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bidi="ar-SA"/>
          <w14:textFill>
            <w14:solidFill>
              <w14:schemeClr w14:val="tx1"/>
            </w14:solidFill>
          </w14:textFill>
        </w:rPr>
        <w:t>经采购人验收合格后付</w:t>
      </w:r>
      <w:r>
        <w:rPr>
          <w:rFonts w:hint="eastAsia" w:ascii="宋体" w:hAnsi="宋体" w:cs="宋体"/>
          <w:color w:val="000000" w:themeColor="text1"/>
          <w:sz w:val="24"/>
          <w:szCs w:val="24"/>
          <w:lang w:val="en-US" w:eastAsia="zh-CN" w:bidi="ar-SA"/>
          <w14:textFill>
            <w14:solidFill>
              <w14:schemeClr w14:val="tx1"/>
            </w14:solidFill>
          </w14:textFill>
        </w:rPr>
        <w:t>至</w:t>
      </w:r>
      <w:r>
        <w:rPr>
          <w:rFonts w:hint="eastAsia" w:ascii="宋体" w:hAnsi="宋体" w:eastAsia="宋体" w:cs="宋体"/>
          <w:color w:val="000000" w:themeColor="text1"/>
          <w:sz w:val="24"/>
          <w:szCs w:val="24"/>
          <w:lang w:val="en-US" w:eastAsia="zh-CN" w:bidi="ar-SA"/>
          <w14:textFill>
            <w14:solidFill>
              <w14:schemeClr w14:val="tx1"/>
            </w14:solidFill>
          </w14:textFill>
        </w:rPr>
        <w:t>合同价的95%，同时退还履约保证金（无息），</w:t>
      </w:r>
      <w:r>
        <w:rPr>
          <w:rFonts w:hint="eastAsia" w:ascii="宋体" w:hAnsi="宋体" w:cs="宋体"/>
          <w:color w:val="000000" w:themeColor="text1"/>
          <w:sz w:val="24"/>
          <w:szCs w:val="24"/>
          <w:lang w:val="en-US" w:eastAsia="zh-CN" w:bidi="ar-SA"/>
          <w14:textFill>
            <w14:solidFill>
              <w14:schemeClr w14:val="tx1"/>
            </w14:solidFill>
          </w14:textFill>
        </w:rPr>
        <w:t>合同尾</w:t>
      </w:r>
      <w:r>
        <w:rPr>
          <w:rFonts w:hint="eastAsia" w:ascii="宋体" w:hAnsi="宋体" w:eastAsia="宋体" w:cs="宋体"/>
          <w:color w:val="000000" w:themeColor="text1"/>
          <w:sz w:val="24"/>
          <w:szCs w:val="24"/>
          <w:lang w:val="en-US" w:eastAsia="zh-CN" w:bidi="ar-SA"/>
          <w14:textFill>
            <w14:solidFill>
              <w14:schemeClr w14:val="tx1"/>
            </w14:solidFill>
          </w14:textFill>
        </w:rPr>
        <w:t>款5%</w:t>
      </w:r>
      <w:r>
        <w:rPr>
          <w:rFonts w:hint="eastAsia" w:ascii="宋体" w:hAnsi="宋体" w:cs="宋体"/>
          <w:color w:val="000000" w:themeColor="text1"/>
          <w:sz w:val="24"/>
          <w:szCs w:val="24"/>
          <w:lang w:val="en-US" w:eastAsia="zh-CN" w:bidi="ar-SA"/>
          <w14:textFill>
            <w14:solidFill>
              <w14:schemeClr w14:val="tx1"/>
            </w14:solidFill>
          </w14:textFill>
        </w:rPr>
        <w:t>一年</w:t>
      </w:r>
      <w:r>
        <w:rPr>
          <w:rFonts w:hint="eastAsia" w:ascii="宋体" w:hAnsi="宋体" w:eastAsia="宋体" w:cs="宋体"/>
          <w:color w:val="000000" w:themeColor="text1"/>
          <w:sz w:val="24"/>
          <w:szCs w:val="24"/>
          <w:lang w:val="en-US" w:eastAsia="zh-CN" w:bidi="ar-SA"/>
          <w14:textFill>
            <w14:solidFill>
              <w14:schemeClr w14:val="tx1"/>
            </w14:solidFill>
          </w14:textFill>
        </w:rPr>
        <w:t>质保期满后一次性付清（无息）。</w:t>
      </w:r>
    </w:p>
    <w:p w14:paraId="3237BFEF">
      <w:pPr>
        <w:pStyle w:val="2"/>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color w:val="000000" w:themeColor="text1"/>
          <w:sz w:val="24"/>
          <w:szCs w:val="24"/>
          <w:lang w:val="en-US" w:eastAsia="zh-CN" w:bidi="ar-SA"/>
          <w14:textFill>
            <w14:solidFill>
              <w14:schemeClr w14:val="tx1"/>
            </w14:solidFill>
          </w14:textFill>
        </w:rPr>
        <w:t>款项由采购人按相关财务支付规定办理支付手续</w:t>
      </w:r>
      <w:r>
        <w:rPr>
          <w:rFonts w:hint="eastAsia" w:ascii="宋体" w:hAnsi="宋体" w:cs="宋体"/>
          <w:color w:val="000000" w:themeColor="text1"/>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bidi="ar-SA"/>
          <w14:textFill>
            <w14:solidFill>
              <w14:schemeClr w14:val="tx1"/>
            </w14:solidFill>
          </w14:textFill>
        </w:rPr>
        <w:t>供货商需提供正规发票。以上付款均不计利息。</w:t>
      </w:r>
    </w:p>
    <w:p w14:paraId="3B8A6CEB">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ascii="宋体" w:hAnsi="宋体" w:cs="宋体"/>
          <w:color w:val="000000"/>
          <w:sz w:val="24"/>
        </w:rPr>
      </w:pPr>
      <w:r>
        <w:rPr>
          <w:rFonts w:hint="eastAsia" w:ascii="宋体" w:hAnsi="宋体" w:cs="宋体"/>
          <w:color w:val="000000"/>
          <w:sz w:val="24"/>
        </w:rPr>
        <w:t>2.3乙方按期交货后向须根据甲方要求提供相关单据。</w:t>
      </w:r>
    </w:p>
    <w:p w14:paraId="59567FFB">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 xml:space="preserve">2.4 根据现行税法对甲方征收的与本合同有关的一切税费均由甲方承担；根据现行税法对乙方征收的与本合同有关的一切税费均由乙方承担。     </w:t>
      </w:r>
    </w:p>
    <w:p w14:paraId="78BB2687">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2.5供货量调整：如因甲方实际需求，供货数量发生变化，乙方须无条件满足甲方需求，确保供货质量并及时供货；其综合单价不变。</w:t>
      </w:r>
    </w:p>
    <w:p w14:paraId="238E2EF4">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2.6乙方在将货物送达目的地的送货过程中和安装过程中，一切安全由乙方自己承担。</w:t>
      </w:r>
    </w:p>
    <w:p w14:paraId="124DD1A3">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三、质量保证</w:t>
      </w:r>
    </w:p>
    <w:p w14:paraId="4952B073">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outlineLvl w:val="1"/>
        <w:rPr>
          <w:rFonts w:ascii="宋体" w:hAnsi="宋体" w:cs="宋体"/>
          <w:bCs/>
          <w:color w:val="000000"/>
          <w:sz w:val="24"/>
        </w:rPr>
      </w:pPr>
      <w:r>
        <w:rPr>
          <w:rFonts w:hint="eastAsia" w:ascii="宋体" w:hAnsi="宋体" w:cs="宋体"/>
          <w:bCs/>
          <w:color w:val="000000"/>
          <w:sz w:val="24"/>
        </w:rPr>
        <w:t>3.1乙方应保证货物是全新、未使用过的原装合格正品，并完全满足</w:t>
      </w:r>
      <w:r>
        <w:rPr>
          <w:rFonts w:hint="eastAsia" w:ascii="宋体" w:hAnsi="宋体" w:cs="宋体"/>
          <w:bCs/>
          <w:color w:val="000000"/>
          <w:sz w:val="24"/>
          <w:lang w:eastAsia="zh-CN"/>
        </w:rPr>
        <w:t>采购文件</w:t>
      </w:r>
      <w:r>
        <w:rPr>
          <w:rFonts w:hint="eastAsia" w:ascii="宋体" w:hAnsi="宋体" w:cs="宋体"/>
          <w:bCs/>
          <w:color w:val="000000"/>
          <w:sz w:val="24"/>
        </w:rPr>
        <w:t>规定的货物质量、规格的要求。</w:t>
      </w:r>
    </w:p>
    <w:p w14:paraId="06C6C0F2">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outlineLvl w:val="1"/>
        <w:rPr>
          <w:rFonts w:ascii="宋体" w:hAnsi="宋体" w:cs="宋体"/>
          <w:bCs/>
          <w:color w:val="000000"/>
          <w:sz w:val="24"/>
        </w:rPr>
      </w:pPr>
      <w:r>
        <w:rPr>
          <w:rFonts w:hint="eastAsia" w:ascii="宋体" w:hAnsi="宋体" w:cs="宋体"/>
          <w:bCs/>
          <w:color w:val="000000"/>
          <w:sz w:val="24"/>
        </w:rPr>
        <w:t>3.2货物的技术标准按国家标准（无国家标准，按行业标准执行，无国家和行业标准，按企业标准执行）执行，同时必须满足</w:t>
      </w:r>
      <w:r>
        <w:rPr>
          <w:rFonts w:hint="eastAsia" w:ascii="宋体" w:hAnsi="宋体" w:cs="宋体"/>
          <w:bCs/>
          <w:color w:val="000000"/>
          <w:sz w:val="24"/>
          <w:lang w:eastAsia="zh-CN"/>
        </w:rPr>
        <w:t>采购文件</w:t>
      </w:r>
      <w:r>
        <w:rPr>
          <w:rFonts w:hint="eastAsia" w:ascii="宋体" w:hAnsi="宋体" w:cs="宋体"/>
          <w:bCs/>
          <w:color w:val="000000"/>
          <w:sz w:val="24"/>
        </w:rPr>
        <w:t>中规定的要求，以及符合相关法律、法规规定的要求。</w:t>
      </w:r>
    </w:p>
    <w:p w14:paraId="5DD98172">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outlineLvl w:val="1"/>
        <w:rPr>
          <w:rFonts w:ascii="宋体" w:hAnsi="宋体" w:cs="宋体"/>
          <w:bCs/>
          <w:color w:val="000000"/>
          <w:sz w:val="24"/>
        </w:rPr>
      </w:pPr>
      <w:r>
        <w:rPr>
          <w:rFonts w:hint="eastAsia" w:ascii="宋体" w:hAnsi="宋体" w:cs="宋体"/>
          <w:bCs/>
          <w:color w:val="000000"/>
          <w:sz w:val="24"/>
        </w:rPr>
        <w:t xml:space="preserve">3.3货物的包装，国家或行业有规定的，按规定执行。 </w:t>
      </w:r>
    </w:p>
    <w:p w14:paraId="4B873F91">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outlineLvl w:val="1"/>
        <w:rPr>
          <w:rFonts w:ascii="宋体" w:hAnsi="宋体" w:cs="宋体"/>
          <w:bCs/>
          <w:color w:val="000000"/>
          <w:sz w:val="24"/>
        </w:rPr>
      </w:pPr>
      <w:r>
        <w:rPr>
          <w:rFonts w:hint="eastAsia" w:ascii="宋体" w:hAnsi="宋体" w:cs="宋体"/>
          <w:bCs/>
          <w:color w:val="000000"/>
          <w:sz w:val="24"/>
        </w:rPr>
        <w:t>3.4乙方应保证提供的</w:t>
      </w:r>
      <w:r>
        <w:rPr>
          <w:rFonts w:hint="eastAsia" w:ascii="宋体" w:hAnsi="宋体" w:cs="宋体"/>
          <w:bCs/>
          <w:color w:val="000000"/>
          <w:sz w:val="24"/>
          <w:lang w:eastAsia="zh-CN"/>
        </w:rPr>
        <w:t>货物</w:t>
      </w:r>
      <w:r>
        <w:rPr>
          <w:rFonts w:hint="eastAsia" w:ascii="宋体" w:hAnsi="宋体" w:cs="宋体"/>
          <w:bCs/>
          <w:color w:val="000000"/>
          <w:sz w:val="24"/>
        </w:rPr>
        <w:t>不得侵犯第三方专利权、商标权和设计权、版权等。否则，供应商应负全部责任，并承担由此引起的一切后果。</w:t>
      </w:r>
    </w:p>
    <w:p w14:paraId="19898EDF">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outlineLvl w:val="1"/>
        <w:rPr>
          <w:rFonts w:ascii="宋体" w:hAnsi="宋体" w:cs="宋体"/>
          <w:bCs/>
          <w:color w:val="000000"/>
          <w:sz w:val="24"/>
        </w:rPr>
      </w:pPr>
      <w:r>
        <w:rPr>
          <w:rFonts w:hint="eastAsia" w:ascii="宋体" w:hAnsi="宋体" w:cs="宋体"/>
          <w:bCs/>
          <w:color w:val="000000"/>
          <w:sz w:val="24"/>
        </w:rPr>
        <w:t>3.5乙方应保证其货物在正常使用和条件下，在其使用寿命期内应具有满意的性能。</w:t>
      </w:r>
    </w:p>
    <w:p w14:paraId="4792AF89">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outlineLvl w:val="1"/>
        <w:rPr>
          <w:rFonts w:ascii="宋体" w:hAnsi="宋体" w:cs="宋体"/>
          <w:bCs/>
          <w:color w:val="000000"/>
          <w:sz w:val="24"/>
        </w:rPr>
      </w:pPr>
      <w:r>
        <w:rPr>
          <w:rFonts w:hint="eastAsia" w:ascii="宋体" w:hAnsi="宋体" w:cs="宋体"/>
          <w:bCs/>
          <w:color w:val="000000"/>
          <w:sz w:val="24"/>
        </w:rPr>
        <w:t>3.6乙方应采取必要的安全措施保证货物的运输及安装的安全，并承担货物的运输及安装过程中产生的风险。</w:t>
      </w:r>
    </w:p>
    <w:p w14:paraId="4FFCA5DB">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outlineLvl w:val="1"/>
        <w:rPr>
          <w:rFonts w:ascii="宋体" w:hAnsi="宋体" w:cs="宋体"/>
          <w:bCs/>
          <w:color w:val="000000"/>
          <w:sz w:val="24"/>
        </w:rPr>
      </w:pPr>
      <w:r>
        <w:rPr>
          <w:rFonts w:hint="eastAsia" w:ascii="宋体" w:hAnsi="宋体" w:cs="宋体"/>
          <w:bCs/>
          <w:color w:val="000000"/>
          <w:sz w:val="24"/>
        </w:rPr>
        <w:t>3.7乙方所供货物最终验收后，应对由于所供货物的缺陷而发生的任何不足或问题负责，并承担由此引起的一切后果。</w:t>
      </w:r>
    </w:p>
    <w:p w14:paraId="5AF07B57">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bCs/>
          <w:color w:val="000000"/>
          <w:sz w:val="24"/>
        </w:rPr>
        <w:t>3.8乙方必须保证所提供的</w:t>
      </w:r>
      <w:r>
        <w:rPr>
          <w:rFonts w:hint="eastAsia" w:ascii="宋体" w:hAnsi="宋体" w:cs="宋体"/>
          <w:bCs/>
          <w:color w:val="000000"/>
          <w:sz w:val="24"/>
          <w:lang w:eastAsia="zh-CN"/>
        </w:rPr>
        <w:t>货物</w:t>
      </w:r>
      <w:r>
        <w:rPr>
          <w:rFonts w:hint="eastAsia" w:ascii="宋体" w:hAnsi="宋体" w:cs="宋体"/>
          <w:bCs/>
          <w:color w:val="000000"/>
          <w:sz w:val="24"/>
        </w:rPr>
        <w:t>符合国家相应质量要求。</w:t>
      </w:r>
    </w:p>
    <w:p w14:paraId="2D73EBEE">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3.9承包方式：</w:t>
      </w:r>
    </w:p>
    <w:p w14:paraId="01873941">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包工包料，所有材料均符合国家环保要求。</w:t>
      </w:r>
    </w:p>
    <w:p w14:paraId="1295D013">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bCs/>
          <w:color w:val="000000"/>
          <w:sz w:val="24"/>
        </w:rPr>
      </w:pPr>
      <w:r>
        <w:rPr>
          <w:rFonts w:hint="eastAsia" w:ascii="宋体" w:hAnsi="宋体" w:cs="宋体"/>
          <w:color w:val="000000"/>
          <w:sz w:val="24"/>
        </w:rPr>
        <w:t>3.10</w:t>
      </w:r>
      <w:r>
        <w:rPr>
          <w:rFonts w:hint="eastAsia" w:ascii="宋体" w:hAnsi="宋体" w:cs="宋体"/>
          <w:bCs/>
          <w:color w:val="000000"/>
          <w:sz w:val="24"/>
        </w:rPr>
        <w:t>违约处理：</w:t>
      </w:r>
    </w:p>
    <w:p w14:paraId="2F3CA970">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bCs/>
          <w:color w:val="000000"/>
          <w:sz w:val="24"/>
        </w:rPr>
      </w:pPr>
      <w:r>
        <w:rPr>
          <w:rFonts w:hint="eastAsia" w:ascii="宋体" w:hAnsi="宋体" w:cs="宋体"/>
          <w:bCs/>
          <w:color w:val="000000"/>
          <w:sz w:val="24"/>
        </w:rPr>
        <w:t>①供应商须严格维护招投标的公正性、合法性、合理性，发现违规、弄虚作假行为，一律取消投标或中标资格，保证金将不予退还。</w:t>
      </w:r>
    </w:p>
    <w:p w14:paraId="2618E2AE">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bCs/>
          <w:color w:val="000000"/>
          <w:sz w:val="24"/>
        </w:rPr>
      </w:pPr>
      <w:r>
        <w:rPr>
          <w:rFonts w:hint="eastAsia" w:ascii="宋体" w:hAnsi="宋体" w:cs="宋体"/>
          <w:bCs/>
          <w:color w:val="000000"/>
          <w:sz w:val="24"/>
        </w:rPr>
        <w:t>②如成乙方不能按指定日期到货，每延误1天从履约保证金中扣5000.00元，扣完为止。</w:t>
      </w:r>
    </w:p>
    <w:p w14:paraId="093EEE0D">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s="宋体"/>
          <w:bCs/>
          <w:color w:val="000000"/>
          <w:sz w:val="24"/>
        </w:rPr>
      </w:pPr>
      <w:r>
        <w:rPr>
          <w:rFonts w:hint="eastAsia" w:ascii="宋体" w:hAnsi="宋体" w:cs="宋体"/>
          <w:bCs/>
          <w:color w:val="000000"/>
          <w:sz w:val="24"/>
        </w:rPr>
        <w:t>③全部货物交货时由相关专业技术人员共同参与验收</w:t>
      </w:r>
      <w:r>
        <w:rPr>
          <w:rFonts w:hint="eastAsia" w:ascii="宋体" w:hAnsi="宋体" w:cs="宋体"/>
          <w:bCs/>
          <w:color w:val="000000"/>
          <w:sz w:val="24"/>
          <w:lang w:eastAsia="zh-CN"/>
        </w:rPr>
        <w:t>，</w:t>
      </w:r>
      <w:r>
        <w:rPr>
          <w:rFonts w:hint="eastAsia" w:ascii="宋体" w:hAnsi="宋体" w:cs="宋体"/>
          <w:bCs/>
          <w:color w:val="000000"/>
          <w:sz w:val="24"/>
        </w:rPr>
        <w:t>如</w:t>
      </w:r>
      <w:r>
        <w:rPr>
          <w:rFonts w:hint="eastAsia" w:ascii="宋体" w:hAnsi="宋体" w:cs="宋体"/>
          <w:bCs/>
          <w:color w:val="000000"/>
          <w:sz w:val="24"/>
          <w:lang w:val="en-US" w:eastAsia="zh-CN"/>
        </w:rPr>
        <w:t>验收</w:t>
      </w:r>
      <w:r>
        <w:rPr>
          <w:rFonts w:hint="eastAsia" w:ascii="宋体" w:hAnsi="宋体" w:cs="宋体"/>
          <w:bCs/>
          <w:color w:val="000000"/>
          <w:sz w:val="24"/>
        </w:rPr>
        <w:t>不合格，履约保证金不予退还，由此所造成的一切损失由乙方负责。</w:t>
      </w:r>
    </w:p>
    <w:p w14:paraId="7B3E308D">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bCs/>
          <w:color w:val="000000"/>
          <w:sz w:val="24"/>
        </w:rPr>
      </w:pPr>
      <w:r>
        <w:rPr>
          <w:rFonts w:hint="eastAsia" w:ascii="宋体" w:hAnsi="宋体" w:cs="宋体"/>
          <w:bCs/>
          <w:color w:val="000000"/>
          <w:sz w:val="24"/>
        </w:rPr>
        <w:t>④</w:t>
      </w:r>
      <w:r>
        <w:rPr>
          <w:rFonts w:hint="eastAsia" w:ascii="宋体" w:hAnsi="宋体" w:cs="宋体"/>
          <w:color w:val="000000"/>
          <w:sz w:val="24"/>
        </w:rPr>
        <w:t>乙方</w:t>
      </w:r>
      <w:r>
        <w:rPr>
          <w:rFonts w:hint="eastAsia" w:ascii="宋体" w:hAnsi="宋体" w:cs="宋体"/>
          <w:bCs/>
          <w:color w:val="000000"/>
          <w:sz w:val="24"/>
        </w:rPr>
        <w:t>售后服务未能达到要求，酌情扣除履约保证金5000.00元到10000.00元，扣完为止。</w:t>
      </w:r>
    </w:p>
    <w:p w14:paraId="6E96A23E">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四、包装</w:t>
      </w:r>
    </w:p>
    <w:p w14:paraId="2EA9879C">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4.1乙方提供的</w:t>
      </w:r>
      <w:r>
        <w:rPr>
          <w:rFonts w:hint="eastAsia" w:ascii="宋体" w:hAnsi="宋体" w:cs="宋体"/>
          <w:bCs/>
          <w:color w:val="000000"/>
          <w:sz w:val="24"/>
        </w:rPr>
        <w:t>货物</w:t>
      </w:r>
      <w:r>
        <w:rPr>
          <w:rFonts w:hint="eastAsia" w:ascii="宋体" w:hAnsi="宋体" w:cs="宋体"/>
          <w:color w:val="000000"/>
          <w:sz w:val="24"/>
        </w:rPr>
        <w:t>必须为原包装，在送交甲方验收前不得拆箱。</w:t>
      </w:r>
    </w:p>
    <w:p w14:paraId="01CA580A">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4.2.乙方所出售的全部货物均应按标准保护措施进行包装，这类包装应适应于远距离运输、防潮、防震、防锈和防野蛮装卸等要求，以确保货物安全无损地运抵指定现场。</w:t>
      </w:r>
    </w:p>
    <w:p w14:paraId="590D2864">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五、标的物的交付</w:t>
      </w:r>
    </w:p>
    <w:p w14:paraId="5DEA168D">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5.1 标的物的所有权自标的物交付时转移。</w:t>
      </w:r>
    </w:p>
    <w:p w14:paraId="183909B8">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5.2 乙方应当按照约定的期限和约定的地点交付标的物。</w:t>
      </w:r>
    </w:p>
    <w:p w14:paraId="0E4888EC">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5.3 乙方应当按照约定或者交易习惯向甲方交付提取标的物单证以外的有关单证和资料。</w:t>
      </w:r>
    </w:p>
    <w:p w14:paraId="67F6EA59">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5.4</w:t>
      </w:r>
      <w:r>
        <w:rPr>
          <w:rFonts w:hint="eastAsia" w:ascii="宋体" w:hAnsi="宋体" w:cs="宋体"/>
          <w:bCs/>
          <w:color w:val="000000"/>
          <w:sz w:val="24"/>
        </w:rPr>
        <w:t>货物</w:t>
      </w:r>
      <w:r>
        <w:rPr>
          <w:rFonts w:hint="eastAsia" w:ascii="宋体" w:hAnsi="宋体" w:cs="宋体"/>
          <w:color w:val="000000"/>
          <w:sz w:val="24"/>
        </w:rPr>
        <w:t>交货、安装调试服务</w:t>
      </w:r>
    </w:p>
    <w:p w14:paraId="6EACEF1B">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5.4.1</w:t>
      </w:r>
      <w:r>
        <w:rPr>
          <w:rFonts w:hint="eastAsia" w:ascii="宋体" w:hAnsi="宋体" w:cs="宋体"/>
          <w:bCs/>
          <w:color w:val="000000"/>
          <w:sz w:val="24"/>
        </w:rPr>
        <w:t>货物</w:t>
      </w:r>
      <w:r>
        <w:rPr>
          <w:rFonts w:hint="eastAsia" w:ascii="宋体" w:hAnsi="宋体" w:cs="宋体"/>
          <w:color w:val="000000"/>
          <w:sz w:val="24"/>
        </w:rPr>
        <w:t xml:space="preserve">交付： </w:t>
      </w:r>
    </w:p>
    <w:p w14:paraId="62F5C799">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① 交货地点：</w:t>
      </w:r>
      <w:r>
        <w:rPr>
          <w:rFonts w:hint="eastAsia" w:ascii="宋体" w:hAnsi="宋体" w:cs="宋体"/>
          <w:bCs/>
          <w:color w:val="000000"/>
          <w:sz w:val="24"/>
        </w:rPr>
        <w:t>货物</w:t>
      </w:r>
      <w:r>
        <w:rPr>
          <w:rFonts w:hint="eastAsia" w:ascii="宋体" w:hAnsi="宋体" w:cs="宋体"/>
          <w:color w:val="000000"/>
          <w:sz w:val="24"/>
        </w:rPr>
        <w:t>送至甲方指定的地点。</w:t>
      </w:r>
    </w:p>
    <w:p w14:paraId="185546B0">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② 货物装卸、运输涉及到的保险，其费用包含在合同价中。</w:t>
      </w:r>
    </w:p>
    <w:p w14:paraId="3692FA37">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5.4.2交货期（服务时间）</w:t>
      </w:r>
    </w:p>
    <w:p w14:paraId="3BE3265E">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bCs/>
          <w:color w:val="000000"/>
          <w:sz w:val="24"/>
        </w:rPr>
        <w:t>所有供货</w:t>
      </w:r>
      <w:r>
        <w:rPr>
          <w:rFonts w:hint="eastAsia" w:ascii="宋体" w:hAnsi="宋体" w:cs="宋体"/>
          <w:bCs/>
          <w:color w:val="000000"/>
          <w:sz w:val="24"/>
          <w:lang w:eastAsia="zh-CN"/>
        </w:rPr>
        <w:t>货物</w:t>
      </w:r>
      <w:r>
        <w:rPr>
          <w:rFonts w:hint="eastAsia" w:ascii="宋体" w:hAnsi="宋体" w:cs="宋体"/>
          <w:bCs/>
          <w:color w:val="000000"/>
          <w:sz w:val="24"/>
        </w:rPr>
        <w:t xml:space="preserve">将于 </w:t>
      </w:r>
      <w:r>
        <w:rPr>
          <w:rFonts w:ascii="宋体" w:hAnsi="宋体" w:cs="宋体"/>
          <w:bCs/>
          <w:color w:val="000000"/>
          <w:sz w:val="24"/>
        </w:rPr>
        <w:t>202</w:t>
      </w:r>
      <w:r>
        <w:rPr>
          <w:rFonts w:hint="eastAsia" w:ascii="宋体" w:hAnsi="宋体" w:cs="宋体"/>
          <w:bCs/>
          <w:color w:val="000000"/>
          <w:sz w:val="24"/>
        </w:rPr>
        <w:t xml:space="preserve">5年 </w:t>
      </w:r>
      <w:r>
        <w:rPr>
          <w:rFonts w:hint="eastAsia" w:ascii="宋体" w:hAnsi="宋体" w:cs="宋体"/>
          <w:bCs/>
          <w:color w:val="000000"/>
          <w:sz w:val="24"/>
          <w:lang w:val="en-US" w:eastAsia="zh-CN"/>
        </w:rPr>
        <w:t>11</w:t>
      </w:r>
      <w:r>
        <w:rPr>
          <w:rFonts w:hint="eastAsia" w:ascii="宋体" w:hAnsi="宋体" w:cs="宋体"/>
          <w:bCs/>
          <w:color w:val="000000"/>
          <w:sz w:val="24"/>
        </w:rPr>
        <w:t xml:space="preserve"> 月</w:t>
      </w:r>
      <w:r>
        <w:rPr>
          <w:rFonts w:hint="eastAsia" w:ascii="宋体" w:hAnsi="宋体" w:cs="宋体"/>
          <w:bCs/>
          <w:color w:val="000000"/>
          <w:sz w:val="24"/>
          <w:lang w:val="en-US" w:eastAsia="zh-CN"/>
        </w:rPr>
        <w:t>15</w:t>
      </w:r>
      <w:r>
        <w:rPr>
          <w:rFonts w:hint="eastAsia" w:ascii="宋体" w:hAnsi="宋体" w:cs="宋体"/>
          <w:bCs/>
          <w:color w:val="000000"/>
          <w:sz w:val="24"/>
        </w:rPr>
        <w:t>日前（具体以学院通知为准）到货，</w:t>
      </w:r>
      <w:r>
        <w:rPr>
          <w:rFonts w:hint="eastAsia" w:ascii="宋体" w:hAnsi="宋体" w:cs="宋体"/>
          <w:color w:val="000000"/>
          <w:sz w:val="24"/>
        </w:rPr>
        <w:t>项目禁止分包或转包。</w:t>
      </w:r>
    </w:p>
    <w:p w14:paraId="65527373">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5.4.3乙方发货到甲方指定地点前应先告知甲方。</w:t>
      </w:r>
    </w:p>
    <w:p w14:paraId="5748DD6C">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5.4.4按国家相关行业规定安装规范和标准完成安装、服务工作。</w:t>
      </w:r>
    </w:p>
    <w:p w14:paraId="69AAC66D">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ascii="宋体" w:hAnsi="宋体" w:cs="宋体"/>
          <w:color w:val="000000"/>
          <w:sz w:val="24"/>
        </w:rPr>
      </w:pPr>
      <w:r>
        <w:rPr>
          <w:rFonts w:hint="eastAsia" w:ascii="宋体" w:hAnsi="宋体" w:cs="宋体"/>
          <w:color w:val="000000"/>
          <w:sz w:val="24"/>
        </w:rPr>
        <w:t>5.4.5全部货物的外包装必须采用防漏、防潮、防震、防锈、防盗和考虑到可能会发生的野蛮装卸等长途运输及多次装卸之需要。如因乙方包装不当以及其它原因造成损坏或丢失，应由乙方负一切责任。</w:t>
      </w:r>
    </w:p>
    <w:p w14:paraId="0C4C4A2E">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六</w:t>
      </w:r>
      <w:r>
        <w:rPr>
          <w:rFonts w:hint="eastAsia" w:ascii="宋体" w:hAnsi="宋体" w:cs="宋体"/>
          <w:color w:val="000000"/>
          <w:sz w:val="24"/>
        </w:rPr>
        <w:t>、标的物的验收要求</w:t>
      </w:r>
    </w:p>
    <w:p w14:paraId="0C65E578">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2" w:firstLineChars="200"/>
        <w:textAlignment w:val="auto"/>
        <w:rPr>
          <w:rFonts w:ascii="宋体" w:hAnsi="宋体" w:cs="宋体"/>
          <w:bCs/>
          <w:color w:val="000000"/>
          <w:sz w:val="24"/>
        </w:rPr>
      </w:pPr>
      <w:r>
        <w:rPr>
          <w:rFonts w:hint="eastAsia" w:ascii="宋体" w:hAnsi="宋体" w:cs="宋体"/>
          <w:b/>
          <w:bCs/>
          <w:color w:val="000000"/>
          <w:sz w:val="24"/>
          <w:lang w:val="en-US" w:eastAsia="zh-CN"/>
        </w:rPr>
        <w:t>6</w:t>
      </w:r>
      <w:r>
        <w:rPr>
          <w:rFonts w:hint="eastAsia" w:ascii="宋体" w:hAnsi="宋体" w:cs="宋体"/>
          <w:b/>
          <w:bCs/>
          <w:color w:val="000000"/>
          <w:sz w:val="24"/>
        </w:rPr>
        <w:t>.1验收方案：</w:t>
      </w:r>
      <w:r>
        <w:rPr>
          <w:rFonts w:hint="eastAsia" w:ascii="宋体" w:hAnsi="宋体" w:cs="宋体"/>
          <w:bCs/>
          <w:color w:val="000000"/>
          <w:sz w:val="24"/>
        </w:rPr>
        <w:t>在接到乙方以书面形式提出验收申请后，在5个工作日内及时组织相关专业技术人员参与验收，并出具验收报告，作为支付货款的依据。</w:t>
      </w:r>
    </w:p>
    <w:p w14:paraId="3AE96166">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outlineLvl w:val="1"/>
        <w:rPr>
          <w:rFonts w:ascii="宋体" w:hAnsi="宋体" w:cs="宋体"/>
          <w:bCs/>
          <w:color w:val="000000"/>
          <w:sz w:val="24"/>
        </w:rPr>
      </w:pPr>
      <w:r>
        <w:rPr>
          <w:rFonts w:hint="eastAsia" w:ascii="宋体" w:hAnsi="宋体" w:cs="宋体"/>
          <w:bCs/>
          <w:color w:val="000000"/>
          <w:sz w:val="24"/>
          <w:lang w:val="en-US" w:eastAsia="zh-CN"/>
        </w:rPr>
        <w:t>6</w:t>
      </w:r>
      <w:r>
        <w:rPr>
          <w:rFonts w:hint="eastAsia" w:ascii="宋体" w:hAnsi="宋体" w:cs="宋体"/>
          <w:bCs/>
          <w:color w:val="000000"/>
          <w:sz w:val="24"/>
        </w:rPr>
        <w:t>.2全部货物交货时由甲方相关专业技术人员共同参与验收，如</w:t>
      </w:r>
      <w:r>
        <w:rPr>
          <w:rFonts w:hint="eastAsia" w:ascii="宋体" w:hAnsi="宋体" w:cs="宋体"/>
          <w:bCs/>
          <w:color w:val="000000"/>
          <w:sz w:val="24"/>
          <w:lang w:val="en-US" w:eastAsia="zh-CN"/>
        </w:rPr>
        <w:t>验收</w:t>
      </w:r>
      <w:r>
        <w:rPr>
          <w:rFonts w:hint="eastAsia" w:ascii="宋体" w:hAnsi="宋体" w:cs="宋体"/>
          <w:bCs/>
          <w:color w:val="000000"/>
          <w:sz w:val="24"/>
        </w:rPr>
        <w:t>不合格，履约保证金不予退还，由此所造成的一切损失由乙方负责。</w:t>
      </w:r>
    </w:p>
    <w:p w14:paraId="410832D4">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七</w:t>
      </w:r>
      <w:r>
        <w:rPr>
          <w:rFonts w:hint="eastAsia" w:ascii="宋体" w:hAnsi="宋体" w:cs="宋体"/>
          <w:color w:val="000000"/>
          <w:sz w:val="24"/>
        </w:rPr>
        <w:t>、质保及售后服务</w:t>
      </w:r>
    </w:p>
    <w:p w14:paraId="52D62B62">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kern w:val="0"/>
          <w:sz w:val="24"/>
          <w:lang w:val="zh-CN"/>
        </w:rPr>
      </w:pPr>
      <w:r>
        <w:rPr>
          <w:rFonts w:hint="eastAsia" w:ascii="宋体" w:hAnsi="宋体" w:cs="宋体"/>
          <w:color w:val="000000"/>
          <w:kern w:val="0"/>
          <w:sz w:val="24"/>
          <w:lang w:val="en-US" w:eastAsia="zh-CN"/>
        </w:rPr>
        <w:t>7</w:t>
      </w:r>
      <w:r>
        <w:rPr>
          <w:rFonts w:hint="eastAsia" w:ascii="宋体" w:hAnsi="宋体" w:cs="宋体"/>
          <w:color w:val="000000"/>
          <w:kern w:val="0"/>
          <w:sz w:val="24"/>
          <w:lang w:val="zh-CN"/>
        </w:rPr>
        <w:t>.1</w:t>
      </w:r>
      <w:r>
        <w:rPr>
          <w:rFonts w:hint="eastAsia" w:ascii="宋体" w:hAnsi="宋体" w:cs="宋体"/>
          <w:bCs/>
          <w:color w:val="000000"/>
          <w:sz w:val="24"/>
        </w:rPr>
        <w:t>除项目需求涉及到的材料，所需运输、装卸、分发、检测等涉及到的费用请自行测算并包含在项目整体报价中，如有遗漏均由乙方承担，非甲方进行功能性调整，不进行任何增补。一旦功能不符要求，项目改造费用均由乙方负责承担支付，同时甲方有权将合同款扣除用于支付第三方建设费用。</w:t>
      </w:r>
    </w:p>
    <w:p w14:paraId="70A573CD">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.2所有货品由乙方免费按时送达指定地点，并负责现场销售。</w:t>
      </w:r>
    </w:p>
    <w:p w14:paraId="29B9EBC8">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八</w:t>
      </w:r>
      <w:r>
        <w:rPr>
          <w:rFonts w:hint="eastAsia" w:ascii="宋体" w:hAnsi="宋体" w:cs="宋体"/>
          <w:color w:val="000000"/>
          <w:sz w:val="24"/>
        </w:rPr>
        <w:t>、违约责任</w:t>
      </w:r>
    </w:p>
    <w:p w14:paraId="58868BFB">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合同一方不履行合同义务或者履行合同义务不符合约定的，应当承担继续履行、采取补救措施或赔偿损失等违约责任。</w:t>
      </w:r>
    </w:p>
    <w:p w14:paraId="61E5DA9C">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.1 甲方违约责任</w:t>
      </w:r>
    </w:p>
    <w:p w14:paraId="7B9FBB23">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.1.1在合同生效后，非乙方原因甲方要求退货的，应向乙方偿付合同总价款的</w:t>
      </w:r>
      <w:r>
        <w:rPr>
          <w:rFonts w:hint="eastAsia" w:ascii="宋体" w:hAnsi="宋体" w:cs="宋体"/>
          <w:color w:val="000000"/>
          <w:sz w:val="24"/>
          <w:u w:val="single"/>
        </w:rPr>
        <w:t xml:space="preserve"> 5 </w:t>
      </w:r>
      <w:r>
        <w:rPr>
          <w:rFonts w:hint="eastAsia" w:ascii="宋体" w:hAnsi="宋体" w:cs="宋体"/>
          <w:color w:val="000000"/>
          <w:sz w:val="24"/>
        </w:rPr>
        <w:t>%，作为违约金，违约金不足以补偿损失的，乙方有权要求甲方补足。</w:t>
      </w:r>
    </w:p>
    <w:p w14:paraId="0575DDDE">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.1.2 甲方逾期支付货款的应按照逾期付款金额的每天</w:t>
      </w:r>
      <w:r>
        <w:rPr>
          <w:rFonts w:hint="eastAsia" w:ascii="宋体" w:hAnsi="宋体" w:cs="宋体"/>
          <w:color w:val="000000"/>
          <w:sz w:val="24"/>
          <w:u w:val="single"/>
        </w:rPr>
        <w:t xml:space="preserve"> 5% </w:t>
      </w:r>
      <w:r>
        <w:rPr>
          <w:rFonts w:hint="eastAsia" w:ascii="宋体" w:hAnsi="宋体" w:cs="宋体"/>
          <w:color w:val="000000"/>
          <w:sz w:val="24"/>
        </w:rPr>
        <w:t>支付逾期付款违约金。</w:t>
      </w:r>
    </w:p>
    <w:p w14:paraId="22249F05">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.1.3 甲方违反合同规定，拒绝接收乙方交付的合格标的物，应当承担乙方由此造成的损失。</w:t>
      </w:r>
    </w:p>
    <w:p w14:paraId="3532F2B0">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.2 乙方违约责任</w:t>
      </w:r>
    </w:p>
    <w:p w14:paraId="2C33F4AF">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bCs/>
          <w:color w:val="000000"/>
          <w:sz w:val="24"/>
        </w:rPr>
      </w:pPr>
      <w:r>
        <w:rPr>
          <w:rFonts w:hint="eastAsia" w:ascii="宋体" w:hAnsi="宋体" w:cs="宋体"/>
          <w:bCs/>
          <w:color w:val="000000"/>
          <w:sz w:val="24"/>
          <w:lang w:val="en-US" w:eastAsia="zh-CN"/>
        </w:rPr>
        <w:t>8</w:t>
      </w:r>
      <w:r>
        <w:rPr>
          <w:rFonts w:hint="eastAsia" w:ascii="宋体" w:hAnsi="宋体" w:cs="宋体"/>
          <w:bCs/>
          <w:color w:val="000000"/>
          <w:sz w:val="24"/>
        </w:rPr>
        <w:t>.2.1如成乙方不能按指定日期到货，每延误1天从履约保证金中扣5000.00元，扣完为止。</w:t>
      </w:r>
    </w:p>
    <w:p w14:paraId="4ECA697D">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s="宋体"/>
          <w:bCs/>
          <w:color w:val="000000"/>
          <w:sz w:val="24"/>
        </w:rPr>
      </w:pPr>
      <w:r>
        <w:rPr>
          <w:rFonts w:hint="eastAsia" w:ascii="宋体" w:hAnsi="宋体" w:cs="宋体"/>
          <w:bCs/>
          <w:color w:val="000000"/>
          <w:sz w:val="24"/>
          <w:lang w:val="en-US" w:eastAsia="zh-CN"/>
        </w:rPr>
        <w:t>8</w:t>
      </w:r>
      <w:r>
        <w:rPr>
          <w:rFonts w:hint="eastAsia" w:ascii="宋体" w:hAnsi="宋体" w:cs="宋体"/>
          <w:bCs/>
          <w:color w:val="000000"/>
          <w:sz w:val="24"/>
        </w:rPr>
        <w:t>.2.2全部货物交货时由相关专业技术人员参与验收，如</w:t>
      </w:r>
      <w:r>
        <w:rPr>
          <w:rFonts w:hint="eastAsia" w:ascii="宋体" w:hAnsi="宋体" w:cs="宋体"/>
          <w:bCs/>
          <w:color w:val="000000"/>
          <w:sz w:val="24"/>
          <w:lang w:val="en-US" w:eastAsia="zh-CN"/>
        </w:rPr>
        <w:t>验收</w:t>
      </w:r>
      <w:r>
        <w:rPr>
          <w:rFonts w:hint="eastAsia" w:ascii="宋体" w:hAnsi="宋体" w:cs="宋体"/>
          <w:bCs/>
          <w:color w:val="000000"/>
          <w:sz w:val="24"/>
        </w:rPr>
        <w:t>不合格，履约保证金不予退还，由此所造成的一切损失由乙方负责。</w:t>
      </w:r>
    </w:p>
    <w:p w14:paraId="6FC54B54">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bCs/>
          <w:color w:val="000000"/>
          <w:sz w:val="24"/>
        </w:rPr>
      </w:pPr>
      <w:r>
        <w:rPr>
          <w:rFonts w:hint="eastAsia" w:ascii="宋体" w:hAnsi="宋体" w:cs="宋体"/>
          <w:bCs/>
          <w:color w:val="000000"/>
          <w:sz w:val="24"/>
          <w:lang w:val="en-US" w:eastAsia="zh-CN"/>
        </w:rPr>
        <w:t>8</w:t>
      </w:r>
      <w:r>
        <w:rPr>
          <w:rFonts w:hint="eastAsia" w:ascii="宋体" w:hAnsi="宋体" w:cs="宋体"/>
          <w:bCs/>
          <w:color w:val="000000"/>
          <w:sz w:val="24"/>
        </w:rPr>
        <w:t>.2.3</w:t>
      </w:r>
      <w:r>
        <w:rPr>
          <w:rFonts w:hint="eastAsia" w:ascii="宋体" w:hAnsi="宋体" w:cs="宋体"/>
          <w:color w:val="000000"/>
          <w:sz w:val="24"/>
        </w:rPr>
        <w:t>乙方</w:t>
      </w:r>
      <w:r>
        <w:rPr>
          <w:rFonts w:hint="eastAsia" w:ascii="宋体" w:hAnsi="宋体" w:cs="宋体"/>
          <w:bCs/>
          <w:color w:val="000000"/>
          <w:sz w:val="24"/>
        </w:rPr>
        <w:t>售后服务未能达到要求，酌情扣除履约保证金5000.00元到10000.00元，扣完为止。</w:t>
      </w:r>
    </w:p>
    <w:p w14:paraId="5FC9B1CC">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九</w:t>
      </w:r>
      <w:r>
        <w:rPr>
          <w:rFonts w:hint="eastAsia" w:ascii="宋体" w:hAnsi="宋体" w:cs="宋体"/>
          <w:color w:val="000000"/>
          <w:sz w:val="24"/>
        </w:rPr>
        <w:t>、不可抗力</w:t>
      </w:r>
    </w:p>
    <w:p w14:paraId="38EB7683">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.1 因不可抗力不能履行合同的，根据不可抗力的影响，部分或者全部免除责任。但合同一方延迟履行后发生不可抗力的，不能免除责任。</w:t>
      </w:r>
    </w:p>
    <w:p w14:paraId="48BEE6A0">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.2 合同一方因不可抗力不能履行合同的，应当及时通知对方，以减轻可能给对方造成的损失，并应当在合理期限内提供证明。</w:t>
      </w:r>
    </w:p>
    <w:p w14:paraId="6FBD5738">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十、索赔</w:t>
      </w:r>
    </w:p>
    <w:p w14:paraId="465E1453">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w:t>
      </w:r>
      <w:r>
        <w:rPr>
          <w:rFonts w:hint="eastAsia" w:ascii="宋体" w:hAnsi="宋体" w:cs="宋体"/>
          <w:color w:val="000000"/>
          <w:sz w:val="24"/>
        </w:rPr>
        <w:t>.1 甲方有权根据当地</w:t>
      </w:r>
      <w:r>
        <w:rPr>
          <w:rFonts w:hint="eastAsia" w:ascii="宋体" w:hAnsi="宋体" w:cs="宋体"/>
          <w:color w:val="000000"/>
          <w:sz w:val="24"/>
          <w:lang w:val="en-US" w:eastAsia="zh-CN"/>
        </w:rPr>
        <w:t>产品</w:t>
      </w:r>
      <w:r>
        <w:rPr>
          <w:rFonts w:hint="eastAsia" w:ascii="宋体" w:hAnsi="宋体" w:cs="宋体"/>
          <w:color w:val="000000"/>
          <w:sz w:val="24"/>
        </w:rPr>
        <w:t>质量检验机构或其他有权部门出具的检验证书向乙方提出索赔。</w:t>
      </w:r>
    </w:p>
    <w:p w14:paraId="38698FF3">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w:t>
      </w:r>
      <w:r>
        <w:rPr>
          <w:rFonts w:hint="eastAsia" w:ascii="宋体" w:hAnsi="宋体" w:cs="宋体"/>
          <w:color w:val="000000"/>
          <w:sz w:val="24"/>
        </w:rPr>
        <w:t>.2 在本合同规定的检验期限和质量保证期内，如果乙方对甲方提出的索赔或差异有责任，则乙方应按甲方同意的下列一种或多种方式解决索赔事宜：</w:t>
      </w:r>
    </w:p>
    <w:p w14:paraId="23DDB865">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w:t>
      </w:r>
      <w:r>
        <w:rPr>
          <w:rFonts w:hint="eastAsia" w:ascii="宋体" w:hAnsi="宋体" w:cs="宋体"/>
          <w:color w:val="000000"/>
          <w:sz w:val="24"/>
        </w:rPr>
        <w:t>.2.1 乙方同意退货，并按合同规定的货币将货款退还给甲方，并且承担由此发生的一切损失和费用，包括利息、银行手续费、运费、保险费、检验费、仓储费、装卸费以及为保护退回标的物所需的其他必要费用。</w:t>
      </w:r>
    </w:p>
    <w:p w14:paraId="015D4199">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w:t>
      </w:r>
      <w:r>
        <w:rPr>
          <w:rFonts w:hint="eastAsia" w:ascii="宋体" w:hAnsi="宋体" w:cs="宋体"/>
          <w:color w:val="000000"/>
          <w:sz w:val="24"/>
        </w:rPr>
        <w:t>.2.2 根据标的物的低劣程度、损坏程度以及甲方遭受损失的数额，经双方协商确定降低标的物的价格。</w:t>
      </w:r>
    </w:p>
    <w:p w14:paraId="0A7F3FF6">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w:t>
      </w:r>
      <w:r>
        <w:rPr>
          <w:rFonts w:hint="eastAsia" w:ascii="宋体" w:hAnsi="宋体" w:cs="宋体"/>
          <w:color w:val="000000"/>
          <w:sz w:val="24"/>
        </w:rPr>
        <w:t>.2.3 用符合规格、质量和性能要求的新标的物来更换有缺陷的部分，乙方应承担一切费用和风险并且负担甲方所发生的一切直接费用。同时，乙方应按合同规定提供售后。</w:t>
      </w:r>
    </w:p>
    <w:p w14:paraId="2DD5F30D">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w:t>
      </w:r>
      <w:r>
        <w:rPr>
          <w:rFonts w:hint="eastAsia" w:ascii="宋体" w:hAnsi="宋体" w:cs="宋体"/>
          <w:color w:val="000000"/>
          <w:sz w:val="24"/>
        </w:rPr>
        <w:t xml:space="preserve">.3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2182160C">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ascii="宋体" w:hAnsi="宋体" w:cs="宋体"/>
          <w:color w:val="000000"/>
          <w:sz w:val="24"/>
        </w:rPr>
      </w:pPr>
      <w:r>
        <w:rPr>
          <w:rFonts w:hint="eastAsia" w:ascii="宋体" w:hAnsi="宋体" w:cs="宋体"/>
          <w:color w:val="000000"/>
          <w:sz w:val="24"/>
        </w:rPr>
        <w:t>十</w:t>
      </w:r>
      <w:r>
        <w:rPr>
          <w:rFonts w:hint="eastAsia" w:ascii="宋体" w:hAnsi="宋体" w:cs="宋体"/>
          <w:color w:val="000000"/>
          <w:sz w:val="24"/>
          <w:lang w:val="en-US" w:eastAsia="zh-CN"/>
        </w:rPr>
        <w:t>一</w:t>
      </w:r>
      <w:r>
        <w:rPr>
          <w:rFonts w:hint="eastAsia" w:ascii="宋体" w:hAnsi="宋体" w:cs="宋体"/>
          <w:color w:val="000000"/>
          <w:sz w:val="24"/>
        </w:rPr>
        <w:t>、安全责任</w:t>
      </w:r>
    </w:p>
    <w:p w14:paraId="7CDEE159">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ascii="宋体" w:hAnsi="宋体" w:cs="宋体"/>
          <w:color w:val="000000"/>
          <w:sz w:val="24"/>
        </w:rPr>
      </w:pPr>
      <w:r>
        <w:rPr>
          <w:rFonts w:hint="eastAsia" w:ascii="宋体" w:hAnsi="宋体" w:cs="宋体"/>
          <w:color w:val="000000"/>
          <w:sz w:val="24"/>
        </w:rPr>
        <w:t>乙方在运输、装卸、分发过程中必须具有完善的安全措施，按规范采取安全防护措施，在施工中的一切安全责任由乙方自行承担。</w:t>
      </w:r>
    </w:p>
    <w:p w14:paraId="42B524A2">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十</w:t>
      </w:r>
      <w:r>
        <w:rPr>
          <w:rFonts w:hint="eastAsia" w:ascii="宋体" w:hAnsi="宋体" w:cs="宋体"/>
          <w:color w:val="000000"/>
          <w:sz w:val="24"/>
          <w:lang w:val="en-US" w:eastAsia="zh-CN"/>
        </w:rPr>
        <w:t>二</w:t>
      </w:r>
      <w:r>
        <w:rPr>
          <w:rFonts w:hint="eastAsia" w:ascii="宋体" w:hAnsi="宋体" w:cs="宋体"/>
          <w:color w:val="000000"/>
          <w:sz w:val="24"/>
        </w:rPr>
        <w:t>、合同的解除和转让</w:t>
      </w:r>
    </w:p>
    <w:p w14:paraId="69A7621C">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2</w:t>
      </w:r>
      <w:r>
        <w:rPr>
          <w:rFonts w:hint="eastAsia" w:ascii="宋体" w:hAnsi="宋体" w:cs="宋体"/>
          <w:color w:val="000000"/>
          <w:sz w:val="24"/>
        </w:rPr>
        <w:t>.1 甲方和乙方协商一致，可以解除合同。</w:t>
      </w:r>
    </w:p>
    <w:p w14:paraId="683C80C9">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2</w:t>
      </w:r>
      <w:r>
        <w:rPr>
          <w:rFonts w:hint="eastAsia" w:ascii="宋体" w:hAnsi="宋体" w:cs="宋体"/>
          <w:color w:val="000000"/>
          <w:sz w:val="24"/>
        </w:rPr>
        <w:t>.2 有下列情形之一，合同一方可以解除合同：</w:t>
      </w:r>
    </w:p>
    <w:p w14:paraId="5C7649C4">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2</w:t>
      </w:r>
      <w:r>
        <w:rPr>
          <w:rFonts w:hint="eastAsia" w:ascii="宋体" w:hAnsi="宋体" w:cs="宋体"/>
          <w:color w:val="000000"/>
          <w:sz w:val="24"/>
        </w:rPr>
        <w:t>.2.1 因不可抗力致使不能实现合同目的，未受不可抗力影响的一方有权解除合同；</w:t>
      </w:r>
    </w:p>
    <w:p w14:paraId="08A80FC9">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2</w:t>
      </w:r>
      <w:r>
        <w:rPr>
          <w:rFonts w:hint="eastAsia" w:ascii="宋体" w:hAnsi="宋体" w:cs="宋体"/>
          <w:color w:val="000000"/>
          <w:sz w:val="24"/>
        </w:rPr>
        <w:t>.2.2 因合同一方违约导致合同不能履行，另一方有权解除合同；</w:t>
      </w:r>
    </w:p>
    <w:p w14:paraId="51E98622">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2</w:t>
      </w:r>
      <w:r>
        <w:rPr>
          <w:rFonts w:hint="eastAsia" w:ascii="宋体" w:hAnsi="宋体" w:cs="宋体"/>
          <w:color w:val="000000"/>
          <w:sz w:val="24"/>
        </w:rPr>
        <w:t>.2.3 有权解除合同的一方，应当在违约事实或不可抗力发生之后三十天内书面通知对方以主张解除合同，合同在书面通知到达对方时解除。</w:t>
      </w:r>
    </w:p>
    <w:p w14:paraId="67318BE8">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2</w:t>
      </w:r>
      <w:r>
        <w:rPr>
          <w:rFonts w:hint="eastAsia" w:ascii="宋体" w:hAnsi="宋体" w:cs="宋体"/>
          <w:color w:val="000000"/>
          <w:sz w:val="24"/>
        </w:rPr>
        <w:t>.3 合同的部分和全部都不得转让。</w:t>
      </w:r>
    </w:p>
    <w:p w14:paraId="2FD716E7">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十</w:t>
      </w:r>
      <w:r>
        <w:rPr>
          <w:rFonts w:hint="eastAsia" w:ascii="宋体" w:hAnsi="宋体" w:cs="宋体"/>
          <w:color w:val="000000"/>
          <w:sz w:val="24"/>
          <w:lang w:val="en-US" w:eastAsia="zh-CN"/>
        </w:rPr>
        <w:t>三</w:t>
      </w:r>
      <w:r>
        <w:rPr>
          <w:rFonts w:hint="eastAsia" w:ascii="宋体" w:hAnsi="宋体" w:cs="宋体"/>
          <w:color w:val="000000"/>
          <w:sz w:val="24"/>
        </w:rPr>
        <w:t>、履约保证金</w:t>
      </w:r>
    </w:p>
    <w:p w14:paraId="2588AD3B">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.1乙方按</w:t>
      </w:r>
      <w:r>
        <w:rPr>
          <w:rFonts w:hint="eastAsia" w:ascii="宋体" w:hAnsi="宋体" w:cs="宋体"/>
          <w:color w:val="000000"/>
          <w:sz w:val="24"/>
          <w:lang w:eastAsia="zh-CN"/>
        </w:rPr>
        <w:t>采购文件</w:t>
      </w:r>
      <w:r>
        <w:rPr>
          <w:rFonts w:hint="eastAsia" w:ascii="宋体" w:hAnsi="宋体" w:cs="宋体"/>
          <w:color w:val="000000"/>
          <w:sz w:val="24"/>
        </w:rPr>
        <w:t>规定缴纳了</w:t>
      </w:r>
      <w:r>
        <w:rPr>
          <w:rFonts w:hint="eastAsia" w:ascii="宋体" w:hAnsi="宋体" w:cs="宋体"/>
          <w:color w:val="000000"/>
          <w:sz w:val="24"/>
          <w:u w:val="single"/>
        </w:rPr>
        <w:t xml:space="preserve">    </w:t>
      </w:r>
      <w:r>
        <w:rPr>
          <w:rFonts w:hint="eastAsia" w:ascii="宋体" w:hAnsi="宋体" w:cs="宋体"/>
          <w:color w:val="000000"/>
          <w:sz w:val="24"/>
        </w:rPr>
        <w:t>万元的履约保证金，在按要求保质保量的完成该项目合同并通过验收后，甲方凭乙方提交的申请，一次性无息退还该合同项目的履约保证金。</w:t>
      </w:r>
    </w:p>
    <w:p w14:paraId="6358DD92">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.2由于乙方原因，在签订合同后出现不按合同履行的情况，甲方有权将履约保证金作为违约金，全额不予退还，同时甲方亦有权终止合同，乙方还须承担相应的法律赔偿责任。</w:t>
      </w:r>
    </w:p>
    <w:p w14:paraId="74C39FD1">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十</w:t>
      </w:r>
      <w:r>
        <w:rPr>
          <w:rFonts w:hint="eastAsia" w:ascii="宋体" w:hAnsi="宋体" w:cs="宋体"/>
          <w:color w:val="000000"/>
          <w:sz w:val="24"/>
          <w:lang w:val="en-US" w:eastAsia="zh-CN"/>
        </w:rPr>
        <w:t>四</w:t>
      </w:r>
      <w:r>
        <w:rPr>
          <w:rFonts w:hint="eastAsia" w:ascii="宋体" w:hAnsi="宋体" w:cs="宋体"/>
          <w:color w:val="000000"/>
          <w:sz w:val="24"/>
        </w:rPr>
        <w:t>、合同的生效</w:t>
      </w:r>
    </w:p>
    <w:p w14:paraId="253AC48F">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b/>
          <w:bCs/>
          <w:color w:val="000000"/>
          <w:sz w:val="24"/>
        </w:rPr>
      </w:pPr>
      <w:r>
        <w:rPr>
          <w:rFonts w:hint="eastAsia" w:ascii="宋体" w:hAnsi="宋体" w:cs="宋体"/>
          <w:color w:val="000000"/>
          <w:sz w:val="24"/>
        </w:rPr>
        <w:t>本合同在乙方按规定缴纳了履约保证金且甲乙双方签字盖章后即生效。</w:t>
      </w:r>
    </w:p>
    <w:p w14:paraId="7FA9D10A">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十</w:t>
      </w:r>
      <w:r>
        <w:rPr>
          <w:rFonts w:hint="eastAsia" w:ascii="宋体" w:hAnsi="宋体" w:cs="宋体"/>
          <w:color w:val="000000"/>
          <w:sz w:val="24"/>
          <w:lang w:val="en-US" w:eastAsia="zh-CN"/>
        </w:rPr>
        <w:t>五</w:t>
      </w:r>
      <w:r>
        <w:rPr>
          <w:rFonts w:hint="eastAsia" w:ascii="宋体" w:hAnsi="宋体" w:cs="宋体"/>
          <w:color w:val="000000"/>
          <w:sz w:val="24"/>
        </w:rPr>
        <w:t>、争议的解决</w:t>
      </w:r>
    </w:p>
    <w:p w14:paraId="56670540">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对于履行本合同发生的任何纠纷，甲、乙双方首先应本着友好的原则进行协商解决；如协商不成，可由当地工商行政管理部门调解；协商或调解不成的，按下列二种方式解决：（一）提交南通市仲裁委员会仲裁；（二）依法向南通市人民法院起诉。</w:t>
      </w:r>
    </w:p>
    <w:p w14:paraId="5884BF66">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十</w:t>
      </w:r>
      <w:r>
        <w:rPr>
          <w:rFonts w:hint="eastAsia" w:ascii="宋体" w:hAnsi="宋体" w:cs="宋体"/>
          <w:color w:val="000000"/>
          <w:sz w:val="24"/>
          <w:lang w:val="en-US" w:eastAsia="zh-CN"/>
        </w:rPr>
        <w:t>六</w:t>
      </w:r>
      <w:r>
        <w:rPr>
          <w:rFonts w:hint="eastAsia" w:ascii="宋体" w:hAnsi="宋体" w:cs="宋体"/>
          <w:color w:val="000000"/>
          <w:sz w:val="24"/>
        </w:rPr>
        <w:t>、附则</w:t>
      </w:r>
    </w:p>
    <w:p w14:paraId="401AF253">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6</w:t>
      </w:r>
      <w:r>
        <w:rPr>
          <w:rFonts w:hint="eastAsia" w:ascii="宋体" w:hAnsi="宋体" w:cs="宋体"/>
          <w:color w:val="000000"/>
          <w:sz w:val="24"/>
        </w:rPr>
        <w:t>.1 合同份数：本合同一式陆份，甲方肆份、乙方贰份。</w:t>
      </w:r>
    </w:p>
    <w:p w14:paraId="76B99E2A">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6</w:t>
      </w:r>
      <w:r>
        <w:rPr>
          <w:rFonts w:hint="eastAsia" w:ascii="宋体" w:hAnsi="宋体" w:cs="宋体"/>
          <w:color w:val="000000"/>
          <w:sz w:val="24"/>
        </w:rPr>
        <w:t>.2 本合同文件使用中文书写、解释和说明。</w:t>
      </w:r>
    </w:p>
    <w:p w14:paraId="46382C99">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6</w:t>
      </w:r>
      <w:r>
        <w:rPr>
          <w:rFonts w:hint="eastAsia" w:ascii="宋体" w:hAnsi="宋体" w:cs="宋体"/>
          <w:color w:val="000000"/>
          <w:sz w:val="24"/>
        </w:rPr>
        <w:t>.3 本合同履行过程中产生的纪要、协议以及成交通知书、采购响应文件和采购文件为本合同的附件，与合同具有同等效力。</w:t>
      </w:r>
    </w:p>
    <w:p w14:paraId="73D9A40F">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6</w:t>
      </w:r>
      <w:r>
        <w:rPr>
          <w:rFonts w:hint="eastAsia" w:ascii="宋体" w:hAnsi="宋体" w:cs="宋体"/>
          <w:color w:val="000000"/>
          <w:sz w:val="24"/>
        </w:rPr>
        <w:t>.4 未尽事宜</w:t>
      </w:r>
    </w:p>
    <w:p w14:paraId="668EAF16">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rPr>
        <w:t>本合同未尽事宜应按照《中华人民共和国民法典》、《中华人民共和国</w:t>
      </w:r>
      <w:r>
        <w:rPr>
          <w:rFonts w:hint="eastAsia" w:ascii="宋体" w:hAnsi="宋体" w:cs="宋体"/>
          <w:color w:val="000000"/>
          <w:sz w:val="24"/>
          <w:lang w:val="en-US" w:eastAsia="zh-CN"/>
        </w:rPr>
        <w:t>产品</w:t>
      </w:r>
      <w:r>
        <w:rPr>
          <w:rFonts w:hint="eastAsia" w:ascii="宋体" w:hAnsi="宋体" w:cs="宋体"/>
          <w:color w:val="000000"/>
          <w:sz w:val="24"/>
        </w:rPr>
        <w:t>质量法》及其相关配套法律法规之规定解释。</w:t>
      </w:r>
    </w:p>
    <w:p w14:paraId="6D3D2B18">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cs="宋体"/>
          <w:color w:val="000000"/>
          <w:sz w:val="24"/>
        </w:rPr>
      </w:pPr>
    </w:p>
    <w:p w14:paraId="740F8E85">
      <w:pPr>
        <w:pStyle w:val="23"/>
        <w:keepNext w:val="0"/>
        <w:keepLines w:val="0"/>
        <w:pageBreakBefore w:val="0"/>
        <w:widowControl/>
        <w:kinsoku/>
        <w:wordWrap/>
        <w:overflowPunct/>
        <w:topLinePunct w:val="0"/>
        <w:autoSpaceDE/>
        <w:autoSpaceDN/>
        <w:bidi w:val="0"/>
        <w:adjustRightInd w:val="0"/>
        <w:snapToGrid w:val="0"/>
        <w:spacing w:after="0" w:line="360" w:lineRule="auto"/>
        <w:ind w:left="0" w:leftChars="0" w:firstLine="560" w:firstLineChars="200"/>
        <w:textAlignment w:val="auto"/>
      </w:pPr>
    </w:p>
    <w:p w14:paraId="521521BE">
      <w:pPr>
        <w:pStyle w:val="2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sz w:val="24"/>
          <w:szCs w:val="21"/>
        </w:rPr>
      </w:pPr>
      <w:r>
        <w:rPr>
          <w:rFonts w:hint="eastAsia"/>
          <w:sz w:val="24"/>
          <w:szCs w:val="21"/>
        </w:rPr>
        <w:t xml:space="preserve">甲      方：江苏商贸职业学院          乙      方： </w:t>
      </w:r>
    </w:p>
    <w:p w14:paraId="322F9D35">
      <w:pPr>
        <w:pStyle w:val="2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sz w:val="24"/>
          <w:szCs w:val="21"/>
        </w:rPr>
      </w:pPr>
      <w:r>
        <w:rPr>
          <w:rFonts w:hint="eastAsia"/>
          <w:sz w:val="24"/>
          <w:szCs w:val="21"/>
        </w:rPr>
        <w:t xml:space="preserve">开户银行：中国银行南通金海岸支行      开户银行： </w:t>
      </w:r>
    </w:p>
    <w:p w14:paraId="51A59626">
      <w:pPr>
        <w:pStyle w:val="2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sz w:val="24"/>
          <w:szCs w:val="21"/>
        </w:rPr>
      </w:pPr>
      <w:r>
        <w:rPr>
          <w:rFonts w:hint="eastAsia"/>
          <w:sz w:val="24"/>
          <w:szCs w:val="21"/>
        </w:rPr>
        <w:t>帐    号：522258202631                帐    号：</w:t>
      </w:r>
    </w:p>
    <w:p w14:paraId="70D21A9A">
      <w:pPr>
        <w:pStyle w:val="2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sz w:val="24"/>
          <w:szCs w:val="21"/>
        </w:rPr>
      </w:pPr>
      <w:r>
        <w:rPr>
          <w:rFonts w:hint="eastAsia"/>
          <w:sz w:val="24"/>
          <w:szCs w:val="21"/>
        </w:rPr>
        <w:t xml:space="preserve">法定代表人：                          法定代表人： </w:t>
      </w:r>
    </w:p>
    <w:p w14:paraId="5A3E0AD9">
      <w:pPr>
        <w:pStyle w:val="2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sz w:val="24"/>
          <w:szCs w:val="21"/>
        </w:rPr>
      </w:pPr>
      <w:r>
        <w:rPr>
          <w:rFonts w:hint="eastAsia"/>
          <w:sz w:val="24"/>
          <w:szCs w:val="21"/>
        </w:rPr>
        <w:t>委托代理人：                          委托代理人：</w:t>
      </w:r>
    </w:p>
    <w:p w14:paraId="3075FF79">
      <w:pPr>
        <w:pStyle w:val="2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b/>
          <w:bCs/>
          <w:sz w:val="24"/>
          <w:szCs w:val="21"/>
        </w:rPr>
      </w:pPr>
      <w:r>
        <w:rPr>
          <w:rFonts w:hint="eastAsia"/>
          <w:sz w:val="24"/>
          <w:szCs w:val="21"/>
        </w:rPr>
        <w:t xml:space="preserve">日      期：                          日      期：  </w:t>
      </w:r>
    </w:p>
    <w:p w14:paraId="5A5E169F">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cs="宋体"/>
          <w:b/>
          <w:bCs/>
          <w:sz w:val="24"/>
          <w:szCs w:val="28"/>
        </w:rPr>
      </w:pPr>
    </w:p>
    <w:p w14:paraId="509EA635">
      <w:pPr>
        <w:spacing w:after="0" w:line="360" w:lineRule="auto"/>
        <w:ind w:firstLine="442" w:firstLineChars="200"/>
        <w:jc w:val="both"/>
        <w:rPr>
          <w:rFonts w:hint="eastAsia" w:ascii="宋体" w:hAnsi="宋体" w:cs="宋体"/>
          <w:b/>
          <w:bCs/>
          <w:sz w:val="24"/>
          <w:szCs w:val="24"/>
        </w:rPr>
      </w:pPr>
      <w:r>
        <w:rPr>
          <w:rFonts w:hint="eastAsia"/>
          <w:b/>
          <w:bCs/>
        </w:rPr>
        <w:t>注：采购人保留修改合同的权利。</w:t>
      </w:r>
    </w:p>
    <w:p w14:paraId="7E36EFE8">
      <w:pPr>
        <w:rPr>
          <w:rFonts w:hint="eastAsia" w:ascii="宋体" w:hAnsi="宋体" w:cs="宋体"/>
          <w:b/>
          <w:bCs/>
          <w:sz w:val="24"/>
          <w:szCs w:val="32"/>
        </w:rPr>
      </w:pPr>
      <w:r>
        <w:rPr>
          <w:rFonts w:hint="eastAsia" w:ascii="宋体" w:hAnsi="宋体" w:cs="宋体"/>
          <w:b/>
          <w:bCs/>
          <w:sz w:val="24"/>
          <w:szCs w:val="32"/>
        </w:rPr>
        <w:br w:type="page"/>
      </w:r>
    </w:p>
    <w:p w14:paraId="018E5E6C">
      <w:pPr>
        <w:spacing w:line="360" w:lineRule="auto"/>
        <w:ind w:firstLine="482" w:firstLineChars="200"/>
        <w:jc w:val="center"/>
        <w:rPr>
          <w:rFonts w:hint="eastAsia" w:ascii="宋体" w:hAnsi="宋体" w:cs="宋体"/>
          <w:b/>
          <w:sz w:val="24"/>
          <w:szCs w:val="24"/>
        </w:rPr>
      </w:pPr>
      <w:r>
        <w:rPr>
          <w:rFonts w:hint="eastAsia" w:ascii="宋体" w:hAnsi="宋体" w:cs="宋体"/>
          <w:b/>
          <w:bCs/>
          <w:sz w:val="24"/>
          <w:szCs w:val="32"/>
        </w:rPr>
        <w:t>第五部分  响应文件组成</w:t>
      </w:r>
    </w:p>
    <w:p w14:paraId="70866CB3">
      <w:pPr>
        <w:spacing w:line="360" w:lineRule="auto"/>
        <w:ind w:firstLine="482" w:firstLineChars="200"/>
        <w:jc w:val="both"/>
        <w:rPr>
          <w:rFonts w:hint="eastAsia" w:ascii="宋体" w:hAnsi="宋体" w:cs="宋体"/>
          <w:b/>
          <w:bCs/>
          <w:sz w:val="24"/>
          <w:szCs w:val="24"/>
        </w:rPr>
      </w:pPr>
      <w:r>
        <w:rPr>
          <w:rFonts w:hint="eastAsia" w:ascii="宋体" w:hAnsi="宋体" w:cs="宋体"/>
          <w:b/>
          <w:sz w:val="24"/>
          <w:szCs w:val="24"/>
        </w:rPr>
        <w:t>（一）资格审查文件相关的格式文件及表格</w:t>
      </w:r>
    </w:p>
    <w:p w14:paraId="0F84E48E">
      <w:pPr>
        <w:spacing w:line="360" w:lineRule="auto"/>
        <w:ind w:firstLine="482" w:firstLineChars="200"/>
        <w:jc w:val="center"/>
        <w:outlineLvl w:val="4"/>
        <w:rPr>
          <w:rFonts w:hint="eastAsia" w:ascii="宋体" w:hAnsi="宋体" w:cs="宋体"/>
          <w:b/>
          <w:bCs/>
          <w:sz w:val="24"/>
          <w:szCs w:val="24"/>
        </w:rPr>
      </w:pPr>
      <w:r>
        <w:rPr>
          <w:rFonts w:hint="eastAsia" w:ascii="宋体" w:hAnsi="宋体" w:cs="宋体"/>
          <w:b/>
          <w:bCs/>
          <w:sz w:val="24"/>
          <w:szCs w:val="24"/>
        </w:rPr>
        <w:t>1.法定代表人身份证明（法定代表人参加，则提供）</w:t>
      </w:r>
    </w:p>
    <w:p w14:paraId="4CC1B8EB">
      <w:pPr>
        <w:spacing w:line="360" w:lineRule="auto"/>
        <w:ind w:firstLine="480" w:firstLineChars="200"/>
        <w:jc w:val="both"/>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1E7DEC81">
      <w:pPr>
        <w:spacing w:line="360" w:lineRule="auto"/>
        <w:ind w:firstLine="480" w:firstLineChars="200"/>
        <w:jc w:val="both"/>
        <w:rPr>
          <w:rFonts w:hint="eastAsia" w:ascii="宋体" w:hAnsi="宋体" w:cs="宋体"/>
          <w:sz w:val="24"/>
          <w:szCs w:val="24"/>
        </w:rPr>
      </w:pPr>
      <w:r>
        <w:rPr>
          <w:rFonts w:hint="eastAsia" w:ascii="宋体" w:hAnsi="宋体" w:cs="宋体"/>
          <w:sz w:val="24"/>
          <w:szCs w:val="24"/>
          <w:u w:val="single"/>
        </w:rPr>
        <w:t xml:space="preserve">          先生／女士：</w:t>
      </w:r>
      <w:r>
        <w:rPr>
          <w:rFonts w:hint="eastAsia" w:ascii="宋体" w:hAnsi="宋体" w:cs="宋体"/>
          <w:sz w:val="24"/>
          <w:szCs w:val="24"/>
        </w:rPr>
        <w:t>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14:paraId="0B13FB94">
      <w:pPr>
        <w:spacing w:line="360" w:lineRule="auto"/>
        <w:ind w:firstLine="480" w:firstLineChars="200"/>
        <w:jc w:val="both"/>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518983E">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供应商（盖章）</w:t>
      </w:r>
    </w:p>
    <w:p w14:paraId="202A8B8A">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年    月    日</w:t>
      </w:r>
    </w:p>
    <w:p w14:paraId="3C615DA4">
      <w:pPr>
        <w:spacing w:line="360" w:lineRule="auto"/>
        <w:ind w:firstLine="480" w:firstLineChars="200"/>
        <w:jc w:val="both"/>
        <w:rPr>
          <w:rFonts w:hint="eastAsia" w:ascii="宋体" w:hAnsi="宋体" w:cs="宋体"/>
          <w:sz w:val="24"/>
          <w:szCs w:val="24"/>
        </w:rPr>
      </w:pPr>
    </w:p>
    <w:p w14:paraId="7A04007A">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注：提供法定代表人的身份证正反面复印件</w:t>
      </w:r>
    </w:p>
    <w:p w14:paraId="1E1EB960">
      <w:pPr>
        <w:spacing w:line="360" w:lineRule="auto"/>
        <w:ind w:firstLine="482" w:firstLineChars="200"/>
        <w:jc w:val="both"/>
        <w:outlineLvl w:val="4"/>
        <w:rPr>
          <w:rFonts w:hint="eastAsia" w:ascii="宋体" w:hAnsi="宋体" w:cs="宋体"/>
          <w:b/>
          <w:bCs/>
          <w:sz w:val="24"/>
          <w:szCs w:val="24"/>
        </w:rPr>
      </w:pPr>
    </w:p>
    <w:p w14:paraId="5F039C3D">
      <w:pPr>
        <w:spacing w:line="360" w:lineRule="auto"/>
        <w:ind w:firstLine="482" w:firstLineChars="200"/>
        <w:jc w:val="both"/>
        <w:outlineLvl w:val="4"/>
        <w:rPr>
          <w:rFonts w:hint="eastAsia" w:ascii="宋体" w:hAnsi="宋体" w:cs="宋体"/>
          <w:b/>
          <w:bCs/>
          <w:sz w:val="24"/>
          <w:szCs w:val="24"/>
        </w:rPr>
      </w:pPr>
    </w:p>
    <w:p w14:paraId="76FE095C">
      <w:pPr>
        <w:spacing w:line="360" w:lineRule="auto"/>
        <w:ind w:firstLine="482" w:firstLineChars="200"/>
        <w:jc w:val="both"/>
        <w:outlineLvl w:val="4"/>
        <w:rPr>
          <w:rFonts w:hint="eastAsia" w:ascii="宋体" w:hAnsi="宋体" w:cs="宋体"/>
          <w:b/>
          <w:bCs/>
          <w:sz w:val="24"/>
          <w:szCs w:val="24"/>
        </w:rPr>
      </w:pPr>
    </w:p>
    <w:p w14:paraId="2AD8E119">
      <w:pPr>
        <w:pStyle w:val="56"/>
        <w:spacing w:line="360" w:lineRule="auto"/>
        <w:ind w:firstLine="482" w:firstLineChars="200"/>
        <w:jc w:val="both"/>
        <w:rPr>
          <w:rFonts w:hint="eastAsia" w:ascii="宋体" w:hAnsi="宋体" w:eastAsia="宋体" w:cs="宋体"/>
          <w:b/>
          <w:bCs/>
          <w:szCs w:val="24"/>
        </w:rPr>
      </w:pPr>
    </w:p>
    <w:p w14:paraId="1404666C">
      <w:pPr>
        <w:pStyle w:val="56"/>
        <w:spacing w:line="360" w:lineRule="auto"/>
        <w:ind w:firstLine="482" w:firstLineChars="200"/>
        <w:jc w:val="both"/>
        <w:rPr>
          <w:rFonts w:hint="eastAsia" w:ascii="宋体" w:hAnsi="宋体" w:eastAsia="宋体" w:cs="宋体"/>
          <w:b/>
          <w:bCs/>
          <w:szCs w:val="24"/>
        </w:rPr>
      </w:pPr>
    </w:p>
    <w:p w14:paraId="78722B3A">
      <w:pPr>
        <w:pStyle w:val="56"/>
        <w:spacing w:line="360" w:lineRule="auto"/>
        <w:ind w:firstLine="482" w:firstLineChars="200"/>
        <w:jc w:val="both"/>
        <w:rPr>
          <w:rFonts w:hint="eastAsia" w:ascii="宋体" w:hAnsi="宋体" w:eastAsia="宋体" w:cs="宋体"/>
          <w:b/>
          <w:bCs/>
          <w:szCs w:val="24"/>
        </w:rPr>
      </w:pPr>
    </w:p>
    <w:p w14:paraId="699D4E2F">
      <w:pPr>
        <w:pStyle w:val="56"/>
        <w:spacing w:line="360" w:lineRule="auto"/>
        <w:ind w:firstLine="482" w:firstLineChars="200"/>
        <w:jc w:val="both"/>
        <w:rPr>
          <w:rFonts w:hint="eastAsia" w:ascii="宋体" w:hAnsi="宋体" w:eastAsia="宋体" w:cs="宋体"/>
          <w:b/>
          <w:bCs/>
          <w:szCs w:val="24"/>
        </w:rPr>
      </w:pPr>
    </w:p>
    <w:p w14:paraId="16D968DA">
      <w:pPr>
        <w:pStyle w:val="56"/>
        <w:spacing w:line="360" w:lineRule="auto"/>
        <w:ind w:firstLine="482" w:firstLineChars="200"/>
        <w:jc w:val="both"/>
        <w:rPr>
          <w:rFonts w:hint="eastAsia" w:ascii="宋体" w:hAnsi="宋体" w:eastAsia="宋体" w:cs="宋体"/>
          <w:b/>
          <w:bCs/>
          <w:szCs w:val="24"/>
        </w:rPr>
      </w:pPr>
    </w:p>
    <w:p w14:paraId="0FB4F984">
      <w:pPr>
        <w:pStyle w:val="56"/>
        <w:spacing w:line="360" w:lineRule="auto"/>
        <w:ind w:firstLine="482" w:firstLineChars="200"/>
        <w:jc w:val="both"/>
        <w:rPr>
          <w:rFonts w:hint="eastAsia" w:ascii="宋体" w:hAnsi="宋体" w:eastAsia="宋体" w:cs="宋体"/>
          <w:b/>
          <w:bCs/>
          <w:szCs w:val="24"/>
        </w:rPr>
      </w:pPr>
    </w:p>
    <w:p w14:paraId="544B8F2E">
      <w:pPr>
        <w:pStyle w:val="56"/>
        <w:spacing w:line="360" w:lineRule="auto"/>
        <w:ind w:firstLine="482" w:firstLineChars="200"/>
        <w:jc w:val="both"/>
        <w:rPr>
          <w:rFonts w:hint="eastAsia" w:ascii="宋体" w:hAnsi="宋体" w:eastAsia="宋体" w:cs="宋体"/>
          <w:b/>
          <w:bCs/>
          <w:szCs w:val="24"/>
        </w:rPr>
      </w:pPr>
    </w:p>
    <w:p w14:paraId="3A79B1DA">
      <w:pPr>
        <w:pStyle w:val="56"/>
        <w:spacing w:line="360" w:lineRule="auto"/>
        <w:ind w:firstLine="482" w:firstLineChars="200"/>
        <w:jc w:val="both"/>
        <w:rPr>
          <w:rFonts w:hint="eastAsia" w:ascii="宋体" w:hAnsi="宋体" w:eastAsia="宋体" w:cs="宋体"/>
          <w:b/>
          <w:bCs/>
          <w:szCs w:val="24"/>
        </w:rPr>
      </w:pPr>
    </w:p>
    <w:p w14:paraId="732FF790">
      <w:pPr>
        <w:spacing w:line="360" w:lineRule="auto"/>
        <w:ind w:firstLine="482" w:firstLineChars="200"/>
        <w:jc w:val="both"/>
        <w:outlineLvl w:val="4"/>
        <w:rPr>
          <w:rFonts w:hint="eastAsia" w:ascii="宋体" w:hAnsi="宋体" w:cs="宋体"/>
          <w:b/>
          <w:bCs/>
          <w:sz w:val="24"/>
          <w:szCs w:val="24"/>
        </w:rPr>
      </w:pPr>
    </w:p>
    <w:p w14:paraId="5AB92FCD">
      <w:pPr>
        <w:spacing w:line="360" w:lineRule="auto"/>
        <w:ind w:firstLine="482" w:firstLineChars="200"/>
        <w:jc w:val="center"/>
        <w:outlineLvl w:val="4"/>
        <w:rPr>
          <w:rFonts w:hint="eastAsia" w:ascii="宋体" w:hAnsi="宋体" w:cs="宋体"/>
          <w:b/>
          <w:bCs/>
          <w:sz w:val="24"/>
          <w:szCs w:val="24"/>
        </w:rPr>
      </w:pPr>
    </w:p>
    <w:p w14:paraId="5DF71AA0">
      <w:pPr>
        <w:spacing w:line="360" w:lineRule="auto"/>
        <w:ind w:firstLine="482" w:firstLineChars="200"/>
        <w:jc w:val="center"/>
        <w:outlineLvl w:val="4"/>
        <w:rPr>
          <w:rFonts w:hint="eastAsia" w:ascii="宋体" w:hAnsi="宋体" w:cs="宋体"/>
          <w:b/>
          <w:bCs/>
          <w:sz w:val="24"/>
          <w:szCs w:val="24"/>
        </w:rPr>
      </w:pPr>
      <w:r>
        <w:rPr>
          <w:rFonts w:hint="eastAsia" w:ascii="宋体" w:hAnsi="宋体" w:cs="宋体"/>
          <w:b/>
          <w:bCs/>
          <w:sz w:val="24"/>
          <w:szCs w:val="24"/>
        </w:rPr>
        <w:t>2.法定代表人授权委托书（授权代表参加，则提供）</w:t>
      </w:r>
    </w:p>
    <w:p w14:paraId="33A2A403">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w:t>
      </w:r>
    </w:p>
    <w:p w14:paraId="48C364E3">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　　   （姓名）　　 （身份证号）为我公司代理人，以本公司的名义参加本项目的询价响应活动。代理人在开标、评标、合同谈判过程中所签署的一切文件和处理与之有关的一切事务，我均予以承认。</w:t>
      </w:r>
    </w:p>
    <w:p w14:paraId="6F03A8FB">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被委托授权人无转委权。特此委托。</w:t>
      </w:r>
    </w:p>
    <w:p w14:paraId="0FA82E09">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 xml:space="preserve">              </w:t>
      </w:r>
    </w:p>
    <w:p w14:paraId="0E2A63C7">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法定代表人签字：</w:t>
      </w:r>
    </w:p>
    <w:p w14:paraId="639DCDAB">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被委托授权人签字：</w:t>
      </w:r>
    </w:p>
    <w:p w14:paraId="7E7A9E9F">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谈判供应商（盖章）</w:t>
      </w:r>
    </w:p>
    <w:p w14:paraId="20CE7100">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年    月    日</w:t>
      </w:r>
    </w:p>
    <w:p w14:paraId="6CD1FF16">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法定代表身份证明身份证正反面复印件</w:t>
      </w:r>
    </w:p>
    <w:p w14:paraId="315834CF">
      <w:pPr>
        <w:spacing w:line="360" w:lineRule="auto"/>
        <w:ind w:firstLine="480" w:firstLineChars="200"/>
        <w:jc w:val="both"/>
        <w:rPr>
          <w:rFonts w:hint="eastAsia" w:ascii="宋体" w:hAnsi="宋体" w:cs="宋体"/>
          <w:bCs/>
          <w:sz w:val="24"/>
          <w:szCs w:val="24"/>
        </w:rPr>
      </w:pPr>
    </w:p>
    <w:p w14:paraId="003EE76B">
      <w:pPr>
        <w:spacing w:line="360" w:lineRule="auto"/>
        <w:ind w:firstLine="480" w:firstLineChars="200"/>
        <w:jc w:val="both"/>
        <w:rPr>
          <w:rFonts w:hint="eastAsia" w:ascii="宋体" w:hAnsi="宋体" w:cs="宋体"/>
          <w:bCs/>
          <w:sz w:val="24"/>
          <w:szCs w:val="24"/>
        </w:rPr>
      </w:pPr>
    </w:p>
    <w:p w14:paraId="5B756E2E">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被委托授权人的身份证正反面复印件</w:t>
      </w:r>
    </w:p>
    <w:p w14:paraId="2D162784">
      <w:pPr>
        <w:spacing w:line="360" w:lineRule="auto"/>
        <w:ind w:firstLine="482" w:firstLineChars="200"/>
        <w:rPr>
          <w:rFonts w:hint="eastAsia" w:ascii="宋体" w:hAnsi="宋体" w:cs="宋体"/>
          <w:b/>
          <w:sz w:val="24"/>
          <w:szCs w:val="30"/>
        </w:rPr>
      </w:pPr>
      <w:r>
        <w:rPr>
          <w:rFonts w:hint="eastAsia" w:ascii="宋体" w:hAnsi="宋体" w:cs="宋体"/>
          <w:b/>
          <w:sz w:val="24"/>
          <w:szCs w:val="30"/>
        </w:rPr>
        <w:br w:type="page"/>
      </w:r>
    </w:p>
    <w:p w14:paraId="5B223A74">
      <w:pPr>
        <w:spacing w:line="360" w:lineRule="auto"/>
        <w:ind w:firstLine="482" w:firstLineChars="200"/>
        <w:jc w:val="center"/>
        <w:rPr>
          <w:rFonts w:hint="eastAsia" w:ascii="宋体" w:hAnsi="宋体" w:cs="宋体"/>
          <w:b/>
          <w:sz w:val="24"/>
          <w:szCs w:val="30"/>
        </w:rPr>
      </w:pPr>
      <w:r>
        <w:rPr>
          <w:rFonts w:hint="eastAsia" w:ascii="宋体" w:hAnsi="宋体" w:cs="宋体"/>
          <w:b/>
          <w:sz w:val="24"/>
          <w:szCs w:val="30"/>
        </w:rPr>
        <w:t>3.符合本项目采购人资格要求的承诺函</w:t>
      </w:r>
    </w:p>
    <w:p w14:paraId="3FB3BA8F">
      <w:pPr>
        <w:spacing w:line="360" w:lineRule="auto"/>
        <w:ind w:firstLine="482" w:firstLineChars="200"/>
        <w:rPr>
          <w:rFonts w:hint="eastAsia" w:ascii="宋体" w:hAnsi="宋体" w:cs="宋体"/>
          <w:b/>
          <w:bCs/>
          <w:sz w:val="24"/>
          <w:szCs w:val="44"/>
        </w:rPr>
      </w:pPr>
      <w:r>
        <w:rPr>
          <w:rFonts w:hint="eastAsia" w:ascii="宋体" w:hAnsi="宋体" w:cs="宋体"/>
          <w:b/>
          <w:bCs/>
          <w:sz w:val="24"/>
          <w:szCs w:val="21"/>
        </w:rPr>
        <w:t xml:space="preserve"> 江苏商贸职业学院：                    </w:t>
      </w:r>
      <w:r>
        <w:rPr>
          <w:rFonts w:hint="eastAsia" w:ascii="宋体" w:hAnsi="宋体" w:cs="宋体"/>
          <w:b/>
          <w:bCs/>
          <w:sz w:val="24"/>
          <w:szCs w:val="44"/>
        </w:rPr>
        <w:t xml:space="preserve">  </w:t>
      </w:r>
    </w:p>
    <w:p w14:paraId="19699840">
      <w:pPr>
        <w:spacing w:line="360" w:lineRule="auto"/>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（项目编号）投标活动。针对本项目采购人资格要求做出如下承诺：</w:t>
      </w:r>
    </w:p>
    <w:p w14:paraId="72CF3642">
      <w:pPr>
        <w:spacing w:line="360" w:lineRule="auto"/>
        <w:ind w:firstLine="480" w:firstLineChars="200"/>
        <w:rPr>
          <w:rFonts w:hint="eastAsia" w:ascii="宋体" w:hAnsi="宋体" w:cs="宋体"/>
          <w:sz w:val="24"/>
        </w:rPr>
      </w:pPr>
      <w:r>
        <w:rPr>
          <w:rFonts w:hint="eastAsia" w:ascii="宋体" w:hAnsi="宋体" w:cs="宋体"/>
          <w:bCs/>
          <w:sz w:val="24"/>
          <w:szCs w:val="21"/>
        </w:rPr>
        <w:t>1.我单位具有独立承担民事责任的能力；</w:t>
      </w:r>
    </w:p>
    <w:p w14:paraId="45F472DC">
      <w:pPr>
        <w:spacing w:line="360" w:lineRule="auto"/>
        <w:ind w:firstLine="480" w:firstLineChars="200"/>
        <w:rPr>
          <w:rFonts w:hint="eastAsia" w:ascii="宋体" w:hAnsi="宋体" w:cs="宋体"/>
          <w:sz w:val="24"/>
        </w:rPr>
      </w:pPr>
      <w:r>
        <w:rPr>
          <w:rFonts w:hint="eastAsia" w:ascii="宋体" w:hAnsi="宋体" w:cs="宋体"/>
          <w:sz w:val="24"/>
        </w:rPr>
        <w:t>2.我单位具有良好的商业信誉和健全的财务会计制度；</w:t>
      </w:r>
    </w:p>
    <w:p w14:paraId="7CE862E3">
      <w:pPr>
        <w:spacing w:line="360" w:lineRule="auto"/>
        <w:ind w:firstLine="480" w:firstLineChars="200"/>
        <w:rPr>
          <w:rFonts w:hint="eastAsia" w:ascii="宋体" w:hAnsi="宋体" w:cs="宋体"/>
          <w:sz w:val="24"/>
        </w:rPr>
      </w:pPr>
      <w:r>
        <w:rPr>
          <w:rFonts w:hint="eastAsia" w:ascii="宋体" w:hAnsi="宋体" w:cs="宋体"/>
          <w:sz w:val="24"/>
        </w:rPr>
        <w:t>3.我单位具有履行合同所必需的设备和专业技术能力；</w:t>
      </w:r>
    </w:p>
    <w:p w14:paraId="0F701775">
      <w:pPr>
        <w:spacing w:line="360" w:lineRule="auto"/>
        <w:ind w:firstLine="480" w:firstLineChars="200"/>
        <w:rPr>
          <w:rFonts w:hint="eastAsia" w:ascii="宋体" w:hAnsi="宋体" w:cs="宋体"/>
          <w:sz w:val="24"/>
        </w:rPr>
      </w:pPr>
      <w:r>
        <w:rPr>
          <w:rFonts w:hint="eastAsia" w:ascii="宋体" w:hAnsi="宋体" w:cs="宋体"/>
          <w:sz w:val="24"/>
        </w:rPr>
        <w:t>4.我单位有依法缴纳税收和社会保障资金的良好记录；</w:t>
      </w:r>
    </w:p>
    <w:p w14:paraId="7F7CEF00">
      <w:pPr>
        <w:spacing w:line="360" w:lineRule="auto"/>
        <w:ind w:firstLine="480" w:firstLineChars="200"/>
        <w:rPr>
          <w:rFonts w:hint="eastAsia"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03AFF84">
      <w:pPr>
        <w:spacing w:line="360" w:lineRule="auto"/>
        <w:ind w:firstLine="480" w:firstLineChars="200"/>
        <w:rPr>
          <w:rFonts w:hint="eastAsia" w:ascii="宋体" w:hAnsi="宋体" w:cs="宋体"/>
          <w:sz w:val="24"/>
        </w:rPr>
      </w:pPr>
      <w:r>
        <w:rPr>
          <w:rFonts w:hint="eastAsia" w:ascii="宋体" w:hAnsi="宋体" w:cs="宋体"/>
          <w:sz w:val="24"/>
        </w:rPr>
        <w:t>6.我单位满足法律、行政法规规定的其他条件。</w:t>
      </w:r>
    </w:p>
    <w:p w14:paraId="31349BF4">
      <w:pPr>
        <w:spacing w:line="360" w:lineRule="auto"/>
        <w:ind w:firstLine="480" w:firstLineChars="200"/>
        <w:rPr>
          <w:rFonts w:hint="eastAsia" w:ascii="宋体" w:hAnsi="宋体" w:cs="宋体"/>
          <w:sz w:val="24"/>
        </w:rPr>
      </w:pPr>
    </w:p>
    <w:p w14:paraId="76802662">
      <w:pPr>
        <w:spacing w:line="360" w:lineRule="auto"/>
        <w:ind w:firstLine="480" w:firstLineChars="200"/>
        <w:rPr>
          <w:rFonts w:hint="eastAsia" w:ascii="宋体" w:hAnsi="宋体" w:cs="宋体"/>
          <w:bCs/>
          <w:sz w:val="24"/>
          <w:szCs w:val="21"/>
        </w:rPr>
      </w:pPr>
    </w:p>
    <w:p w14:paraId="52733781">
      <w:pPr>
        <w:spacing w:line="360" w:lineRule="auto"/>
        <w:ind w:firstLine="480" w:firstLineChars="200"/>
        <w:rPr>
          <w:rFonts w:hint="eastAsia" w:ascii="宋体" w:hAnsi="宋体" w:cs="宋体"/>
          <w:bCs/>
          <w:sz w:val="24"/>
          <w:szCs w:val="21"/>
        </w:rPr>
      </w:pPr>
    </w:p>
    <w:p w14:paraId="3C5B4DBF">
      <w:pPr>
        <w:spacing w:line="360" w:lineRule="auto"/>
        <w:ind w:firstLine="480" w:firstLineChars="200"/>
        <w:jc w:val="center"/>
        <w:rPr>
          <w:rFonts w:hint="eastAsia" w:ascii="宋体" w:hAnsi="宋体" w:cs="宋体"/>
          <w:bCs/>
          <w:sz w:val="24"/>
          <w:szCs w:val="21"/>
        </w:rPr>
      </w:pPr>
      <w:r>
        <w:rPr>
          <w:rFonts w:hint="eastAsia" w:ascii="宋体" w:hAnsi="宋体" w:cs="宋体"/>
          <w:bCs/>
          <w:sz w:val="24"/>
          <w:szCs w:val="21"/>
        </w:rPr>
        <w:t xml:space="preserve">                                             承诺人名称（公章）：</w:t>
      </w:r>
    </w:p>
    <w:p w14:paraId="2B75D704">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w:t>
      </w:r>
    </w:p>
    <w:p w14:paraId="7FFC8C92">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6641EF56">
      <w:pPr>
        <w:spacing w:line="360" w:lineRule="auto"/>
        <w:ind w:firstLine="482" w:firstLineChars="200"/>
        <w:contextualSpacing/>
        <w:rPr>
          <w:rFonts w:hint="eastAsia" w:ascii="宋体" w:hAnsi="宋体" w:cs="宋体"/>
          <w:b/>
          <w:sz w:val="24"/>
          <w:szCs w:val="28"/>
        </w:rPr>
      </w:pPr>
    </w:p>
    <w:p w14:paraId="2287D6C8">
      <w:pPr>
        <w:spacing w:line="360" w:lineRule="auto"/>
        <w:ind w:firstLine="480" w:firstLineChars="200"/>
        <w:jc w:val="both"/>
        <w:rPr>
          <w:rFonts w:hint="eastAsia" w:ascii="宋体" w:hAnsi="宋体" w:cs="宋体"/>
          <w:sz w:val="24"/>
          <w:szCs w:val="28"/>
        </w:rPr>
      </w:pPr>
    </w:p>
    <w:p w14:paraId="63FDCEB4">
      <w:pPr>
        <w:pStyle w:val="24"/>
        <w:spacing w:line="360" w:lineRule="auto"/>
        <w:ind w:left="440" w:firstLine="480"/>
        <w:rPr>
          <w:rFonts w:hint="eastAsia" w:ascii="宋体" w:hAnsi="宋体" w:cs="宋体"/>
          <w:sz w:val="24"/>
          <w:szCs w:val="28"/>
        </w:rPr>
      </w:pPr>
    </w:p>
    <w:p w14:paraId="122F083E">
      <w:pPr>
        <w:spacing w:line="360" w:lineRule="auto"/>
        <w:ind w:firstLine="480" w:firstLineChars="200"/>
        <w:rPr>
          <w:rFonts w:hint="eastAsia" w:ascii="宋体" w:hAnsi="宋体" w:cs="宋体"/>
          <w:sz w:val="24"/>
        </w:rPr>
      </w:pPr>
    </w:p>
    <w:p w14:paraId="4E49E18D">
      <w:pPr>
        <w:pStyle w:val="80"/>
        <w:spacing w:line="360" w:lineRule="auto"/>
        <w:ind w:firstLine="480"/>
        <w:rPr>
          <w:rFonts w:hint="eastAsia" w:ascii="宋体" w:hAnsi="宋体" w:eastAsia="宋体" w:cs="宋体"/>
        </w:rPr>
      </w:pPr>
    </w:p>
    <w:p w14:paraId="4F2E8A8F">
      <w:pPr>
        <w:kinsoku w:val="0"/>
        <w:topLinePunct/>
        <w:autoSpaceDE w:val="0"/>
        <w:autoSpaceDN w:val="0"/>
        <w:spacing w:line="360" w:lineRule="auto"/>
        <w:ind w:right="210" w:firstLine="482" w:firstLineChars="200"/>
        <w:jc w:val="center"/>
        <w:textAlignment w:val="baseline"/>
        <w:rPr>
          <w:rFonts w:hint="eastAsia" w:ascii="宋体" w:hAnsi="宋体" w:cs="宋体"/>
          <w:b/>
          <w:sz w:val="24"/>
          <w:szCs w:val="28"/>
        </w:rPr>
      </w:pPr>
      <w:r>
        <w:rPr>
          <w:rFonts w:hint="eastAsia" w:ascii="宋体" w:hAnsi="宋体" w:cs="宋体"/>
          <w:b/>
          <w:bCs/>
          <w:sz w:val="24"/>
          <w:szCs w:val="28"/>
        </w:rPr>
        <w:t>4.</w:t>
      </w:r>
      <w:r>
        <w:rPr>
          <w:rFonts w:hint="eastAsia" w:ascii="宋体" w:hAnsi="宋体" w:cs="宋体"/>
          <w:b/>
          <w:sz w:val="24"/>
          <w:szCs w:val="28"/>
        </w:rPr>
        <w:t>无重大违法记录声明</w:t>
      </w:r>
    </w:p>
    <w:p w14:paraId="70FA2F87">
      <w:pPr>
        <w:spacing w:line="360" w:lineRule="auto"/>
        <w:ind w:firstLine="480" w:firstLineChars="200"/>
        <w:rPr>
          <w:rFonts w:hint="eastAsia" w:ascii="宋体" w:hAnsi="宋体" w:cs="宋体"/>
          <w:bCs/>
          <w:sz w:val="24"/>
          <w:szCs w:val="28"/>
        </w:rPr>
      </w:pPr>
    </w:p>
    <w:p w14:paraId="49BCEE9D">
      <w:pPr>
        <w:spacing w:line="360" w:lineRule="auto"/>
        <w:ind w:firstLine="480" w:firstLineChars="200"/>
        <w:rPr>
          <w:rFonts w:hint="eastAsia" w:ascii="宋体" w:hAnsi="宋体" w:cs="宋体"/>
          <w:bCs/>
          <w:sz w:val="24"/>
          <w:szCs w:val="28"/>
        </w:rPr>
      </w:pPr>
      <w:r>
        <w:rPr>
          <w:rFonts w:hint="eastAsia" w:ascii="宋体" w:hAnsi="宋体" w:cs="宋体"/>
          <w:bCs/>
          <w:sz w:val="24"/>
          <w:szCs w:val="28"/>
        </w:rPr>
        <w:t>江苏商贸职业学院：</w:t>
      </w:r>
    </w:p>
    <w:p w14:paraId="2C1CDEB3">
      <w:pPr>
        <w:spacing w:line="360" w:lineRule="auto"/>
        <w:ind w:firstLine="480" w:firstLineChars="200"/>
        <w:rPr>
          <w:rFonts w:hint="eastAsia" w:ascii="宋体" w:hAnsi="宋体" w:cs="宋体"/>
          <w:sz w:val="24"/>
          <w:szCs w:val="28"/>
        </w:rPr>
      </w:pPr>
      <w:r>
        <w:rPr>
          <w:rFonts w:hint="eastAsia" w:ascii="宋体" w:hAnsi="宋体" w:cs="宋体"/>
          <w:sz w:val="24"/>
          <w:szCs w:val="28"/>
        </w:rPr>
        <w:t>我公司郑重声明：参加本次采购活动前 3 年内，我公司在经营活动中</w:t>
      </w:r>
      <w:r>
        <w:rPr>
          <w:rFonts w:hint="eastAsia" w:ascii="宋体" w:hAnsi="宋体" w:cs="宋体"/>
          <w:b/>
          <w:bCs/>
          <w:sz w:val="24"/>
          <w:szCs w:val="28"/>
          <w:u w:val="single"/>
        </w:rPr>
        <w:t>（有/没有）</w:t>
      </w:r>
      <w:r>
        <w:rPr>
          <w:rFonts w:hint="eastAsia" w:ascii="宋体" w:hAnsi="宋体" w:cs="宋体"/>
          <w:sz w:val="24"/>
          <w:szCs w:val="28"/>
        </w:rPr>
        <w:t>因违法经营受到刑事处罚或者责令停产停业、吊销许可证或者执照、较大数额罚款等行政处罚。</w:t>
      </w:r>
    </w:p>
    <w:p w14:paraId="57133E49">
      <w:pPr>
        <w:spacing w:line="360" w:lineRule="auto"/>
        <w:ind w:firstLine="480" w:firstLineChars="200"/>
        <w:rPr>
          <w:rFonts w:hint="eastAsia" w:ascii="宋体" w:hAnsi="宋体" w:cs="宋体"/>
          <w:sz w:val="24"/>
          <w:szCs w:val="28"/>
        </w:rPr>
      </w:pPr>
      <w:r>
        <w:rPr>
          <w:rFonts w:hint="eastAsia" w:ascii="宋体" w:hAnsi="宋体" w:cs="宋体"/>
          <w:sz w:val="24"/>
          <w:szCs w:val="28"/>
        </w:rPr>
        <w:t>在投标截止时间节点，没有被</w:t>
      </w:r>
      <w:r>
        <w:rPr>
          <w:rFonts w:hint="eastAsia" w:ascii="宋体" w:hAnsi="宋体" w:cs="宋体"/>
          <w:sz w:val="24"/>
          <w:szCs w:val="32"/>
        </w:rPr>
        <w:t>“信用江苏”“信用中国”</w:t>
      </w:r>
      <w:r>
        <w:rPr>
          <w:rFonts w:hint="eastAsia" w:ascii="宋体" w:hAnsi="宋体" w:cs="宋体"/>
          <w:sz w:val="24"/>
          <w:szCs w:val="28"/>
        </w:rPr>
        <w:t>网站列入失信被执行人、重大税收违法案件当事人名单、采购严重违法失信行为记录名单。</w:t>
      </w:r>
    </w:p>
    <w:p w14:paraId="33EE5703">
      <w:pPr>
        <w:spacing w:line="360" w:lineRule="auto"/>
        <w:ind w:firstLine="480" w:firstLineChars="200"/>
        <w:rPr>
          <w:rFonts w:hint="eastAsia" w:ascii="宋体" w:hAnsi="宋体" w:cs="宋体"/>
          <w:sz w:val="24"/>
          <w:szCs w:val="28"/>
        </w:rPr>
      </w:pPr>
    </w:p>
    <w:p w14:paraId="3CDDF54A">
      <w:pPr>
        <w:spacing w:line="360" w:lineRule="auto"/>
        <w:ind w:right="720" w:firstLine="480" w:firstLineChars="200"/>
        <w:contextualSpacing/>
        <w:jc w:val="right"/>
        <w:rPr>
          <w:rFonts w:hint="eastAsia" w:ascii="宋体" w:hAnsi="宋体" w:cs="宋体"/>
          <w:sz w:val="24"/>
          <w:szCs w:val="28"/>
        </w:rPr>
      </w:pPr>
      <w:r>
        <w:rPr>
          <w:rFonts w:hint="eastAsia" w:ascii="宋体" w:hAnsi="宋体" w:cs="宋体"/>
          <w:sz w:val="24"/>
          <w:szCs w:val="28"/>
        </w:rPr>
        <w:t>法定代表人或授权委托人签字：</w:t>
      </w:r>
    </w:p>
    <w:p w14:paraId="130F4EEF">
      <w:pPr>
        <w:spacing w:line="360" w:lineRule="auto"/>
        <w:ind w:right="720" w:firstLine="480" w:firstLineChars="200"/>
        <w:contextualSpacing/>
        <w:jc w:val="center"/>
        <w:rPr>
          <w:rFonts w:hint="eastAsia" w:ascii="宋体" w:hAnsi="宋体" w:cs="宋体"/>
          <w:sz w:val="24"/>
          <w:szCs w:val="28"/>
        </w:rPr>
      </w:pPr>
      <w:r>
        <w:rPr>
          <w:rFonts w:hint="eastAsia" w:ascii="宋体" w:hAnsi="宋体" w:cs="宋体"/>
          <w:sz w:val="24"/>
          <w:szCs w:val="28"/>
        </w:rPr>
        <w:t xml:space="preserve">                              供应商名称（盖章）：</w:t>
      </w:r>
    </w:p>
    <w:p w14:paraId="4A5D99CC">
      <w:pPr>
        <w:spacing w:line="360" w:lineRule="auto"/>
        <w:ind w:firstLine="480" w:firstLineChars="200"/>
        <w:jc w:val="center"/>
        <w:outlineLvl w:val="0"/>
        <w:rPr>
          <w:rFonts w:hint="eastAsia" w:ascii="宋体" w:hAnsi="宋体" w:cs="宋体"/>
          <w:sz w:val="24"/>
          <w:szCs w:val="28"/>
        </w:rPr>
        <w:sectPr>
          <w:headerReference r:id="rId6" w:type="default"/>
          <w:footerReference r:id="rId7" w:type="default"/>
          <w:pgSz w:w="11906" w:h="16838"/>
          <w:pgMar w:top="1361" w:right="1361" w:bottom="1361" w:left="1361" w:header="708" w:footer="709" w:gutter="0"/>
          <w:cols w:space="720" w:num="1"/>
          <w:docGrid w:linePitch="360" w:charSpace="0"/>
        </w:sectPr>
      </w:pPr>
      <w:r>
        <w:rPr>
          <w:rFonts w:hint="eastAsia" w:ascii="宋体" w:hAnsi="宋体" w:cs="宋体"/>
          <w:sz w:val="24"/>
          <w:szCs w:val="28"/>
        </w:rPr>
        <w:t xml:space="preserve">           </w:t>
      </w:r>
      <w:bookmarkStart w:id="1" w:name="_Toc12794"/>
      <w:r>
        <w:rPr>
          <w:rFonts w:hint="eastAsia" w:ascii="宋体" w:hAnsi="宋体" w:cs="宋体"/>
          <w:sz w:val="24"/>
          <w:szCs w:val="28"/>
        </w:rPr>
        <w:t>日期：</w:t>
      </w:r>
      <w:bookmarkEnd w:id="1"/>
    </w:p>
    <w:p w14:paraId="54BA0183">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32"/>
        </w:rPr>
        <w:t>5.商务部分正负偏离表</w:t>
      </w:r>
    </w:p>
    <w:p w14:paraId="2F8DB582">
      <w:pPr>
        <w:spacing w:line="360" w:lineRule="auto"/>
        <w:ind w:firstLine="480" w:firstLineChars="200"/>
        <w:jc w:val="center"/>
        <w:rPr>
          <w:rFonts w:hint="eastAsia" w:ascii="宋体" w:hAnsi="宋体" w:cs="宋体"/>
          <w:sz w:val="24"/>
          <w:szCs w:val="28"/>
        </w:rPr>
      </w:pPr>
      <w:r>
        <w:rPr>
          <w:rFonts w:hint="eastAsia" w:ascii="宋体" w:hAnsi="宋体" w:cs="宋体"/>
          <w:sz w:val="24"/>
          <w:szCs w:val="28"/>
        </w:rPr>
        <w:t>（由供应商据实填写，表格不够自行添加）</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1733F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5CB46DA">
            <w:pPr>
              <w:pStyle w:val="89"/>
            </w:pPr>
            <w: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2C46696">
            <w:pPr>
              <w:pStyle w:val="89"/>
            </w:pPr>
            <w: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380B94A">
            <w:pPr>
              <w:pStyle w:val="89"/>
            </w:pPr>
            <w: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9682404">
            <w:pPr>
              <w:pStyle w:val="89"/>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E338729">
            <w:pPr>
              <w:pStyle w:val="89"/>
            </w:pPr>
            <w:r>
              <w:t>偏离说明</w:t>
            </w:r>
          </w:p>
        </w:tc>
      </w:tr>
      <w:tr w14:paraId="1759D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4893E2E">
            <w:pPr>
              <w:pStyle w:val="89"/>
            </w:pPr>
            <w:r>
              <w:t>1</w:t>
            </w:r>
          </w:p>
        </w:tc>
        <w:tc>
          <w:tcPr>
            <w:tcW w:w="1254" w:type="pct"/>
            <w:tcBorders>
              <w:top w:val="single" w:color="auto" w:sz="6" w:space="0"/>
              <w:left w:val="single" w:color="auto" w:sz="6" w:space="0"/>
              <w:bottom w:val="single" w:color="auto" w:sz="6" w:space="0"/>
              <w:right w:val="single" w:color="auto" w:sz="6" w:space="0"/>
            </w:tcBorders>
            <w:vAlign w:val="center"/>
          </w:tcPr>
          <w:p w14:paraId="4447699A">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0E9E92CA">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380830D3">
            <w:pPr>
              <w:pStyle w:val="89"/>
            </w:pPr>
          </w:p>
        </w:tc>
        <w:tc>
          <w:tcPr>
            <w:tcW w:w="778" w:type="pct"/>
            <w:tcBorders>
              <w:top w:val="single" w:color="auto" w:sz="6" w:space="0"/>
              <w:left w:val="single" w:color="auto" w:sz="6" w:space="0"/>
              <w:bottom w:val="single" w:color="auto" w:sz="6" w:space="0"/>
              <w:right w:val="single" w:color="auto" w:sz="12" w:space="0"/>
            </w:tcBorders>
          </w:tcPr>
          <w:p w14:paraId="3313B218">
            <w:pPr>
              <w:pStyle w:val="89"/>
            </w:pPr>
          </w:p>
        </w:tc>
      </w:tr>
      <w:tr w14:paraId="5C7B4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BC1CB19">
            <w:pPr>
              <w:pStyle w:val="89"/>
            </w:pPr>
            <w:r>
              <w:t>2</w:t>
            </w:r>
          </w:p>
        </w:tc>
        <w:tc>
          <w:tcPr>
            <w:tcW w:w="1254" w:type="pct"/>
            <w:tcBorders>
              <w:top w:val="single" w:color="auto" w:sz="6" w:space="0"/>
              <w:left w:val="single" w:color="auto" w:sz="6" w:space="0"/>
              <w:bottom w:val="single" w:color="auto" w:sz="6" w:space="0"/>
              <w:right w:val="single" w:color="auto" w:sz="6" w:space="0"/>
            </w:tcBorders>
            <w:vAlign w:val="center"/>
          </w:tcPr>
          <w:p w14:paraId="55879B71">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7EB7DD3A">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2D18D82A">
            <w:pPr>
              <w:pStyle w:val="89"/>
            </w:pPr>
          </w:p>
        </w:tc>
        <w:tc>
          <w:tcPr>
            <w:tcW w:w="778" w:type="pct"/>
            <w:tcBorders>
              <w:top w:val="single" w:color="auto" w:sz="6" w:space="0"/>
              <w:left w:val="single" w:color="auto" w:sz="6" w:space="0"/>
              <w:bottom w:val="single" w:color="auto" w:sz="6" w:space="0"/>
              <w:right w:val="single" w:color="auto" w:sz="12" w:space="0"/>
            </w:tcBorders>
          </w:tcPr>
          <w:p w14:paraId="69883A1F">
            <w:pPr>
              <w:pStyle w:val="89"/>
            </w:pPr>
          </w:p>
        </w:tc>
      </w:tr>
      <w:tr w14:paraId="6F07E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01755D0">
            <w:pPr>
              <w:pStyle w:val="89"/>
            </w:pPr>
            <w:r>
              <w:t>3</w:t>
            </w:r>
          </w:p>
        </w:tc>
        <w:tc>
          <w:tcPr>
            <w:tcW w:w="1254" w:type="pct"/>
            <w:tcBorders>
              <w:top w:val="single" w:color="auto" w:sz="6" w:space="0"/>
              <w:left w:val="single" w:color="auto" w:sz="6" w:space="0"/>
              <w:bottom w:val="single" w:color="auto" w:sz="6" w:space="0"/>
              <w:right w:val="single" w:color="auto" w:sz="6" w:space="0"/>
            </w:tcBorders>
            <w:vAlign w:val="center"/>
          </w:tcPr>
          <w:p w14:paraId="6C70FFFD">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0409D654">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41C1C966">
            <w:pPr>
              <w:pStyle w:val="89"/>
            </w:pPr>
          </w:p>
        </w:tc>
        <w:tc>
          <w:tcPr>
            <w:tcW w:w="778" w:type="pct"/>
            <w:tcBorders>
              <w:top w:val="single" w:color="auto" w:sz="6" w:space="0"/>
              <w:left w:val="single" w:color="auto" w:sz="6" w:space="0"/>
              <w:bottom w:val="single" w:color="auto" w:sz="6" w:space="0"/>
              <w:right w:val="single" w:color="auto" w:sz="12" w:space="0"/>
            </w:tcBorders>
          </w:tcPr>
          <w:p w14:paraId="56DDBC0D">
            <w:pPr>
              <w:pStyle w:val="89"/>
            </w:pPr>
          </w:p>
        </w:tc>
      </w:tr>
      <w:tr w14:paraId="67EA5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0EACF22">
            <w:pPr>
              <w:pStyle w:val="89"/>
            </w:pPr>
            <w:r>
              <w:t>4</w:t>
            </w:r>
          </w:p>
        </w:tc>
        <w:tc>
          <w:tcPr>
            <w:tcW w:w="1254" w:type="pct"/>
            <w:tcBorders>
              <w:top w:val="single" w:color="auto" w:sz="6" w:space="0"/>
              <w:left w:val="single" w:color="auto" w:sz="6" w:space="0"/>
              <w:bottom w:val="single" w:color="auto" w:sz="6" w:space="0"/>
              <w:right w:val="single" w:color="auto" w:sz="6" w:space="0"/>
            </w:tcBorders>
            <w:vAlign w:val="center"/>
          </w:tcPr>
          <w:p w14:paraId="745F6E0E">
            <w:pPr>
              <w:pStyle w:val="89"/>
            </w:pPr>
            <w:r>
              <w:t>……</w:t>
            </w:r>
          </w:p>
        </w:tc>
        <w:tc>
          <w:tcPr>
            <w:tcW w:w="1095" w:type="pct"/>
            <w:tcBorders>
              <w:top w:val="single" w:color="auto" w:sz="6" w:space="0"/>
              <w:left w:val="single" w:color="auto" w:sz="6" w:space="0"/>
              <w:bottom w:val="single" w:color="auto" w:sz="6" w:space="0"/>
              <w:right w:val="single" w:color="auto" w:sz="6" w:space="0"/>
            </w:tcBorders>
            <w:vAlign w:val="center"/>
          </w:tcPr>
          <w:p w14:paraId="5860A7E0">
            <w:pPr>
              <w:pStyle w:val="89"/>
            </w:pPr>
            <w:r>
              <w:t>……</w:t>
            </w:r>
          </w:p>
        </w:tc>
        <w:tc>
          <w:tcPr>
            <w:tcW w:w="1413" w:type="pct"/>
            <w:tcBorders>
              <w:top w:val="single" w:color="auto" w:sz="6" w:space="0"/>
              <w:left w:val="single" w:color="auto" w:sz="6" w:space="0"/>
              <w:bottom w:val="single" w:color="auto" w:sz="6" w:space="0"/>
              <w:right w:val="single" w:color="auto" w:sz="6" w:space="0"/>
            </w:tcBorders>
            <w:vAlign w:val="center"/>
          </w:tcPr>
          <w:p w14:paraId="0C6D08FD">
            <w:pPr>
              <w:pStyle w:val="89"/>
            </w:pPr>
          </w:p>
        </w:tc>
        <w:tc>
          <w:tcPr>
            <w:tcW w:w="778" w:type="pct"/>
            <w:tcBorders>
              <w:top w:val="single" w:color="auto" w:sz="6" w:space="0"/>
              <w:left w:val="single" w:color="auto" w:sz="6" w:space="0"/>
              <w:bottom w:val="single" w:color="auto" w:sz="6" w:space="0"/>
              <w:right w:val="single" w:color="auto" w:sz="12" w:space="0"/>
            </w:tcBorders>
          </w:tcPr>
          <w:p w14:paraId="7B857109">
            <w:pPr>
              <w:pStyle w:val="89"/>
            </w:pPr>
          </w:p>
        </w:tc>
      </w:tr>
      <w:tr w14:paraId="523D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5DB3B41">
            <w:pPr>
              <w:pStyle w:val="89"/>
            </w:pPr>
            <w:r>
              <w:t>5</w:t>
            </w:r>
          </w:p>
        </w:tc>
        <w:tc>
          <w:tcPr>
            <w:tcW w:w="1254" w:type="pct"/>
            <w:tcBorders>
              <w:top w:val="single" w:color="auto" w:sz="6" w:space="0"/>
              <w:left w:val="single" w:color="auto" w:sz="6" w:space="0"/>
              <w:bottom w:val="single" w:color="auto" w:sz="6" w:space="0"/>
              <w:right w:val="single" w:color="auto" w:sz="6" w:space="0"/>
            </w:tcBorders>
            <w:vAlign w:val="center"/>
          </w:tcPr>
          <w:p w14:paraId="0EEE50A5">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5291D556">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631BEB55">
            <w:pPr>
              <w:pStyle w:val="89"/>
            </w:pPr>
          </w:p>
        </w:tc>
        <w:tc>
          <w:tcPr>
            <w:tcW w:w="778" w:type="pct"/>
            <w:tcBorders>
              <w:top w:val="single" w:color="auto" w:sz="6" w:space="0"/>
              <w:left w:val="single" w:color="auto" w:sz="6" w:space="0"/>
              <w:bottom w:val="single" w:color="auto" w:sz="6" w:space="0"/>
              <w:right w:val="single" w:color="auto" w:sz="12" w:space="0"/>
            </w:tcBorders>
          </w:tcPr>
          <w:p w14:paraId="44306B12">
            <w:pPr>
              <w:pStyle w:val="89"/>
            </w:pPr>
          </w:p>
        </w:tc>
      </w:tr>
      <w:tr w14:paraId="468DE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A2C228B">
            <w:pPr>
              <w:pStyle w:val="89"/>
            </w:pPr>
            <w:r>
              <w:t>6</w:t>
            </w:r>
          </w:p>
        </w:tc>
        <w:tc>
          <w:tcPr>
            <w:tcW w:w="1254" w:type="pct"/>
            <w:tcBorders>
              <w:top w:val="single" w:color="auto" w:sz="6" w:space="0"/>
              <w:left w:val="single" w:color="auto" w:sz="6" w:space="0"/>
              <w:bottom w:val="single" w:color="auto" w:sz="6" w:space="0"/>
              <w:right w:val="single" w:color="auto" w:sz="6" w:space="0"/>
            </w:tcBorders>
            <w:vAlign w:val="center"/>
          </w:tcPr>
          <w:p w14:paraId="193DC995">
            <w:pPr>
              <w:pStyle w:val="89"/>
            </w:pPr>
            <w:r>
              <w:t>其他</w:t>
            </w:r>
          </w:p>
        </w:tc>
        <w:tc>
          <w:tcPr>
            <w:tcW w:w="1095" w:type="pct"/>
            <w:tcBorders>
              <w:top w:val="single" w:color="auto" w:sz="6" w:space="0"/>
              <w:left w:val="single" w:color="auto" w:sz="6" w:space="0"/>
              <w:bottom w:val="single" w:color="auto" w:sz="6" w:space="0"/>
              <w:right w:val="single" w:color="auto" w:sz="6" w:space="0"/>
            </w:tcBorders>
            <w:vAlign w:val="center"/>
          </w:tcPr>
          <w:p w14:paraId="495983BC">
            <w:pPr>
              <w:pStyle w:val="89"/>
            </w:pPr>
            <w:r>
              <w:t>询价文件所有商务部分要求</w:t>
            </w:r>
          </w:p>
        </w:tc>
        <w:tc>
          <w:tcPr>
            <w:tcW w:w="1413" w:type="pct"/>
            <w:tcBorders>
              <w:top w:val="single" w:color="auto" w:sz="6" w:space="0"/>
              <w:left w:val="single" w:color="auto" w:sz="6" w:space="0"/>
              <w:bottom w:val="single" w:color="auto" w:sz="6" w:space="0"/>
              <w:right w:val="single" w:color="auto" w:sz="6" w:space="0"/>
            </w:tcBorders>
            <w:vAlign w:val="center"/>
          </w:tcPr>
          <w:p w14:paraId="5F7BCDE3">
            <w:pPr>
              <w:pStyle w:val="89"/>
            </w:pPr>
          </w:p>
        </w:tc>
        <w:tc>
          <w:tcPr>
            <w:tcW w:w="778" w:type="pct"/>
            <w:tcBorders>
              <w:top w:val="single" w:color="auto" w:sz="6" w:space="0"/>
              <w:left w:val="single" w:color="auto" w:sz="6" w:space="0"/>
              <w:bottom w:val="single" w:color="auto" w:sz="6" w:space="0"/>
              <w:right w:val="single" w:color="auto" w:sz="12" w:space="0"/>
            </w:tcBorders>
          </w:tcPr>
          <w:p w14:paraId="384A428F">
            <w:pPr>
              <w:pStyle w:val="89"/>
            </w:pPr>
          </w:p>
        </w:tc>
      </w:tr>
    </w:tbl>
    <w:p w14:paraId="104E8687">
      <w:pPr>
        <w:spacing w:line="360" w:lineRule="auto"/>
        <w:ind w:firstLine="482" w:firstLineChars="200"/>
        <w:contextualSpacing/>
        <w:rPr>
          <w:rFonts w:hint="eastAsia" w:ascii="宋体" w:hAnsi="宋体" w:cs="宋体"/>
          <w:b/>
          <w:sz w:val="24"/>
        </w:rPr>
      </w:pPr>
      <w:r>
        <w:rPr>
          <w:rFonts w:hint="eastAsia" w:ascii="宋体" w:hAnsi="宋体" w:cs="宋体"/>
          <w:b/>
          <w:sz w:val="24"/>
        </w:rPr>
        <w:t>注：</w:t>
      </w:r>
    </w:p>
    <w:p w14:paraId="7B77B400">
      <w:pPr>
        <w:spacing w:line="360" w:lineRule="auto"/>
        <w:ind w:firstLine="480" w:firstLineChars="200"/>
        <w:contextualSpacing/>
        <w:rPr>
          <w:rFonts w:hint="eastAsia" w:ascii="宋体" w:hAnsi="宋体" w:cs="宋体"/>
          <w:sz w:val="24"/>
        </w:rPr>
      </w:pPr>
      <w:r>
        <w:rPr>
          <w:rFonts w:hint="eastAsia" w:ascii="宋体" w:hAnsi="宋体" w:cs="宋体"/>
          <w:sz w:val="24"/>
        </w:rPr>
        <w:t>1.供应商提交的响应文件中与询价文件第二部分“项目需求”中的商务部分的要求，应逐条填列在偏离表中。</w:t>
      </w:r>
    </w:p>
    <w:p w14:paraId="2FA052C8">
      <w:pPr>
        <w:spacing w:line="360" w:lineRule="auto"/>
        <w:ind w:firstLine="480" w:firstLineChars="200"/>
        <w:contextualSpacing/>
        <w:rPr>
          <w:rFonts w:hint="eastAsia"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5459BE37">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671A7F90">
      <w:pPr>
        <w:spacing w:line="360" w:lineRule="auto"/>
        <w:ind w:firstLine="480" w:firstLineChars="200"/>
        <w:rPr>
          <w:rFonts w:hint="eastAsia" w:ascii="宋体" w:hAnsi="宋体" w:cs="宋体"/>
          <w:b/>
          <w:sz w:val="24"/>
          <w:szCs w:val="32"/>
        </w:rPr>
      </w:pPr>
      <w:r>
        <w:rPr>
          <w:rFonts w:hint="eastAsia" w:ascii="宋体" w:hAnsi="宋体" w:cs="宋体"/>
          <w:bCs/>
          <w:sz w:val="24"/>
        </w:rPr>
        <w:t>4.若完全响应本项目需求且无偏离，投标时本表可空白盖章提供。</w:t>
      </w:r>
    </w:p>
    <w:p w14:paraId="1E717D0C">
      <w:pPr>
        <w:spacing w:line="360" w:lineRule="auto"/>
        <w:ind w:firstLine="482" w:firstLineChars="200"/>
        <w:rPr>
          <w:rFonts w:hint="eastAsia" w:ascii="宋体" w:hAnsi="宋体" w:cs="宋体"/>
          <w:b/>
          <w:sz w:val="24"/>
          <w:szCs w:val="32"/>
        </w:rPr>
      </w:pPr>
      <w:r>
        <w:rPr>
          <w:rFonts w:hint="eastAsia" w:ascii="宋体" w:hAnsi="宋体" w:cs="宋体"/>
          <w:b/>
          <w:sz w:val="24"/>
          <w:szCs w:val="32"/>
        </w:rPr>
        <w:br w:type="page"/>
      </w:r>
    </w:p>
    <w:p w14:paraId="23BA8F38">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32"/>
        </w:rPr>
        <w:t>6.技术部分正负偏离表</w:t>
      </w:r>
    </w:p>
    <w:p w14:paraId="0AA766FB">
      <w:pPr>
        <w:spacing w:line="360" w:lineRule="auto"/>
        <w:ind w:firstLine="480" w:firstLineChars="200"/>
        <w:jc w:val="center"/>
        <w:rPr>
          <w:rFonts w:hint="eastAsia" w:ascii="宋体" w:hAnsi="宋体" w:cs="宋体"/>
          <w:sz w:val="24"/>
          <w:szCs w:val="28"/>
        </w:rPr>
      </w:pPr>
      <w:r>
        <w:rPr>
          <w:rFonts w:hint="eastAsia" w:ascii="宋体" w:hAnsi="宋体" w:cs="宋体"/>
          <w:sz w:val="24"/>
          <w:szCs w:val="28"/>
        </w:rPr>
        <w:t>（由供应商据实填写，表格不够自行添加）</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3"/>
        <w:gridCol w:w="2358"/>
        <w:gridCol w:w="2058"/>
        <w:gridCol w:w="2657"/>
        <w:gridCol w:w="1464"/>
      </w:tblGrid>
      <w:tr w14:paraId="3C55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3399758E">
            <w:pPr>
              <w:pStyle w:val="89"/>
            </w:pPr>
            <w: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5B7F124D">
            <w:pPr>
              <w:pStyle w:val="89"/>
            </w:pPr>
            <w:r>
              <w:t>货物或服务名称</w:t>
            </w:r>
          </w:p>
        </w:tc>
        <w:tc>
          <w:tcPr>
            <w:tcW w:w="1094" w:type="pct"/>
            <w:tcBorders>
              <w:top w:val="single" w:color="auto" w:sz="12" w:space="0"/>
              <w:left w:val="single" w:color="auto" w:sz="6" w:space="0"/>
              <w:bottom w:val="single" w:color="auto" w:sz="6" w:space="0"/>
              <w:right w:val="single" w:color="auto" w:sz="6" w:space="0"/>
            </w:tcBorders>
            <w:vAlign w:val="center"/>
          </w:tcPr>
          <w:p w14:paraId="5CD32ED9">
            <w:pPr>
              <w:pStyle w:val="89"/>
            </w:pPr>
            <w:r>
              <w:t>采购文件要求的技术条款</w:t>
            </w:r>
          </w:p>
        </w:tc>
        <w:tc>
          <w:tcPr>
            <w:tcW w:w="1412" w:type="pct"/>
            <w:tcBorders>
              <w:top w:val="single" w:color="auto" w:sz="12" w:space="0"/>
              <w:left w:val="single" w:color="auto" w:sz="6" w:space="0"/>
              <w:bottom w:val="single" w:color="auto" w:sz="6" w:space="0"/>
              <w:right w:val="single" w:color="auto" w:sz="6" w:space="0"/>
            </w:tcBorders>
            <w:vAlign w:val="center"/>
          </w:tcPr>
          <w:p w14:paraId="02D7C217">
            <w:pPr>
              <w:pStyle w:val="89"/>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B9B59">
            <w:pPr>
              <w:pStyle w:val="89"/>
            </w:pPr>
            <w:r>
              <w:t>偏离说明</w:t>
            </w:r>
          </w:p>
        </w:tc>
      </w:tr>
      <w:tr w14:paraId="02976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tcPr>
          <w:p w14:paraId="7245975F">
            <w:pPr>
              <w:pStyle w:val="89"/>
            </w:pPr>
            <w:r>
              <w:t>1</w:t>
            </w:r>
          </w:p>
        </w:tc>
        <w:tc>
          <w:tcPr>
            <w:tcW w:w="1253" w:type="pct"/>
            <w:tcBorders>
              <w:top w:val="single" w:color="auto" w:sz="6" w:space="0"/>
              <w:left w:val="single" w:color="auto" w:sz="6" w:space="0"/>
              <w:bottom w:val="single" w:color="auto" w:sz="6" w:space="0"/>
              <w:right w:val="single" w:color="auto" w:sz="6" w:space="0"/>
            </w:tcBorders>
            <w:vAlign w:val="center"/>
          </w:tcPr>
          <w:p w14:paraId="6799F43C">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307BF1C9">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7AEE0434">
            <w:pPr>
              <w:pStyle w:val="89"/>
            </w:pPr>
          </w:p>
        </w:tc>
        <w:tc>
          <w:tcPr>
            <w:tcW w:w="778" w:type="pct"/>
            <w:tcBorders>
              <w:top w:val="single" w:color="auto" w:sz="6" w:space="0"/>
              <w:left w:val="single" w:color="auto" w:sz="6" w:space="0"/>
              <w:bottom w:val="single" w:color="auto" w:sz="6" w:space="0"/>
              <w:right w:val="single" w:color="auto" w:sz="12" w:space="0"/>
            </w:tcBorders>
          </w:tcPr>
          <w:p w14:paraId="49CCF47C">
            <w:pPr>
              <w:pStyle w:val="89"/>
            </w:pPr>
          </w:p>
        </w:tc>
      </w:tr>
      <w:tr w14:paraId="3744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tcPr>
          <w:p w14:paraId="5376688B">
            <w:pPr>
              <w:pStyle w:val="89"/>
            </w:pPr>
            <w:r>
              <w:t>2</w:t>
            </w:r>
          </w:p>
        </w:tc>
        <w:tc>
          <w:tcPr>
            <w:tcW w:w="1253" w:type="pct"/>
            <w:tcBorders>
              <w:top w:val="single" w:color="auto" w:sz="6" w:space="0"/>
              <w:left w:val="single" w:color="auto" w:sz="6" w:space="0"/>
              <w:bottom w:val="single" w:color="auto" w:sz="6" w:space="0"/>
              <w:right w:val="single" w:color="auto" w:sz="6" w:space="0"/>
            </w:tcBorders>
            <w:vAlign w:val="center"/>
          </w:tcPr>
          <w:p w14:paraId="147FE3DD">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3984AC8">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3E822BB0">
            <w:pPr>
              <w:pStyle w:val="89"/>
            </w:pPr>
          </w:p>
        </w:tc>
        <w:tc>
          <w:tcPr>
            <w:tcW w:w="778" w:type="pct"/>
            <w:tcBorders>
              <w:top w:val="single" w:color="auto" w:sz="6" w:space="0"/>
              <w:left w:val="single" w:color="auto" w:sz="6" w:space="0"/>
              <w:bottom w:val="single" w:color="auto" w:sz="6" w:space="0"/>
              <w:right w:val="single" w:color="auto" w:sz="12" w:space="0"/>
            </w:tcBorders>
          </w:tcPr>
          <w:p w14:paraId="5B9374CC">
            <w:pPr>
              <w:pStyle w:val="89"/>
            </w:pPr>
          </w:p>
        </w:tc>
      </w:tr>
      <w:tr w14:paraId="5FE86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tcPr>
          <w:p w14:paraId="3268A5BF">
            <w:pPr>
              <w:pStyle w:val="89"/>
            </w:pPr>
            <w:r>
              <w:t>3</w:t>
            </w:r>
          </w:p>
        </w:tc>
        <w:tc>
          <w:tcPr>
            <w:tcW w:w="1253" w:type="pct"/>
            <w:tcBorders>
              <w:top w:val="single" w:color="auto" w:sz="6" w:space="0"/>
              <w:left w:val="single" w:color="auto" w:sz="6" w:space="0"/>
              <w:bottom w:val="single" w:color="auto" w:sz="6" w:space="0"/>
              <w:right w:val="single" w:color="auto" w:sz="6" w:space="0"/>
            </w:tcBorders>
            <w:vAlign w:val="center"/>
          </w:tcPr>
          <w:p w14:paraId="32CC894D">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419AEA1">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4F8521D5">
            <w:pPr>
              <w:pStyle w:val="89"/>
            </w:pPr>
          </w:p>
        </w:tc>
        <w:tc>
          <w:tcPr>
            <w:tcW w:w="778" w:type="pct"/>
            <w:tcBorders>
              <w:top w:val="single" w:color="auto" w:sz="6" w:space="0"/>
              <w:left w:val="single" w:color="auto" w:sz="6" w:space="0"/>
              <w:bottom w:val="single" w:color="auto" w:sz="6" w:space="0"/>
              <w:right w:val="single" w:color="auto" w:sz="12" w:space="0"/>
            </w:tcBorders>
          </w:tcPr>
          <w:p w14:paraId="476487C0">
            <w:pPr>
              <w:pStyle w:val="89"/>
            </w:pPr>
          </w:p>
        </w:tc>
      </w:tr>
      <w:tr w14:paraId="6D6E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6AC8B5E0">
            <w:pPr>
              <w:pStyle w:val="89"/>
            </w:pPr>
            <w:r>
              <w:t>4</w:t>
            </w:r>
          </w:p>
        </w:tc>
        <w:tc>
          <w:tcPr>
            <w:tcW w:w="1253" w:type="pct"/>
            <w:tcBorders>
              <w:top w:val="single" w:color="auto" w:sz="6" w:space="0"/>
              <w:left w:val="single" w:color="auto" w:sz="6" w:space="0"/>
              <w:bottom w:val="single" w:color="auto" w:sz="6" w:space="0"/>
              <w:right w:val="single" w:color="auto" w:sz="6" w:space="0"/>
            </w:tcBorders>
            <w:vAlign w:val="center"/>
          </w:tcPr>
          <w:p w14:paraId="63CC5B9E">
            <w:pPr>
              <w:pStyle w:val="89"/>
            </w:pPr>
            <w:r>
              <w:t>……</w:t>
            </w:r>
          </w:p>
        </w:tc>
        <w:tc>
          <w:tcPr>
            <w:tcW w:w="1094" w:type="pct"/>
            <w:tcBorders>
              <w:top w:val="single" w:color="auto" w:sz="6" w:space="0"/>
              <w:left w:val="single" w:color="auto" w:sz="6" w:space="0"/>
              <w:bottom w:val="single" w:color="auto" w:sz="6" w:space="0"/>
              <w:right w:val="single" w:color="auto" w:sz="6" w:space="0"/>
            </w:tcBorders>
            <w:vAlign w:val="center"/>
          </w:tcPr>
          <w:p w14:paraId="713A0811">
            <w:pPr>
              <w:pStyle w:val="89"/>
            </w:pPr>
            <w:r>
              <w:t>……</w:t>
            </w:r>
          </w:p>
        </w:tc>
        <w:tc>
          <w:tcPr>
            <w:tcW w:w="1412" w:type="pct"/>
            <w:tcBorders>
              <w:top w:val="single" w:color="auto" w:sz="6" w:space="0"/>
              <w:left w:val="single" w:color="auto" w:sz="6" w:space="0"/>
              <w:bottom w:val="single" w:color="auto" w:sz="6" w:space="0"/>
              <w:right w:val="single" w:color="auto" w:sz="6" w:space="0"/>
            </w:tcBorders>
            <w:vAlign w:val="center"/>
          </w:tcPr>
          <w:p w14:paraId="071CA538">
            <w:pPr>
              <w:pStyle w:val="89"/>
            </w:pPr>
          </w:p>
        </w:tc>
        <w:tc>
          <w:tcPr>
            <w:tcW w:w="778" w:type="pct"/>
            <w:tcBorders>
              <w:top w:val="single" w:color="auto" w:sz="6" w:space="0"/>
              <w:left w:val="single" w:color="auto" w:sz="6" w:space="0"/>
              <w:bottom w:val="single" w:color="auto" w:sz="6" w:space="0"/>
              <w:right w:val="single" w:color="auto" w:sz="12" w:space="0"/>
            </w:tcBorders>
          </w:tcPr>
          <w:p w14:paraId="6C001790">
            <w:pPr>
              <w:pStyle w:val="89"/>
            </w:pPr>
          </w:p>
        </w:tc>
      </w:tr>
      <w:tr w14:paraId="10728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4B4C3D46">
            <w:pPr>
              <w:pStyle w:val="89"/>
            </w:pPr>
            <w:r>
              <w:t>5</w:t>
            </w:r>
          </w:p>
        </w:tc>
        <w:tc>
          <w:tcPr>
            <w:tcW w:w="1253" w:type="pct"/>
            <w:tcBorders>
              <w:top w:val="single" w:color="auto" w:sz="6" w:space="0"/>
              <w:left w:val="single" w:color="auto" w:sz="6" w:space="0"/>
              <w:bottom w:val="single" w:color="auto" w:sz="6" w:space="0"/>
              <w:right w:val="single" w:color="auto" w:sz="6" w:space="0"/>
            </w:tcBorders>
            <w:vAlign w:val="center"/>
          </w:tcPr>
          <w:p w14:paraId="162CC765">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43A7E97">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7C01D61F">
            <w:pPr>
              <w:pStyle w:val="89"/>
            </w:pPr>
          </w:p>
        </w:tc>
        <w:tc>
          <w:tcPr>
            <w:tcW w:w="778" w:type="pct"/>
            <w:tcBorders>
              <w:top w:val="single" w:color="auto" w:sz="6" w:space="0"/>
              <w:left w:val="single" w:color="auto" w:sz="6" w:space="0"/>
              <w:bottom w:val="single" w:color="auto" w:sz="6" w:space="0"/>
              <w:right w:val="single" w:color="auto" w:sz="12" w:space="0"/>
            </w:tcBorders>
          </w:tcPr>
          <w:p w14:paraId="2C64C6D8">
            <w:pPr>
              <w:pStyle w:val="89"/>
            </w:pPr>
          </w:p>
        </w:tc>
      </w:tr>
      <w:tr w14:paraId="62B78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34A9A1E6">
            <w:pPr>
              <w:pStyle w:val="89"/>
            </w:pPr>
            <w:r>
              <w:t>6</w:t>
            </w:r>
          </w:p>
        </w:tc>
        <w:tc>
          <w:tcPr>
            <w:tcW w:w="1253" w:type="pct"/>
            <w:tcBorders>
              <w:top w:val="single" w:color="auto" w:sz="6" w:space="0"/>
              <w:left w:val="single" w:color="auto" w:sz="6" w:space="0"/>
              <w:bottom w:val="single" w:color="auto" w:sz="6" w:space="0"/>
              <w:right w:val="single" w:color="auto" w:sz="6" w:space="0"/>
            </w:tcBorders>
            <w:vAlign w:val="center"/>
          </w:tcPr>
          <w:p w14:paraId="06EB29B2">
            <w:pPr>
              <w:pStyle w:val="89"/>
            </w:pPr>
            <w:r>
              <w:t>其他</w:t>
            </w:r>
          </w:p>
        </w:tc>
        <w:tc>
          <w:tcPr>
            <w:tcW w:w="1094" w:type="pct"/>
            <w:tcBorders>
              <w:top w:val="single" w:color="auto" w:sz="6" w:space="0"/>
              <w:left w:val="single" w:color="auto" w:sz="6" w:space="0"/>
              <w:bottom w:val="single" w:color="auto" w:sz="6" w:space="0"/>
              <w:right w:val="single" w:color="auto" w:sz="6" w:space="0"/>
            </w:tcBorders>
            <w:vAlign w:val="center"/>
          </w:tcPr>
          <w:p w14:paraId="5D0CE627">
            <w:pPr>
              <w:pStyle w:val="89"/>
            </w:pPr>
            <w:r>
              <w:t>询价文件所有技术部分要求</w:t>
            </w:r>
          </w:p>
        </w:tc>
        <w:tc>
          <w:tcPr>
            <w:tcW w:w="1412" w:type="pct"/>
            <w:tcBorders>
              <w:top w:val="single" w:color="auto" w:sz="6" w:space="0"/>
              <w:left w:val="single" w:color="auto" w:sz="6" w:space="0"/>
              <w:bottom w:val="single" w:color="auto" w:sz="6" w:space="0"/>
              <w:right w:val="single" w:color="auto" w:sz="6" w:space="0"/>
            </w:tcBorders>
            <w:vAlign w:val="center"/>
          </w:tcPr>
          <w:p w14:paraId="40E58ABE">
            <w:pPr>
              <w:pStyle w:val="89"/>
            </w:pPr>
          </w:p>
        </w:tc>
        <w:tc>
          <w:tcPr>
            <w:tcW w:w="778" w:type="pct"/>
            <w:tcBorders>
              <w:top w:val="single" w:color="auto" w:sz="6" w:space="0"/>
              <w:left w:val="single" w:color="auto" w:sz="6" w:space="0"/>
              <w:bottom w:val="single" w:color="auto" w:sz="6" w:space="0"/>
              <w:right w:val="single" w:color="auto" w:sz="12" w:space="0"/>
            </w:tcBorders>
          </w:tcPr>
          <w:p w14:paraId="5D53DC9A">
            <w:pPr>
              <w:pStyle w:val="89"/>
            </w:pPr>
          </w:p>
        </w:tc>
      </w:tr>
    </w:tbl>
    <w:p w14:paraId="03AE5FC5">
      <w:pPr>
        <w:spacing w:line="360" w:lineRule="auto"/>
        <w:ind w:firstLine="482" w:firstLineChars="200"/>
        <w:contextualSpacing/>
        <w:rPr>
          <w:rFonts w:hint="eastAsia" w:ascii="宋体" w:hAnsi="宋体" w:cs="宋体"/>
          <w:b/>
          <w:sz w:val="24"/>
        </w:rPr>
      </w:pPr>
      <w:r>
        <w:rPr>
          <w:rFonts w:hint="eastAsia" w:ascii="宋体" w:hAnsi="宋体" w:cs="宋体"/>
          <w:b/>
          <w:sz w:val="24"/>
        </w:rPr>
        <w:t>注：</w:t>
      </w:r>
    </w:p>
    <w:p w14:paraId="7DD234AA">
      <w:pPr>
        <w:spacing w:line="360" w:lineRule="auto"/>
        <w:ind w:firstLine="480" w:firstLineChars="200"/>
        <w:contextualSpacing/>
        <w:rPr>
          <w:rFonts w:hint="eastAsia" w:ascii="宋体" w:hAnsi="宋体" w:cs="宋体"/>
          <w:sz w:val="24"/>
        </w:rPr>
      </w:pPr>
      <w:r>
        <w:rPr>
          <w:rFonts w:hint="eastAsia" w:ascii="宋体" w:hAnsi="宋体" w:cs="宋体"/>
          <w:sz w:val="24"/>
        </w:rPr>
        <w:t>1.供应商提交的响应文件中与询价文件第二部分“项目需求”中的技术部分的要求，应逐条填列在偏离表中。</w:t>
      </w:r>
    </w:p>
    <w:p w14:paraId="44516EFF">
      <w:pPr>
        <w:spacing w:line="360" w:lineRule="auto"/>
        <w:ind w:firstLine="480" w:firstLineChars="200"/>
        <w:contextualSpacing/>
        <w:rPr>
          <w:rFonts w:hint="eastAsia"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EB8AA35">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2F9F8D51">
      <w:pPr>
        <w:spacing w:line="360" w:lineRule="auto"/>
        <w:ind w:firstLine="482" w:firstLineChars="200"/>
        <w:rPr>
          <w:rFonts w:hint="eastAsia" w:ascii="宋体" w:hAnsi="宋体" w:cs="宋体"/>
          <w:b/>
          <w:sz w:val="24"/>
          <w:szCs w:val="24"/>
        </w:rPr>
      </w:pPr>
    </w:p>
    <w:p w14:paraId="5670898D">
      <w:pPr>
        <w:spacing w:line="360" w:lineRule="auto"/>
        <w:ind w:firstLine="4096" w:firstLineChars="1700"/>
        <w:jc w:val="both"/>
        <w:outlineLvl w:val="0"/>
        <w:rPr>
          <w:rFonts w:hint="eastAsia" w:ascii="宋体" w:hAnsi="宋体" w:cs="宋体"/>
          <w:b/>
          <w:sz w:val="24"/>
          <w:szCs w:val="24"/>
        </w:rPr>
      </w:pPr>
      <w:r>
        <w:rPr>
          <w:rFonts w:hint="eastAsia" w:ascii="宋体" w:hAnsi="宋体" w:cs="宋体"/>
          <w:b/>
          <w:sz w:val="24"/>
          <w:szCs w:val="24"/>
        </w:rPr>
        <w:br w:type="page"/>
      </w:r>
    </w:p>
    <w:p w14:paraId="46923ECC">
      <w:pPr>
        <w:spacing w:line="360" w:lineRule="auto"/>
        <w:ind w:firstLine="482" w:firstLineChars="200"/>
        <w:outlineLvl w:val="2"/>
        <w:rPr>
          <w:rFonts w:hint="eastAsia" w:ascii="宋体" w:hAnsi="宋体" w:cs="宋体"/>
          <w:b/>
          <w:sz w:val="24"/>
          <w:szCs w:val="28"/>
        </w:rPr>
      </w:pPr>
      <w:r>
        <w:rPr>
          <w:rFonts w:hint="eastAsia" w:ascii="宋体" w:hAnsi="宋体" w:cs="宋体"/>
          <w:b/>
          <w:sz w:val="24"/>
          <w:szCs w:val="24"/>
        </w:rPr>
        <w:t>（二）</w:t>
      </w:r>
      <w:r>
        <w:rPr>
          <w:rFonts w:hint="eastAsia" w:ascii="宋体" w:hAnsi="宋体" w:cs="宋体"/>
          <w:b/>
          <w:sz w:val="24"/>
          <w:szCs w:val="28"/>
        </w:rPr>
        <w:t>价格标响应文件相关格式</w:t>
      </w:r>
    </w:p>
    <w:p w14:paraId="696EB0CC">
      <w:pPr>
        <w:pStyle w:val="72"/>
        <w:snapToGrid w:val="0"/>
        <w:spacing w:line="360" w:lineRule="auto"/>
        <w:ind w:firstLine="482" w:firstLineChars="200"/>
        <w:jc w:val="center"/>
        <w:outlineLvl w:val="0"/>
        <w:rPr>
          <w:rFonts w:hint="eastAsia" w:ascii="宋体" w:eastAsia="宋体" w:cs="宋体"/>
          <w:b/>
          <w:sz w:val="24"/>
        </w:rPr>
      </w:pPr>
      <w:bookmarkStart w:id="2" w:name="_Toc23203"/>
      <w:r>
        <w:rPr>
          <w:rFonts w:hint="eastAsia" w:ascii="宋体" w:eastAsia="宋体" w:cs="宋体"/>
          <w:b/>
          <w:sz w:val="24"/>
        </w:rPr>
        <w:t>1.</w:t>
      </w:r>
      <w:bookmarkEnd w:id="2"/>
      <w:r>
        <w:rPr>
          <w:rFonts w:hint="eastAsia" w:ascii="宋体" w:eastAsia="宋体" w:cs="宋体"/>
          <w:b/>
          <w:sz w:val="24"/>
        </w:rPr>
        <w:t>报价总表</w:t>
      </w:r>
    </w:p>
    <w:tbl>
      <w:tblPr>
        <w:tblStyle w:val="2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7E5E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59431D2">
            <w:pPr>
              <w:pStyle w:val="89"/>
            </w:pPr>
            <w: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06166A05">
            <w:pPr>
              <w:pStyle w:val="89"/>
            </w:pPr>
            <w: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68CD8D20">
            <w:pPr>
              <w:pStyle w:val="89"/>
            </w:pPr>
            <w: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F217AE3">
            <w:pPr>
              <w:pStyle w:val="89"/>
            </w:pPr>
            <w:r>
              <w:t>付款方式</w:t>
            </w:r>
          </w:p>
        </w:tc>
      </w:tr>
      <w:tr w14:paraId="0D3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7E95643">
            <w:pPr>
              <w:pStyle w:val="89"/>
              <w:rPr>
                <w:rFonts w:hint="eastAsia" w:eastAsia="宋体"/>
                <w:lang w:eastAsia="zh-CN"/>
              </w:rPr>
            </w:pPr>
            <w:r>
              <w:rPr>
                <w:rFonts w:hint="eastAsia"/>
                <w:lang w:eastAsia="zh-CN"/>
              </w:rPr>
              <w:t>江苏商贸职业学院工会社团活动中心会议桌椅采购项目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116FE646">
            <w:pPr>
              <w:pStyle w:val="89"/>
            </w:pPr>
            <w:r>
              <w:t>大写：     元</w:t>
            </w:r>
          </w:p>
          <w:p w14:paraId="26ECF7E3">
            <w:pPr>
              <w:pStyle w:val="89"/>
            </w:pPr>
            <w: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089F47B2">
            <w:pPr>
              <w:pStyle w:val="89"/>
            </w:pPr>
            <w: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3DB2B264">
            <w:pPr>
              <w:pStyle w:val="89"/>
            </w:pPr>
            <w:r>
              <w:t>完全响应询价文件要求的付款方式</w:t>
            </w:r>
          </w:p>
        </w:tc>
      </w:tr>
    </w:tbl>
    <w:p w14:paraId="3AB4D8EC">
      <w:pPr>
        <w:spacing w:line="360" w:lineRule="auto"/>
        <w:ind w:firstLine="480" w:firstLineChars="200"/>
        <w:rPr>
          <w:rFonts w:hint="eastAsia" w:ascii="宋体" w:hAnsi="宋体" w:cs="宋体"/>
          <w:sz w:val="24"/>
          <w:szCs w:val="28"/>
        </w:rPr>
      </w:pPr>
    </w:p>
    <w:p w14:paraId="48DCDE93">
      <w:pPr>
        <w:spacing w:line="360" w:lineRule="auto"/>
        <w:ind w:firstLine="482" w:firstLineChars="200"/>
        <w:rPr>
          <w:rFonts w:hint="eastAsia" w:ascii="宋体" w:hAnsi="宋体" w:cs="宋体"/>
          <w:sz w:val="24"/>
          <w:szCs w:val="28"/>
        </w:rPr>
      </w:pPr>
      <w:r>
        <w:rPr>
          <w:rFonts w:hint="eastAsia" w:ascii="宋体" w:hAnsi="宋体" w:cs="宋体"/>
          <w:b/>
          <w:bCs/>
          <w:sz w:val="24"/>
          <w:szCs w:val="28"/>
          <w:lang w:bidi="zh-CN"/>
        </w:rPr>
        <w:t>本表为格式表，不得自行改动，必须提供，否则视为未实质性响应采购文件。</w:t>
      </w:r>
    </w:p>
    <w:p w14:paraId="529F1AA7">
      <w:pPr>
        <w:spacing w:line="360" w:lineRule="auto"/>
        <w:ind w:left="1322" w:firstLine="480" w:firstLineChars="200"/>
        <w:rPr>
          <w:rFonts w:hint="eastAsia" w:ascii="宋体" w:hAnsi="宋体" w:cs="宋体"/>
          <w:sz w:val="24"/>
          <w:szCs w:val="28"/>
        </w:rPr>
      </w:pPr>
    </w:p>
    <w:p w14:paraId="0EB1D12E">
      <w:pPr>
        <w:spacing w:line="360" w:lineRule="auto"/>
        <w:ind w:firstLine="480" w:firstLineChars="200"/>
        <w:rPr>
          <w:rFonts w:hint="eastAsia" w:ascii="宋体" w:hAnsi="宋体" w:cs="宋体"/>
          <w:sz w:val="24"/>
          <w:szCs w:val="28"/>
        </w:rPr>
      </w:pPr>
    </w:p>
    <w:p w14:paraId="2A7AC709">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 xml:space="preserve">供应商名称：（盖章）             </w:t>
      </w:r>
    </w:p>
    <w:p w14:paraId="2837C0DA">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法定代表人或授权委托人（签字</w:t>
      </w:r>
      <w:r>
        <w:rPr>
          <w:rFonts w:hint="eastAsia" w:ascii="宋体" w:hAnsi="宋体" w:cs="宋体"/>
          <w:sz w:val="24"/>
          <w:szCs w:val="28"/>
          <w:lang w:val="en-US" w:eastAsia="zh-CN"/>
        </w:rPr>
        <w:t>或盖章</w:t>
      </w:r>
      <w:r>
        <w:rPr>
          <w:rFonts w:hint="eastAsia" w:ascii="宋体" w:hAnsi="宋体" w:cs="宋体"/>
          <w:sz w:val="24"/>
          <w:szCs w:val="28"/>
        </w:rPr>
        <w:t>）：</w:t>
      </w:r>
    </w:p>
    <w:p w14:paraId="7E784743">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日期：</w:t>
      </w:r>
    </w:p>
    <w:p w14:paraId="40AACF3C">
      <w:pPr>
        <w:pStyle w:val="59"/>
        <w:spacing w:line="360" w:lineRule="auto"/>
        <w:ind w:firstLine="480" w:firstLineChars="200"/>
        <w:jc w:val="center"/>
        <w:rPr>
          <w:rFonts w:hint="eastAsia" w:ascii="宋体" w:hAnsi="宋体" w:cs="宋体"/>
          <w:sz w:val="24"/>
          <w:szCs w:val="28"/>
        </w:rPr>
      </w:pPr>
    </w:p>
    <w:p w14:paraId="5166ACE1">
      <w:pPr>
        <w:pStyle w:val="59"/>
        <w:spacing w:line="360" w:lineRule="auto"/>
        <w:ind w:firstLine="480" w:firstLineChars="200"/>
        <w:jc w:val="center"/>
        <w:rPr>
          <w:rFonts w:hint="eastAsia" w:ascii="宋体" w:hAnsi="宋体" w:cs="宋体"/>
          <w:sz w:val="24"/>
          <w:szCs w:val="28"/>
        </w:rPr>
      </w:pPr>
    </w:p>
    <w:p w14:paraId="6A3FA57B">
      <w:pPr>
        <w:spacing w:line="360" w:lineRule="auto"/>
        <w:ind w:firstLine="480" w:firstLineChars="200"/>
        <w:jc w:val="center"/>
        <w:rPr>
          <w:rFonts w:hint="eastAsia" w:ascii="宋体" w:hAnsi="宋体" w:cs="宋体"/>
          <w:sz w:val="24"/>
          <w:szCs w:val="28"/>
        </w:rPr>
      </w:pPr>
      <w:r>
        <w:rPr>
          <w:rFonts w:ascii="宋体" w:hAnsi="宋体" w:cs="宋体"/>
          <w:sz w:val="24"/>
          <w:szCs w:val="28"/>
        </w:rPr>
        <w:br w:type="page"/>
      </w:r>
    </w:p>
    <w:p w14:paraId="27430F30">
      <w:pPr>
        <w:pStyle w:val="59"/>
        <w:spacing w:line="360" w:lineRule="auto"/>
        <w:ind w:firstLine="482" w:firstLineChars="200"/>
        <w:jc w:val="center"/>
        <w:rPr>
          <w:rFonts w:hint="eastAsia" w:ascii="宋体" w:hAnsi="宋体" w:cs="宋体"/>
          <w:b/>
          <w:bCs/>
          <w:sz w:val="24"/>
          <w:szCs w:val="28"/>
        </w:rPr>
      </w:pPr>
      <w:r>
        <w:rPr>
          <w:rFonts w:hint="eastAsia" w:ascii="宋体" w:hAnsi="宋体" w:cs="宋体"/>
          <w:b/>
          <w:bCs/>
          <w:sz w:val="24"/>
          <w:szCs w:val="28"/>
        </w:rPr>
        <w:t>2.分项报价表</w:t>
      </w:r>
    </w:p>
    <w:tbl>
      <w:tblPr>
        <w:tblStyle w:val="26"/>
        <w:tblW w:w="9659"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90"/>
        <w:gridCol w:w="3170"/>
        <w:gridCol w:w="910"/>
        <w:gridCol w:w="780"/>
        <w:gridCol w:w="1190"/>
        <w:gridCol w:w="1110"/>
        <w:gridCol w:w="810"/>
      </w:tblGrid>
      <w:tr w14:paraId="60E7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9" w:type="dxa"/>
          </w:tcPr>
          <w:p w14:paraId="3CE2CE2B">
            <w:pPr>
              <w:pStyle w:val="89"/>
              <w:jc w:val="center"/>
              <w:rPr>
                <w:rFonts w:eastAsia="等线"/>
                <w:kern w:val="2"/>
              </w:rPr>
            </w:pPr>
            <w:r>
              <w:rPr>
                <w:rFonts w:eastAsia="等线"/>
                <w:kern w:val="2"/>
              </w:rPr>
              <w:t>序号</w:t>
            </w:r>
          </w:p>
        </w:tc>
        <w:tc>
          <w:tcPr>
            <w:tcW w:w="790" w:type="dxa"/>
          </w:tcPr>
          <w:p w14:paraId="1FA3A514">
            <w:pPr>
              <w:pStyle w:val="89"/>
              <w:jc w:val="center"/>
              <w:rPr>
                <w:rFonts w:eastAsia="等线"/>
                <w:kern w:val="2"/>
              </w:rPr>
            </w:pPr>
            <w:r>
              <w:rPr>
                <w:rFonts w:eastAsia="等线"/>
                <w:kern w:val="2"/>
              </w:rPr>
              <w:t>货物名称</w:t>
            </w:r>
          </w:p>
        </w:tc>
        <w:tc>
          <w:tcPr>
            <w:tcW w:w="3170" w:type="dxa"/>
          </w:tcPr>
          <w:p w14:paraId="0E8A508F">
            <w:pPr>
              <w:pStyle w:val="89"/>
              <w:jc w:val="center"/>
              <w:rPr>
                <w:rFonts w:eastAsia="等线"/>
                <w:kern w:val="2"/>
              </w:rPr>
            </w:pPr>
            <w:r>
              <w:rPr>
                <w:rFonts w:eastAsia="等线"/>
                <w:kern w:val="2"/>
              </w:rPr>
              <w:t>规格型号</w:t>
            </w:r>
          </w:p>
        </w:tc>
        <w:tc>
          <w:tcPr>
            <w:tcW w:w="910" w:type="dxa"/>
          </w:tcPr>
          <w:p w14:paraId="45586ED2">
            <w:pPr>
              <w:pStyle w:val="89"/>
              <w:jc w:val="center"/>
              <w:rPr>
                <w:rFonts w:eastAsia="等线"/>
                <w:kern w:val="2"/>
              </w:rPr>
            </w:pPr>
            <w:r>
              <w:rPr>
                <w:rFonts w:eastAsia="等线"/>
                <w:kern w:val="2"/>
              </w:rPr>
              <w:t>数量</w:t>
            </w:r>
          </w:p>
        </w:tc>
        <w:tc>
          <w:tcPr>
            <w:tcW w:w="780" w:type="dxa"/>
          </w:tcPr>
          <w:p w14:paraId="7DB88E32">
            <w:pPr>
              <w:pStyle w:val="89"/>
              <w:jc w:val="center"/>
              <w:rPr>
                <w:rFonts w:eastAsia="等线"/>
                <w:kern w:val="2"/>
              </w:rPr>
            </w:pPr>
            <w:r>
              <w:rPr>
                <w:rFonts w:eastAsia="等线"/>
                <w:kern w:val="2"/>
              </w:rPr>
              <w:t>单位</w:t>
            </w:r>
          </w:p>
        </w:tc>
        <w:tc>
          <w:tcPr>
            <w:tcW w:w="1190" w:type="dxa"/>
          </w:tcPr>
          <w:p w14:paraId="6DDA0B1D">
            <w:pPr>
              <w:pStyle w:val="89"/>
              <w:jc w:val="center"/>
              <w:rPr>
                <w:rFonts w:eastAsia="等线"/>
                <w:kern w:val="2"/>
              </w:rPr>
            </w:pPr>
            <w:r>
              <w:rPr>
                <w:rFonts w:eastAsia="等线"/>
                <w:kern w:val="2"/>
              </w:rPr>
              <w:t>单价（元）</w:t>
            </w:r>
          </w:p>
        </w:tc>
        <w:tc>
          <w:tcPr>
            <w:tcW w:w="1110" w:type="dxa"/>
          </w:tcPr>
          <w:p w14:paraId="698DA87C">
            <w:pPr>
              <w:pStyle w:val="89"/>
              <w:jc w:val="center"/>
              <w:rPr>
                <w:rFonts w:eastAsia="等线"/>
                <w:kern w:val="2"/>
              </w:rPr>
            </w:pPr>
            <w:r>
              <w:rPr>
                <w:rFonts w:eastAsia="等线"/>
                <w:kern w:val="2"/>
              </w:rPr>
              <w:t>合价（元）</w:t>
            </w:r>
          </w:p>
        </w:tc>
        <w:tc>
          <w:tcPr>
            <w:tcW w:w="810" w:type="dxa"/>
          </w:tcPr>
          <w:p w14:paraId="2D458268">
            <w:pPr>
              <w:pStyle w:val="89"/>
              <w:jc w:val="center"/>
              <w:rPr>
                <w:rFonts w:eastAsia="等线"/>
                <w:kern w:val="2"/>
              </w:rPr>
            </w:pPr>
            <w:r>
              <w:rPr>
                <w:rFonts w:eastAsia="等线"/>
                <w:kern w:val="2"/>
              </w:rPr>
              <w:t>备注</w:t>
            </w:r>
          </w:p>
        </w:tc>
      </w:tr>
      <w:tr w14:paraId="4BC8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50D7D45D">
            <w:pPr>
              <w:pStyle w:val="89"/>
              <w:rPr>
                <w:rFonts w:eastAsia="等线"/>
                <w:kern w:val="2"/>
              </w:rPr>
            </w:pPr>
          </w:p>
          <w:p w14:paraId="6296A61F">
            <w:pPr>
              <w:pStyle w:val="89"/>
              <w:rPr>
                <w:rFonts w:eastAsia="等线"/>
                <w:kern w:val="2"/>
              </w:rPr>
            </w:pPr>
          </w:p>
          <w:p w14:paraId="20F6539B">
            <w:pPr>
              <w:pStyle w:val="89"/>
              <w:jc w:val="center"/>
              <w:rPr>
                <w:rFonts w:eastAsia="等线"/>
                <w:kern w:val="2"/>
              </w:rPr>
            </w:pPr>
            <w:r>
              <w:rPr>
                <w:rFonts w:eastAsia="等线"/>
                <w:kern w:val="2"/>
              </w:rPr>
              <w:t>1</w:t>
            </w:r>
          </w:p>
        </w:tc>
        <w:tc>
          <w:tcPr>
            <w:tcW w:w="790" w:type="dxa"/>
            <w:vAlign w:val="center"/>
          </w:tcPr>
          <w:p w14:paraId="6A8D4776">
            <w:pPr>
              <w:pStyle w:val="89"/>
              <w:rPr>
                <w:rFonts w:eastAsia="等线"/>
                <w:kern w:val="2"/>
              </w:rPr>
            </w:pPr>
          </w:p>
        </w:tc>
        <w:tc>
          <w:tcPr>
            <w:tcW w:w="3170" w:type="dxa"/>
            <w:vAlign w:val="center"/>
          </w:tcPr>
          <w:p w14:paraId="1555C815">
            <w:pPr>
              <w:pStyle w:val="89"/>
              <w:rPr>
                <w:rFonts w:eastAsia="等线"/>
                <w:kern w:val="2"/>
              </w:rPr>
            </w:pPr>
          </w:p>
        </w:tc>
        <w:tc>
          <w:tcPr>
            <w:tcW w:w="910" w:type="dxa"/>
            <w:vAlign w:val="center"/>
          </w:tcPr>
          <w:p w14:paraId="7ED7D0CB">
            <w:pPr>
              <w:pStyle w:val="89"/>
              <w:jc w:val="center"/>
              <w:rPr>
                <w:rFonts w:eastAsia="等线"/>
                <w:kern w:val="2"/>
              </w:rPr>
            </w:pPr>
          </w:p>
        </w:tc>
        <w:tc>
          <w:tcPr>
            <w:tcW w:w="780" w:type="dxa"/>
            <w:vAlign w:val="center"/>
          </w:tcPr>
          <w:p w14:paraId="3DB8F08D">
            <w:pPr>
              <w:pStyle w:val="89"/>
              <w:rPr>
                <w:rFonts w:eastAsia="等线"/>
                <w:kern w:val="2"/>
              </w:rPr>
            </w:pPr>
          </w:p>
        </w:tc>
        <w:tc>
          <w:tcPr>
            <w:tcW w:w="1190" w:type="dxa"/>
          </w:tcPr>
          <w:p w14:paraId="60EE93EA">
            <w:pPr>
              <w:pStyle w:val="89"/>
              <w:rPr>
                <w:rFonts w:eastAsia="等线"/>
                <w:kern w:val="2"/>
              </w:rPr>
            </w:pPr>
          </w:p>
        </w:tc>
        <w:tc>
          <w:tcPr>
            <w:tcW w:w="1110" w:type="dxa"/>
          </w:tcPr>
          <w:p w14:paraId="6FE3A1EC">
            <w:pPr>
              <w:pStyle w:val="89"/>
              <w:rPr>
                <w:rFonts w:eastAsia="等线"/>
                <w:kern w:val="2"/>
              </w:rPr>
            </w:pPr>
          </w:p>
        </w:tc>
        <w:tc>
          <w:tcPr>
            <w:tcW w:w="810" w:type="dxa"/>
          </w:tcPr>
          <w:p w14:paraId="1B1A700C">
            <w:pPr>
              <w:pStyle w:val="89"/>
              <w:rPr>
                <w:rFonts w:eastAsia="等线"/>
                <w:kern w:val="2"/>
              </w:rPr>
            </w:pPr>
          </w:p>
        </w:tc>
      </w:tr>
      <w:tr w14:paraId="563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5356712C">
            <w:pPr>
              <w:pStyle w:val="89"/>
              <w:rPr>
                <w:rFonts w:eastAsia="等线"/>
                <w:kern w:val="2"/>
              </w:rPr>
            </w:pPr>
          </w:p>
          <w:p w14:paraId="3EBAF039">
            <w:pPr>
              <w:pStyle w:val="89"/>
              <w:rPr>
                <w:rFonts w:eastAsia="等线"/>
                <w:kern w:val="2"/>
              </w:rPr>
            </w:pPr>
          </w:p>
          <w:p w14:paraId="465F082E">
            <w:pPr>
              <w:pStyle w:val="89"/>
              <w:jc w:val="center"/>
              <w:rPr>
                <w:rFonts w:eastAsia="等线"/>
                <w:kern w:val="2"/>
              </w:rPr>
            </w:pPr>
            <w:r>
              <w:rPr>
                <w:rFonts w:eastAsia="等线"/>
                <w:kern w:val="2"/>
              </w:rPr>
              <w:t>2</w:t>
            </w:r>
          </w:p>
        </w:tc>
        <w:tc>
          <w:tcPr>
            <w:tcW w:w="790" w:type="dxa"/>
            <w:vAlign w:val="center"/>
          </w:tcPr>
          <w:p w14:paraId="7B56F3B6">
            <w:pPr>
              <w:pStyle w:val="89"/>
              <w:rPr>
                <w:rFonts w:eastAsia="等线"/>
                <w:kern w:val="2"/>
              </w:rPr>
            </w:pPr>
          </w:p>
        </w:tc>
        <w:tc>
          <w:tcPr>
            <w:tcW w:w="3170" w:type="dxa"/>
            <w:vAlign w:val="center"/>
          </w:tcPr>
          <w:p w14:paraId="7A44636E">
            <w:pPr>
              <w:pStyle w:val="89"/>
              <w:rPr>
                <w:rFonts w:eastAsia="等线"/>
                <w:kern w:val="2"/>
              </w:rPr>
            </w:pPr>
          </w:p>
        </w:tc>
        <w:tc>
          <w:tcPr>
            <w:tcW w:w="910" w:type="dxa"/>
            <w:vAlign w:val="center"/>
          </w:tcPr>
          <w:p w14:paraId="6B3E1C00">
            <w:pPr>
              <w:pStyle w:val="89"/>
              <w:jc w:val="center"/>
              <w:rPr>
                <w:rFonts w:eastAsia="等线"/>
                <w:kern w:val="2"/>
              </w:rPr>
            </w:pPr>
          </w:p>
        </w:tc>
        <w:tc>
          <w:tcPr>
            <w:tcW w:w="780" w:type="dxa"/>
            <w:vAlign w:val="center"/>
          </w:tcPr>
          <w:p w14:paraId="48CDB6F4">
            <w:pPr>
              <w:pStyle w:val="89"/>
              <w:rPr>
                <w:rFonts w:eastAsia="等线"/>
                <w:kern w:val="2"/>
              </w:rPr>
            </w:pPr>
          </w:p>
        </w:tc>
        <w:tc>
          <w:tcPr>
            <w:tcW w:w="1190" w:type="dxa"/>
          </w:tcPr>
          <w:p w14:paraId="4597F9AF">
            <w:pPr>
              <w:pStyle w:val="89"/>
              <w:rPr>
                <w:rFonts w:eastAsia="等线"/>
                <w:kern w:val="2"/>
              </w:rPr>
            </w:pPr>
          </w:p>
        </w:tc>
        <w:tc>
          <w:tcPr>
            <w:tcW w:w="1110" w:type="dxa"/>
          </w:tcPr>
          <w:p w14:paraId="3A299A56">
            <w:pPr>
              <w:pStyle w:val="89"/>
              <w:rPr>
                <w:rFonts w:eastAsia="等线"/>
                <w:kern w:val="2"/>
              </w:rPr>
            </w:pPr>
          </w:p>
        </w:tc>
        <w:tc>
          <w:tcPr>
            <w:tcW w:w="810" w:type="dxa"/>
          </w:tcPr>
          <w:p w14:paraId="27E814D2">
            <w:pPr>
              <w:pStyle w:val="89"/>
              <w:rPr>
                <w:rFonts w:eastAsia="等线"/>
                <w:kern w:val="2"/>
              </w:rPr>
            </w:pPr>
          </w:p>
        </w:tc>
      </w:tr>
      <w:tr w14:paraId="4942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191082B8">
            <w:pPr>
              <w:pStyle w:val="89"/>
              <w:jc w:val="center"/>
              <w:rPr>
                <w:rFonts w:eastAsia="等线"/>
                <w:kern w:val="2"/>
              </w:rPr>
            </w:pPr>
          </w:p>
          <w:p w14:paraId="35B06033">
            <w:pPr>
              <w:pStyle w:val="89"/>
              <w:jc w:val="center"/>
              <w:rPr>
                <w:rFonts w:eastAsia="等线"/>
                <w:kern w:val="2"/>
              </w:rPr>
            </w:pPr>
            <w:r>
              <w:rPr>
                <w:rFonts w:eastAsia="等线"/>
                <w:kern w:val="2"/>
              </w:rPr>
              <w:t>3</w:t>
            </w:r>
          </w:p>
        </w:tc>
        <w:tc>
          <w:tcPr>
            <w:tcW w:w="790" w:type="dxa"/>
            <w:vAlign w:val="center"/>
          </w:tcPr>
          <w:p w14:paraId="0998C332">
            <w:pPr>
              <w:pStyle w:val="89"/>
              <w:rPr>
                <w:rFonts w:eastAsia="等线"/>
                <w:kern w:val="2"/>
              </w:rPr>
            </w:pPr>
          </w:p>
        </w:tc>
        <w:tc>
          <w:tcPr>
            <w:tcW w:w="3170" w:type="dxa"/>
            <w:vAlign w:val="center"/>
          </w:tcPr>
          <w:p w14:paraId="350642AA">
            <w:pPr>
              <w:pStyle w:val="89"/>
              <w:rPr>
                <w:rFonts w:eastAsia="等线"/>
                <w:kern w:val="2"/>
              </w:rPr>
            </w:pPr>
          </w:p>
        </w:tc>
        <w:tc>
          <w:tcPr>
            <w:tcW w:w="910" w:type="dxa"/>
            <w:vAlign w:val="center"/>
          </w:tcPr>
          <w:p w14:paraId="25DF4826">
            <w:pPr>
              <w:pStyle w:val="89"/>
              <w:jc w:val="center"/>
              <w:rPr>
                <w:rFonts w:eastAsia="等线"/>
                <w:kern w:val="2"/>
              </w:rPr>
            </w:pPr>
          </w:p>
        </w:tc>
        <w:tc>
          <w:tcPr>
            <w:tcW w:w="780" w:type="dxa"/>
            <w:vAlign w:val="center"/>
          </w:tcPr>
          <w:p w14:paraId="20638BA8">
            <w:pPr>
              <w:pStyle w:val="89"/>
              <w:rPr>
                <w:rFonts w:eastAsia="等线"/>
                <w:kern w:val="2"/>
              </w:rPr>
            </w:pPr>
          </w:p>
        </w:tc>
        <w:tc>
          <w:tcPr>
            <w:tcW w:w="1190" w:type="dxa"/>
          </w:tcPr>
          <w:p w14:paraId="6B403893">
            <w:pPr>
              <w:pStyle w:val="89"/>
              <w:rPr>
                <w:rFonts w:eastAsia="等线"/>
                <w:kern w:val="2"/>
              </w:rPr>
            </w:pPr>
          </w:p>
        </w:tc>
        <w:tc>
          <w:tcPr>
            <w:tcW w:w="1110" w:type="dxa"/>
          </w:tcPr>
          <w:p w14:paraId="236D713A">
            <w:pPr>
              <w:pStyle w:val="89"/>
              <w:rPr>
                <w:rFonts w:eastAsia="等线"/>
                <w:kern w:val="2"/>
              </w:rPr>
            </w:pPr>
          </w:p>
        </w:tc>
        <w:tc>
          <w:tcPr>
            <w:tcW w:w="810" w:type="dxa"/>
          </w:tcPr>
          <w:p w14:paraId="68E4991C">
            <w:pPr>
              <w:pStyle w:val="89"/>
              <w:rPr>
                <w:rFonts w:eastAsia="等线"/>
                <w:kern w:val="2"/>
              </w:rPr>
            </w:pPr>
          </w:p>
        </w:tc>
      </w:tr>
      <w:tr w14:paraId="12EF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2730E5F9">
            <w:pPr>
              <w:pStyle w:val="89"/>
              <w:jc w:val="center"/>
              <w:rPr>
                <w:rFonts w:eastAsia="等线"/>
                <w:kern w:val="2"/>
              </w:rPr>
            </w:pPr>
          </w:p>
          <w:p w14:paraId="0096705F">
            <w:pPr>
              <w:pStyle w:val="89"/>
              <w:jc w:val="center"/>
              <w:rPr>
                <w:rFonts w:eastAsia="等线"/>
                <w:kern w:val="2"/>
              </w:rPr>
            </w:pPr>
            <w:r>
              <w:rPr>
                <w:rFonts w:eastAsia="等线"/>
                <w:kern w:val="2"/>
              </w:rPr>
              <w:t>4</w:t>
            </w:r>
          </w:p>
        </w:tc>
        <w:tc>
          <w:tcPr>
            <w:tcW w:w="790" w:type="dxa"/>
            <w:vAlign w:val="center"/>
          </w:tcPr>
          <w:p w14:paraId="04DA1677">
            <w:pPr>
              <w:pStyle w:val="89"/>
              <w:rPr>
                <w:rFonts w:eastAsia="等线"/>
                <w:kern w:val="2"/>
              </w:rPr>
            </w:pPr>
          </w:p>
        </w:tc>
        <w:tc>
          <w:tcPr>
            <w:tcW w:w="3170" w:type="dxa"/>
            <w:vAlign w:val="center"/>
          </w:tcPr>
          <w:p w14:paraId="010100B8">
            <w:pPr>
              <w:pStyle w:val="89"/>
              <w:rPr>
                <w:rFonts w:eastAsia="等线"/>
                <w:kern w:val="2"/>
              </w:rPr>
            </w:pPr>
          </w:p>
        </w:tc>
        <w:tc>
          <w:tcPr>
            <w:tcW w:w="910" w:type="dxa"/>
            <w:vAlign w:val="center"/>
          </w:tcPr>
          <w:p w14:paraId="3CED1D62">
            <w:pPr>
              <w:pStyle w:val="89"/>
              <w:jc w:val="center"/>
              <w:rPr>
                <w:rFonts w:eastAsia="等线"/>
                <w:kern w:val="2"/>
              </w:rPr>
            </w:pPr>
          </w:p>
        </w:tc>
        <w:tc>
          <w:tcPr>
            <w:tcW w:w="780" w:type="dxa"/>
            <w:vAlign w:val="center"/>
          </w:tcPr>
          <w:p w14:paraId="2968E8C5">
            <w:pPr>
              <w:pStyle w:val="89"/>
              <w:rPr>
                <w:rFonts w:eastAsia="等线"/>
                <w:kern w:val="2"/>
              </w:rPr>
            </w:pPr>
          </w:p>
        </w:tc>
        <w:tc>
          <w:tcPr>
            <w:tcW w:w="1190" w:type="dxa"/>
          </w:tcPr>
          <w:p w14:paraId="69A3549A">
            <w:pPr>
              <w:pStyle w:val="89"/>
              <w:rPr>
                <w:rFonts w:eastAsia="等线"/>
                <w:kern w:val="2"/>
              </w:rPr>
            </w:pPr>
          </w:p>
        </w:tc>
        <w:tc>
          <w:tcPr>
            <w:tcW w:w="1110" w:type="dxa"/>
          </w:tcPr>
          <w:p w14:paraId="32B71AE7">
            <w:pPr>
              <w:pStyle w:val="89"/>
              <w:rPr>
                <w:rFonts w:eastAsia="等线"/>
                <w:kern w:val="2"/>
              </w:rPr>
            </w:pPr>
          </w:p>
        </w:tc>
        <w:tc>
          <w:tcPr>
            <w:tcW w:w="810" w:type="dxa"/>
          </w:tcPr>
          <w:p w14:paraId="09B8D695">
            <w:pPr>
              <w:pStyle w:val="89"/>
              <w:rPr>
                <w:rFonts w:eastAsia="等线"/>
                <w:kern w:val="2"/>
              </w:rPr>
            </w:pPr>
          </w:p>
        </w:tc>
      </w:tr>
      <w:tr w14:paraId="7FF7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71E6B8EE">
            <w:pPr>
              <w:pStyle w:val="89"/>
              <w:jc w:val="center"/>
              <w:rPr>
                <w:rFonts w:eastAsia="等线"/>
                <w:kern w:val="2"/>
              </w:rPr>
            </w:pPr>
          </w:p>
          <w:p w14:paraId="3FC91AED">
            <w:pPr>
              <w:pStyle w:val="89"/>
              <w:jc w:val="center"/>
              <w:rPr>
                <w:rFonts w:eastAsia="等线"/>
                <w:kern w:val="2"/>
              </w:rPr>
            </w:pPr>
            <w:r>
              <w:rPr>
                <w:rFonts w:eastAsia="等线"/>
                <w:kern w:val="2"/>
              </w:rPr>
              <w:t>5</w:t>
            </w:r>
          </w:p>
        </w:tc>
        <w:tc>
          <w:tcPr>
            <w:tcW w:w="8760" w:type="dxa"/>
            <w:gridSpan w:val="7"/>
            <w:vAlign w:val="center"/>
          </w:tcPr>
          <w:p w14:paraId="11377053">
            <w:pPr>
              <w:pStyle w:val="89"/>
              <w:rPr>
                <w:rFonts w:eastAsia="等线"/>
                <w:kern w:val="2"/>
              </w:rPr>
            </w:pPr>
            <w:r>
              <w:rPr>
                <w:rFonts w:eastAsia="等线"/>
                <w:kern w:val="2"/>
                <w:szCs w:val="24"/>
                <w:lang w:bidi="zh-CN"/>
              </w:rPr>
              <w:t>总计：</w:t>
            </w:r>
            <w:r>
              <w:rPr>
                <w:rFonts w:ascii="Arial" w:hAnsi="Arial" w:eastAsia="等线" w:cs="Arial"/>
                <w:kern w:val="2"/>
                <w:szCs w:val="24"/>
                <w:lang w:bidi="zh-CN"/>
              </w:rPr>
              <w:t>¥</w:t>
            </w:r>
            <w:r>
              <w:rPr>
                <w:rFonts w:eastAsia="等线"/>
                <w:kern w:val="2"/>
                <w:szCs w:val="24"/>
                <w:u w:val="single"/>
                <w:lang w:bidi="zh-CN"/>
              </w:rPr>
              <w:t xml:space="preserve">             </w:t>
            </w:r>
            <w:r>
              <w:rPr>
                <w:rFonts w:eastAsia="等线"/>
                <w:kern w:val="2"/>
                <w:szCs w:val="24"/>
                <w:lang w:bidi="zh-CN"/>
              </w:rPr>
              <w:t>元</w:t>
            </w:r>
          </w:p>
        </w:tc>
      </w:tr>
    </w:tbl>
    <w:p w14:paraId="384BC227">
      <w:pPr>
        <w:spacing w:after="100" w:line="360" w:lineRule="auto"/>
        <w:ind w:firstLine="3360" w:firstLineChars="1400"/>
        <w:jc w:val="both"/>
        <w:rPr>
          <w:rFonts w:hint="eastAsia" w:ascii="宋体" w:hAnsi="宋体" w:cs="宋体"/>
          <w:sz w:val="24"/>
        </w:rPr>
      </w:pPr>
      <w:r>
        <w:rPr>
          <w:rFonts w:hint="eastAsia" w:ascii="宋体" w:hAnsi="宋体" w:cs="宋体"/>
          <w:sz w:val="24"/>
        </w:rPr>
        <w:t>供应商名称：（盖章）</w:t>
      </w:r>
    </w:p>
    <w:p w14:paraId="6C365F3C">
      <w:pPr>
        <w:spacing w:after="100" w:line="360" w:lineRule="auto"/>
        <w:ind w:left="1133" w:firstLine="480" w:firstLineChars="200"/>
        <w:jc w:val="center"/>
        <w:rPr>
          <w:rFonts w:hint="eastAsia" w:ascii="宋体" w:hAnsi="宋体" w:cs="宋体"/>
          <w:sz w:val="24"/>
        </w:rPr>
      </w:pPr>
      <w:r>
        <w:rPr>
          <w:rFonts w:hint="eastAsia" w:ascii="宋体" w:hAnsi="宋体" w:cs="宋体"/>
          <w:sz w:val="24"/>
        </w:rPr>
        <w:t xml:space="preserve">    法定代表人或授权委托人（签字或盖章）：</w:t>
      </w:r>
    </w:p>
    <w:p w14:paraId="1B423BEF">
      <w:pPr>
        <w:spacing w:after="100" w:line="360" w:lineRule="auto"/>
        <w:ind w:firstLine="3360" w:firstLineChars="1400"/>
        <w:jc w:val="both"/>
        <w:outlineLvl w:val="0"/>
        <w:rPr>
          <w:rFonts w:hint="eastAsia" w:ascii="宋体" w:hAnsi="宋体" w:cs="宋体"/>
          <w:sz w:val="24"/>
        </w:rPr>
      </w:pPr>
      <w:r>
        <w:rPr>
          <w:rFonts w:hint="eastAsia" w:ascii="宋体" w:hAnsi="宋体" w:cs="宋体"/>
          <w:sz w:val="24"/>
        </w:rPr>
        <w:t>日期：</w:t>
      </w:r>
    </w:p>
    <w:p w14:paraId="72154067">
      <w:pPr>
        <w:spacing w:line="360" w:lineRule="auto"/>
        <w:ind w:firstLine="482" w:firstLineChars="200"/>
        <w:jc w:val="both"/>
        <w:outlineLvl w:val="0"/>
        <w:rPr>
          <w:rFonts w:hint="eastAsia" w:ascii="宋体" w:hAnsi="宋体" w:cs="宋体"/>
          <w:b/>
          <w:bCs/>
          <w:sz w:val="24"/>
          <w:szCs w:val="28"/>
          <w:u w:val="single"/>
        </w:rPr>
      </w:pPr>
      <w:r>
        <w:rPr>
          <w:rFonts w:hint="eastAsia" w:ascii="宋体" w:hAnsi="宋体" w:cs="宋体"/>
          <w:b/>
          <w:bCs/>
          <w:sz w:val="24"/>
          <w:szCs w:val="28"/>
          <w:u w:val="single"/>
        </w:rPr>
        <w:br w:type="page"/>
      </w:r>
    </w:p>
    <w:p w14:paraId="28A9EB06">
      <w:pPr>
        <w:spacing w:line="360" w:lineRule="auto"/>
        <w:ind w:firstLine="482" w:firstLineChars="200"/>
        <w:jc w:val="center"/>
        <w:rPr>
          <w:rFonts w:hint="eastAsia" w:ascii="宋体" w:hAnsi="宋体" w:cs="宋体"/>
          <w:b/>
          <w:bCs/>
          <w:sz w:val="24"/>
          <w:szCs w:val="28"/>
          <w:lang w:bidi="zh-CN"/>
        </w:rPr>
      </w:pPr>
      <w:r>
        <w:rPr>
          <w:rFonts w:hint="eastAsia" w:ascii="宋体" w:hAnsi="宋体" w:cs="宋体"/>
          <w:b/>
          <w:bCs/>
          <w:sz w:val="24"/>
          <w:szCs w:val="28"/>
          <w:lang w:bidi="zh-CN"/>
        </w:rPr>
        <w:t>3.中小企业声明函（货物）（若有，则提供）</w:t>
      </w:r>
    </w:p>
    <w:p w14:paraId="39DDD207">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本公司郑重声明，根据《政府采购促进中小企业发展管理办法》（财库﹝2020﹞46 号）的规定，本公司参加</w:t>
      </w:r>
      <w:r>
        <w:rPr>
          <w:rFonts w:hint="eastAsia" w:ascii="宋体" w:hAnsi="宋体" w:cs="宋体"/>
          <w:sz w:val="24"/>
          <w:szCs w:val="28"/>
          <w:u w:val="single"/>
          <w:lang w:bidi="zh-CN"/>
        </w:rPr>
        <w:t>（单位名称）</w:t>
      </w:r>
      <w:r>
        <w:rPr>
          <w:rFonts w:hint="eastAsia" w:ascii="宋体" w:hAnsi="宋体" w:cs="宋体"/>
          <w:sz w:val="24"/>
          <w:szCs w:val="28"/>
          <w:lang w:bidi="zh-CN"/>
        </w:rPr>
        <w:t>的</w:t>
      </w:r>
      <w:r>
        <w:rPr>
          <w:rFonts w:hint="eastAsia" w:ascii="宋体" w:hAnsi="宋体" w:cs="宋体"/>
          <w:sz w:val="24"/>
          <w:szCs w:val="28"/>
          <w:u w:val="single"/>
          <w:lang w:bidi="zh-CN"/>
        </w:rPr>
        <w:t>（项目名称）</w:t>
      </w:r>
      <w:r>
        <w:rPr>
          <w:rFonts w:hint="eastAsia" w:ascii="宋体" w:hAnsi="宋体" w:cs="宋体"/>
          <w:sz w:val="24"/>
          <w:szCs w:val="28"/>
          <w:lang w:bidi="zh-CN"/>
        </w:rPr>
        <w:t>采购活动，提供的货物全部由符合政策要求的中小企业制造。相关企业的具体情况如下：</w:t>
      </w:r>
    </w:p>
    <w:p w14:paraId="433BEFC6">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1.</w:t>
      </w:r>
      <w:r>
        <w:rPr>
          <w:rFonts w:hint="eastAsia" w:ascii="宋体" w:hAnsi="宋体" w:cs="宋体"/>
          <w:sz w:val="24"/>
          <w:szCs w:val="28"/>
          <w:u w:val="single"/>
          <w:lang w:bidi="zh-CN"/>
        </w:rPr>
        <w:t xml:space="preserve"> （标的名称）</w:t>
      </w:r>
      <w:r>
        <w:rPr>
          <w:rFonts w:hint="eastAsia" w:ascii="宋体" w:hAnsi="宋体" w:cs="宋体"/>
          <w:sz w:val="24"/>
          <w:szCs w:val="28"/>
          <w:lang w:bidi="zh-CN"/>
        </w:rPr>
        <w:t xml:space="preserve"> ，属于</w:t>
      </w:r>
      <w:r>
        <w:rPr>
          <w:rFonts w:hint="eastAsia" w:ascii="宋体" w:hAnsi="宋体" w:cs="宋体"/>
          <w:sz w:val="24"/>
          <w:szCs w:val="28"/>
          <w:u w:val="single"/>
          <w:lang w:bidi="zh-CN"/>
        </w:rPr>
        <w:t>（采购文件中明确的所属行业）</w:t>
      </w:r>
      <w:r>
        <w:rPr>
          <w:rFonts w:hint="eastAsia" w:ascii="宋体" w:hAnsi="宋体" w:cs="宋体"/>
          <w:sz w:val="24"/>
          <w:szCs w:val="28"/>
          <w:lang w:bidi="zh-CN"/>
        </w:rPr>
        <w:t>行业；制造商为</w:t>
      </w:r>
      <w:r>
        <w:rPr>
          <w:rFonts w:hint="eastAsia" w:ascii="宋体" w:hAnsi="宋体" w:cs="宋体"/>
          <w:sz w:val="24"/>
          <w:szCs w:val="28"/>
          <w:u w:val="single"/>
          <w:lang w:bidi="zh-CN"/>
        </w:rPr>
        <w:t>（企业名称）</w:t>
      </w:r>
      <w:r>
        <w:rPr>
          <w:rFonts w:hint="eastAsia" w:ascii="宋体" w:hAnsi="宋体" w:cs="宋体"/>
          <w:sz w:val="24"/>
          <w:szCs w:val="28"/>
          <w:lang w:bidi="zh-CN"/>
        </w:rPr>
        <w:t>，从业人员</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人，营业收入为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万元，资产总额为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万元，属于</w:t>
      </w:r>
      <w:r>
        <w:rPr>
          <w:rFonts w:hint="eastAsia" w:ascii="宋体" w:hAnsi="宋体" w:cs="宋体"/>
          <w:sz w:val="24"/>
          <w:szCs w:val="28"/>
          <w:u w:val="single"/>
          <w:lang w:bidi="zh-CN"/>
        </w:rPr>
        <w:t>（中型企业、小型企业、微型企业）</w:t>
      </w:r>
      <w:r>
        <w:rPr>
          <w:rFonts w:hint="eastAsia" w:ascii="宋体" w:hAnsi="宋体" w:cs="宋体"/>
          <w:sz w:val="24"/>
          <w:szCs w:val="28"/>
          <w:lang w:bidi="zh-CN"/>
        </w:rPr>
        <w:t>；</w:t>
      </w:r>
    </w:p>
    <w:p w14:paraId="6789D67C">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2.</w:t>
      </w:r>
      <w:r>
        <w:rPr>
          <w:rFonts w:hint="eastAsia" w:ascii="宋体" w:hAnsi="宋体" w:cs="宋体"/>
          <w:i/>
          <w:sz w:val="24"/>
          <w:szCs w:val="28"/>
          <w:u w:val="single"/>
          <w:lang w:bidi="zh-CN"/>
        </w:rPr>
        <w:t xml:space="preserve"> </w:t>
      </w:r>
      <w:r>
        <w:rPr>
          <w:rFonts w:hint="eastAsia" w:ascii="宋体" w:hAnsi="宋体" w:cs="宋体"/>
          <w:sz w:val="24"/>
          <w:szCs w:val="28"/>
          <w:u w:val="single"/>
          <w:lang w:bidi="zh-CN"/>
        </w:rPr>
        <w:t xml:space="preserve">（标的名称） </w:t>
      </w:r>
      <w:r>
        <w:rPr>
          <w:rFonts w:hint="eastAsia" w:ascii="宋体" w:hAnsi="宋体" w:cs="宋体"/>
          <w:sz w:val="24"/>
          <w:szCs w:val="28"/>
          <w:lang w:bidi="zh-CN"/>
        </w:rPr>
        <w:t>，属于</w:t>
      </w:r>
      <w:r>
        <w:rPr>
          <w:rFonts w:hint="eastAsia" w:ascii="宋体" w:hAnsi="宋体" w:cs="宋体"/>
          <w:sz w:val="24"/>
          <w:szCs w:val="28"/>
          <w:u w:val="single"/>
          <w:lang w:bidi="zh-CN"/>
        </w:rPr>
        <w:t>（采购文件中明确的所属行业）</w:t>
      </w:r>
      <w:r>
        <w:rPr>
          <w:rFonts w:hint="eastAsia" w:ascii="宋体" w:hAnsi="宋体" w:cs="宋体"/>
          <w:sz w:val="24"/>
          <w:szCs w:val="28"/>
          <w:lang w:bidi="zh-CN"/>
        </w:rPr>
        <w:t>行业；制造商为</w:t>
      </w:r>
      <w:r>
        <w:rPr>
          <w:rFonts w:hint="eastAsia" w:ascii="宋体" w:hAnsi="宋体" w:cs="宋体"/>
          <w:sz w:val="24"/>
          <w:szCs w:val="28"/>
          <w:u w:val="single"/>
          <w:lang w:bidi="zh-CN"/>
        </w:rPr>
        <w:t>（企业名称）</w:t>
      </w:r>
      <w:r>
        <w:rPr>
          <w:rFonts w:hint="eastAsia" w:ascii="宋体" w:hAnsi="宋体" w:cs="宋体"/>
          <w:sz w:val="24"/>
          <w:szCs w:val="28"/>
          <w:lang w:bidi="zh-CN"/>
        </w:rPr>
        <w:t>，从业人员</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人，营业收入为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万元，资产总额为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万元，属于</w:t>
      </w:r>
      <w:r>
        <w:rPr>
          <w:rFonts w:hint="eastAsia" w:ascii="宋体" w:hAnsi="宋体" w:cs="宋体"/>
          <w:sz w:val="24"/>
          <w:szCs w:val="28"/>
          <w:u w:val="single"/>
          <w:lang w:bidi="zh-CN"/>
        </w:rPr>
        <w:t>（中型企业、小型企业、微型企业）</w:t>
      </w:r>
      <w:r>
        <w:rPr>
          <w:rFonts w:hint="eastAsia" w:ascii="宋体" w:hAnsi="宋体" w:cs="宋体"/>
          <w:sz w:val="24"/>
          <w:szCs w:val="28"/>
          <w:lang w:bidi="zh-CN"/>
        </w:rPr>
        <w:t>；</w:t>
      </w:r>
    </w:p>
    <w:p w14:paraId="632BD869">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w:t>
      </w:r>
    </w:p>
    <w:p w14:paraId="25F9E434">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以上企业，不属于大企业的分支机构，不存在控股股东为大企业的情形，也不存在与大企业的负责人为同一人的情形。</w:t>
      </w:r>
    </w:p>
    <w:p w14:paraId="710ACC22">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本企业对上述声明内容的真实性负责。如有虚假，将依法承担相应责任。</w:t>
      </w:r>
    </w:p>
    <w:p w14:paraId="52C4524D">
      <w:pPr>
        <w:spacing w:line="360" w:lineRule="auto"/>
        <w:ind w:firstLine="480" w:firstLineChars="200"/>
        <w:outlineLvl w:val="0"/>
        <w:rPr>
          <w:rFonts w:hint="eastAsia" w:ascii="宋体" w:hAnsi="宋体" w:cs="宋体"/>
          <w:sz w:val="24"/>
          <w:szCs w:val="28"/>
          <w:lang w:bidi="zh-CN"/>
        </w:rPr>
      </w:pPr>
    </w:p>
    <w:p w14:paraId="5F5DF5CC">
      <w:pPr>
        <w:spacing w:line="360" w:lineRule="auto"/>
        <w:ind w:firstLine="480" w:firstLineChars="200"/>
        <w:jc w:val="center"/>
        <w:outlineLvl w:val="0"/>
        <w:rPr>
          <w:rFonts w:hint="eastAsia" w:ascii="宋体" w:hAnsi="宋体" w:cs="宋体"/>
          <w:sz w:val="24"/>
          <w:szCs w:val="28"/>
          <w:lang w:bidi="zh-CN"/>
        </w:rPr>
      </w:pPr>
      <w:r>
        <w:rPr>
          <w:rFonts w:hint="eastAsia" w:ascii="宋体" w:hAnsi="宋体" w:cs="宋体"/>
          <w:sz w:val="24"/>
          <w:szCs w:val="28"/>
          <w:lang w:bidi="zh-CN"/>
        </w:rPr>
        <w:t xml:space="preserve">                      企业名称（盖章）：</w:t>
      </w:r>
    </w:p>
    <w:p w14:paraId="14AFC166">
      <w:pPr>
        <w:spacing w:line="360" w:lineRule="auto"/>
        <w:ind w:firstLine="480" w:firstLineChars="200"/>
        <w:jc w:val="center"/>
        <w:outlineLvl w:val="0"/>
        <w:rPr>
          <w:rFonts w:hint="eastAsia" w:ascii="宋体" w:hAnsi="宋体" w:cs="宋体"/>
          <w:sz w:val="24"/>
          <w:szCs w:val="28"/>
          <w:lang w:bidi="zh-CN"/>
        </w:rPr>
      </w:pPr>
      <w:r>
        <w:rPr>
          <w:rFonts w:hint="eastAsia" w:ascii="宋体" w:hAnsi="宋体" w:cs="宋体"/>
          <w:sz w:val="24"/>
          <w:szCs w:val="28"/>
          <w:lang w:bidi="zh-CN"/>
        </w:rPr>
        <w:t xml:space="preserve">          日期：</w:t>
      </w:r>
    </w:p>
    <w:p w14:paraId="7418C294">
      <w:pPr>
        <w:spacing w:line="360" w:lineRule="auto"/>
        <w:ind w:firstLine="480" w:firstLineChars="200"/>
        <w:rPr>
          <w:rFonts w:hint="eastAsia" w:ascii="宋体" w:hAnsi="宋体" w:cs="宋体"/>
          <w:sz w:val="24"/>
          <w:szCs w:val="28"/>
        </w:rPr>
      </w:pPr>
      <w:r>
        <w:rPr>
          <w:rFonts w:hint="eastAsia" w:ascii="宋体" w:hAnsi="宋体" w:cs="宋体"/>
          <w:sz w:val="24"/>
          <w:szCs w:val="28"/>
        </w:rPr>
        <w:t>注：</w:t>
      </w:r>
    </w:p>
    <w:p w14:paraId="035134BD">
      <w:pPr>
        <w:spacing w:line="360" w:lineRule="auto"/>
        <w:ind w:firstLine="480" w:firstLineChars="200"/>
        <w:rPr>
          <w:rFonts w:hint="eastAsia" w:ascii="宋体" w:hAnsi="宋体" w:cs="宋体"/>
          <w:sz w:val="24"/>
          <w:szCs w:val="28"/>
        </w:rPr>
      </w:pPr>
      <w:r>
        <w:rPr>
          <w:rFonts w:hint="eastAsia" w:ascii="宋体" w:hAnsi="宋体" w:cs="宋体"/>
          <w:sz w:val="24"/>
          <w:szCs w:val="28"/>
        </w:rPr>
        <w:t>（1）从业人员、营业收入、资产总额填报上一年度数据，无上一年度数据的新成立企业可不填报。</w:t>
      </w:r>
    </w:p>
    <w:p w14:paraId="04190152">
      <w:pPr>
        <w:spacing w:line="360" w:lineRule="auto"/>
        <w:ind w:firstLine="480" w:firstLineChars="200"/>
        <w:jc w:val="center"/>
        <w:outlineLvl w:val="0"/>
        <w:rPr>
          <w:rFonts w:hint="eastAsia" w:ascii="宋体" w:hAnsi="宋体" w:cs="宋体"/>
          <w:b/>
          <w:sz w:val="24"/>
          <w:szCs w:val="32"/>
        </w:rPr>
      </w:pPr>
      <w:r>
        <w:rPr>
          <w:rFonts w:hint="eastAsia" w:ascii="宋体" w:hAnsi="宋体" w:cs="宋体"/>
          <w:sz w:val="24"/>
          <w:szCs w:val="32"/>
        </w:rPr>
        <w:br w:type="page"/>
      </w:r>
      <w:r>
        <w:rPr>
          <w:rFonts w:hint="eastAsia" w:ascii="宋体" w:hAnsi="宋体" w:cs="宋体"/>
          <w:sz w:val="24"/>
          <w:szCs w:val="32"/>
        </w:rPr>
        <w:t>4.</w:t>
      </w:r>
      <w:r>
        <w:rPr>
          <w:rFonts w:hint="eastAsia" w:ascii="宋体" w:hAnsi="宋体" w:cs="宋体"/>
          <w:b/>
          <w:sz w:val="24"/>
          <w:szCs w:val="32"/>
        </w:rPr>
        <w:t>残疾人福利性单位声明函（若有，则提供）</w:t>
      </w:r>
    </w:p>
    <w:p w14:paraId="21C1D8CD">
      <w:pPr>
        <w:spacing w:line="360" w:lineRule="auto"/>
        <w:ind w:firstLine="480" w:firstLineChars="200"/>
        <w:rPr>
          <w:rFonts w:hint="eastAsia" w:ascii="宋体" w:hAnsi="宋体" w:cs="宋体"/>
          <w:sz w:val="24"/>
          <w:szCs w:val="28"/>
        </w:rPr>
      </w:pPr>
      <w:r>
        <w:rPr>
          <w:rFonts w:hint="eastAsia" w:ascii="宋体" w:hAnsi="宋体" w:cs="宋体"/>
          <w:sz w:val="24"/>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szCs w:val="28"/>
          <w:u w:val="single"/>
        </w:rPr>
        <w:t xml:space="preserve">       </w:t>
      </w:r>
      <w:r>
        <w:rPr>
          <w:rFonts w:hint="eastAsia" w:ascii="宋体" w:hAnsi="宋体" w:cs="宋体"/>
          <w:sz w:val="24"/>
          <w:szCs w:val="28"/>
        </w:rPr>
        <w:t>项目采购活动提供本单位制造的货物（由本单位承担工程/提供服务），或者提供其他残疾人福利性单位制造的货物（不包括使用非残疾人福利性单位注册商标的货物）。</w:t>
      </w:r>
    </w:p>
    <w:p w14:paraId="64ABA4D6">
      <w:pPr>
        <w:spacing w:line="360" w:lineRule="auto"/>
        <w:ind w:firstLine="480" w:firstLineChars="200"/>
        <w:rPr>
          <w:rFonts w:hint="eastAsia" w:ascii="宋体" w:hAnsi="宋体" w:cs="宋体"/>
          <w:sz w:val="24"/>
          <w:szCs w:val="28"/>
        </w:rPr>
      </w:pPr>
      <w:r>
        <w:rPr>
          <w:rFonts w:hint="eastAsia" w:ascii="宋体" w:hAnsi="宋体" w:cs="宋体"/>
          <w:sz w:val="24"/>
          <w:szCs w:val="28"/>
        </w:rPr>
        <w:t>本单位对上述声明的真实性负责。如有虚假，将依法承担相应责任。</w:t>
      </w:r>
    </w:p>
    <w:p w14:paraId="60C3DB92">
      <w:pPr>
        <w:spacing w:line="360" w:lineRule="auto"/>
        <w:ind w:firstLine="480" w:firstLineChars="200"/>
        <w:rPr>
          <w:rFonts w:hint="eastAsia" w:ascii="宋体" w:hAnsi="宋体" w:cs="宋体"/>
          <w:sz w:val="24"/>
          <w:szCs w:val="28"/>
        </w:rPr>
      </w:pPr>
      <w:r>
        <w:rPr>
          <w:rFonts w:hint="eastAsia" w:ascii="宋体" w:hAnsi="宋体" w:cs="宋体"/>
          <w:sz w:val="24"/>
          <w:szCs w:val="28"/>
        </w:rPr>
        <w:t>（备注：1、供应商如不提供此声明函，价格将不做相应扣除。2、成交供应商为残疾人福利单位的，此声明函将随成交结果同时公告，接受社会监督）</w:t>
      </w:r>
    </w:p>
    <w:p w14:paraId="7FE95E1F">
      <w:pPr>
        <w:spacing w:line="360" w:lineRule="auto"/>
        <w:ind w:firstLine="504" w:firstLineChars="200"/>
        <w:rPr>
          <w:rFonts w:hint="eastAsia" w:ascii="宋体" w:hAnsi="宋体" w:cs="宋体"/>
          <w:spacing w:val="6"/>
          <w:sz w:val="24"/>
          <w:szCs w:val="28"/>
        </w:rPr>
      </w:pPr>
    </w:p>
    <w:p w14:paraId="1277B771">
      <w:pPr>
        <w:tabs>
          <w:tab w:val="left" w:pos="4860"/>
        </w:tabs>
        <w:spacing w:line="360" w:lineRule="auto"/>
        <w:ind w:right="1560" w:firstLine="504" w:firstLineChars="200"/>
        <w:jc w:val="center"/>
        <w:rPr>
          <w:rFonts w:hint="eastAsia" w:ascii="宋体" w:hAnsi="宋体" w:cs="宋体"/>
          <w:sz w:val="24"/>
          <w:szCs w:val="28"/>
        </w:rPr>
      </w:pPr>
      <w:r>
        <w:rPr>
          <w:rFonts w:hint="eastAsia" w:ascii="宋体" w:hAnsi="宋体" w:cs="宋体"/>
          <w:spacing w:val="6"/>
          <w:sz w:val="24"/>
          <w:szCs w:val="28"/>
        </w:rPr>
        <w:t xml:space="preserve">             </w:t>
      </w:r>
      <w:r>
        <w:rPr>
          <w:rFonts w:hint="eastAsia" w:ascii="宋体" w:hAnsi="宋体" w:cs="宋体"/>
          <w:sz w:val="24"/>
          <w:szCs w:val="28"/>
        </w:rPr>
        <w:t xml:space="preserve">          供应商全称（盖章）：</w:t>
      </w:r>
    </w:p>
    <w:p w14:paraId="68E37E4B">
      <w:pPr>
        <w:tabs>
          <w:tab w:val="left" w:pos="4860"/>
        </w:tabs>
        <w:spacing w:line="360" w:lineRule="auto"/>
        <w:ind w:right="1560" w:firstLine="480" w:firstLineChars="200"/>
        <w:jc w:val="center"/>
        <w:rPr>
          <w:rFonts w:hint="eastAsia" w:ascii="宋体" w:hAnsi="宋体" w:cs="宋体"/>
          <w:sz w:val="24"/>
          <w:szCs w:val="28"/>
        </w:rPr>
      </w:pPr>
      <w:r>
        <w:rPr>
          <w:rFonts w:hint="eastAsia" w:ascii="宋体" w:hAnsi="宋体" w:cs="宋体"/>
          <w:sz w:val="24"/>
          <w:szCs w:val="28"/>
        </w:rPr>
        <w:t xml:space="preserve">              日  期：</w:t>
      </w:r>
    </w:p>
    <w:p w14:paraId="486F3AF3">
      <w:pPr>
        <w:spacing w:line="360" w:lineRule="auto"/>
        <w:ind w:firstLine="480" w:firstLineChars="200"/>
        <w:rPr>
          <w:rFonts w:hint="eastAsia" w:ascii="宋体" w:hAnsi="宋体" w:cs="宋体"/>
          <w:sz w:val="24"/>
          <w:szCs w:val="28"/>
        </w:rPr>
      </w:pPr>
    </w:p>
    <w:p w14:paraId="2E0DB2C5">
      <w:pPr>
        <w:spacing w:line="360" w:lineRule="auto"/>
        <w:ind w:firstLine="480" w:firstLineChars="200"/>
        <w:outlineLvl w:val="0"/>
        <w:rPr>
          <w:rFonts w:hint="eastAsia" w:ascii="宋体" w:hAnsi="宋体" w:cs="宋体"/>
          <w:sz w:val="24"/>
          <w:szCs w:val="28"/>
        </w:rPr>
      </w:pPr>
    </w:p>
    <w:p w14:paraId="4B021B31">
      <w:pPr>
        <w:spacing w:line="360" w:lineRule="auto"/>
        <w:ind w:firstLine="480" w:firstLineChars="200"/>
        <w:outlineLvl w:val="0"/>
        <w:rPr>
          <w:rFonts w:hint="eastAsia" w:ascii="宋体" w:hAnsi="宋体" w:cs="宋体"/>
          <w:sz w:val="24"/>
          <w:szCs w:val="28"/>
        </w:rPr>
      </w:pPr>
    </w:p>
    <w:p w14:paraId="00CA3766">
      <w:pPr>
        <w:spacing w:line="360" w:lineRule="auto"/>
        <w:ind w:firstLine="480" w:firstLineChars="200"/>
        <w:outlineLvl w:val="0"/>
        <w:rPr>
          <w:rFonts w:hint="eastAsia" w:ascii="宋体" w:hAnsi="宋体" w:cs="宋体"/>
          <w:sz w:val="24"/>
          <w:szCs w:val="28"/>
        </w:rPr>
      </w:pPr>
    </w:p>
    <w:p w14:paraId="57E4BDB9">
      <w:pPr>
        <w:spacing w:line="360" w:lineRule="auto"/>
        <w:ind w:firstLine="480" w:firstLineChars="200"/>
        <w:outlineLvl w:val="0"/>
        <w:rPr>
          <w:rFonts w:hint="eastAsia" w:ascii="宋体" w:hAnsi="宋体" w:cs="宋体"/>
          <w:sz w:val="24"/>
          <w:szCs w:val="28"/>
        </w:rPr>
      </w:pPr>
    </w:p>
    <w:p w14:paraId="738A6BA5">
      <w:pPr>
        <w:spacing w:line="360" w:lineRule="auto"/>
        <w:ind w:firstLine="482" w:firstLineChars="200"/>
        <w:jc w:val="center"/>
        <w:outlineLvl w:val="3"/>
        <w:rPr>
          <w:rFonts w:hint="eastAsia" w:ascii="宋体" w:hAnsi="宋体" w:cs="宋体"/>
          <w:b/>
          <w:bCs/>
          <w:sz w:val="24"/>
          <w:szCs w:val="32"/>
        </w:rPr>
      </w:pPr>
      <w:r>
        <w:rPr>
          <w:rFonts w:hint="eastAsia" w:ascii="宋体" w:hAnsi="宋体" w:cs="宋体"/>
          <w:b/>
          <w:bCs/>
          <w:sz w:val="24"/>
          <w:szCs w:val="32"/>
        </w:rPr>
        <w:br w:type="page"/>
      </w:r>
      <w:r>
        <w:rPr>
          <w:rFonts w:hint="eastAsia" w:ascii="宋体" w:hAnsi="宋体" w:cs="宋体"/>
          <w:b/>
          <w:bCs/>
          <w:sz w:val="24"/>
          <w:szCs w:val="32"/>
        </w:rPr>
        <w:t>5.监狱和戒毒企业证明材料（若有，则提供）</w:t>
      </w:r>
    </w:p>
    <w:p w14:paraId="61F0A977">
      <w:pPr>
        <w:spacing w:line="360" w:lineRule="auto"/>
        <w:ind w:firstLine="480" w:firstLineChars="200"/>
        <w:rPr>
          <w:rFonts w:hint="eastAsia" w:ascii="宋体" w:hAnsi="宋体" w:cs="宋体"/>
          <w:sz w:val="24"/>
          <w:szCs w:val="28"/>
        </w:rPr>
      </w:pPr>
    </w:p>
    <w:p w14:paraId="29D3479D">
      <w:pPr>
        <w:spacing w:line="360" w:lineRule="auto"/>
        <w:ind w:firstLine="482" w:firstLineChars="200"/>
        <w:rPr>
          <w:rFonts w:hint="eastAsia" w:ascii="宋体" w:hAnsi="宋体" w:cs="宋体"/>
          <w:b/>
          <w:sz w:val="24"/>
          <w:szCs w:val="28"/>
        </w:rPr>
      </w:pPr>
      <w:r>
        <w:rPr>
          <w:rFonts w:hint="eastAsia" w:ascii="宋体" w:hAnsi="宋体" w:cs="宋体"/>
          <w:b/>
          <w:sz w:val="24"/>
          <w:szCs w:val="28"/>
        </w:rPr>
        <w:t>（格式自拟）</w:t>
      </w:r>
    </w:p>
    <w:p w14:paraId="784DB602">
      <w:pPr>
        <w:spacing w:line="360" w:lineRule="auto"/>
        <w:ind w:firstLine="480" w:firstLineChars="200"/>
        <w:rPr>
          <w:rFonts w:hint="eastAsia" w:ascii="宋体" w:hAnsi="宋体" w:cs="宋体"/>
          <w:sz w:val="24"/>
          <w:szCs w:val="28"/>
        </w:rPr>
      </w:pPr>
    </w:p>
    <w:p w14:paraId="663CE79E">
      <w:pPr>
        <w:spacing w:line="360" w:lineRule="auto"/>
        <w:ind w:firstLine="480" w:firstLineChars="200"/>
        <w:rPr>
          <w:rFonts w:hint="eastAsia" w:ascii="宋体" w:hAnsi="宋体" w:cs="宋体"/>
          <w:sz w:val="24"/>
        </w:rPr>
      </w:pPr>
      <w:r>
        <w:rPr>
          <w:rFonts w:hint="eastAsia" w:ascii="宋体" w:hAnsi="宋体" w:cs="宋体"/>
          <w:sz w:val="24"/>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854C688">
      <w:pPr>
        <w:pStyle w:val="23"/>
        <w:spacing w:line="360" w:lineRule="auto"/>
        <w:ind w:firstLine="480" w:firstLineChars="200"/>
        <w:rPr>
          <w:rFonts w:hint="eastAsia" w:ascii="宋体" w:hAnsi="宋体" w:cs="宋体"/>
          <w:sz w:val="24"/>
          <w:szCs w:val="24"/>
        </w:rPr>
      </w:pPr>
    </w:p>
    <w:sectPr>
      <w:headerReference r:id="rId8" w:type="default"/>
      <w:footerReference r:id="rId9" w:type="default"/>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EDFD">
    <w:pPr>
      <w:pStyle w:val="1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F0F8">
    <w:pPr>
      <w:pStyle w:val="18"/>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5274E">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65274E">
                    <w:pPr>
                      <w:pStyle w:val="1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2535">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56ED6">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A56ED6">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CCF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DC48">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6C9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AC54"/>
    <w:multiLevelType w:val="singleLevel"/>
    <w:tmpl w:val="864BAC54"/>
    <w:lvl w:ilvl="0" w:tentative="0">
      <w:start w:val="4"/>
      <w:numFmt w:val="chineseCounting"/>
      <w:suff w:val="nothing"/>
      <w:lvlText w:val="%1、"/>
      <w:lvlJc w:val="left"/>
      <w:rPr>
        <w:rFonts w:hint="eastAsia"/>
      </w:rPr>
    </w:lvl>
  </w:abstractNum>
  <w:abstractNum w:abstractNumId="1">
    <w:nsid w:val="9AB066C4"/>
    <w:multiLevelType w:val="singleLevel"/>
    <w:tmpl w:val="9AB066C4"/>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0ZjRiM2E0MGM0ZWE0YjM3ZjhhNjYwNmFhOTNkNTQifQ=="/>
    <w:docVar w:name="KSO_WPS_MARK_KEY" w:val="e22fb9ba-9bed-4e20-99df-37e0efc83781"/>
  </w:docVars>
  <w:rsids>
    <w:rsidRoot w:val="00D31D50"/>
    <w:rsid w:val="00004BA9"/>
    <w:rsid w:val="000069EA"/>
    <w:rsid w:val="00033F89"/>
    <w:rsid w:val="00042A27"/>
    <w:rsid w:val="00047E2C"/>
    <w:rsid w:val="00052825"/>
    <w:rsid w:val="00054B47"/>
    <w:rsid w:val="00060AAE"/>
    <w:rsid w:val="00067C9A"/>
    <w:rsid w:val="000759AA"/>
    <w:rsid w:val="000773A6"/>
    <w:rsid w:val="00082BDD"/>
    <w:rsid w:val="00083F8A"/>
    <w:rsid w:val="00093216"/>
    <w:rsid w:val="00096809"/>
    <w:rsid w:val="000B5BB1"/>
    <w:rsid w:val="000E0DBA"/>
    <w:rsid w:val="000E1C15"/>
    <w:rsid w:val="00102E92"/>
    <w:rsid w:val="0011220A"/>
    <w:rsid w:val="00130AC4"/>
    <w:rsid w:val="00191FFB"/>
    <w:rsid w:val="001A3F9A"/>
    <w:rsid w:val="001B2D9A"/>
    <w:rsid w:val="001B5580"/>
    <w:rsid w:val="001B665E"/>
    <w:rsid w:val="001B6C61"/>
    <w:rsid w:val="001B76F8"/>
    <w:rsid w:val="001C5849"/>
    <w:rsid w:val="001D08A9"/>
    <w:rsid w:val="001D7056"/>
    <w:rsid w:val="001D7444"/>
    <w:rsid w:val="001E63DD"/>
    <w:rsid w:val="00200CDF"/>
    <w:rsid w:val="00213A06"/>
    <w:rsid w:val="0022057C"/>
    <w:rsid w:val="00225F64"/>
    <w:rsid w:val="00235C62"/>
    <w:rsid w:val="00244B61"/>
    <w:rsid w:val="00245D5D"/>
    <w:rsid w:val="0024723B"/>
    <w:rsid w:val="002479F1"/>
    <w:rsid w:val="00257B0D"/>
    <w:rsid w:val="00262ACA"/>
    <w:rsid w:val="00263858"/>
    <w:rsid w:val="002742A2"/>
    <w:rsid w:val="00296707"/>
    <w:rsid w:val="002A0E56"/>
    <w:rsid w:val="002A209E"/>
    <w:rsid w:val="002C5E5D"/>
    <w:rsid w:val="002E55A6"/>
    <w:rsid w:val="002E5FAB"/>
    <w:rsid w:val="002F072D"/>
    <w:rsid w:val="002F167C"/>
    <w:rsid w:val="002F6872"/>
    <w:rsid w:val="00300396"/>
    <w:rsid w:val="00323537"/>
    <w:rsid w:val="00323B43"/>
    <w:rsid w:val="003278B3"/>
    <w:rsid w:val="0033028C"/>
    <w:rsid w:val="00336766"/>
    <w:rsid w:val="00344AB2"/>
    <w:rsid w:val="00351AB4"/>
    <w:rsid w:val="0035293C"/>
    <w:rsid w:val="00357EF3"/>
    <w:rsid w:val="003776F1"/>
    <w:rsid w:val="003B7BBA"/>
    <w:rsid w:val="003D26DB"/>
    <w:rsid w:val="003D37D8"/>
    <w:rsid w:val="003D4CB0"/>
    <w:rsid w:val="003E31F3"/>
    <w:rsid w:val="003F417C"/>
    <w:rsid w:val="00421506"/>
    <w:rsid w:val="00426133"/>
    <w:rsid w:val="00435570"/>
    <w:rsid w:val="004358AB"/>
    <w:rsid w:val="00445DE8"/>
    <w:rsid w:val="00457BB7"/>
    <w:rsid w:val="004661E7"/>
    <w:rsid w:val="00476BA7"/>
    <w:rsid w:val="004812AC"/>
    <w:rsid w:val="00485775"/>
    <w:rsid w:val="00490A97"/>
    <w:rsid w:val="0049333B"/>
    <w:rsid w:val="004A3661"/>
    <w:rsid w:val="004A4051"/>
    <w:rsid w:val="004B15B1"/>
    <w:rsid w:val="004C0E70"/>
    <w:rsid w:val="004C2CA7"/>
    <w:rsid w:val="004D3293"/>
    <w:rsid w:val="005000F1"/>
    <w:rsid w:val="0050229C"/>
    <w:rsid w:val="0050319E"/>
    <w:rsid w:val="005162BA"/>
    <w:rsid w:val="00524167"/>
    <w:rsid w:val="005332F0"/>
    <w:rsid w:val="0053571E"/>
    <w:rsid w:val="005571E9"/>
    <w:rsid w:val="00563504"/>
    <w:rsid w:val="005704C6"/>
    <w:rsid w:val="005715F2"/>
    <w:rsid w:val="00595554"/>
    <w:rsid w:val="005A622D"/>
    <w:rsid w:val="005F0883"/>
    <w:rsid w:val="005F1E51"/>
    <w:rsid w:val="005F5DF7"/>
    <w:rsid w:val="00604F4E"/>
    <w:rsid w:val="00615F9D"/>
    <w:rsid w:val="00631930"/>
    <w:rsid w:val="00631F0F"/>
    <w:rsid w:val="0063222F"/>
    <w:rsid w:val="00633068"/>
    <w:rsid w:val="00633457"/>
    <w:rsid w:val="00637CF6"/>
    <w:rsid w:val="00645CDE"/>
    <w:rsid w:val="00671FD8"/>
    <w:rsid w:val="00684AD9"/>
    <w:rsid w:val="006A40F1"/>
    <w:rsid w:val="006A700F"/>
    <w:rsid w:val="006C1704"/>
    <w:rsid w:val="006D1D9C"/>
    <w:rsid w:val="006D447E"/>
    <w:rsid w:val="006E732A"/>
    <w:rsid w:val="006F7281"/>
    <w:rsid w:val="00705D4E"/>
    <w:rsid w:val="0071400E"/>
    <w:rsid w:val="00716F4C"/>
    <w:rsid w:val="0072484E"/>
    <w:rsid w:val="00731497"/>
    <w:rsid w:val="00743EC7"/>
    <w:rsid w:val="00750F92"/>
    <w:rsid w:val="007517F5"/>
    <w:rsid w:val="00753DBB"/>
    <w:rsid w:val="007619ED"/>
    <w:rsid w:val="00766CF5"/>
    <w:rsid w:val="007711BA"/>
    <w:rsid w:val="00782F33"/>
    <w:rsid w:val="007A0D10"/>
    <w:rsid w:val="007A3CAE"/>
    <w:rsid w:val="007C0720"/>
    <w:rsid w:val="007E4E3C"/>
    <w:rsid w:val="00803D35"/>
    <w:rsid w:val="008055AC"/>
    <w:rsid w:val="00822CE9"/>
    <w:rsid w:val="008326D9"/>
    <w:rsid w:val="00840556"/>
    <w:rsid w:val="0084762B"/>
    <w:rsid w:val="00860F1D"/>
    <w:rsid w:val="00872DB2"/>
    <w:rsid w:val="00877042"/>
    <w:rsid w:val="008872AF"/>
    <w:rsid w:val="008A73D9"/>
    <w:rsid w:val="008A7FD0"/>
    <w:rsid w:val="008B6960"/>
    <w:rsid w:val="008B7726"/>
    <w:rsid w:val="008B7819"/>
    <w:rsid w:val="008B7FC5"/>
    <w:rsid w:val="008D42F0"/>
    <w:rsid w:val="008F0E86"/>
    <w:rsid w:val="00903896"/>
    <w:rsid w:val="00903A3E"/>
    <w:rsid w:val="009056D8"/>
    <w:rsid w:val="0091244B"/>
    <w:rsid w:val="009154C8"/>
    <w:rsid w:val="0093381E"/>
    <w:rsid w:val="009407CC"/>
    <w:rsid w:val="009414CB"/>
    <w:rsid w:val="0095404B"/>
    <w:rsid w:val="0095604C"/>
    <w:rsid w:val="009679F1"/>
    <w:rsid w:val="009818E0"/>
    <w:rsid w:val="00994345"/>
    <w:rsid w:val="009953F1"/>
    <w:rsid w:val="009963A7"/>
    <w:rsid w:val="009963B4"/>
    <w:rsid w:val="00997E61"/>
    <w:rsid w:val="009B4F42"/>
    <w:rsid w:val="009C1F4F"/>
    <w:rsid w:val="009D5E18"/>
    <w:rsid w:val="009E03B1"/>
    <w:rsid w:val="009E3F42"/>
    <w:rsid w:val="009E6CDA"/>
    <w:rsid w:val="009F62E5"/>
    <w:rsid w:val="00A04F23"/>
    <w:rsid w:val="00A36436"/>
    <w:rsid w:val="00A415A1"/>
    <w:rsid w:val="00A84072"/>
    <w:rsid w:val="00A94652"/>
    <w:rsid w:val="00AB7166"/>
    <w:rsid w:val="00AD052A"/>
    <w:rsid w:val="00AD54D0"/>
    <w:rsid w:val="00AE1FB8"/>
    <w:rsid w:val="00AF0D89"/>
    <w:rsid w:val="00AF23E2"/>
    <w:rsid w:val="00AF6521"/>
    <w:rsid w:val="00B0022C"/>
    <w:rsid w:val="00B00DC9"/>
    <w:rsid w:val="00B050B5"/>
    <w:rsid w:val="00B10C42"/>
    <w:rsid w:val="00B323FE"/>
    <w:rsid w:val="00B373BB"/>
    <w:rsid w:val="00B41099"/>
    <w:rsid w:val="00B62085"/>
    <w:rsid w:val="00B736AD"/>
    <w:rsid w:val="00B74CCA"/>
    <w:rsid w:val="00B75196"/>
    <w:rsid w:val="00BA6ED1"/>
    <w:rsid w:val="00BB4947"/>
    <w:rsid w:val="00BC3731"/>
    <w:rsid w:val="00BC7B7E"/>
    <w:rsid w:val="00BD28D7"/>
    <w:rsid w:val="00BE118D"/>
    <w:rsid w:val="00C00B5B"/>
    <w:rsid w:val="00C076EE"/>
    <w:rsid w:val="00C14228"/>
    <w:rsid w:val="00C14283"/>
    <w:rsid w:val="00C16747"/>
    <w:rsid w:val="00C24B68"/>
    <w:rsid w:val="00C44C60"/>
    <w:rsid w:val="00C551E7"/>
    <w:rsid w:val="00C555F4"/>
    <w:rsid w:val="00C65E9D"/>
    <w:rsid w:val="00C80958"/>
    <w:rsid w:val="00C85252"/>
    <w:rsid w:val="00C85DEF"/>
    <w:rsid w:val="00CA4258"/>
    <w:rsid w:val="00CA7666"/>
    <w:rsid w:val="00CA783A"/>
    <w:rsid w:val="00CD401C"/>
    <w:rsid w:val="00D036E2"/>
    <w:rsid w:val="00D11250"/>
    <w:rsid w:val="00D236F9"/>
    <w:rsid w:val="00D24F23"/>
    <w:rsid w:val="00D31D50"/>
    <w:rsid w:val="00D53C34"/>
    <w:rsid w:val="00D5492D"/>
    <w:rsid w:val="00D5506E"/>
    <w:rsid w:val="00D86DF1"/>
    <w:rsid w:val="00DC75F8"/>
    <w:rsid w:val="00DF0BEA"/>
    <w:rsid w:val="00DF4EA9"/>
    <w:rsid w:val="00E11E8A"/>
    <w:rsid w:val="00E125C0"/>
    <w:rsid w:val="00E1648E"/>
    <w:rsid w:val="00E225AB"/>
    <w:rsid w:val="00E22C45"/>
    <w:rsid w:val="00E437E5"/>
    <w:rsid w:val="00E51C53"/>
    <w:rsid w:val="00E67218"/>
    <w:rsid w:val="00E67974"/>
    <w:rsid w:val="00E74AF4"/>
    <w:rsid w:val="00E762DD"/>
    <w:rsid w:val="00E81CC9"/>
    <w:rsid w:val="00E84B4F"/>
    <w:rsid w:val="00E97B66"/>
    <w:rsid w:val="00EB0026"/>
    <w:rsid w:val="00EB47C5"/>
    <w:rsid w:val="00EB5F04"/>
    <w:rsid w:val="00EC3880"/>
    <w:rsid w:val="00EC6511"/>
    <w:rsid w:val="00ED5D4D"/>
    <w:rsid w:val="00EE00E7"/>
    <w:rsid w:val="00EE42E4"/>
    <w:rsid w:val="00EE7621"/>
    <w:rsid w:val="00EF6B79"/>
    <w:rsid w:val="00EF7F42"/>
    <w:rsid w:val="00F10030"/>
    <w:rsid w:val="00F11E5D"/>
    <w:rsid w:val="00F310AF"/>
    <w:rsid w:val="00F34D22"/>
    <w:rsid w:val="00F40315"/>
    <w:rsid w:val="00F46106"/>
    <w:rsid w:val="00F46E52"/>
    <w:rsid w:val="00F51CAF"/>
    <w:rsid w:val="00F5280D"/>
    <w:rsid w:val="00F550ED"/>
    <w:rsid w:val="00F83F4E"/>
    <w:rsid w:val="00F97645"/>
    <w:rsid w:val="00FA2AC7"/>
    <w:rsid w:val="00FC1922"/>
    <w:rsid w:val="00FC253C"/>
    <w:rsid w:val="00FE4454"/>
    <w:rsid w:val="00FF08D0"/>
    <w:rsid w:val="00FF2C02"/>
    <w:rsid w:val="00FF336A"/>
    <w:rsid w:val="010509E6"/>
    <w:rsid w:val="011A24F4"/>
    <w:rsid w:val="01232ED2"/>
    <w:rsid w:val="016F218C"/>
    <w:rsid w:val="019C6989"/>
    <w:rsid w:val="01B25389"/>
    <w:rsid w:val="01B50251"/>
    <w:rsid w:val="01C963F3"/>
    <w:rsid w:val="01D732A6"/>
    <w:rsid w:val="01DA5E9C"/>
    <w:rsid w:val="02000D46"/>
    <w:rsid w:val="020A2568"/>
    <w:rsid w:val="02337D11"/>
    <w:rsid w:val="027345B1"/>
    <w:rsid w:val="028F7BE9"/>
    <w:rsid w:val="02DE7C7D"/>
    <w:rsid w:val="03063B82"/>
    <w:rsid w:val="03304250"/>
    <w:rsid w:val="03335D27"/>
    <w:rsid w:val="033622D0"/>
    <w:rsid w:val="03626655"/>
    <w:rsid w:val="03A9794B"/>
    <w:rsid w:val="03BD5D86"/>
    <w:rsid w:val="03F05867"/>
    <w:rsid w:val="041532A2"/>
    <w:rsid w:val="042B51A0"/>
    <w:rsid w:val="04445C87"/>
    <w:rsid w:val="0466617C"/>
    <w:rsid w:val="04687D1B"/>
    <w:rsid w:val="048B5BE2"/>
    <w:rsid w:val="049031F8"/>
    <w:rsid w:val="04E377CC"/>
    <w:rsid w:val="05006CB1"/>
    <w:rsid w:val="050140F6"/>
    <w:rsid w:val="05172E33"/>
    <w:rsid w:val="05A1711C"/>
    <w:rsid w:val="05A54A82"/>
    <w:rsid w:val="05C237BA"/>
    <w:rsid w:val="05FF33CF"/>
    <w:rsid w:val="0651540A"/>
    <w:rsid w:val="06671F0C"/>
    <w:rsid w:val="0668471E"/>
    <w:rsid w:val="066B3E27"/>
    <w:rsid w:val="06B50CF4"/>
    <w:rsid w:val="06C37571"/>
    <w:rsid w:val="06C673A5"/>
    <w:rsid w:val="06CF6A92"/>
    <w:rsid w:val="070B300A"/>
    <w:rsid w:val="076C2262"/>
    <w:rsid w:val="077E095C"/>
    <w:rsid w:val="078A0FA6"/>
    <w:rsid w:val="07DD4E5C"/>
    <w:rsid w:val="08002443"/>
    <w:rsid w:val="081C344C"/>
    <w:rsid w:val="0854453D"/>
    <w:rsid w:val="088363CB"/>
    <w:rsid w:val="08B1198F"/>
    <w:rsid w:val="08B14A44"/>
    <w:rsid w:val="08B14F6B"/>
    <w:rsid w:val="08E23C96"/>
    <w:rsid w:val="08F655F4"/>
    <w:rsid w:val="08FA50E4"/>
    <w:rsid w:val="08FF767A"/>
    <w:rsid w:val="09004CE3"/>
    <w:rsid w:val="09322AD0"/>
    <w:rsid w:val="09971289"/>
    <w:rsid w:val="09E35B78"/>
    <w:rsid w:val="0A530B6C"/>
    <w:rsid w:val="0A5D1DCF"/>
    <w:rsid w:val="0A9D3ECC"/>
    <w:rsid w:val="0AA91C1D"/>
    <w:rsid w:val="0AB269A0"/>
    <w:rsid w:val="0AB67731"/>
    <w:rsid w:val="0B001553"/>
    <w:rsid w:val="0B121A42"/>
    <w:rsid w:val="0B423B3C"/>
    <w:rsid w:val="0B610ED4"/>
    <w:rsid w:val="0B754EF6"/>
    <w:rsid w:val="0C1E733C"/>
    <w:rsid w:val="0C3721AC"/>
    <w:rsid w:val="0C41127C"/>
    <w:rsid w:val="0C4A6383"/>
    <w:rsid w:val="0C82292B"/>
    <w:rsid w:val="0C9B4CC7"/>
    <w:rsid w:val="0CBE011B"/>
    <w:rsid w:val="0CF174DE"/>
    <w:rsid w:val="0D107E7B"/>
    <w:rsid w:val="0DE33693"/>
    <w:rsid w:val="0DF540CC"/>
    <w:rsid w:val="0DF76096"/>
    <w:rsid w:val="0E0B6422"/>
    <w:rsid w:val="0E1053AA"/>
    <w:rsid w:val="0E70686C"/>
    <w:rsid w:val="0E707BF7"/>
    <w:rsid w:val="0E8D07A9"/>
    <w:rsid w:val="0EA7186A"/>
    <w:rsid w:val="0F546D8C"/>
    <w:rsid w:val="0F655282"/>
    <w:rsid w:val="0F87344A"/>
    <w:rsid w:val="0F8B27BA"/>
    <w:rsid w:val="0FAA3873"/>
    <w:rsid w:val="0FBF71DA"/>
    <w:rsid w:val="0FC41FA8"/>
    <w:rsid w:val="0FF74F88"/>
    <w:rsid w:val="106C2DCB"/>
    <w:rsid w:val="107C2883"/>
    <w:rsid w:val="109126F6"/>
    <w:rsid w:val="109B5B2B"/>
    <w:rsid w:val="10A623C8"/>
    <w:rsid w:val="11062F9A"/>
    <w:rsid w:val="111927C8"/>
    <w:rsid w:val="1136590C"/>
    <w:rsid w:val="115630D4"/>
    <w:rsid w:val="117028A0"/>
    <w:rsid w:val="11B524F0"/>
    <w:rsid w:val="11BF511D"/>
    <w:rsid w:val="11CE35B2"/>
    <w:rsid w:val="12780CAB"/>
    <w:rsid w:val="12FE1C75"/>
    <w:rsid w:val="136F4C96"/>
    <w:rsid w:val="1377583F"/>
    <w:rsid w:val="139548CF"/>
    <w:rsid w:val="13A938D2"/>
    <w:rsid w:val="13B80076"/>
    <w:rsid w:val="13DA3720"/>
    <w:rsid w:val="14045069"/>
    <w:rsid w:val="14467430"/>
    <w:rsid w:val="14643D5A"/>
    <w:rsid w:val="14B06690"/>
    <w:rsid w:val="14BE1257"/>
    <w:rsid w:val="153802B0"/>
    <w:rsid w:val="154E5837"/>
    <w:rsid w:val="1563166D"/>
    <w:rsid w:val="15682010"/>
    <w:rsid w:val="15CB4298"/>
    <w:rsid w:val="15D62A35"/>
    <w:rsid w:val="15E06243"/>
    <w:rsid w:val="16550B44"/>
    <w:rsid w:val="166662E2"/>
    <w:rsid w:val="16667265"/>
    <w:rsid w:val="16816E45"/>
    <w:rsid w:val="1686445B"/>
    <w:rsid w:val="168752E0"/>
    <w:rsid w:val="17B60D70"/>
    <w:rsid w:val="18040CE3"/>
    <w:rsid w:val="180928BA"/>
    <w:rsid w:val="18591E4E"/>
    <w:rsid w:val="18B057C0"/>
    <w:rsid w:val="18E66346"/>
    <w:rsid w:val="193F08F1"/>
    <w:rsid w:val="194660D8"/>
    <w:rsid w:val="196F567B"/>
    <w:rsid w:val="19753563"/>
    <w:rsid w:val="19836A30"/>
    <w:rsid w:val="198C1D89"/>
    <w:rsid w:val="19980CA0"/>
    <w:rsid w:val="19A33D75"/>
    <w:rsid w:val="19BE42D5"/>
    <w:rsid w:val="1A157B94"/>
    <w:rsid w:val="1A7E085D"/>
    <w:rsid w:val="1A8E38DF"/>
    <w:rsid w:val="1AA43102"/>
    <w:rsid w:val="1AD25EC1"/>
    <w:rsid w:val="1AE6196C"/>
    <w:rsid w:val="1B1464DA"/>
    <w:rsid w:val="1B216501"/>
    <w:rsid w:val="1B5332D3"/>
    <w:rsid w:val="1B6E4666"/>
    <w:rsid w:val="1B8D0519"/>
    <w:rsid w:val="1BCB28B9"/>
    <w:rsid w:val="1C0876C1"/>
    <w:rsid w:val="1C0E2F29"/>
    <w:rsid w:val="1C0F024E"/>
    <w:rsid w:val="1C4844E0"/>
    <w:rsid w:val="1C494CB8"/>
    <w:rsid w:val="1C676ADD"/>
    <w:rsid w:val="1C8D1897"/>
    <w:rsid w:val="1CAE0E16"/>
    <w:rsid w:val="1CD477DC"/>
    <w:rsid w:val="1CE123EB"/>
    <w:rsid w:val="1D1502E7"/>
    <w:rsid w:val="1D2621C1"/>
    <w:rsid w:val="1D3544E5"/>
    <w:rsid w:val="1D3D7269"/>
    <w:rsid w:val="1D61352C"/>
    <w:rsid w:val="1D721295"/>
    <w:rsid w:val="1D7C3EC2"/>
    <w:rsid w:val="1DAA17BA"/>
    <w:rsid w:val="1E0C3498"/>
    <w:rsid w:val="1E0F2F88"/>
    <w:rsid w:val="1E1D4585"/>
    <w:rsid w:val="1E3649B9"/>
    <w:rsid w:val="1E3B1FCF"/>
    <w:rsid w:val="1E933177"/>
    <w:rsid w:val="1EE60DDA"/>
    <w:rsid w:val="1F095C2A"/>
    <w:rsid w:val="1F2B34FD"/>
    <w:rsid w:val="1F7237CF"/>
    <w:rsid w:val="1F8B79D0"/>
    <w:rsid w:val="1FFB1A16"/>
    <w:rsid w:val="2016077D"/>
    <w:rsid w:val="202F7213"/>
    <w:rsid w:val="204022DE"/>
    <w:rsid w:val="20515ADA"/>
    <w:rsid w:val="206E6E1D"/>
    <w:rsid w:val="20775C57"/>
    <w:rsid w:val="209546EE"/>
    <w:rsid w:val="209C61B0"/>
    <w:rsid w:val="20D11C13"/>
    <w:rsid w:val="20DE3A7A"/>
    <w:rsid w:val="214473ED"/>
    <w:rsid w:val="21576CFE"/>
    <w:rsid w:val="218F4348"/>
    <w:rsid w:val="219914E7"/>
    <w:rsid w:val="21B31E7D"/>
    <w:rsid w:val="21B36EA6"/>
    <w:rsid w:val="226A2E83"/>
    <w:rsid w:val="22D731A7"/>
    <w:rsid w:val="23280067"/>
    <w:rsid w:val="236E4680"/>
    <w:rsid w:val="237F470C"/>
    <w:rsid w:val="239E3ED6"/>
    <w:rsid w:val="23BD5235"/>
    <w:rsid w:val="23D35321"/>
    <w:rsid w:val="23F4590F"/>
    <w:rsid w:val="23FF584D"/>
    <w:rsid w:val="2419493C"/>
    <w:rsid w:val="245E7561"/>
    <w:rsid w:val="2466767A"/>
    <w:rsid w:val="24A24B56"/>
    <w:rsid w:val="24AD640C"/>
    <w:rsid w:val="24B47693"/>
    <w:rsid w:val="24BD48C6"/>
    <w:rsid w:val="24C148B0"/>
    <w:rsid w:val="24E24F53"/>
    <w:rsid w:val="24EC4076"/>
    <w:rsid w:val="24F12526"/>
    <w:rsid w:val="24F66303"/>
    <w:rsid w:val="25037B70"/>
    <w:rsid w:val="255905C6"/>
    <w:rsid w:val="25C167AF"/>
    <w:rsid w:val="25E13D08"/>
    <w:rsid w:val="25E23E0B"/>
    <w:rsid w:val="25F64996"/>
    <w:rsid w:val="26356F09"/>
    <w:rsid w:val="265F53DE"/>
    <w:rsid w:val="2666570F"/>
    <w:rsid w:val="26C6629F"/>
    <w:rsid w:val="27000880"/>
    <w:rsid w:val="27725DC5"/>
    <w:rsid w:val="27B64475"/>
    <w:rsid w:val="27EE75F1"/>
    <w:rsid w:val="27F37477"/>
    <w:rsid w:val="27F72D22"/>
    <w:rsid w:val="28670794"/>
    <w:rsid w:val="288E39BA"/>
    <w:rsid w:val="289B3D96"/>
    <w:rsid w:val="28A73EDA"/>
    <w:rsid w:val="28B24203"/>
    <w:rsid w:val="28EF304D"/>
    <w:rsid w:val="29070581"/>
    <w:rsid w:val="29390F28"/>
    <w:rsid w:val="295300F4"/>
    <w:rsid w:val="297035D9"/>
    <w:rsid w:val="29852351"/>
    <w:rsid w:val="299005B7"/>
    <w:rsid w:val="29AD6D01"/>
    <w:rsid w:val="29BB41C4"/>
    <w:rsid w:val="29CD6432"/>
    <w:rsid w:val="29E03A2B"/>
    <w:rsid w:val="29E4176D"/>
    <w:rsid w:val="29E4376C"/>
    <w:rsid w:val="29E52AE6"/>
    <w:rsid w:val="2AD4279C"/>
    <w:rsid w:val="2AD73080"/>
    <w:rsid w:val="2B01637D"/>
    <w:rsid w:val="2B1B15F8"/>
    <w:rsid w:val="2B3D48DE"/>
    <w:rsid w:val="2B667F60"/>
    <w:rsid w:val="2B920E72"/>
    <w:rsid w:val="2BB02DFD"/>
    <w:rsid w:val="2BC43D5C"/>
    <w:rsid w:val="2C057779"/>
    <w:rsid w:val="2C1D7A22"/>
    <w:rsid w:val="2C6426F1"/>
    <w:rsid w:val="2C864EA5"/>
    <w:rsid w:val="2CD86F07"/>
    <w:rsid w:val="2D17451B"/>
    <w:rsid w:val="2D502120"/>
    <w:rsid w:val="2D7E5A35"/>
    <w:rsid w:val="2D841D24"/>
    <w:rsid w:val="2D870D8D"/>
    <w:rsid w:val="2DAB5B69"/>
    <w:rsid w:val="2E6E3CFB"/>
    <w:rsid w:val="2EC76F67"/>
    <w:rsid w:val="2ED718A0"/>
    <w:rsid w:val="2EF37D5C"/>
    <w:rsid w:val="2F124909"/>
    <w:rsid w:val="2F212B1B"/>
    <w:rsid w:val="2F8A6913"/>
    <w:rsid w:val="2F8E5ED1"/>
    <w:rsid w:val="2F9221AC"/>
    <w:rsid w:val="2F9C22EC"/>
    <w:rsid w:val="2FBE480E"/>
    <w:rsid w:val="2FD40BCE"/>
    <w:rsid w:val="2FE50D35"/>
    <w:rsid w:val="3002152D"/>
    <w:rsid w:val="3008407F"/>
    <w:rsid w:val="30110DE2"/>
    <w:rsid w:val="309C385D"/>
    <w:rsid w:val="30C9339C"/>
    <w:rsid w:val="30DD56CC"/>
    <w:rsid w:val="30F02EBD"/>
    <w:rsid w:val="30F24F4D"/>
    <w:rsid w:val="31080849"/>
    <w:rsid w:val="31542076"/>
    <w:rsid w:val="31B859B9"/>
    <w:rsid w:val="31ED4F37"/>
    <w:rsid w:val="32251378"/>
    <w:rsid w:val="323112C7"/>
    <w:rsid w:val="328C4750"/>
    <w:rsid w:val="32A11B4B"/>
    <w:rsid w:val="32A95302"/>
    <w:rsid w:val="33300A50"/>
    <w:rsid w:val="33313F09"/>
    <w:rsid w:val="337A06CC"/>
    <w:rsid w:val="337C5E32"/>
    <w:rsid w:val="338B706B"/>
    <w:rsid w:val="33F35A93"/>
    <w:rsid w:val="34120D4F"/>
    <w:rsid w:val="34183108"/>
    <w:rsid w:val="34190265"/>
    <w:rsid w:val="34405134"/>
    <w:rsid w:val="34A07988"/>
    <w:rsid w:val="34BF0E0C"/>
    <w:rsid w:val="35A97BD0"/>
    <w:rsid w:val="36034158"/>
    <w:rsid w:val="36323860"/>
    <w:rsid w:val="36435A6D"/>
    <w:rsid w:val="364E318A"/>
    <w:rsid w:val="36525CC9"/>
    <w:rsid w:val="3711148E"/>
    <w:rsid w:val="3739694B"/>
    <w:rsid w:val="373C4996"/>
    <w:rsid w:val="374675C3"/>
    <w:rsid w:val="376E062B"/>
    <w:rsid w:val="378D2FB4"/>
    <w:rsid w:val="378E0F6A"/>
    <w:rsid w:val="37D50947"/>
    <w:rsid w:val="37D5554A"/>
    <w:rsid w:val="37ED5C91"/>
    <w:rsid w:val="37F039D3"/>
    <w:rsid w:val="388366EC"/>
    <w:rsid w:val="38A41E58"/>
    <w:rsid w:val="38B30C88"/>
    <w:rsid w:val="38F03BCC"/>
    <w:rsid w:val="392B392A"/>
    <w:rsid w:val="39382F3B"/>
    <w:rsid w:val="394144E6"/>
    <w:rsid w:val="396C7089"/>
    <w:rsid w:val="397F500E"/>
    <w:rsid w:val="398E0DAD"/>
    <w:rsid w:val="39B30E69"/>
    <w:rsid w:val="39B53A46"/>
    <w:rsid w:val="39DB5125"/>
    <w:rsid w:val="39E41C18"/>
    <w:rsid w:val="3A1E2650"/>
    <w:rsid w:val="3A240899"/>
    <w:rsid w:val="3A3C2EFF"/>
    <w:rsid w:val="3A3E6152"/>
    <w:rsid w:val="3A463A76"/>
    <w:rsid w:val="3A983FF6"/>
    <w:rsid w:val="3A995EC5"/>
    <w:rsid w:val="3B4C0F20"/>
    <w:rsid w:val="3B4C5D0D"/>
    <w:rsid w:val="3B7936BD"/>
    <w:rsid w:val="3B835F2D"/>
    <w:rsid w:val="3C830195"/>
    <w:rsid w:val="3C864CA8"/>
    <w:rsid w:val="3D8E75CE"/>
    <w:rsid w:val="3E0A3EC6"/>
    <w:rsid w:val="3E741B5D"/>
    <w:rsid w:val="3E94330A"/>
    <w:rsid w:val="3E9E5BC4"/>
    <w:rsid w:val="3EBE2135"/>
    <w:rsid w:val="3EF47F62"/>
    <w:rsid w:val="3F03223E"/>
    <w:rsid w:val="3F051C93"/>
    <w:rsid w:val="3F626F64"/>
    <w:rsid w:val="3F7075E6"/>
    <w:rsid w:val="3F7F7B16"/>
    <w:rsid w:val="3F94385C"/>
    <w:rsid w:val="3FF51B86"/>
    <w:rsid w:val="40030CD8"/>
    <w:rsid w:val="40063D93"/>
    <w:rsid w:val="40A06FCC"/>
    <w:rsid w:val="413D2F06"/>
    <w:rsid w:val="41412BA9"/>
    <w:rsid w:val="41447126"/>
    <w:rsid w:val="418775F4"/>
    <w:rsid w:val="419C4C20"/>
    <w:rsid w:val="420E5181"/>
    <w:rsid w:val="423544BC"/>
    <w:rsid w:val="423E74D3"/>
    <w:rsid w:val="42613503"/>
    <w:rsid w:val="42924946"/>
    <w:rsid w:val="42E859D2"/>
    <w:rsid w:val="42FA3C08"/>
    <w:rsid w:val="430B346F"/>
    <w:rsid w:val="43106CD7"/>
    <w:rsid w:val="431E7646"/>
    <w:rsid w:val="43236A0A"/>
    <w:rsid w:val="43362BE2"/>
    <w:rsid w:val="434954F7"/>
    <w:rsid w:val="43543068"/>
    <w:rsid w:val="43604741"/>
    <w:rsid w:val="43A85162"/>
    <w:rsid w:val="43C50056"/>
    <w:rsid w:val="43DE2931"/>
    <w:rsid w:val="441D3743"/>
    <w:rsid w:val="44246EDE"/>
    <w:rsid w:val="44315157"/>
    <w:rsid w:val="4452279A"/>
    <w:rsid w:val="4475773A"/>
    <w:rsid w:val="44C14DFA"/>
    <w:rsid w:val="44D459F5"/>
    <w:rsid w:val="44D81A76"/>
    <w:rsid w:val="44F85C75"/>
    <w:rsid w:val="44F92558"/>
    <w:rsid w:val="450D1A53"/>
    <w:rsid w:val="45C4637F"/>
    <w:rsid w:val="45E645A2"/>
    <w:rsid w:val="4622721C"/>
    <w:rsid w:val="464777FB"/>
    <w:rsid w:val="46584C1D"/>
    <w:rsid w:val="46C518D2"/>
    <w:rsid w:val="47017063"/>
    <w:rsid w:val="473C62ED"/>
    <w:rsid w:val="47577944"/>
    <w:rsid w:val="47F97AC9"/>
    <w:rsid w:val="4810155E"/>
    <w:rsid w:val="483E6BD8"/>
    <w:rsid w:val="485D651B"/>
    <w:rsid w:val="48710218"/>
    <w:rsid w:val="48736D31"/>
    <w:rsid w:val="48873598"/>
    <w:rsid w:val="48952158"/>
    <w:rsid w:val="48987D09"/>
    <w:rsid w:val="48C9393B"/>
    <w:rsid w:val="48CA1C78"/>
    <w:rsid w:val="491F3C5F"/>
    <w:rsid w:val="49360896"/>
    <w:rsid w:val="49706721"/>
    <w:rsid w:val="49CD147E"/>
    <w:rsid w:val="49CE6EA6"/>
    <w:rsid w:val="49EF34AE"/>
    <w:rsid w:val="49F924B4"/>
    <w:rsid w:val="4A1E1CDA"/>
    <w:rsid w:val="4A361719"/>
    <w:rsid w:val="4A8204BA"/>
    <w:rsid w:val="4A952667"/>
    <w:rsid w:val="4B103D18"/>
    <w:rsid w:val="4B3C3949"/>
    <w:rsid w:val="4B455253"/>
    <w:rsid w:val="4B4F5C30"/>
    <w:rsid w:val="4B5300A9"/>
    <w:rsid w:val="4B6716A1"/>
    <w:rsid w:val="4BE0548C"/>
    <w:rsid w:val="4BEB208F"/>
    <w:rsid w:val="4BFD2500"/>
    <w:rsid w:val="4C8428B7"/>
    <w:rsid w:val="4CA26760"/>
    <w:rsid w:val="4CD3324F"/>
    <w:rsid w:val="4D355F0D"/>
    <w:rsid w:val="4D537EEC"/>
    <w:rsid w:val="4DA62712"/>
    <w:rsid w:val="4DC911E0"/>
    <w:rsid w:val="4DE11035"/>
    <w:rsid w:val="4E035DB6"/>
    <w:rsid w:val="4E06542A"/>
    <w:rsid w:val="4E27506D"/>
    <w:rsid w:val="4E5B34FC"/>
    <w:rsid w:val="4E6C39DB"/>
    <w:rsid w:val="4E843280"/>
    <w:rsid w:val="4EAD187E"/>
    <w:rsid w:val="4EB22041"/>
    <w:rsid w:val="4ED82D9F"/>
    <w:rsid w:val="4EE06AA7"/>
    <w:rsid w:val="4F434D79"/>
    <w:rsid w:val="4F4C447B"/>
    <w:rsid w:val="4F5D2DEA"/>
    <w:rsid w:val="4F702FD7"/>
    <w:rsid w:val="4FE237A9"/>
    <w:rsid w:val="505428F9"/>
    <w:rsid w:val="50646F2B"/>
    <w:rsid w:val="50965048"/>
    <w:rsid w:val="50B25FB2"/>
    <w:rsid w:val="51022209"/>
    <w:rsid w:val="51B11685"/>
    <w:rsid w:val="51CD69B3"/>
    <w:rsid w:val="51E47CAD"/>
    <w:rsid w:val="521340EE"/>
    <w:rsid w:val="526E7576"/>
    <w:rsid w:val="52840D37"/>
    <w:rsid w:val="52972F71"/>
    <w:rsid w:val="52B04A46"/>
    <w:rsid w:val="52F83868"/>
    <w:rsid w:val="530F49E7"/>
    <w:rsid w:val="533E4CD2"/>
    <w:rsid w:val="533F163E"/>
    <w:rsid w:val="53442939"/>
    <w:rsid w:val="536E3CD2"/>
    <w:rsid w:val="53890B0C"/>
    <w:rsid w:val="54175A7C"/>
    <w:rsid w:val="542033BF"/>
    <w:rsid w:val="54B335D9"/>
    <w:rsid w:val="55197C6D"/>
    <w:rsid w:val="552C42B7"/>
    <w:rsid w:val="5536081F"/>
    <w:rsid w:val="55AD3E7B"/>
    <w:rsid w:val="55C220A8"/>
    <w:rsid w:val="55C84A4F"/>
    <w:rsid w:val="56245E8D"/>
    <w:rsid w:val="56666EE2"/>
    <w:rsid w:val="567F61F6"/>
    <w:rsid w:val="568E01E7"/>
    <w:rsid w:val="57350F22"/>
    <w:rsid w:val="57786CD5"/>
    <w:rsid w:val="57E1566B"/>
    <w:rsid w:val="57EE5899"/>
    <w:rsid w:val="580105CE"/>
    <w:rsid w:val="580611A1"/>
    <w:rsid w:val="581356E9"/>
    <w:rsid w:val="586A2AC3"/>
    <w:rsid w:val="58831FCD"/>
    <w:rsid w:val="58DF4D2A"/>
    <w:rsid w:val="59123ED5"/>
    <w:rsid w:val="59376914"/>
    <w:rsid w:val="594F1EAF"/>
    <w:rsid w:val="595A017F"/>
    <w:rsid w:val="595F4C29"/>
    <w:rsid w:val="59705C64"/>
    <w:rsid w:val="597C265C"/>
    <w:rsid w:val="599E16E4"/>
    <w:rsid w:val="59C03FFF"/>
    <w:rsid w:val="59F14380"/>
    <w:rsid w:val="59F45DA4"/>
    <w:rsid w:val="5A144EA7"/>
    <w:rsid w:val="5A2D7859"/>
    <w:rsid w:val="5A3F0176"/>
    <w:rsid w:val="5A5C5212"/>
    <w:rsid w:val="5ACB1A0A"/>
    <w:rsid w:val="5B8766D2"/>
    <w:rsid w:val="5B946C1C"/>
    <w:rsid w:val="5B9A4731"/>
    <w:rsid w:val="5BB01406"/>
    <w:rsid w:val="5BDE39BF"/>
    <w:rsid w:val="5BED7022"/>
    <w:rsid w:val="5BF40AEC"/>
    <w:rsid w:val="5C0351D3"/>
    <w:rsid w:val="5C08375C"/>
    <w:rsid w:val="5C163158"/>
    <w:rsid w:val="5C2146E4"/>
    <w:rsid w:val="5C45759A"/>
    <w:rsid w:val="5C8025B9"/>
    <w:rsid w:val="5C843EE4"/>
    <w:rsid w:val="5C86208C"/>
    <w:rsid w:val="5CB3614D"/>
    <w:rsid w:val="5CC901CB"/>
    <w:rsid w:val="5CF936D6"/>
    <w:rsid w:val="5D0B2591"/>
    <w:rsid w:val="5D32553A"/>
    <w:rsid w:val="5D3F66DF"/>
    <w:rsid w:val="5D682F5B"/>
    <w:rsid w:val="5D6F1FE6"/>
    <w:rsid w:val="5D721E3E"/>
    <w:rsid w:val="5D78775B"/>
    <w:rsid w:val="5D8C0BEF"/>
    <w:rsid w:val="5D997B9D"/>
    <w:rsid w:val="5E013860"/>
    <w:rsid w:val="5E0E058B"/>
    <w:rsid w:val="5E14191A"/>
    <w:rsid w:val="5E231B5D"/>
    <w:rsid w:val="5E28792C"/>
    <w:rsid w:val="5E855651"/>
    <w:rsid w:val="5ECB6C91"/>
    <w:rsid w:val="5EF57C17"/>
    <w:rsid w:val="5F1E0DC8"/>
    <w:rsid w:val="5F8E3006"/>
    <w:rsid w:val="5FCA669A"/>
    <w:rsid w:val="5FE33352"/>
    <w:rsid w:val="60221DB4"/>
    <w:rsid w:val="602776E2"/>
    <w:rsid w:val="60433DF0"/>
    <w:rsid w:val="60567FC7"/>
    <w:rsid w:val="60E5134B"/>
    <w:rsid w:val="60F56BDC"/>
    <w:rsid w:val="613C71BD"/>
    <w:rsid w:val="6153644A"/>
    <w:rsid w:val="61854675"/>
    <w:rsid w:val="61926DDD"/>
    <w:rsid w:val="61F730E4"/>
    <w:rsid w:val="62037CDB"/>
    <w:rsid w:val="622540F5"/>
    <w:rsid w:val="623205C0"/>
    <w:rsid w:val="62337403"/>
    <w:rsid w:val="62347E94"/>
    <w:rsid w:val="62BE7207"/>
    <w:rsid w:val="63422A85"/>
    <w:rsid w:val="63493A10"/>
    <w:rsid w:val="636165B6"/>
    <w:rsid w:val="63F8665E"/>
    <w:rsid w:val="63FD16EA"/>
    <w:rsid w:val="641E6CBB"/>
    <w:rsid w:val="64342B40"/>
    <w:rsid w:val="643D7A34"/>
    <w:rsid w:val="64414FC4"/>
    <w:rsid w:val="64835103"/>
    <w:rsid w:val="64BE6D9E"/>
    <w:rsid w:val="64D92F75"/>
    <w:rsid w:val="6516510E"/>
    <w:rsid w:val="65230BB9"/>
    <w:rsid w:val="65420ABD"/>
    <w:rsid w:val="65A47D37"/>
    <w:rsid w:val="660F794F"/>
    <w:rsid w:val="66296935"/>
    <w:rsid w:val="665E7BD6"/>
    <w:rsid w:val="66C13CC1"/>
    <w:rsid w:val="66F02910"/>
    <w:rsid w:val="672C55DE"/>
    <w:rsid w:val="676B55A8"/>
    <w:rsid w:val="678466CD"/>
    <w:rsid w:val="67976F80"/>
    <w:rsid w:val="67C64506"/>
    <w:rsid w:val="67C8398F"/>
    <w:rsid w:val="67E06AB1"/>
    <w:rsid w:val="67E20393"/>
    <w:rsid w:val="681A04AD"/>
    <w:rsid w:val="686139AD"/>
    <w:rsid w:val="68BD361C"/>
    <w:rsid w:val="68F30B64"/>
    <w:rsid w:val="690F7E0A"/>
    <w:rsid w:val="691D5B26"/>
    <w:rsid w:val="693032A4"/>
    <w:rsid w:val="693B7D5A"/>
    <w:rsid w:val="69B26EAC"/>
    <w:rsid w:val="69BB74C6"/>
    <w:rsid w:val="6A046F3F"/>
    <w:rsid w:val="6AA162E3"/>
    <w:rsid w:val="6AB719E5"/>
    <w:rsid w:val="6AD246EE"/>
    <w:rsid w:val="6AF01018"/>
    <w:rsid w:val="6B1E7B31"/>
    <w:rsid w:val="6B2D7B77"/>
    <w:rsid w:val="6B3524F5"/>
    <w:rsid w:val="6B3810D4"/>
    <w:rsid w:val="6BCC4BC6"/>
    <w:rsid w:val="6BD46244"/>
    <w:rsid w:val="6BEA3CBA"/>
    <w:rsid w:val="6C313697"/>
    <w:rsid w:val="6C6E7111"/>
    <w:rsid w:val="6CDD1436"/>
    <w:rsid w:val="6D175D0D"/>
    <w:rsid w:val="6D4B0788"/>
    <w:rsid w:val="6D611D5A"/>
    <w:rsid w:val="6DBB3ECD"/>
    <w:rsid w:val="6E444275"/>
    <w:rsid w:val="6E841486"/>
    <w:rsid w:val="6E8E6BDC"/>
    <w:rsid w:val="6EAE0FCF"/>
    <w:rsid w:val="6EB92A2A"/>
    <w:rsid w:val="6ED7307C"/>
    <w:rsid w:val="6F977CE2"/>
    <w:rsid w:val="6FE27182"/>
    <w:rsid w:val="70840239"/>
    <w:rsid w:val="709516BD"/>
    <w:rsid w:val="70DC0935"/>
    <w:rsid w:val="71066EA0"/>
    <w:rsid w:val="713B491C"/>
    <w:rsid w:val="71450245"/>
    <w:rsid w:val="7167757A"/>
    <w:rsid w:val="71E80DFD"/>
    <w:rsid w:val="71FA573D"/>
    <w:rsid w:val="71FF6EA4"/>
    <w:rsid w:val="721B6AFC"/>
    <w:rsid w:val="722A7AC1"/>
    <w:rsid w:val="723C1321"/>
    <w:rsid w:val="724E2412"/>
    <w:rsid w:val="725E4ABA"/>
    <w:rsid w:val="72706CBC"/>
    <w:rsid w:val="72840105"/>
    <w:rsid w:val="72AB13CD"/>
    <w:rsid w:val="72B41921"/>
    <w:rsid w:val="739F35DC"/>
    <w:rsid w:val="73A02D82"/>
    <w:rsid w:val="73AB01D2"/>
    <w:rsid w:val="73C0165D"/>
    <w:rsid w:val="73C5726C"/>
    <w:rsid w:val="73E84F83"/>
    <w:rsid w:val="73F0360B"/>
    <w:rsid w:val="73FC11BA"/>
    <w:rsid w:val="745B6486"/>
    <w:rsid w:val="74920373"/>
    <w:rsid w:val="74D106C3"/>
    <w:rsid w:val="74F053D6"/>
    <w:rsid w:val="752D4797"/>
    <w:rsid w:val="753D4E5A"/>
    <w:rsid w:val="75A153E9"/>
    <w:rsid w:val="75DC4673"/>
    <w:rsid w:val="75E83018"/>
    <w:rsid w:val="75EC6147"/>
    <w:rsid w:val="760405C4"/>
    <w:rsid w:val="76065B94"/>
    <w:rsid w:val="76262BBD"/>
    <w:rsid w:val="76350BF9"/>
    <w:rsid w:val="76510DDE"/>
    <w:rsid w:val="76746FA2"/>
    <w:rsid w:val="769870D9"/>
    <w:rsid w:val="76C025DC"/>
    <w:rsid w:val="77373D3C"/>
    <w:rsid w:val="77452BA0"/>
    <w:rsid w:val="777A3A22"/>
    <w:rsid w:val="77C548A4"/>
    <w:rsid w:val="78171724"/>
    <w:rsid w:val="78393BDC"/>
    <w:rsid w:val="784529A4"/>
    <w:rsid w:val="788E46DA"/>
    <w:rsid w:val="788F00C3"/>
    <w:rsid w:val="78D06E02"/>
    <w:rsid w:val="79387CB6"/>
    <w:rsid w:val="793D4057"/>
    <w:rsid w:val="794B26E3"/>
    <w:rsid w:val="79515378"/>
    <w:rsid w:val="79607369"/>
    <w:rsid w:val="797D616D"/>
    <w:rsid w:val="799F17E8"/>
    <w:rsid w:val="79BD47BC"/>
    <w:rsid w:val="7A2D1941"/>
    <w:rsid w:val="7A613213"/>
    <w:rsid w:val="7A715CD2"/>
    <w:rsid w:val="7A9960BE"/>
    <w:rsid w:val="7AA216BF"/>
    <w:rsid w:val="7AC676A0"/>
    <w:rsid w:val="7ADE2C3C"/>
    <w:rsid w:val="7AF70275"/>
    <w:rsid w:val="7B025B6E"/>
    <w:rsid w:val="7B3B62E0"/>
    <w:rsid w:val="7B486307"/>
    <w:rsid w:val="7B6B0973"/>
    <w:rsid w:val="7BF3250D"/>
    <w:rsid w:val="7CED69AF"/>
    <w:rsid w:val="7D537911"/>
    <w:rsid w:val="7D5D1BB2"/>
    <w:rsid w:val="7D851A94"/>
    <w:rsid w:val="7DE24E98"/>
    <w:rsid w:val="7E130E4E"/>
    <w:rsid w:val="7E3239CA"/>
    <w:rsid w:val="7E626030"/>
    <w:rsid w:val="7E7D57AD"/>
    <w:rsid w:val="7EBE525E"/>
    <w:rsid w:val="7ED44561"/>
    <w:rsid w:val="7F14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5">
    <w:name w:val="heading 1"/>
    <w:basedOn w:val="1"/>
    <w:next w:val="1"/>
    <w:link w:val="41"/>
    <w:qFormat/>
    <w:uiPriority w:val="0"/>
    <w:pPr>
      <w:keepNext/>
      <w:keepLines/>
      <w:spacing w:before="340" w:after="330" w:line="578" w:lineRule="auto"/>
      <w:outlineLvl w:val="0"/>
    </w:pPr>
    <w:rPr>
      <w:rFonts w:eastAsia="楷体_GB2312"/>
      <w:b/>
      <w:kern w:val="44"/>
      <w:sz w:val="44"/>
    </w:rPr>
  </w:style>
  <w:style w:type="paragraph" w:styleId="6">
    <w:name w:val="heading 2"/>
    <w:basedOn w:val="1"/>
    <w:next w:val="1"/>
    <w:link w:val="45"/>
    <w:qFormat/>
    <w:uiPriority w:val="9"/>
    <w:pPr>
      <w:keepNext/>
      <w:keepLines/>
      <w:spacing w:before="260" w:after="260" w:line="416" w:lineRule="auto"/>
      <w:outlineLvl w:val="1"/>
    </w:pPr>
    <w:rPr>
      <w:rFonts w:ascii="等线 Light" w:hAnsi="等线 Light" w:eastAsia="等线 Light"/>
      <w:b/>
      <w:bCs/>
      <w:sz w:val="32"/>
      <w:szCs w:val="32"/>
    </w:rPr>
  </w:style>
  <w:style w:type="paragraph" w:styleId="7">
    <w:name w:val="heading 3"/>
    <w:basedOn w:val="1"/>
    <w:next w:val="1"/>
    <w:link w:val="46"/>
    <w:autoRedefine/>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0"/>
    <w:autoRedefine/>
    <w:qFormat/>
    <w:uiPriority w:val="0"/>
    <w:pPr>
      <w:spacing w:line="400" w:lineRule="exact"/>
    </w:pPr>
    <w:rPr>
      <w:rFonts w:ascii="楷体_GB2312"/>
      <w:sz w:val="28"/>
    </w:rPr>
  </w:style>
  <w:style w:type="paragraph" w:customStyle="1" w:styleId="3">
    <w:name w:val="style4"/>
    <w:basedOn w:val="1"/>
    <w:next w:val="4"/>
    <w:autoRedefine/>
    <w:qFormat/>
    <w:uiPriority w:val="0"/>
    <w:pPr>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8">
    <w:name w:val="Normal Indent"/>
    <w:basedOn w:val="1"/>
    <w:next w:val="9"/>
    <w:link w:val="47"/>
    <w:autoRedefine/>
    <w:qFormat/>
    <w:uiPriority w:val="0"/>
    <w:pPr>
      <w:widowControl w:val="0"/>
      <w:adjustRightInd/>
      <w:snapToGrid/>
      <w:spacing w:after="0"/>
      <w:ind w:firstLine="420"/>
      <w:jc w:val="both"/>
    </w:pPr>
    <w:rPr>
      <w:rFonts w:ascii="Times New Roman" w:hAnsi="Times New Roman"/>
      <w:kern w:val="2"/>
      <w:sz w:val="21"/>
      <w:szCs w:val="20"/>
    </w:rPr>
  </w:style>
  <w:style w:type="paragraph" w:styleId="9">
    <w:name w:val="Plain Text"/>
    <w:basedOn w:val="1"/>
    <w:link w:val="48"/>
    <w:autoRedefine/>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10">
    <w:name w:val="toa heading"/>
    <w:basedOn w:val="1"/>
    <w:next w:val="1"/>
    <w:qFormat/>
    <w:uiPriority w:val="0"/>
    <w:pPr>
      <w:spacing w:line="360" w:lineRule="atLeast"/>
      <w:jc w:val="center"/>
      <w:textAlignment w:val="baseline"/>
    </w:pPr>
    <w:rPr>
      <w:rFonts w:ascii="Arial" w:hAnsi="Arial" w:eastAsia="黑体"/>
      <w:sz w:val="36"/>
      <w:szCs w:val="20"/>
    </w:rPr>
  </w:style>
  <w:style w:type="paragraph" w:styleId="11">
    <w:name w:val="annotation text"/>
    <w:basedOn w:val="1"/>
    <w:link w:val="49"/>
    <w:unhideWhenUsed/>
    <w:qFormat/>
    <w:uiPriority w:val="99"/>
  </w:style>
  <w:style w:type="paragraph" w:styleId="12">
    <w:name w:val="Body Text Indent"/>
    <w:basedOn w:val="1"/>
    <w:next w:val="13"/>
    <w:link w:val="43"/>
    <w:unhideWhenUsed/>
    <w:qFormat/>
    <w:uiPriority w:val="99"/>
    <w:pPr>
      <w:spacing w:after="120"/>
      <w:ind w:left="420" w:leftChars="200"/>
    </w:pPr>
  </w:style>
  <w:style w:type="paragraph" w:styleId="13">
    <w:name w:val="envelope return"/>
    <w:basedOn w:val="1"/>
    <w:autoRedefine/>
    <w:unhideWhenUsed/>
    <w:qFormat/>
    <w:uiPriority w:val="99"/>
    <w:rPr>
      <w:rFonts w:ascii="Arial" w:hAnsi="Arial"/>
    </w:rPr>
  </w:style>
  <w:style w:type="paragraph" w:styleId="14">
    <w:name w:val="Block Text"/>
    <w:basedOn w:val="1"/>
    <w:next w:val="2"/>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5">
    <w:name w:val="toc 3"/>
    <w:basedOn w:val="1"/>
    <w:next w:val="1"/>
    <w:qFormat/>
    <w:uiPriority w:val="0"/>
    <w:pPr>
      <w:ind w:left="420"/>
    </w:pPr>
    <w:rPr>
      <w:i/>
      <w:sz w:val="20"/>
      <w:szCs w:val="20"/>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51"/>
    <w:unhideWhenUsed/>
    <w:qFormat/>
    <w:uiPriority w:val="99"/>
    <w:pPr>
      <w:spacing w:after="0"/>
    </w:pPr>
    <w:rPr>
      <w:sz w:val="18"/>
      <w:szCs w:val="18"/>
    </w:rPr>
  </w:style>
  <w:style w:type="paragraph" w:styleId="18">
    <w:name w:val="footer"/>
    <w:basedOn w:val="1"/>
    <w:link w:val="52"/>
    <w:autoRedefine/>
    <w:unhideWhenUsed/>
    <w:qFormat/>
    <w:uiPriority w:val="99"/>
    <w:pPr>
      <w:tabs>
        <w:tab w:val="center" w:pos="4153"/>
        <w:tab w:val="right" w:pos="8306"/>
      </w:tabs>
    </w:pPr>
    <w:rPr>
      <w:sz w:val="18"/>
      <w:szCs w:val="18"/>
    </w:rPr>
  </w:style>
  <w:style w:type="paragraph" w:styleId="19">
    <w:name w:val="header"/>
    <w:basedOn w:val="1"/>
    <w:link w:val="53"/>
    <w:autoRedefine/>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qFormat/>
    <w:uiPriority w:val="39"/>
    <w:pPr>
      <w:widowControl w:val="0"/>
      <w:adjustRightInd/>
      <w:snapToGrid/>
      <w:spacing w:before="120" w:after="120"/>
    </w:pPr>
    <w:rPr>
      <w:rFonts w:ascii="Times New Roman" w:hAnsi="Times New Roman" w:cs="Calibri"/>
      <w:b/>
      <w:bCs/>
      <w:caps/>
      <w:kern w:val="2"/>
      <w:sz w:val="20"/>
      <w:szCs w:val="20"/>
    </w:rPr>
  </w:style>
  <w:style w:type="paragraph" w:styleId="21">
    <w:name w:val="Body Text Indent 3"/>
    <w:basedOn w:val="1"/>
    <w:next w:val="10"/>
    <w:link w:val="54"/>
    <w:qFormat/>
    <w:uiPriority w:val="0"/>
    <w:pPr>
      <w:spacing w:after="120"/>
      <w:ind w:left="420" w:leftChars="200"/>
    </w:pPr>
    <w:rPr>
      <w:sz w:val="16"/>
      <w:szCs w:val="16"/>
    </w:rPr>
  </w:style>
  <w:style w:type="paragraph" w:styleId="22">
    <w:name w:val="Normal (Web)"/>
    <w:basedOn w:val="1"/>
    <w:qFormat/>
    <w:uiPriority w:val="0"/>
    <w:pPr>
      <w:spacing w:before="100" w:beforeAutospacing="1" w:after="100" w:afterAutospacing="1"/>
    </w:pPr>
    <w:rPr>
      <w:rFonts w:ascii="Calibri" w:hAnsi="Calibri"/>
      <w:sz w:val="24"/>
      <w:szCs w:val="24"/>
    </w:rPr>
  </w:style>
  <w:style w:type="paragraph" w:styleId="23">
    <w:name w:val="Body Text First Indent"/>
    <w:basedOn w:val="2"/>
    <w:link w:val="55"/>
    <w:qFormat/>
    <w:uiPriority w:val="0"/>
    <w:pPr>
      <w:tabs>
        <w:tab w:val="left" w:pos="2020"/>
        <w:tab w:val="center" w:pos="4535"/>
      </w:tabs>
      <w:ind w:firstLine="420" w:firstLineChars="100"/>
    </w:pPr>
  </w:style>
  <w:style w:type="paragraph" w:styleId="24">
    <w:name w:val="Body Text First Indent 2"/>
    <w:basedOn w:val="12"/>
    <w:next w:val="1"/>
    <w:link w:val="44"/>
    <w:qFormat/>
    <w:uiPriority w:val="0"/>
    <w:pPr>
      <w:widowControl w:val="0"/>
      <w:adjustRightInd/>
      <w:snapToGrid/>
      <w:ind w:firstLine="420" w:firstLineChars="200"/>
      <w:jc w:val="both"/>
    </w:pPr>
    <w:rPr>
      <w:rFonts w:ascii="Times New Roman" w:hAnsi="Times New Roman"/>
      <w:kern w:val="2"/>
      <w:sz w:val="21"/>
      <w:szCs w:val="24"/>
    </w:rPr>
  </w:style>
  <w:style w:type="table" w:styleId="26">
    <w:name w:val="Table Grid"/>
    <w:basedOn w:val="25"/>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autoRedefine/>
    <w:unhideWhenUsed/>
    <w:qFormat/>
    <w:uiPriority w:val="99"/>
    <w:rPr>
      <w:color w:val="800080"/>
      <w:u w:val="none"/>
    </w:rPr>
  </w:style>
  <w:style w:type="character" w:styleId="29">
    <w:name w:val="HTML Definition"/>
    <w:unhideWhenUsed/>
    <w:qFormat/>
    <w:uiPriority w:val="99"/>
  </w:style>
  <w:style w:type="character" w:styleId="30">
    <w:name w:val="HTML Typewriter"/>
    <w:unhideWhenUsed/>
    <w:qFormat/>
    <w:uiPriority w:val="99"/>
    <w:rPr>
      <w:rFonts w:hint="default" w:ascii="monospace" w:hAnsi="monospace" w:eastAsia="monospace" w:cs="monospace"/>
      <w:sz w:val="20"/>
    </w:rPr>
  </w:style>
  <w:style w:type="character" w:styleId="31">
    <w:name w:val="HTML Acronym"/>
    <w:unhideWhenUsed/>
    <w:qFormat/>
    <w:uiPriority w:val="99"/>
  </w:style>
  <w:style w:type="character" w:styleId="32">
    <w:name w:val="HTML Variable"/>
    <w:unhideWhenUsed/>
    <w:qFormat/>
    <w:uiPriority w:val="99"/>
  </w:style>
  <w:style w:type="character" w:styleId="33">
    <w:name w:val="Hyperlink"/>
    <w:autoRedefine/>
    <w:unhideWhenUsed/>
    <w:qFormat/>
    <w:uiPriority w:val="99"/>
    <w:rPr>
      <w:color w:val="0000FF"/>
      <w:u w:val="none"/>
    </w:rPr>
  </w:style>
  <w:style w:type="character" w:styleId="34">
    <w:name w:val="HTML Code"/>
    <w:unhideWhenUsed/>
    <w:qFormat/>
    <w:uiPriority w:val="99"/>
    <w:rPr>
      <w:rFonts w:hint="default" w:ascii="monospace" w:hAnsi="monospace" w:eastAsia="monospace" w:cs="monospace"/>
      <w:sz w:val="20"/>
    </w:rPr>
  </w:style>
  <w:style w:type="character" w:styleId="35">
    <w:name w:val="annotation reference"/>
    <w:basedOn w:val="27"/>
    <w:semiHidden/>
    <w:unhideWhenUsed/>
    <w:qFormat/>
    <w:uiPriority w:val="99"/>
    <w:rPr>
      <w:sz w:val="21"/>
      <w:szCs w:val="21"/>
    </w:rPr>
  </w:style>
  <w:style w:type="character" w:styleId="36">
    <w:name w:val="HTML Cite"/>
    <w:autoRedefine/>
    <w:unhideWhenUsed/>
    <w:qFormat/>
    <w:uiPriority w:val="99"/>
    <w:rPr>
      <w:u w:val="none"/>
    </w:rPr>
  </w:style>
  <w:style w:type="character" w:styleId="37">
    <w:name w:val="HTML Keyboard"/>
    <w:unhideWhenUsed/>
    <w:qFormat/>
    <w:uiPriority w:val="99"/>
    <w:rPr>
      <w:rFonts w:ascii="monospace" w:hAnsi="monospace" w:eastAsia="monospace" w:cs="monospace"/>
      <w:sz w:val="20"/>
    </w:rPr>
  </w:style>
  <w:style w:type="character" w:styleId="38">
    <w:name w:val="HTML Sample"/>
    <w:unhideWhenUsed/>
    <w:qFormat/>
    <w:uiPriority w:val="99"/>
    <w:rPr>
      <w:rFonts w:hint="default" w:ascii="monospace" w:hAnsi="monospace" w:eastAsia="monospace" w:cs="monospace"/>
    </w:rPr>
  </w:style>
  <w:style w:type="paragraph" w:customStyle="1" w:styleId="39">
    <w:name w:val="正文首行缩进1"/>
    <w:basedOn w:val="40"/>
    <w:qFormat/>
    <w:uiPriority w:val="0"/>
    <w:pPr>
      <w:spacing w:line="360" w:lineRule="auto"/>
      <w:ind w:firstLine="200"/>
    </w:pPr>
    <w:rPr>
      <w:rFonts w:ascii="仿宋_GB2312" w:hAnsi="Times New Roman" w:eastAsia="仿宋_GB2312"/>
      <w:sz w:val="30"/>
      <w:szCs w:val="30"/>
    </w:rPr>
  </w:style>
  <w:style w:type="paragraph" w:customStyle="1" w:styleId="40">
    <w:name w:val="正文文本1"/>
    <w:basedOn w:val="1"/>
    <w:next w:val="1"/>
    <w:qFormat/>
    <w:uiPriority w:val="0"/>
    <w:rPr>
      <w:rFonts w:ascii="楷体_GB2312" w:hAnsi="Arial" w:eastAsia="楷体_GB2312"/>
      <w:sz w:val="28"/>
      <w:szCs w:val="28"/>
    </w:rPr>
  </w:style>
  <w:style w:type="character" w:customStyle="1" w:styleId="41">
    <w:name w:val="标题 1 字符"/>
    <w:link w:val="5"/>
    <w:qFormat/>
    <w:uiPriority w:val="0"/>
    <w:rPr>
      <w:rFonts w:ascii="Tahoma" w:hAnsi="Tahoma" w:eastAsia="楷体_GB2312"/>
      <w:b/>
      <w:kern w:val="44"/>
      <w:sz w:val="44"/>
      <w:szCs w:val="22"/>
    </w:rPr>
  </w:style>
  <w:style w:type="paragraph" w:customStyle="1" w:styleId="42">
    <w:name w:val="Default"/>
    <w:next w:val="1"/>
    <w:qFormat/>
    <w:uiPriority w:val="0"/>
    <w:pPr>
      <w:autoSpaceDE w:val="0"/>
      <w:autoSpaceDN w:val="0"/>
    </w:pPr>
    <w:rPr>
      <w:rFonts w:ascii="Arial,Bold" w:hAnsi="Arial,Bold" w:eastAsia="PMingLiU" w:cs="Times New Roman"/>
      <w:lang w:val="en-US" w:eastAsia="en-US" w:bidi="ar-SA"/>
    </w:rPr>
  </w:style>
  <w:style w:type="character" w:customStyle="1" w:styleId="43">
    <w:name w:val="正文文本缩进 字符"/>
    <w:link w:val="12"/>
    <w:autoRedefine/>
    <w:semiHidden/>
    <w:qFormat/>
    <w:uiPriority w:val="99"/>
    <w:rPr>
      <w:rFonts w:ascii="Tahoma" w:hAnsi="Tahoma"/>
      <w:sz w:val="22"/>
      <w:szCs w:val="22"/>
    </w:rPr>
  </w:style>
  <w:style w:type="character" w:customStyle="1" w:styleId="44">
    <w:name w:val="正文文本首行缩进 2 字符"/>
    <w:link w:val="24"/>
    <w:qFormat/>
    <w:uiPriority w:val="0"/>
    <w:rPr>
      <w:rFonts w:ascii="Times New Roman" w:hAnsi="Times New Roman"/>
      <w:kern w:val="2"/>
      <w:sz w:val="21"/>
      <w:szCs w:val="24"/>
    </w:rPr>
  </w:style>
  <w:style w:type="character" w:customStyle="1" w:styleId="45">
    <w:name w:val="标题 2 字符"/>
    <w:link w:val="6"/>
    <w:qFormat/>
    <w:uiPriority w:val="9"/>
    <w:rPr>
      <w:rFonts w:ascii="等线 Light" w:hAnsi="等线 Light" w:eastAsia="等线 Light" w:cs="Times New Roman"/>
      <w:b/>
      <w:bCs/>
      <w:sz w:val="32"/>
      <w:szCs w:val="32"/>
    </w:rPr>
  </w:style>
  <w:style w:type="character" w:customStyle="1" w:styleId="46">
    <w:name w:val="标题 3 字符"/>
    <w:link w:val="7"/>
    <w:qFormat/>
    <w:uiPriority w:val="99"/>
    <w:rPr>
      <w:rFonts w:ascii="Times New Roman" w:hAnsi="黑体" w:eastAsia="黑体"/>
      <w:kern w:val="2"/>
      <w:sz w:val="24"/>
    </w:rPr>
  </w:style>
  <w:style w:type="character" w:customStyle="1" w:styleId="47">
    <w:name w:val="正文缩进 字符"/>
    <w:link w:val="8"/>
    <w:qFormat/>
    <w:uiPriority w:val="0"/>
    <w:rPr>
      <w:kern w:val="2"/>
      <w:sz w:val="21"/>
    </w:rPr>
  </w:style>
  <w:style w:type="character" w:customStyle="1" w:styleId="48">
    <w:name w:val="纯文本 字符"/>
    <w:link w:val="9"/>
    <w:qFormat/>
    <w:uiPriority w:val="99"/>
    <w:rPr>
      <w:rFonts w:ascii="ˎ̥" w:hAnsi="ˎ̥" w:cs="宋体"/>
      <w:sz w:val="18"/>
      <w:szCs w:val="18"/>
      <w:shd w:val="clear" w:color="auto" w:fill="FFFFFF"/>
    </w:rPr>
  </w:style>
  <w:style w:type="character" w:customStyle="1" w:styleId="49">
    <w:name w:val="批注文字 字符"/>
    <w:link w:val="11"/>
    <w:qFormat/>
    <w:uiPriority w:val="99"/>
    <w:rPr>
      <w:rFonts w:ascii="Tahoma" w:hAnsi="Tahoma"/>
      <w:sz w:val="22"/>
      <w:szCs w:val="22"/>
    </w:rPr>
  </w:style>
  <w:style w:type="character" w:customStyle="1" w:styleId="50">
    <w:name w:val="正文文本 字符"/>
    <w:link w:val="2"/>
    <w:autoRedefine/>
    <w:qFormat/>
    <w:uiPriority w:val="0"/>
    <w:rPr>
      <w:rFonts w:ascii="楷体_GB2312" w:hAnsi="Tahoma"/>
      <w:sz w:val="28"/>
      <w:szCs w:val="22"/>
    </w:rPr>
  </w:style>
  <w:style w:type="character" w:customStyle="1" w:styleId="51">
    <w:name w:val="批注框文本 字符"/>
    <w:link w:val="17"/>
    <w:qFormat/>
    <w:uiPriority w:val="99"/>
    <w:rPr>
      <w:rFonts w:ascii="Tahoma" w:hAnsi="Tahoma"/>
      <w:sz w:val="18"/>
      <w:szCs w:val="18"/>
    </w:rPr>
  </w:style>
  <w:style w:type="character" w:customStyle="1" w:styleId="52">
    <w:name w:val="页脚 字符"/>
    <w:link w:val="18"/>
    <w:qFormat/>
    <w:uiPriority w:val="99"/>
    <w:rPr>
      <w:rFonts w:ascii="Tahoma" w:hAnsi="Tahoma"/>
      <w:sz w:val="18"/>
      <w:szCs w:val="18"/>
    </w:rPr>
  </w:style>
  <w:style w:type="character" w:customStyle="1" w:styleId="53">
    <w:name w:val="页眉 字符"/>
    <w:link w:val="19"/>
    <w:autoRedefine/>
    <w:qFormat/>
    <w:uiPriority w:val="99"/>
    <w:rPr>
      <w:rFonts w:ascii="Tahoma" w:hAnsi="Tahoma"/>
      <w:sz w:val="18"/>
      <w:szCs w:val="18"/>
    </w:rPr>
  </w:style>
  <w:style w:type="character" w:customStyle="1" w:styleId="54">
    <w:name w:val="正文文本缩进 3 字符"/>
    <w:link w:val="21"/>
    <w:qFormat/>
    <w:uiPriority w:val="0"/>
    <w:rPr>
      <w:rFonts w:ascii="Tahoma" w:hAnsi="Tahoma"/>
      <w:sz w:val="16"/>
      <w:szCs w:val="16"/>
    </w:rPr>
  </w:style>
  <w:style w:type="character" w:customStyle="1" w:styleId="55">
    <w:name w:val="正文文本首行缩进 字符"/>
    <w:link w:val="23"/>
    <w:autoRedefine/>
    <w:qFormat/>
    <w:uiPriority w:val="0"/>
    <w:rPr>
      <w:rFonts w:ascii="楷体_GB2312" w:hAnsi="Tahoma"/>
      <w:sz w:val="28"/>
      <w:szCs w:val="22"/>
    </w:rPr>
  </w:style>
  <w:style w:type="paragraph" w:customStyle="1" w:styleId="56">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57">
    <w:name w:val="普通正文"/>
    <w:basedOn w:val="1"/>
    <w:qFormat/>
    <w:uiPriority w:val="0"/>
    <w:pPr>
      <w:spacing w:before="120" w:after="120" w:line="360" w:lineRule="auto"/>
      <w:ind w:firstLine="480"/>
      <w:textAlignment w:val="baseline"/>
    </w:pPr>
    <w:rPr>
      <w:rFonts w:ascii="Arial" w:hAnsi="Arial"/>
      <w:sz w:val="24"/>
      <w:szCs w:val="24"/>
    </w:rPr>
  </w:style>
  <w:style w:type="paragraph" w:customStyle="1" w:styleId="58">
    <w:name w:val="标题 5（有编号）（绿盟科技）"/>
    <w:basedOn w:val="1"/>
    <w:next w:val="5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59">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0">
    <w:name w:val="layui-this"/>
    <w:autoRedefine/>
    <w:qFormat/>
    <w:uiPriority w:val="0"/>
    <w:rPr>
      <w:bdr w:val="single" w:color="EEEEEE" w:sz="6" w:space="0"/>
      <w:shd w:val="clear" w:color="auto" w:fill="FFFFFF"/>
    </w:rPr>
  </w:style>
  <w:style w:type="character" w:customStyle="1" w:styleId="61">
    <w:name w:val="first-child"/>
    <w:autoRedefine/>
    <w:qFormat/>
    <w:uiPriority w:val="0"/>
  </w:style>
  <w:style w:type="character" w:customStyle="1" w:styleId="62">
    <w:name w:val="*正文 Char"/>
    <w:link w:val="63"/>
    <w:autoRedefine/>
    <w:qFormat/>
    <w:uiPriority w:val="0"/>
    <w:rPr>
      <w:rFonts w:ascii="宋体" w:hAnsi="宋体" w:eastAsia="仿宋_GB2312"/>
      <w:sz w:val="32"/>
    </w:rPr>
  </w:style>
  <w:style w:type="paragraph" w:customStyle="1" w:styleId="63">
    <w:name w:val="*正文"/>
    <w:basedOn w:val="1"/>
    <w:link w:val="62"/>
    <w:autoRedefine/>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64">
    <w:name w:val="font31"/>
    <w:autoRedefine/>
    <w:qFormat/>
    <w:uiPriority w:val="0"/>
    <w:rPr>
      <w:rFonts w:hint="eastAsia" w:ascii="宋体" w:hAnsi="宋体" w:eastAsia="宋体" w:cs="宋体"/>
      <w:color w:val="000000"/>
      <w:sz w:val="21"/>
      <w:szCs w:val="21"/>
      <w:u w:val="none"/>
    </w:rPr>
  </w:style>
  <w:style w:type="character" w:customStyle="1" w:styleId="65">
    <w:name w:val="font21"/>
    <w:autoRedefine/>
    <w:qFormat/>
    <w:uiPriority w:val="0"/>
    <w:rPr>
      <w:rFonts w:hint="default" w:ascii="Times New Roman" w:hAnsi="Times New Roman" w:cs="Times New Roman"/>
      <w:color w:val="000000"/>
      <w:sz w:val="24"/>
      <w:szCs w:val="24"/>
      <w:u w:val="none"/>
    </w:rPr>
  </w:style>
  <w:style w:type="character" w:customStyle="1" w:styleId="66">
    <w:name w:val="标题 3 Char"/>
    <w:autoRedefine/>
    <w:qFormat/>
    <w:uiPriority w:val="0"/>
    <w:rPr>
      <w:rFonts w:ascii="Times New Roman" w:hAnsi="Times New Roman" w:eastAsia="宋体" w:cs="Times New Roman"/>
      <w:b/>
      <w:bCs/>
      <w:sz w:val="32"/>
      <w:szCs w:val="32"/>
    </w:rPr>
  </w:style>
  <w:style w:type="character" w:customStyle="1" w:styleId="67">
    <w:name w:val="纯文本 Char1"/>
    <w:autoRedefine/>
    <w:semiHidden/>
    <w:qFormat/>
    <w:uiPriority w:val="99"/>
    <w:rPr>
      <w:rFonts w:ascii="宋体" w:hAnsi="Courier New" w:eastAsia="宋体" w:cs="Courier New"/>
      <w:sz w:val="21"/>
      <w:szCs w:val="21"/>
    </w:rPr>
  </w:style>
  <w:style w:type="character" w:customStyle="1" w:styleId="68">
    <w:name w:val="NormalCharacter"/>
    <w:autoRedefine/>
    <w:qFormat/>
    <w:uiPriority w:val="0"/>
  </w:style>
  <w:style w:type="character" w:customStyle="1" w:styleId="69">
    <w:name w:val="hover"/>
    <w:autoRedefine/>
    <w:qFormat/>
    <w:uiPriority w:val="0"/>
    <w:rPr>
      <w:color w:val="FFFFFF"/>
    </w:rPr>
  </w:style>
  <w:style w:type="character" w:customStyle="1" w:styleId="70">
    <w:name w:val="font01"/>
    <w:autoRedefine/>
    <w:qFormat/>
    <w:uiPriority w:val="0"/>
    <w:rPr>
      <w:rFonts w:hint="default" w:ascii="Calibri" w:hAnsi="Calibri" w:cs="Calibri"/>
      <w:color w:val="000000"/>
      <w:sz w:val="21"/>
      <w:szCs w:val="21"/>
      <w:u w:val="none"/>
    </w:rPr>
  </w:style>
  <w:style w:type="character" w:customStyle="1" w:styleId="71">
    <w:name w:val="正文缩进2格 Char"/>
    <w:link w:val="72"/>
    <w:autoRedefine/>
    <w:qFormat/>
    <w:locked/>
    <w:uiPriority w:val="0"/>
    <w:rPr>
      <w:rFonts w:ascii="仿宋_GB2312" w:hAnsi="宋体" w:eastAsia="仿宋_GB2312"/>
      <w:kern w:val="2"/>
      <w:sz w:val="31"/>
      <w:szCs w:val="28"/>
    </w:rPr>
  </w:style>
  <w:style w:type="paragraph" w:customStyle="1" w:styleId="72">
    <w:name w:val="正文缩进2格"/>
    <w:basedOn w:val="1"/>
    <w:link w:val="71"/>
    <w:autoRedefine/>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73">
    <w:name w:val="hover2"/>
    <w:autoRedefine/>
    <w:qFormat/>
    <w:uiPriority w:val="0"/>
    <w:rPr>
      <w:color w:val="5FB878"/>
    </w:rPr>
  </w:style>
  <w:style w:type="character" w:customStyle="1" w:styleId="74">
    <w:name w:val="hover1"/>
    <w:autoRedefine/>
    <w:qFormat/>
    <w:uiPriority w:val="0"/>
    <w:rPr>
      <w:color w:val="5FB878"/>
    </w:rPr>
  </w:style>
  <w:style w:type="character" w:customStyle="1" w:styleId="75">
    <w:name w:val="列表段落 字符"/>
    <w:link w:val="76"/>
    <w:autoRedefine/>
    <w:qFormat/>
    <w:locked/>
    <w:uiPriority w:val="34"/>
    <w:rPr>
      <w:rFonts w:ascii="Calibri" w:hAnsi="Calibri" w:eastAsia="宋体" w:cs="Times New Roman"/>
      <w:kern w:val="2"/>
      <w:sz w:val="21"/>
      <w:szCs w:val="20"/>
    </w:rPr>
  </w:style>
  <w:style w:type="paragraph" w:styleId="76">
    <w:name w:val="List Paragraph"/>
    <w:basedOn w:val="1"/>
    <w:link w:val="75"/>
    <w:autoRedefine/>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77">
    <w:name w:val="样式 首行缩进:  0 字符"/>
    <w:basedOn w:val="1"/>
    <w:autoRedefine/>
    <w:qFormat/>
    <w:uiPriority w:val="0"/>
    <w:pPr>
      <w:widowControl w:val="0"/>
      <w:adjustRightInd/>
      <w:snapToGrid/>
      <w:spacing w:after="0" w:line="360" w:lineRule="auto"/>
      <w:jc w:val="both"/>
    </w:pPr>
    <w:rPr>
      <w:rFonts w:ascii="Arial" w:hAnsi="Arial" w:cs="宋体"/>
      <w:kern w:val="2"/>
      <w:sz w:val="24"/>
      <w:szCs w:val="20"/>
    </w:rPr>
  </w:style>
  <w:style w:type="paragraph" w:customStyle="1" w:styleId="78">
    <w:name w:val="首行缩进"/>
    <w:basedOn w:val="1"/>
    <w:autoRedefine/>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79">
    <w:name w:val="普通(网站) Char"/>
    <w:basedOn w:val="1"/>
    <w:autoRedefine/>
    <w:qFormat/>
    <w:uiPriority w:val="99"/>
    <w:pPr>
      <w:adjustRightInd/>
      <w:snapToGrid/>
      <w:spacing w:before="100" w:beforeAutospacing="1" w:after="100" w:afterAutospacing="1"/>
    </w:pPr>
    <w:rPr>
      <w:rFonts w:ascii="宋体" w:hAnsi="宋体" w:cs="宋体"/>
      <w:sz w:val="24"/>
    </w:rPr>
  </w:style>
  <w:style w:type="paragraph" w:customStyle="1" w:styleId="80">
    <w:name w:val="BodyText1I2"/>
    <w:basedOn w:val="81"/>
    <w:autoRedefine/>
    <w:qFormat/>
    <w:uiPriority w:val="0"/>
    <w:pPr>
      <w:ind w:firstLine="420" w:firstLineChars="200"/>
    </w:pPr>
  </w:style>
  <w:style w:type="paragraph" w:customStyle="1" w:styleId="81">
    <w:name w:val="BodyTextIndent"/>
    <w:basedOn w:val="1"/>
    <w:next w:val="82"/>
    <w:autoRedefine/>
    <w:qFormat/>
    <w:uiPriority w:val="0"/>
    <w:pPr>
      <w:ind w:firstLine="480"/>
      <w:jc w:val="both"/>
      <w:textAlignment w:val="baseline"/>
    </w:pPr>
    <w:rPr>
      <w:rFonts w:eastAsia="楷体_GB2312"/>
      <w:kern w:val="2"/>
      <w:sz w:val="24"/>
    </w:rPr>
  </w:style>
  <w:style w:type="paragraph" w:customStyle="1" w:styleId="82">
    <w:name w:val="EnvelopeReturn"/>
    <w:basedOn w:val="1"/>
    <w:autoRedefine/>
    <w:qFormat/>
    <w:uiPriority w:val="0"/>
    <w:pPr>
      <w:jc w:val="both"/>
      <w:textAlignment w:val="baseline"/>
    </w:pPr>
    <w:rPr>
      <w:rFonts w:ascii="Arial" w:hAnsi="Arial" w:eastAsia="楷体_GB2312"/>
      <w:kern w:val="2"/>
      <w:sz w:val="26"/>
    </w:rPr>
  </w:style>
  <w:style w:type="paragraph" w:customStyle="1" w:styleId="83">
    <w:name w:val="列出段落1"/>
    <w:basedOn w:val="1"/>
    <w:autoRedefine/>
    <w:qFormat/>
    <w:uiPriority w:val="0"/>
    <w:pPr>
      <w:ind w:firstLine="200" w:firstLineChars="200"/>
    </w:pPr>
    <w:rPr>
      <w:rFonts w:ascii="Calibri" w:hAnsi="Calibri"/>
    </w:rPr>
  </w:style>
  <w:style w:type="character" w:customStyle="1" w:styleId="84">
    <w:name w:val="font41"/>
    <w:autoRedefine/>
    <w:qFormat/>
    <w:uiPriority w:val="0"/>
    <w:rPr>
      <w:rFonts w:hint="eastAsia" w:ascii="宋体" w:hAnsi="宋体" w:eastAsia="宋体" w:cs="宋体"/>
      <w:color w:val="000000"/>
      <w:sz w:val="20"/>
      <w:szCs w:val="20"/>
      <w:u w:val="none"/>
    </w:rPr>
  </w:style>
  <w:style w:type="character" w:customStyle="1" w:styleId="85">
    <w:name w:val="font11"/>
    <w:autoRedefine/>
    <w:qFormat/>
    <w:uiPriority w:val="0"/>
    <w:rPr>
      <w:rFonts w:hint="default" w:ascii="Times New Roman" w:hAnsi="Times New Roman" w:cs="Times New Roman"/>
      <w:color w:val="000000"/>
      <w:sz w:val="20"/>
      <w:szCs w:val="20"/>
      <w:u w:val="none"/>
    </w:rPr>
  </w:style>
  <w:style w:type="character" w:customStyle="1" w:styleId="86">
    <w:name w:val="font51"/>
    <w:autoRedefine/>
    <w:qFormat/>
    <w:uiPriority w:val="0"/>
    <w:rPr>
      <w:rFonts w:hint="default" w:ascii="Times New Roman" w:hAnsi="Times New Roman" w:cs="Times New Roman"/>
      <w:color w:val="000000"/>
      <w:sz w:val="20"/>
      <w:szCs w:val="20"/>
      <w:u w:val="none"/>
    </w:rPr>
  </w:style>
  <w:style w:type="paragraph" w:customStyle="1" w:styleId="87">
    <w:name w:val="paragraph"/>
    <w:basedOn w:val="1"/>
    <w:autoRedefine/>
    <w:qFormat/>
    <w:uiPriority w:val="0"/>
    <w:pPr>
      <w:spacing w:before="100" w:beforeAutospacing="1" w:after="100" w:afterAutospacing="1"/>
    </w:pPr>
    <w:rPr>
      <w:rFonts w:ascii="宋体" w:hAnsi="宋体" w:cs="宋体"/>
      <w:sz w:val="24"/>
      <w:szCs w:val="24"/>
    </w:rPr>
  </w:style>
  <w:style w:type="paragraph" w:customStyle="1" w:styleId="88">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89">
    <w:name w:val="表格"/>
    <w:basedOn w:val="1"/>
    <w:qFormat/>
    <w:uiPriority w:val="0"/>
    <w:pPr>
      <w:spacing w:after="0" w:line="460" w:lineRule="exact"/>
    </w:pPr>
    <w:rPr>
      <w:rFonts w:hint="eastAsia" w:ascii="宋体" w:hAnsi="宋体" w:cs="宋体"/>
      <w:spacing w:val="7"/>
      <w:sz w:val="24"/>
      <w:szCs w:val="28"/>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13116</Words>
  <Characters>13823</Characters>
  <Lines>120</Lines>
  <Paragraphs>33</Paragraphs>
  <TotalTime>3</TotalTime>
  <ScaleCrop>false</ScaleCrop>
  <LinksUpToDate>false</LinksUpToDate>
  <CharactersWithSpaces>14451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2025-08-14T00:30:00Z</dcterms:created>
  <dc:creator>Administrator</dc:creator>
  <cp:lastModifiedBy>jessie</cp:lastModifiedBy>
  <cp:lastPrinted>2019-08-12T03:11:00Z</cp:lastPrinted>
  <dcterms:modified xsi:type="dcterms:W3CDTF">2025-10-11T06:07:16Z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69B10B0F61704CBBA923CF9538A219F3_13</vt:lpwstr>
  </property>
  <property fmtid="{D5CDD505-2E9C-101B-9397-08002B2CF9AE}" pid="4" name="KSOTemplateDocerSaveRecord">
    <vt:lpwstr>eyJoZGlkIjoiMTY2YTExYjU4MWEzY2MzM2I4OTY2NWYxMWY5ZTNlMmIiLCJ1c2VySWQiOiI2Mzc4MTQzODgifQ==</vt:lpwstr>
  </property>
</Properties>
</file>