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13959">
      <w:pPr>
        <w:pStyle w:val="46"/>
        <w:jc w:val="center"/>
        <w:rPr>
          <w:rFonts w:hint="eastAsia" w:ascii="宋体" w:hAnsi="宋体" w:eastAsia="宋体" w:cs="宋体"/>
          <w:b w:val="0"/>
          <w:bCs w:val="0"/>
          <w:color w:val="auto"/>
          <w:spacing w:val="20"/>
          <w:sz w:val="44"/>
        </w:rPr>
      </w:pPr>
    </w:p>
    <w:p w14:paraId="73528A54">
      <w:pPr>
        <w:pStyle w:val="46"/>
        <w:jc w:val="center"/>
        <w:rPr>
          <w:rFonts w:hint="eastAsia" w:ascii="宋体" w:hAnsi="宋体" w:eastAsia="宋体" w:cs="宋体"/>
          <w:b w:val="0"/>
          <w:bCs w:val="0"/>
          <w:color w:val="auto"/>
          <w:sz w:val="28"/>
          <w:szCs w:val="28"/>
        </w:rPr>
      </w:pPr>
      <w:r>
        <w:rPr>
          <w:rFonts w:hint="eastAsia" w:ascii="宋体" w:hAnsi="宋体" w:eastAsia="宋体" w:cs="宋体"/>
          <w:b w:val="0"/>
          <w:bCs w:val="0"/>
          <w:color w:val="auto"/>
          <w:spacing w:val="20"/>
          <w:sz w:val="44"/>
        </w:rPr>
        <w:t>江苏商贸职业学院校园主干道测速系统项目</w:t>
      </w:r>
    </w:p>
    <w:p w14:paraId="059A7CA5">
      <w:pPr>
        <w:rPr>
          <w:rFonts w:hint="eastAsia" w:ascii="宋体" w:hAnsi="宋体" w:cs="宋体"/>
          <w:bCs/>
          <w:color w:val="auto"/>
          <w:sz w:val="72"/>
          <w:szCs w:val="72"/>
        </w:rPr>
      </w:pPr>
    </w:p>
    <w:p w14:paraId="70016D82">
      <w:pPr>
        <w:jc w:val="center"/>
        <w:rPr>
          <w:rFonts w:hint="eastAsia" w:ascii="宋体" w:hAnsi="宋体" w:cs="宋体"/>
          <w:bCs/>
          <w:color w:val="auto"/>
          <w:sz w:val="72"/>
          <w:szCs w:val="72"/>
        </w:rPr>
      </w:pPr>
    </w:p>
    <w:p w14:paraId="3149AD97">
      <w:pPr>
        <w:jc w:val="center"/>
        <w:rPr>
          <w:rFonts w:hint="eastAsia" w:ascii="宋体" w:hAnsi="宋体" w:cs="宋体"/>
          <w:bCs/>
          <w:color w:val="auto"/>
          <w:sz w:val="72"/>
          <w:szCs w:val="72"/>
        </w:rPr>
      </w:pPr>
    </w:p>
    <w:p w14:paraId="46E4434C">
      <w:pPr>
        <w:ind w:firstLine="3600" w:firstLineChars="500"/>
        <w:rPr>
          <w:rFonts w:hint="eastAsia" w:ascii="宋体" w:hAnsi="宋体" w:cs="宋体"/>
          <w:bCs/>
          <w:color w:val="auto"/>
          <w:sz w:val="72"/>
          <w:szCs w:val="72"/>
        </w:rPr>
      </w:pPr>
      <w:r>
        <w:rPr>
          <w:rFonts w:hint="eastAsia" w:ascii="宋体" w:hAnsi="宋体" w:cs="宋体"/>
          <w:bCs/>
          <w:color w:val="auto"/>
          <w:sz w:val="72"/>
          <w:szCs w:val="72"/>
        </w:rPr>
        <w:t>招标文件</w:t>
      </w:r>
    </w:p>
    <w:p w14:paraId="2763A7E4">
      <w:pPr>
        <w:pStyle w:val="46"/>
        <w:rPr>
          <w:color w:val="auto"/>
        </w:rPr>
      </w:pPr>
    </w:p>
    <w:p w14:paraId="3A8A04F8">
      <w:pPr>
        <w:jc w:val="center"/>
        <w:rPr>
          <w:rFonts w:hint="eastAsia" w:ascii="宋体" w:hAnsi="宋体" w:cs="宋体"/>
          <w:bCs/>
          <w:color w:val="auto"/>
          <w:sz w:val="36"/>
          <w:szCs w:val="36"/>
        </w:rPr>
      </w:pPr>
      <w:r>
        <w:rPr>
          <w:rFonts w:hint="eastAsia" w:ascii="宋体" w:hAnsi="宋体" w:cs="宋体"/>
          <w:bCs/>
          <w:color w:val="auto"/>
          <w:sz w:val="36"/>
          <w:szCs w:val="36"/>
        </w:rPr>
        <w:t>采购文件编号：JSSYCG20260702031</w:t>
      </w:r>
    </w:p>
    <w:p w14:paraId="520847CE">
      <w:pPr>
        <w:spacing w:line="500" w:lineRule="exact"/>
        <w:jc w:val="center"/>
        <w:rPr>
          <w:rFonts w:hint="eastAsia" w:ascii="宋体" w:hAnsi="宋体" w:cs="宋体"/>
          <w:b/>
          <w:color w:val="auto"/>
          <w:sz w:val="36"/>
        </w:rPr>
      </w:pPr>
    </w:p>
    <w:p w14:paraId="315B77C5">
      <w:pPr>
        <w:spacing w:line="500" w:lineRule="exact"/>
        <w:jc w:val="center"/>
        <w:rPr>
          <w:rFonts w:hint="eastAsia" w:ascii="宋体" w:hAnsi="宋体" w:cs="宋体"/>
          <w:b/>
          <w:color w:val="auto"/>
          <w:sz w:val="36"/>
        </w:rPr>
      </w:pPr>
    </w:p>
    <w:p w14:paraId="043D68D2">
      <w:pPr>
        <w:spacing w:line="500" w:lineRule="exact"/>
        <w:jc w:val="center"/>
        <w:rPr>
          <w:rFonts w:hint="eastAsia" w:ascii="宋体" w:hAnsi="宋体" w:cs="宋体"/>
          <w:b/>
          <w:color w:val="auto"/>
          <w:sz w:val="36"/>
        </w:rPr>
      </w:pPr>
    </w:p>
    <w:p w14:paraId="19B9B41D">
      <w:pPr>
        <w:spacing w:line="500" w:lineRule="exact"/>
        <w:rPr>
          <w:rFonts w:hint="eastAsia" w:ascii="宋体" w:hAnsi="宋体" w:cs="宋体"/>
          <w:color w:val="auto"/>
        </w:rPr>
      </w:pPr>
    </w:p>
    <w:p w14:paraId="5B03080B">
      <w:pPr>
        <w:spacing w:line="500" w:lineRule="exact"/>
        <w:jc w:val="center"/>
        <w:rPr>
          <w:rFonts w:hint="eastAsia" w:ascii="宋体" w:hAnsi="宋体" w:cs="宋体"/>
          <w:color w:val="auto"/>
          <w:sz w:val="32"/>
        </w:rPr>
      </w:pPr>
    </w:p>
    <w:p w14:paraId="70D9E21C">
      <w:pPr>
        <w:spacing w:line="500" w:lineRule="exact"/>
        <w:jc w:val="center"/>
        <w:rPr>
          <w:rFonts w:hint="eastAsia" w:ascii="宋体" w:hAnsi="宋体" w:cs="宋体"/>
          <w:color w:val="auto"/>
          <w:sz w:val="32"/>
        </w:rPr>
      </w:pPr>
    </w:p>
    <w:p w14:paraId="5C9DE86D">
      <w:pPr>
        <w:spacing w:line="500" w:lineRule="exact"/>
        <w:jc w:val="center"/>
        <w:rPr>
          <w:rFonts w:hint="eastAsia" w:ascii="宋体" w:hAnsi="宋体" w:cs="宋体"/>
          <w:color w:val="auto"/>
          <w:sz w:val="32"/>
        </w:rPr>
      </w:pPr>
    </w:p>
    <w:p w14:paraId="3649AC87">
      <w:pPr>
        <w:pStyle w:val="12"/>
        <w:rPr>
          <w:rFonts w:hint="eastAsia" w:ascii="宋体" w:hAnsi="宋体" w:cs="宋体"/>
          <w:color w:val="auto"/>
          <w:sz w:val="32"/>
        </w:rPr>
      </w:pPr>
    </w:p>
    <w:p w14:paraId="6C0694F0">
      <w:pPr>
        <w:pStyle w:val="35"/>
        <w:ind w:firstLine="320"/>
        <w:rPr>
          <w:rFonts w:hint="eastAsia" w:ascii="宋体" w:hAnsi="宋体" w:cs="宋体"/>
          <w:color w:val="auto"/>
          <w:sz w:val="32"/>
        </w:rPr>
      </w:pPr>
    </w:p>
    <w:p w14:paraId="216090AD">
      <w:pPr>
        <w:pStyle w:val="82"/>
        <w:ind w:firstLine="3004" w:firstLineChars="626"/>
        <w:jc w:val="both"/>
        <w:rPr>
          <w:rFonts w:hint="eastAsia" w:ascii="宋体" w:hAnsi="宋体" w:cs="宋体"/>
          <w:bCs/>
          <w:color w:val="auto"/>
          <w:spacing w:val="20"/>
          <w:sz w:val="44"/>
        </w:rPr>
      </w:pPr>
      <w:r>
        <w:rPr>
          <w:rFonts w:hint="eastAsia" w:ascii="宋体" w:hAnsi="宋体" w:cs="宋体"/>
          <w:bCs/>
          <w:color w:val="auto"/>
          <w:spacing w:val="20"/>
          <w:sz w:val="44"/>
        </w:rPr>
        <w:t>江苏商贸职业学院</w:t>
      </w:r>
    </w:p>
    <w:p w14:paraId="7B9605B5">
      <w:pPr>
        <w:adjustRightInd w:val="0"/>
        <w:spacing w:before="120" w:after="120" w:line="500" w:lineRule="exact"/>
        <w:ind w:left="-2" w:right="120"/>
        <w:jc w:val="center"/>
        <w:textAlignment w:val="baseline"/>
        <w:rPr>
          <w:rFonts w:hint="eastAsia" w:ascii="宋体" w:hAnsi="宋体" w:cs="宋体"/>
          <w:bCs/>
          <w:snapToGrid w:val="0"/>
          <w:color w:val="auto"/>
          <w:sz w:val="26"/>
          <w:szCs w:val="28"/>
          <w:u w:val="single"/>
        </w:rPr>
      </w:pPr>
      <w:r>
        <w:rPr>
          <w:rFonts w:hint="eastAsia" w:ascii="宋体" w:hAnsi="宋体" w:cs="宋体"/>
          <w:bCs/>
          <w:color w:val="auto"/>
          <w:sz w:val="32"/>
        </w:rPr>
        <w:t>2026年7月</w:t>
      </w:r>
    </w:p>
    <w:p w14:paraId="3D72F638">
      <w:pPr>
        <w:ind w:firstLine="4400" w:firstLineChars="1000"/>
        <w:rPr>
          <w:rFonts w:hint="eastAsia" w:ascii="宋体" w:hAnsi="宋体" w:cs="宋体"/>
          <w:color w:val="auto"/>
          <w:sz w:val="44"/>
          <w:szCs w:val="44"/>
        </w:rPr>
      </w:pPr>
    </w:p>
    <w:p w14:paraId="3BFD7FDF">
      <w:pPr>
        <w:ind w:firstLine="4400" w:firstLineChars="1000"/>
        <w:rPr>
          <w:rFonts w:hint="eastAsia" w:ascii="宋体" w:hAnsi="宋体" w:cs="宋体"/>
          <w:color w:val="auto"/>
          <w:sz w:val="32"/>
          <w:szCs w:val="32"/>
        </w:rPr>
      </w:pPr>
      <w:r>
        <w:rPr>
          <w:rFonts w:hint="eastAsia" w:ascii="宋体" w:hAnsi="宋体" w:cs="宋体"/>
          <w:color w:val="auto"/>
          <w:sz w:val="44"/>
          <w:szCs w:val="44"/>
        </w:rPr>
        <w:t>目 录</w:t>
      </w:r>
    </w:p>
    <w:p w14:paraId="49D1EE6B">
      <w:pPr>
        <w:tabs>
          <w:tab w:val="left" w:pos="7740"/>
        </w:tabs>
        <w:adjustRightInd w:val="0"/>
        <w:snapToGrid w:val="0"/>
        <w:spacing w:line="360" w:lineRule="auto"/>
        <w:ind w:firstLine="640" w:firstLineChars="200"/>
        <w:rPr>
          <w:rFonts w:hint="eastAsia" w:ascii="宋体" w:hAnsi="宋体" w:cs="宋体"/>
          <w:bCs/>
          <w:color w:val="auto"/>
          <w:sz w:val="32"/>
          <w:szCs w:val="32"/>
        </w:rPr>
      </w:pPr>
    </w:p>
    <w:p w14:paraId="00499852">
      <w:pPr>
        <w:tabs>
          <w:tab w:val="left" w:pos="7740"/>
        </w:tabs>
        <w:adjustRightInd w:val="0"/>
        <w:snapToGrid w:val="0"/>
        <w:spacing w:line="360" w:lineRule="auto"/>
        <w:ind w:firstLine="640" w:firstLineChars="200"/>
        <w:rPr>
          <w:rFonts w:hint="eastAsia" w:ascii="宋体" w:hAnsi="宋体" w:cs="宋体"/>
          <w:color w:val="auto"/>
          <w:spacing w:val="2"/>
          <w:sz w:val="32"/>
          <w:szCs w:val="32"/>
        </w:rPr>
      </w:pPr>
      <w:r>
        <w:rPr>
          <w:rFonts w:hint="eastAsia" w:ascii="宋体" w:hAnsi="宋体" w:cs="宋体"/>
          <w:bCs/>
          <w:color w:val="auto"/>
          <w:sz w:val="32"/>
          <w:szCs w:val="32"/>
        </w:rPr>
        <w:t>第一部分  投标邀请</w:t>
      </w:r>
    </w:p>
    <w:p w14:paraId="01B21F1D">
      <w:pPr>
        <w:tabs>
          <w:tab w:val="left" w:pos="7740"/>
        </w:tabs>
        <w:adjustRightInd w:val="0"/>
        <w:snapToGrid w:val="0"/>
        <w:spacing w:line="360" w:lineRule="auto"/>
        <w:ind w:firstLine="640" w:firstLineChars="200"/>
        <w:rPr>
          <w:rFonts w:hint="eastAsia" w:ascii="宋体" w:hAnsi="宋体" w:cs="宋体"/>
          <w:color w:val="auto"/>
          <w:spacing w:val="2"/>
          <w:sz w:val="32"/>
          <w:szCs w:val="32"/>
        </w:rPr>
      </w:pPr>
      <w:r>
        <w:rPr>
          <w:rFonts w:hint="eastAsia" w:ascii="宋体" w:hAnsi="宋体" w:cs="宋体"/>
          <w:bCs/>
          <w:color w:val="auto"/>
          <w:sz w:val="32"/>
          <w:szCs w:val="32"/>
        </w:rPr>
        <w:t>第二部分  投标须知</w:t>
      </w:r>
    </w:p>
    <w:p w14:paraId="566137BA">
      <w:pPr>
        <w:tabs>
          <w:tab w:val="left" w:pos="7740"/>
        </w:tabs>
        <w:adjustRightInd w:val="0"/>
        <w:snapToGrid w:val="0"/>
        <w:spacing w:line="360" w:lineRule="auto"/>
        <w:ind w:firstLine="640" w:firstLineChars="200"/>
        <w:rPr>
          <w:rFonts w:hint="eastAsia" w:ascii="宋体" w:hAnsi="宋体" w:cs="宋体"/>
          <w:color w:val="auto"/>
          <w:spacing w:val="2"/>
          <w:sz w:val="32"/>
          <w:szCs w:val="32"/>
        </w:rPr>
      </w:pPr>
      <w:r>
        <w:rPr>
          <w:rFonts w:hint="eastAsia" w:ascii="宋体" w:hAnsi="宋体" w:cs="宋体"/>
          <w:bCs/>
          <w:color w:val="auto"/>
          <w:sz w:val="32"/>
          <w:szCs w:val="32"/>
        </w:rPr>
        <w:t>第三部分  项目需求</w:t>
      </w:r>
    </w:p>
    <w:p w14:paraId="0B30F1BC">
      <w:pPr>
        <w:tabs>
          <w:tab w:val="left" w:pos="7740"/>
        </w:tabs>
        <w:adjustRightInd w:val="0"/>
        <w:snapToGrid w:val="0"/>
        <w:spacing w:line="360" w:lineRule="auto"/>
        <w:ind w:firstLine="640" w:firstLineChars="200"/>
        <w:rPr>
          <w:rFonts w:hint="eastAsia" w:ascii="宋体" w:hAnsi="宋体" w:cs="宋体"/>
          <w:color w:val="auto"/>
          <w:spacing w:val="2"/>
          <w:sz w:val="32"/>
          <w:szCs w:val="32"/>
        </w:rPr>
      </w:pPr>
      <w:r>
        <w:rPr>
          <w:rFonts w:hint="eastAsia" w:ascii="宋体" w:hAnsi="宋体" w:cs="宋体"/>
          <w:color w:val="auto"/>
          <w:sz w:val="32"/>
          <w:szCs w:val="32"/>
        </w:rPr>
        <w:t xml:space="preserve">第四部分  </w:t>
      </w:r>
      <w:r>
        <w:rPr>
          <w:rFonts w:hint="eastAsia" w:ascii="宋体" w:hAnsi="宋体" w:cs="宋体"/>
          <w:bCs/>
          <w:color w:val="auto"/>
          <w:sz w:val="32"/>
          <w:szCs w:val="32"/>
        </w:rPr>
        <w:t>开标和评标</w:t>
      </w:r>
    </w:p>
    <w:p w14:paraId="135CDCAA">
      <w:pPr>
        <w:tabs>
          <w:tab w:val="left" w:pos="7740"/>
        </w:tabs>
        <w:adjustRightInd w:val="0"/>
        <w:snapToGrid w:val="0"/>
        <w:spacing w:line="360" w:lineRule="auto"/>
        <w:ind w:firstLine="640" w:firstLineChars="200"/>
        <w:rPr>
          <w:rFonts w:hint="eastAsia" w:ascii="宋体" w:hAnsi="宋体" w:cs="宋体"/>
          <w:bCs/>
          <w:color w:val="auto"/>
          <w:sz w:val="32"/>
          <w:szCs w:val="32"/>
        </w:rPr>
      </w:pPr>
      <w:r>
        <w:rPr>
          <w:rFonts w:hint="eastAsia" w:ascii="宋体" w:hAnsi="宋体" w:cs="宋体"/>
          <w:bCs/>
          <w:color w:val="auto"/>
          <w:sz w:val="32"/>
          <w:szCs w:val="32"/>
        </w:rPr>
        <w:t>第五部分  合同主要条款</w:t>
      </w:r>
    </w:p>
    <w:p w14:paraId="7698D834">
      <w:pPr>
        <w:tabs>
          <w:tab w:val="left" w:pos="7740"/>
        </w:tabs>
        <w:adjustRightInd w:val="0"/>
        <w:snapToGrid w:val="0"/>
        <w:spacing w:line="360" w:lineRule="auto"/>
        <w:ind w:firstLine="640" w:firstLineChars="200"/>
        <w:rPr>
          <w:rFonts w:hint="eastAsia" w:ascii="宋体" w:hAnsi="宋体" w:cs="宋体"/>
          <w:bCs/>
          <w:color w:val="auto"/>
          <w:sz w:val="32"/>
          <w:szCs w:val="32"/>
        </w:rPr>
      </w:pPr>
      <w:r>
        <w:rPr>
          <w:rFonts w:hint="eastAsia" w:ascii="宋体" w:hAnsi="宋体" w:cs="宋体"/>
          <w:bCs/>
          <w:color w:val="auto"/>
          <w:sz w:val="32"/>
          <w:szCs w:val="32"/>
        </w:rPr>
        <w:t>第六部分  质疑与投诉</w:t>
      </w:r>
    </w:p>
    <w:p w14:paraId="52AC06D0">
      <w:pPr>
        <w:tabs>
          <w:tab w:val="left" w:pos="7740"/>
        </w:tabs>
        <w:adjustRightInd w:val="0"/>
        <w:snapToGrid w:val="0"/>
        <w:spacing w:line="360" w:lineRule="auto"/>
        <w:ind w:firstLine="640" w:firstLineChars="200"/>
        <w:rPr>
          <w:rFonts w:hint="eastAsia" w:ascii="宋体" w:hAnsi="宋体" w:cs="宋体"/>
          <w:color w:val="auto"/>
          <w:spacing w:val="2"/>
          <w:sz w:val="32"/>
          <w:szCs w:val="32"/>
        </w:rPr>
      </w:pPr>
      <w:r>
        <w:rPr>
          <w:rFonts w:hint="eastAsia" w:ascii="宋体" w:hAnsi="宋体" w:cs="宋体"/>
          <w:bCs/>
          <w:color w:val="auto"/>
          <w:sz w:val="32"/>
          <w:szCs w:val="32"/>
        </w:rPr>
        <w:t>第七部分  投标文件组成</w:t>
      </w:r>
    </w:p>
    <w:p w14:paraId="4D9AB62D">
      <w:pPr>
        <w:spacing w:line="500" w:lineRule="exact"/>
        <w:rPr>
          <w:rFonts w:hint="eastAsia" w:ascii="宋体" w:hAnsi="宋体" w:cs="宋体"/>
          <w:b/>
          <w:color w:val="auto"/>
          <w:sz w:val="32"/>
          <w:szCs w:val="32"/>
        </w:rPr>
      </w:pPr>
    </w:p>
    <w:p w14:paraId="01D01913">
      <w:pPr>
        <w:tabs>
          <w:tab w:val="left" w:pos="7740"/>
        </w:tabs>
        <w:spacing w:line="500" w:lineRule="exact"/>
        <w:rPr>
          <w:rFonts w:hint="eastAsia" w:ascii="宋体" w:hAnsi="宋体" w:cs="宋体"/>
          <w:b/>
          <w:color w:val="auto"/>
          <w:spacing w:val="2"/>
          <w:sz w:val="32"/>
          <w:szCs w:val="32"/>
        </w:rPr>
      </w:pPr>
    </w:p>
    <w:p w14:paraId="44C55837">
      <w:pPr>
        <w:tabs>
          <w:tab w:val="left" w:pos="7740"/>
        </w:tabs>
        <w:spacing w:line="500" w:lineRule="exact"/>
        <w:rPr>
          <w:rFonts w:hint="eastAsia" w:ascii="宋体" w:hAnsi="宋体" w:cs="宋体"/>
          <w:b/>
          <w:color w:val="auto"/>
          <w:spacing w:val="2"/>
          <w:sz w:val="32"/>
          <w:szCs w:val="32"/>
        </w:rPr>
      </w:pPr>
    </w:p>
    <w:p w14:paraId="3E591B98">
      <w:pPr>
        <w:tabs>
          <w:tab w:val="left" w:pos="7740"/>
        </w:tabs>
        <w:spacing w:line="500" w:lineRule="exact"/>
        <w:rPr>
          <w:rFonts w:hint="eastAsia" w:ascii="宋体" w:hAnsi="宋体" w:cs="宋体"/>
          <w:b/>
          <w:bCs/>
          <w:color w:val="auto"/>
          <w:sz w:val="32"/>
          <w:szCs w:val="32"/>
        </w:rPr>
      </w:pPr>
    </w:p>
    <w:p w14:paraId="5920C5DF">
      <w:pPr>
        <w:pStyle w:val="12"/>
        <w:rPr>
          <w:rFonts w:hint="eastAsia" w:ascii="宋体" w:hAnsi="宋体" w:cs="宋体"/>
          <w:bCs/>
          <w:color w:val="auto"/>
          <w:sz w:val="36"/>
          <w:szCs w:val="36"/>
        </w:rPr>
      </w:pPr>
    </w:p>
    <w:p w14:paraId="2557F295">
      <w:pPr>
        <w:rPr>
          <w:rFonts w:hint="eastAsia" w:ascii="宋体" w:hAnsi="宋体" w:cs="宋体"/>
          <w:color w:val="auto"/>
        </w:rPr>
      </w:pPr>
    </w:p>
    <w:p w14:paraId="4F9D453D">
      <w:pPr>
        <w:adjustRightInd w:val="0"/>
        <w:snapToGrid w:val="0"/>
        <w:spacing w:line="500" w:lineRule="exact"/>
        <w:jc w:val="center"/>
        <w:outlineLvl w:val="0"/>
        <w:rPr>
          <w:rFonts w:hint="eastAsia" w:ascii="宋体" w:hAnsi="宋体" w:cs="宋体"/>
          <w:bCs/>
          <w:color w:val="auto"/>
          <w:sz w:val="32"/>
          <w:szCs w:val="32"/>
        </w:rPr>
      </w:pPr>
      <w:r>
        <w:rPr>
          <w:rFonts w:hint="eastAsia" w:ascii="宋体" w:hAnsi="宋体" w:cs="宋体"/>
          <w:bCs/>
          <w:color w:val="auto"/>
          <w:sz w:val="32"/>
          <w:szCs w:val="32"/>
        </w:rPr>
        <w:br w:type="page"/>
      </w:r>
      <w:r>
        <w:rPr>
          <w:rFonts w:hint="eastAsia" w:ascii="宋体" w:hAnsi="宋体" w:cs="宋体"/>
          <w:bCs/>
          <w:color w:val="auto"/>
          <w:sz w:val="32"/>
          <w:szCs w:val="32"/>
        </w:rPr>
        <w:t xml:space="preserve">第一部分  </w:t>
      </w:r>
      <w:bookmarkStart w:id="0" w:name="OLE_LINK5"/>
      <w:bookmarkStart w:id="1" w:name="OLE_LINK7"/>
      <w:r>
        <w:rPr>
          <w:rFonts w:hint="eastAsia" w:ascii="宋体" w:hAnsi="宋体" w:cs="宋体"/>
          <w:bCs/>
          <w:color w:val="auto"/>
          <w:sz w:val="32"/>
          <w:szCs w:val="32"/>
        </w:rPr>
        <w:t>投标邀请</w:t>
      </w:r>
    </w:p>
    <w:p w14:paraId="43DDB9B3">
      <w:pPr>
        <w:spacing w:line="360" w:lineRule="auto"/>
        <w:ind w:firstLine="240" w:firstLineChars="100"/>
        <w:jc w:val="left"/>
        <w:rPr>
          <w:rFonts w:hint="eastAsia" w:ascii="宋体" w:hAnsi="宋体" w:cs="宋体"/>
          <w:color w:val="auto"/>
          <w:sz w:val="24"/>
        </w:rPr>
      </w:pPr>
      <w:bookmarkStart w:id="2" w:name="OLE_LINK6"/>
    </w:p>
    <w:p w14:paraId="44AF7EE9">
      <w:pPr>
        <w:spacing w:line="360" w:lineRule="auto"/>
        <w:ind w:firstLine="240" w:firstLineChars="100"/>
        <w:jc w:val="left"/>
        <w:rPr>
          <w:rFonts w:hint="eastAsia" w:ascii="宋体" w:hAnsi="宋体" w:cs="宋体"/>
          <w:color w:val="auto"/>
          <w:sz w:val="24"/>
        </w:rPr>
      </w:pPr>
      <w:r>
        <w:rPr>
          <w:rFonts w:hint="eastAsia" w:ascii="宋体" w:hAnsi="宋体" w:cs="宋体"/>
          <w:color w:val="auto"/>
          <w:sz w:val="24"/>
        </w:rPr>
        <w:t>受江苏商贸职业学院的委托，江苏中润工程建设咨询有限公司就江苏商贸职业学院校园主干道测速系统项目（项目编号: JSSYCG20260702031 )进行公开招标采购，欢迎符合条件的投标人参与投标。</w:t>
      </w:r>
    </w:p>
    <w:p w14:paraId="559607D3">
      <w:pPr>
        <w:tabs>
          <w:tab w:val="left" w:pos="360"/>
        </w:tabs>
        <w:spacing w:line="460" w:lineRule="exact"/>
        <w:ind w:firstLine="482" w:firstLineChars="200"/>
        <w:rPr>
          <w:rFonts w:hint="eastAsia" w:ascii="宋体" w:hAnsi="宋体" w:cs="宋体"/>
          <w:b/>
          <w:bCs/>
          <w:color w:val="auto"/>
          <w:sz w:val="24"/>
        </w:rPr>
      </w:pPr>
      <w:r>
        <w:rPr>
          <w:rFonts w:hint="eastAsia" w:ascii="宋体" w:hAnsi="宋体" w:cs="宋体"/>
          <w:b/>
          <w:bCs/>
          <w:color w:val="auto"/>
          <w:sz w:val="24"/>
        </w:rPr>
        <w:t>项目概况</w:t>
      </w:r>
    </w:p>
    <w:p w14:paraId="543A55C1">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江苏商贸职业学院校园主干道测速系统项目的潜在投标人应在江苏商贸职业学院（</w:t>
      </w:r>
      <w:r>
        <w:rPr>
          <w:color w:val="auto"/>
        </w:rPr>
        <w:fldChar w:fldCharType="begin"/>
      </w:r>
      <w:r>
        <w:rPr>
          <w:color w:val="auto"/>
        </w:rPr>
        <w:instrText xml:space="preserve"> HYPERLINK "http://www.jsbc.edu.cn/）获取招标文件，并于2025年%20%20%20月" </w:instrText>
      </w:r>
      <w:r>
        <w:rPr>
          <w:color w:val="auto"/>
        </w:rPr>
        <w:fldChar w:fldCharType="separate"/>
      </w:r>
      <w:r>
        <w:rPr>
          <w:rStyle w:val="44"/>
          <w:rFonts w:hint="eastAsia" w:ascii="宋体" w:hAnsi="宋体" w:cs="宋体"/>
          <w:color w:val="auto"/>
          <w:sz w:val="24"/>
        </w:rPr>
        <w:t>http://www.jsbc.edu.cn/）获取招标文件，并于2026年7月</w:t>
      </w:r>
      <w:r>
        <w:rPr>
          <w:color w:val="auto"/>
        </w:rPr>
        <w:fldChar w:fldCharType="end"/>
      </w:r>
      <w:r>
        <w:rPr>
          <w:rFonts w:hint="eastAsia"/>
          <w:color w:val="auto"/>
          <w:lang w:val="en-US" w:eastAsia="zh-CN"/>
        </w:rPr>
        <w:t>20</w:t>
      </w:r>
      <w:r>
        <w:rPr>
          <w:rFonts w:hint="eastAsia" w:ascii="宋体" w:hAnsi="宋体" w:cs="宋体"/>
          <w:color w:val="auto"/>
          <w:sz w:val="24"/>
        </w:rPr>
        <w:t>日09</w:t>
      </w:r>
      <w:r>
        <w:rPr>
          <w:rFonts w:ascii="宋体" w:hAnsi="宋体" w:cs="宋体"/>
          <w:color w:val="auto"/>
          <w:sz w:val="24"/>
        </w:rPr>
        <w:t xml:space="preserve"> </w:t>
      </w:r>
      <w:r>
        <w:rPr>
          <w:rFonts w:hint="eastAsia" w:ascii="宋体" w:hAnsi="宋体" w:cs="宋体"/>
          <w:color w:val="auto"/>
          <w:sz w:val="24"/>
        </w:rPr>
        <w:t>时00分（北京时间）前递交投标文件。</w:t>
      </w:r>
    </w:p>
    <w:p w14:paraId="22FD8158">
      <w:pPr>
        <w:tabs>
          <w:tab w:val="left" w:pos="360"/>
        </w:tabs>
        <w:spacing w:line="460" w:lineRule="exact"/>
        <w:ind w:firstLine="482" w:firstLineChars="200"/>
        <w:rPr>
          <w:rFonts w:hint="eastAsia" w:ascii="宋体" w:hAnsi="宋体" w:cs="宋体"/>
          <w:b/>
          <w:bCs/>
          <w:color w:val="auto"/>
          <w:sz w:val="24"/>
        </w:rPr>
      </w:pPr>
      <w:r>
        <w:rPr>
          <w:rFonts w:hint="eastAsia" w:ascii="宋体" w:hAnsi="宋体" w:cs="宋体"/>
          <w:b/>
          <w:bCs/>
          <w:color w:val="auto"/>
          <w:sz w:val="24"/>
        </w:rPr>
        <w:t>一、项目基本情况</w:t>
      </w:r>
    </w:p>
    <w:p w14:paraId="0D372CB2">
      <w:pPr>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项目名称：</w:t>
      </w:r>
      <w:r>
        <w:rPr>
          <w:rFonts w:hint="eastAsia" w:ascii="宋体" w:hAnsi="宋体"/>
          <w:color w:val="auto"/>
          <w:sz w:val="24"/>
          <w:szCs w:val="20"/>
        </w:rPr>
        <w:t>江苏商贸职业学院校园主干道测速系统项目</w:t>
      </w:r>
    </w:p>
    <w:p w14:paraId="409A4F02">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项目编号：JSSYCG20260702031</w:t>
      </w:r>
    </w:p>
    <w:p w14:paraId="085DEABB">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预算金额：15万元</w:t>
      </w:r>
    </w:p>
    <w:p w14:paraId="6E9571EC">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最高限价：15万元，投标报价高于最高限价的作无效投标处理。</w:t>
      </w:r>
    </w:p>
    <w:p w14:paraId="1E5A33A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采购需求：详见招标文件，请仔细研究。</w:t>
      </w:r>
    </w:p>
    <w:p w14:paraId="60B403E6">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合同履行期限：自合同签订之日起30天内完成。</w:t>
      </w:r>
    </w:p>
    <w:p w14:paraId="60BD8D5D">
      <w:pPr>
        <w:tabs>
          <w:tab w:val="left" w:pos="360"/>
        </w:tabs>
        <w:spacing w:line="460" w:lineRule="exact"/>
        <w:ind w:firstLine="482" w:firstLineChars="200"/>
        <w:rPr>
          <w:rFonts w:hint="eastAsia" w:ascii="宋体" w:hAnsi="宋体" w:cs="宋体"/>
          <w:b/>
          <w:bCs/>
          <w:color w:val="auto"/>
          <w:sz w:val="24"/>
        </w:rPr>
      </w:pPr>
      <w:r>
        <w:rPr>
          <w:rFonts w:hint="eastAsia" w:ascii="宋体" w:hAnsi="宋体" w:cs="宋体"/>
          <w:b/>
          <w:bCs/>
          <w:color w:val="auto"/>
          <w:sz w:val="24"/>
        </w:rPr>
        <w:t>二、申请人的资格要求：</w:t>
      </w:r>
    </w:p>
    <w:p w14:paraId="54886CF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具有独立承担民事责任的能力；具有良好的商业信誉和健全的财务会计制度；具有履行合同所必需的设备和专业技术能力；有依法缴纳税收和社会保障资金的良好记录；参加采购活动前三年内，在经营活动中没有重大违法记录；</w:t>
      </w:r>
    </w:p>
    <w:p w14:paraId="7DC2B621">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法定代表人参加投标的，必须提供法定代表人身份证明及法定代表人本人身份证复印件；非法定代表人参加投标的，必须提供法定代表人身份证明、法定代表人签名或盖章的授权委托书法定代表人和委托代理人（以下称被授权人）两个人的身份证复印件（格式参见附件），被授权人为投标供应商正式人员证明材料【提供①与投标供应商签订的有效劳动合同复印件；②社保机构出具并盖章的投标供应商为其缴纳2026年1月- 2026年6月任意一个月的养老保险缴费清单复印件】；</w:t>
      </w:r>
    </w:p>
    <w:p w14:paraId="40F0A202">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3.提供营业执照副本复印件并加盖投标单位公章；</w:t>
      </w:r>
    </w:p>
    <w:p w14:paraId="3DD84A06">
      <w:pPr>
        <w:tabs>
          <w:tab w:val="left" w:pos="360"/>
        </w:tabs>
        <w:spacing w:line="460" w:lineRule="exact"/>
        <w:ind w:firstLine="480" w:firstLineChars="200"/>
        <w:rPr>
          <w:rFonts w:hint="eastAsia" w:ascii="宋体" w:hAnsi="宋体" w:cs="宋体"/>
          <w:color w:val="auto"/>
          <w:sz w:val="24"/>
        </w:rPr>
      </w:pPr>
      <w:r>
        <w:rPr>
          <w:rFonts w:ascii="宋体" w:hAnsi="宋体" w:cs="宋体"/>
          <w:color w:val="auto"/>
          <w:sz w:val="24"/>
        </w:rPr>
        <w:t>4</w:t>
      </w:r>
      <w:r>
        <w:rPr>
          <w:rFonts w:hint="eastAsia" w:ascii="宋体" w:hAnsi="宋体" w:cs="宋体"/>
          <w:color w:val="auto"/>
          <w:sz w:val="24"/>
        </w:rPr>
        <w:t>.未被“信用中国”、“中国政府采购网”网站列入失信被执行人、重大税收违法案件当事人名单、政府采购严重违法失信行为记录名单，</w:t>
      </w:r>
      <w:r>
        <w:rPr>
          <w:rFonts w:hint="eastAsia" w:ascii="宋体" w:hAnsi="宋体" w:cs="宋体"/>
          <w:color w:val="auto"/>
          <w:kern w:val="0"/>
          <w:sz w:val="24"/>
        </w:rPr>
        <w:t>提供无重大违法记录声明（</w:t>
      </w:r>
      <w:r>
        <w:rPr>
          <w:rFonts w:hint="eastAsia" w:ascii="宋体" w:hAnsi="宋体" w:cs="宋体"/>
          <w:color w:val="auto"/>
          <w:kern w:val="0"/>
          <w:sz w:val="24"/>
          <w:lang w:val="zh-CN"/>
        </w:rPr>
        <w:t>格式见附件）</w:t>
      </w:r>
      <w:r>
        <w:rPr>
          <w:rFonts w:hint="eastAsia" w:ascii="宋体" w:hAnsi="宋体" w:cs="宋体"/>
          <w:color w:val="auto"/>
          <w:sz w:val="24"/>
        </w:rPr>
        <w:t>；</w:t>
      </w:r>
    </w:p>
    <w:p w14:paraId="4F7E1CD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5.本项目不接受联合体投标。</w:t>
      </w:r>
    </w:p>
    <w:p w14:paraId="31A56ED2">
      <w:pPr>
        <w:tabs>
          <w:tab w:val="left" w:pos="360"/>
        </w:tabs>
        <w:spacing w:line="460" w:lineRule="exact"/>
        <w:ind w:firstLine="482" w:firstLineChars="200"/>
        <w:rPr>
          <w:rFonts w:hint="eastAsia" w:ascii="宋体" w:hAnsi="宋体" w:cs="宋体"/>
          <w:b/>
          <w:bCs/>
          <w:color w:val="auto"/>
          <w:sz w:val="24"/>
        </w:rPr>
      </w:pPr>
      <w:r>
        <w:rPr>
          <w:rFonts w:hint="eastAsia" w:ascii="宋体" w:hAnsi="宋体" w:cs="宋体"/>
          <w:b/>
          <w:bCs/>
          <w:color w:val="auto"/>
          <w:sz w:val="24"/>
        </w:rPr>
        <w:t>三、获取招标文件</w:t>
      </w:r>
    </w:p>
    <w:p w14:paraId="2E3B1CB6">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时间：2026年7月</w:t>
      </w:r>
      <w:r>
        <w:rPr>
          <w:rFonts w:hint="eastAsia" w:ascii="宋体" w:hAnsi="宋体" w:cs="宋体"/>
          <w:color w:val="auto"/>
          <w:sz w:val="24"/>
          <w:lang w:val="en-US" w:eastAsia="zh-CN"/>
        </w:rPr>
        <w:t>13</w:t>
      </w:r>
      <w:r>
        <w:rPr>
          <w:rFonts w:hint="eastAsia" w:ascii="宋体" w:hAnsi="宋体" w:cs="宋体"/>
          <w:color w:val="auto"/>
          <w:sz w:val="24"/>
        </w:rPr>
        <w:t>日至2026年7月</w:t>
      </w:r>
      <w:r>
        <w:rPr>
          <w:rFonts w:hint="eastAsia" w:ascii="宋体" w:hAnsi="宋体" w:cs="宋体"/>
          <w:color w:val="auto"/>
          <w:sz w:val="24"/>
          <w:lang w:val="en-US" w:eastAsia="zh-CN"/>
        </w:rPr>
        <w:t>19</w:t>
      </w:r>
      <w:r>
        <w:rPr>
          <w:rFonts w:hint="eastAsia" w:ascii="宋体" w:hAnsi="宋体" w:cs="宋体"/>
          <w:color w:val="auto"/>
          <w:sz w:val="24"/>
        </w:rPr>
        <w:t>日。</w:t>
      </w:r>
    </w:p>
    <w:p w14:paraId="5FBB1D87">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地点：江苏商贸职业学院网。</w:t>
      </w:r>
    </w:p>
    <w:p w14:paraId="6E05EE86">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方式：网站附件自行下载。</w:t>
      </w:r>
    </w:p>
    <w:p w14:paraId="035D3D5D">
      <w:pPr>
        <w:tabs>
          <w:tab w:val="left" w:pos="360"/>
        </w:tabs>
        <w:spacing w:line="460" w:lineRule="exact"/>
        <w:ind w:firstLine="482" w:firstLineChars="200"/>
        <w:rPr>
          <w:rFonts w:hint="eastAsia" w:ascii="宋体" w:hAnsi="宋体" w:cs="宋体"/>
          <w:b/>
          <w:bCs/>
          <w:color w:val="auto"/>
          <w:sz w:val="24"/>
        </w:rPr>
      </w:pPr>
      <w:r>
        <w:rPr>
          <w:rFonts w:hint="eastAsia" w:ascii="宋体" w:hAnsi="宋体" w:cs="宋体"/>
          <w:b/>
          <w:bCs/>
          <w:color w:val="auto"/>
          <w:sz w:val="24"/>
        </w:rPr>
        <w:t>四、提交投标文件截止时间、开标时间和地点</w:t>
      </w:r>
    </w:p>
    <w:p w14:paraId="3B9DE04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2026年7月</w:t>
      </w:r>
      <w:r>
        <w:rPr>
          <w:rFonts w:hint="eastAsia" w:ascii="宋体" w:hAnsi="宋体" w:cs="宋体"/>
          <w:color w:val="auto"/>
          <w:sz w:val="24"/>
          <w:lang w:val="en-US" w:eastAsia="zh-CN"/>
        </w:rPr>
        <w:t>20</w:t>
      </w:r>
      <w:r>
        <w:rPr>
          <w:rFonts w:hint="eastAsia" w:ascii="宋体" w:hAnsi="宋体" w:cs="宋体"/>
          <w:color w:val="auto"/>
          <w:sz w:val="24"/>
        </w:rPr>
        <w:t>日09时00分（北京时间）。</w:t>
      </w:r>
    </w:p>
    <w:p w14:paraId="6559BD1C">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逾时，招标人将拒绝接受投标响应文件。</w:t>
      </w:r>
    </w:p>
    <w:p w14:paraId="0CB64363">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开标地点：江苏省南通市江通路48号，江苏商贸职业学院资产管理处（西大门南侧）办公室，如有变动另行通知。</w:t>
      </w:r>
    </w:p>
    <w:p w14:paraId="58FFB583">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评审地点：江苏商贸职业学院基建会议室，如有变动另行通知。</w:t>
      </w:r>
    </w:p>
    <w:p w14:paraId="67380DFB">
      <w:pPr>
        <w:tabs>
          <w:tab w:val="left" w:pos="360"/>
        </w:tabs>
        <w:spacing w:line="460" w:lineRule="exact"/>
        <w:ind w:firstLine="482" w:firstLineChars="200"/>
        <w:rPr>
          <w:rFonts w:hint="eastAsia" w:ascii="宋体" w:hAnsi="宋体" w:cs="宋体"/>
          <w:b/>
          <w:bCs/>
          <w:color w:val="auto"/>
          <w:sz w:val="24"/>
        </w:rPr>
      </w:pPr>
      <w:r>
        <w:rPr>
          <w:rFonts w:hint="eastAsia" w:ascii="宋体" w:hAnsi="宋体" w:cs="宋体"/>
          <w:b/>
          <w:bCs/>
          <w:color w:val="auto"/>
          <w:sz w:val="24"/>
        </w:rPr>
        <w:t>五、公告期限</w:t>
      </w:r>
    </w:p>
    <w:p w14:paraId="4F41A335">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自本公告发布之日起5个工作日。</w:t>
      </w:r>
    </w:p>
    <w:p w14:paraId="1422C90B">
      <w:pPr>
        <w:tabs>
          <w:tab w:val="left" w:pos="360"/>
        </w:tabs>
        <w:spacing w:line="460" w:lineRule="exact"/>
        <w:ind w:firstLine="482" w:firstLineChars="200"/>
        <w:rPr>
          <w:rFonts w:hint="eastAsia" w:ascii="宋体" w:hAnsi="宋体" w:cs="宋体"/>
          <w:b/>
          <w:bCs/>
          <w:color w:val="auto"/>
          <w:sz w:val="24"/>
        </w:rPr>
      </w:pPr>
      <w:r>
        <w:rPr>
          <w:rFonts w:hint="eastAsia" w:ascii="宋体" w:hAnsi="宋体" w:cs="宋体"/>
          <w:b/>
          <w:bCs/>
          <w:color w:val="auto"/>
          <w:sz w:val="24"/>
        </w:rPr>
        <w:t>六、其他补充事宜</w:t>
      </w:r>
    </w:p>
    <w:p w14:paraId="0DF0DAA9">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1.投标保证金：免收。</w:t>
      </w:r>
    </w:p>
    <w:p w14:paraId="065FE3D4">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2.项目开标活动模式：见面开标模式，投标供应商在江苏省南通市江通路48号，江苏商贸职业学院资产管理处（西大门南侧）办公室参加开标会。</w:t>
      </w:r>
    </w:p>
    <w:p w14:paraId="420A7636">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3.项目演示、样品、答辩等：无。</w:t>
      </w:r>
    </w:p>
    <w:p w14:paraId="66A656E3">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4.对项目需求部分（供应商资格要求、项目需求、商务技术评分标准）的询问、质疑请向招标人提出，由招标人负责答复；对项目招标文件其它部分的询问请向代理机构经办人提出。</w:t>
      </w:r>
    </w:p>
    <w:p w14:paraId="158C276B">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供应商应依照规定提交各类声明函、承诺函，不再同时提供原件备查或提供有关部门出具的相关证明文件。但中标供应商应做好提交声明函、承诺函、认证、业绩相应原件的核查准备；核查后发现虚假或违背承诺的，依照相关法律法规规定处理。</w:t>
      </w:r>
    </w:p>
    <w:p w14:paraId="61F82C23">
      <w:pPr>
        <w:tabs>
          <w:tab w:val="left" w:pos="360"/>
        </w:tabs>
        <w:spacing w:line="460" w:lineRule="exact"/>
        <w:ind w:firstLine="482" w:firstLineChars="200"/>
        <w:rPr>
          <w:rFonts w:hint="eastAsia" w:ascii="宋体" w:hAnsi="宋体" w:cs="宋体"/>
          <w:b/>
          <w:bCs/>
          <w:color w:val="auto"/>
          <w:sz w:val="24"/>
        </w:rPr>
      </w:pPr>
      <w:r>
        <w:rPr>
          <w:rFonts w:hint="eastAsia" w:ascii="宋体" w:hAnsi="宋体" w:cs="宋体"/>
          <w:b/>
          <w:bCs/>
          <w:color w:val="auto"/>
          <w:sz w:val="24"/>
        </w:rPr>
        <w:t>七、对本次招标提出询问，请按以下方式联系。</w:t>
      </w:r>
    </w:p>
    <w:p w14:paraId="1C8719C1">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1.招标单位：江苏商贸职业学院</w:t>
      </w:r>
    </w:p>
    <w:p w14:paraId="42D35934">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地址：南通市崇川区江通路48号</w:t>
      </w:r>
    </w:p>
    <w:p w14:paraId="7ED2DB31">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招标单位联系人：</w:t>
      </w:r>
    </w:p>
    <w:p w14:paraId="08EE40A1">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 xml:space="preserve">何老师（安全与保卫处）   </w:t>
      </w:r>
      <w:r>
        <w:rPr>
          <w:rFonts w:ascii="宋体" w:hAnsi="宋体" w:cs="宋体"/>
          <w:color w:val="auto"/>
          <w:sz w:val="24"/>
        </w:rPr>
        <w:t xml:space="preserve"> </w:t>
      </w:r>
      <w:r>
        <w:rPr>
          <w:rFonts w:hint="eastAsia" w:ascii="宋体" w:hAnsi="宋体" w:cs="宋体"/>
          <w:color w:val="auto"/>
          <w:sz w:val="24"/>
        </w:rPr>
        <w:t xml:space="preserve">  联系电话：</w:t>
      </w:r>
      <w:r>
        <w:rPr>
          <w:rFonts w:ascii="宋体" w:hAnsi="宋体" w:cs="宋体"/>
          <w:color w:val="auto"/>
          <w:sz w:val="24"/>
        </w:rPr>
        <w:t>0513-85679266</w:t>
      </w:r>
    </w:p>
    <w:p w14:paraId="65300FFF">
      <w:pPr>
        <w:snapToGrid w:val="0"/>
        <w:spacing w:line="480" w:lineRule="exact"/>
        <w:ind w:firstLine="480" w:firstLineChars="200"/>
        <w:outlineLvl w:val="1"/>
        <w:rPr>
          <w:rFonts w:hint="eastAsia" w:ascii="宋体" w:hAnsi="宋体" w:cs="宋体"/>
          <w:color w:val="auto"/>
          <w:sz w:val="24"/>
        </w:rPr>
      </w:pPr>
      <w:r>
        <w:rPr>
          <w:rFonts w:hint="eastAsia" w:ascii="宋体" w:hAnsi="宋体" w:cs="宋体"/>
          <w:color w:val="auto"/>
          <w:sz w:val="24"/>
        </w:rPr>
        <w:t xml:space="preserve">杨老师（资产管理处）     </w:t>
      </w:r>
      <w:r>
        <w:rPr>
          <w:rFonts w:ascii="宋体" w:hAnsi="宋体" w:cs="宋体"/>
          <w:color w:val="auto"/>
          <w:sz w:val="24"/>
        </w:rPr>
        <w:t xml:space="preserve">  </w:t>
      </w:r>
      <w:r>
        <w:rPr>
          <w:rFonts w:hint="eastAsia" w:ascii="宋体" w:hAnsi="宋体" w:cs="宋体"/>
          <w:color w:val="auto"/>
          <w:sz w:val="24"/>
        </w:rPr>
        <w:t xml:space="preserve"> 联系电话：0513-85679264</w:t>
      </w:r>
    </w:p>
    <w:p w14:paraId="70684AA2">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联系邮箱：jssyzcglc@jsbc.edu.cn</w:t>
      </w:r>
    </w:p>
    <w:p w14:paraId="4A3B0C48">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2.监督、投诉联系方式</w:t>
      </w:r>
    </w:p>
    <w:p w14:paraId="72EE6398">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电话：0513-85679216，联系邮箱：jssyjjjc@163.com</w:t>
      </w:r>
    </w:p>
    <w:p w14:paraId="37459E67">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3.招标代理机构信息</w:t>
      </w:r>
    </w:p>
    <w:p w14:paraId="1BB95C33">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名称：江苏中润工程建设咨询有限公司</w:t>
      </w:r>
    </w:p>
    <w:p w14:paraId="76ECACC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地址：南通市崇川路58号南通产业技术研究院9号楼1004室</w:t>
      </w:r>
    </w:p>
    <w:p w14:paraId="6CBE632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 xml:space="preserve">联系方式：王  工  13906272111 </w:t>
      </w:r>
    </w:p>
    <w:p w14:paraId="1FCDE582">
      <w:pPr>
        <w:pStyle w:val="17"/>
        <w:rPr>
          <w:rFonts w:hint="eastAsia" w:ascii="宋体" w:hAnsi="宋体" w:eastAsia="宋体" w:cs="宋体"/>
          <w:color w:val="auto"/>
        </w:rPr>
      </w:pPr>
    </w:p>
    <w:p w14:paraId="29F3917A">
      <w:pPr>
        <w:adjustRightInd w:val="0"/>
        <w:snapToGrid w:val="0"/>
        <w:spacing w:line="500" w:lineRule="exact"/>
        <w:jc w:val="center"/>
        <w:outlineLvl w:val="0"/>
        <w:rPr>
          <w:rFonts w:hint="eastAsia" w:ascii="宋体" w:hAnsi="宋体" w:cs="宋体"/>
          <w:color w:val="auto"/>
          <w:sz w:val="32"/>
          <w:szCs w:val="32"/>
        </w:rPr>
      </w:pPr>
      <w:r>
        <w:rPr>
          <w:rFonts w:hint="eastAsia" w:ascii="宋体" w:hAnsi="宋体" w:cs="宋体"/>
          <w:color w:val="auto"/>
          <w:sz w:val="32"/>
          <w:szCs w:val="32"/>
        </w:rPr>
        <w:br w:type="page"/>
      </w:r>
      <w:r>
        <w:rPr>
          <w:rFonts w:hint="eastAsia" w:ascii="宋体" w:hAnsi="宋体" w:cs="宋体"/>
          <w:color w:val="auto"/>
          <w:sz w:val="32"/>
          <w:szCs w:val="32"/>
        </w:rPr>
        <w:t>第二部分  投标须知</w:t>
      </w:r>
    </w:p>
    <w:p w14:paraId="68DAF6D6">
      <w:pPr>
        <w:tabs>
          <w:tab w:val="left" w:pos="360"/>
        </w:tabs>
        <w:spacing w:line="460" w:lineRule="exact"/>
        <w:ind w:firstLine="482" w:firstLineChars="200"/>
        <w:rPr>
          <w:rFonts w:hint="eastAsia" w:ascii="宋体" w:hAnsi="宋体" w:cs="宋体"/>
          <w:b/>
          <w:bCs/>
          <w:color w:val="auto"/>
          <w:sz w:val="24"/>
        </w:rPr>
      </w:pPr>
      <w:bookmarkStart w:id="3" w:name="_Toc16938519"/>
      <w:bookmarkStart w:id="4" w:name="_Toc20823275"/>
      <w:bookmarkStart w:id="5" w:name="_Toc120614214"/>
      <w:bookmarkStart w:id="6" w:name="_Toc513029203"/>
      <w:r>
        <w:rPr>
          <w:rFonts w:hint="eastAsia" w:ascii="宋体" w:hAnsi="宋体" w:cs="宋体"/>
          <w:b/>
          <w:bCs/>
          <w:color w:val="auto"/>
          <w:sz w:val="24"/>
        </w:rPr>
        <w:t>一、总则</w:t>
      </w:r>
      <w:bookmarkEnd w:id="3"/>
      <w:bookmarkEnd w:id="4"/>
      <w:bookmarkEnd w:id="5"/>
      <w:bookmarkEnd w:id="6"/>
    </w:p>
    <w:p w14:paraId="4F45B2D3">
      <w:pPr>
        <w:tabs>
          <w:tab w:val="left" w:pos="360"/>
        </w:tabs>
        <w:spacing w:line="460" w:lineRule="exact"/>
        <w:ind w:firstLine="480" w:firstLineChars="200"/>
        <w:rPr>
          <w:rFonts w:hint="eastAsia" w:ascii="宋体" w:hAnsi="宋体" w:cs="宋体"/>
          <w:color w:val="auto"/>
          <w:sz w:val="24"/>
        </w:rPr>
      </w:pPr>
      <w:bookmarkStart w:id="7" w:name="_Hlt16619475"/>
      <w:bookmarkEnd w:id="7"/>
      <w:bookmarkStart w:id="8" w:name="_Toc458694821"/>
      <w:bookmarkStart w:id="9" w:name="_Toc513029204"/>
      <w:bookmarkStart w:id="10" w:name="_Toc16938520"/>
      <w:bookmarkStart w:id="11" w:name="_Toc20823276"/>
      <w:r>
        <w:rPr>
          <w:rFonts w:hint="eastAsia" w:ascii="宋体" w:hAnsi="宋体" w:cs="宋体"/>
          <w:color w:val="auto"/>
          <w:sz w:val="24"/>
        </w:rPr>
        <w:t>1</w:t>
      </w:r>
      <w:bookmarkEnd w:id="8"/>
      <w:r>
        <w:rPr>
          <w:rFonts w:hint="eastAsia" w:ascii="宋体" w:hAnsi="宋体" w:cs="宋体"/>
          <w:color w:val="auto"/>
          <w:sz w:val="24"/>
        </w:rPr>
        <w:t>.招标方式</w:t>
      </w:r>
      <w:bookmarkEnd w:id="9"/>
      <w:bookmarkEnd w:id="10"/>
      <w:bookmarkEnd w:id="11"/>
    </w:p>
    <w:p w14:paraId="417AB78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1.1 本次招标采取公开招标方式，本招标文件仅适用于招标公告中所述项目。</w:t>
      </w:r>
    </w:p>
    <w:p w14:paraId="03078684">
      <w:pPr>
        <w:tabs>
          <w:tab w:val="left" w:pos="360"/>
        </w:tabs>
        <w:spacing w:line="460" w:lineRule="exact"/>
        <w:ind w:firstLine="480" w:firstLineChars="200"/>
        <w:rPr>
          <w:rFonts w:hint="eastAsia" w:ascii="宋体" w:hAnsi="宋体" w:cs="宋体"/>
          <w:color w:val="auto"/>
          <w:sz w:val="24"/>
        </w:rPr>
      </w:pPr>
      <w:bookmarkStart w:id="12" w:name="_Toc16938521"/>
      <w:bookmarkStart w:id="13" w:name="_Toc513029205"/>
      <w:bookmarkStart w:id="14" w:name="_Toc20823277"/>
      <w:r>
        <w:rPr>
          <w:rFonts w:hint="eastAsia" w:ascii="宋体" w:hAnsi="宋体" w:cs="宋体"/>
          <w:color w:val="auto"/>
          <w:sz w:val="24"/>
        </w:rPr>
        <w:t>2.合格的投标人</w:t>
      </w:r>
      <w:bookmarkEnd w:id="12"/>
      <w:bookmarkEnd w:id="13"/>
      <w:bookmarkEnd w:id="14"/>
    </w:p>
    <w:p w14:paraId="2D5842E1">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2.1满足招标公告中供应商的资格要求的规定。</w:t>
      </w:r>
    </w:p>
    <w:p w14:paraId="07D0D023">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2.2 满足本文件实质性条款的规定。</w:t>
      </w:r>
    </w:p>
    <w:p w14:paraId="41A7606F">
      <w:pPr>
        <w:tabs>
          <w:tab w:val="left" w:pos="360"/>
        </w:tabs>
        <w:spacing w:line="460" w:lineRule="exact"/>
        <w:ind w:firstLine="482" w:firstLineChars="200"/>
        <w:rPr>
          <w:rFonts w:hint="eastAsia" w:ascii="宋体" w:hAnsi="宋体" w:cs="宋体"/>
          <w:b/>
          <w:bCs/>
          <w:color w:val="auto"/>
          <w:sz w:val="24"/>
        </w:rPr>
      </w:pPr>
      <w:bookmarkStart w:id="15" w:name="_Toc513029206"/>
      <w:bookmarkStart w:id="16" w:name="_Toc16938522"/>
      <w:bookmarkStart w:id="17" w:name="_Toc20823278"/>
      <w:r>
        <w:rPr>
          <w:rFonts w:hint="eastAsia" w:ascii="宋体" w:hAnsi="宋体" w:cs="宋体"/>
          <w:b/>
          <w:bCs/>
          <w:color w:val="auto"/>
          <w:sz w:val="24"/>
        </w:rPr>
        <w:t>采购项目招标开始后，不再接受投标人对招标文件（含更正公告等）内容的异议或质询（质疑）。</w:t>
      </w:r>
    </w:p>
    <w:p w14:paraId="25AB2BB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3.适用法律</w:t>
      </w:r>
      <w:bookmarkEnd w:id="15"/>
      <w:bookmarkEnd w:id="16"/>
      <w:bookmarkEnd w:id="17"/>
    </w:p>
    <w:p w14:paraId="5602E315">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3.1本次招标及由此产生的合同受中华人民共和国有关的法律法规制约和保护。</w:t>
      </w:r>
    </w:p>
    <w:p w14:paraId="016EF048">
      <w:pPr>
        <w:tabs>
          <w:tab w:val="left" w:pos="360"/>
        </w:tabs>
        <w:spacing w:line="460" w:lineRule="exact"/>
        <w:ind w:firstLine="480" w:firstLineChars="200"/>
        <w:rPr>
          <w:rFonts w:hint="eastAsia" w:ascii="宋体" w:hAnsi="宋体" w:cs="宋体"/>
          <w:color w:val="auto"/>
          <w:sz w:val="24"/>
        </w:rPr>
      </w:pPr>
      <w:bookmarkStart w:id="18" w:name="_Toc20823279"/>
      <w:bookmarkStart w:id="19" w:name="_Toc513029207"/>
      <w:bookmarkStart w:id="20" w:name="_Toc16938523"/>
      <w:bookmarkStart w:id="21" w:name="_Toc462564067"/>
      <w:r>
        <w:rPr>
          <w:rFonts w:hint="eastAsia" w:ascii="宋体" w:hAnsi="宋体" w:cs="宋体"/>
          <w:color w:val="auto"/>
          <w:sz w:val="24"/>
        </w:rPr>
        <w:t>4.投标费用</w:t>
      </w:r>
      <w:bookmarkEnd w:id="18"/>
      <w:bookmarkEnd w:id="19"/>
      <w:bookmarkEnd w:id="20"/>
      <w:bookmarkEnd w:id="21"/>
    </w:p>
    <w:p w14:paraId="523D241D">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4.1投标人应自行承担所有与参加投标有关的费用，无论投标过程中的做法和结果如何，江苏中润工程建设咨询有限公司（以下简称招标代理机构）在任何情况下均无义务和责任承担这些费用。</w:t>
      </w:r>
    </w:p>
    <w:p w14:paraId="66BA2935">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4.2本项目招标代理费收取标准以中标价为基准，乘以招标代理收费费率，由</w:t>
      </w:r>
      <w:r>
        <w:rPr>
          <w:rFonts w:hint="eastAsia" w:ascii="宋体" w:hAnsi="宋体" w:cs="宋体"/>
          <w:color w:val="auto"/>
          <w:sz w:val="24"/>
          <w:lang w:eastAsia="zh-CN"/>
        </w:rPr>
        <w:t>中标人</w:t>
      </w:r>
      <w:r>
        <w:rPr>
          <w:rFonts w:hint="eastAsia" w:ascii="宋体" w:hAnsi="宋体" w:cs="宋体"/>
          <w:color w:val="auto"/>
          <w:sz w:val="24"/>
        </w:rPr>
        <w:t>支付，投标供应商综合考虑在报价内（不单列）。</w:t>
      </w:r>
    </w:p>
    <w:p w14:paraId="0748109C">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本项目招标代理收费费率标准：</w:t>
      </w:r>
    </w:p>
    <w:tbl>
      <w:tblPr>
        <w:tblStyle w:val="37"/>
        <w:tblW w:w="45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4642"/>
        <w:gridCol w:w="3260"/>
      </w:tblGrid>
      <w:tr w14:paraId="7990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87" w:type="pct"/>
            <w:vMerge w:val="restart"/>
            <w:tcBorders>
              <w:top w:val="single" w:color="auto" w:sz="4" w:space="0"/>
              <w:left w:val="single" w:color="auto" w:sz="4" w:space="0"/>
              <w:right w:val="single" w:color="auto" w:sz="4" w:space="0"/>
            </w:tcBorders>
            <w:vAlign w:val="center"/>
          </w:tcPr>
          <w:p w14:paraId="026FFFBB">
            <w:pPr>
              <w:widowControl/>
              <w:adjustRightInd w:val="0"/>
              <w:snapToGrid w:val="0"/>
              <w:spacing w:line="460" w:lineRule="exact"/>
              <w:jc w:val="center"/>
              <w:rPr>
                <w:rFonts w:hint="eastAsia" w:ascii="宋体" w:hAnsi="宋体" w:cs="宋体"/>
                <w:b/>
                <w:bCs/>
                <w:color w:val="auto"/>
                <w:sz w:val="24"/>
              </w:rPr>
            </w:pPr>
            <w:r>
              <w:rPr>
                <w:rFonts w:hint="eastAsia" w:ascii="宋体" w:hAnsi="宋体" w:cs="宋体"/>
                <w:b/>
                <w:bCs/>
                <w:color w:val="auto"/>
                <w:sz w:val="24"/>
              </w:rPr>
              <w:t>序号</w:t>
            </w:r>
          </w:p>
        </w:tc>
        <w:tc>
          <w:tcPr>
            <w:tcW w:w="2533" w:type="pct"/>
            <w:vMerge w:val="restart"/>
            <w:tcBorders>
              <w:top w:val="single" w:color="auto" w:sz="4" w:space="0"/>
              <w:left w:val="single" w:color="auto" w:sz="4" w:space="0"/>
              <w:right w:val="single" w:color="auto" w:sz="4" w:space="0"/>
            </w:tcBorders>
            <w:vAlign w:val="center"/>
          </w:tcPr>
          <w:p w14:paraId="0A9089DD">
            <w:pPr>
              <w:widowControl/>
              <w:adjustRightInd w:val="0"/>
              <w:snapToGrid w:val="0"/>
              <w:spacing w:line="460" w:lineRule="exact"/>
              <w:jc w:val="center"/>
              <w:rPr>
                <w:rFonts w:hint="eastAsia" w:ascii="宋体" w:hAnsi="宋体" w:cs="宋体"/>
                <w:b/>
                <w:bCs/>
                <w:color w:val="auto"/>
                <w:sz w:val="24"/>
              </w:rPr>
            </w:pPr>
            <w:r>
              <w:rPr>
                <w:rFonts w:hint="eastAsia" w:ascii="宋体" w:hAnsi="宋体" w:cs="宋体"/>
                <w:b/>
                <w:bCs/>
                <w:color w:val="auto"/>
                <w:sz w:val="24"/>
              </w:rPr>
              <w:t>服务费类型（按中标金额）</w:t>
            </w:r>
          </w:p>
        </w:tc>
        <w:tc>
          <w:tcPr>
            <w:tcW w:w="1779" w:type="pct"/>
            <w:vMerge w:val="restart"/>
            <w:tcBorders>
              <w:top w:val="single" w:color="auto" w:sz="4" w:space="0"/>
              <w:left w:val="single" w:color="auto" w:sz="4" w:space="0"/>
              <w:right w:val="single" w:color="auto" w:sz="4" w:space="0"/>
            </w:tcBorders>
            <w:vAlign w:val="center"/>
          </w:tcPr>
          <w:p w14:paraId="47A4C7B9">
            <w:pPr>
              <w:widowControl/>
              <w:adjustRightInd w:val="0"/>
              <w:snapToGrid w:val="0"/>
              <w:spacing w:line="460" w:lineRule="exact"/>
              <w:jc w:val="center"/>
              <w:rPr>
                <w:rFonts w:hint="eastAsia" w:ascii="宋体" w:hAnsi="宋体" w:cs="宋体"/>
                <w:b/>
                <w:bCs/>
                <w:color w:val="auto"/>
                <w:sz w:val="24"/>
              </w:rPr>
            </w:pPr>
            <w:r>
              <w:rPr>
                <w:rFonts w:hint="eastAsia" w:ascii="宋体" w:hAnsi="宋体" w:cs="宋体"/>
                <w:b/>
                <w:bCs/>
                <w:color w:val="auto"/>
                <w:sz w:val="24"/>
              </w:rPr>
              <w:t xml:space="preserve">收费标准 </w:t>
            </w:r>
          </w:p>
        </w:tc>
      </w:tr>
      <w:tr w14:paraId="0F6C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87" w:type="pct"/>
            <w:vMerge w:val="continue"/>
            <w:tcBorders>
              <w:left w:val="single" w:color="auto" w:sz="4" w:space="0"/>
              <w:bottom w:val="single" w:color="auto" w:sz="4" w:space="0"/>
              <w:right w:val="single" w:color="auto" w:sz="4" w:space="0"/>
            </w:tcBorders>
            <w:vAlign w:val="center"/>
          </w:tcPr>
          <w:p w14:paraId="7B0DEAA8">
            <w:pPr>
              <w:widowControl/>
              <w:adjustRightInd w:val="0"/>
              <w:snapToGrid w:val="0"/>
              <w:spacing w:line="460" w:lineRule="exact"/>
              <w:jc w:val="center"/>
              <w:rPr>
                <w:rFonts w:hint="eastAsia" w:ascii="宋体" w:hAnsi="宋体" w:cs="宋体"/>
                <w:color w:val="auto"/>
                <w:sz w:val="24"/>
              </w:rPr>
            </w:pPr>
          </w:p>
        </w:tc>
        <w:tc>
          <w:tcPr>
            <w:tcW w:w="2533" w:type="pct"/>
            <w:vMerge w:val="continue"/>
            <w:tcBorders>
              <w:left w:val="single" w:color="auto" w:sz="4" w:space="0"/>
              <w:bottom w:val="single" w:color="auto" w:sz="4" w:space="0"/>
              <w:right w:val="single" w:color="auto" w:sz="4" w:space="0"/>
            </w:tcBorders>
            <w:vAlign w:val="center"/>
          </w:tcPr>
          <w:p w14:paraId="308B32D0">
            <w:pPr>
              <w:widowControl/>
              <w:adjustRightInd w:val="0"/>
              <w:snapToGrid w:val="0"/>
              <w:spacing w:line="460" w:lineRule="exact"/>
              <w:jc w:val="center"/>
              <w:rPr>
                <w:rFonts w:hint="eastAsia" w:ascii="宋体" w:hAnsi="宋体" w:cs="宋体"/>
                <w:color w:val="auto"/>
                <w:sz w:val="24"/>
              </w:rPr>
            </w:pPr>
          </w:p>
        </w:tc>
        <w:tc>
          <w:tcPr>
            <w:tcW w:w="1779" w:type="pct"/>
            <w:vMerge w:val="continue"/>
            <w:tcBorders>
              <w:left w:val="single" w:color="auto" w:sz="4" w:space="0"/>
              <w:bottom w:val="single" w:color="auto" w:sz="4" w:space="0"/>
              <w:right w:val="single" w:color="auto" w:sz="4" w:space="0"/>
            </w:tcBorders>
            <w:vAlign w:val="center"/>
          </w:tcPr>
          <w:p w14:paraId="5CF4514A">
            <w:pPr>
              <w:widowControl/>
              <w:adjustRightInd w:val="0"/>
              <w:snapToGrid w:val="0"/>
              <w:spacing w:line="460" w:lineRule="exact"/>
              <w:jc w:val="center"/>
              <w:rPr>
                <w:rFonts w:hint="eastAsia" w:ascii="宋体" w:hAnsi="宋体" w:cs="宋体"/>
                <w:color w:val="auto"/>
                <w:sz w:val="24"/>
              </w:rPr>
            </w:pPr>
          </w:p>
        </w:tc>
      </w:tr>
      <w:tr w14:paraId="7FB5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87" w:type="pct"/>
            <w:tcBorders>
              <w:top w:val="single" w:color="auto" w:sz="4" w:space="0"/>
              <w:left w:val="single" w:color="auto" w:sz="4" w:space="0"/>
              <w:bottom w:val="single" w:color="auto" w:sz="4" w:space="0"/>
              <w:right w:val="single" w:color="auto" w:sz="4" w:space="0"/>
            </w:tcBorders>
            <w:vAlign w:val="center"/>
          </w:tcPr>
          <w:p w14:paraId="36E877A1">
            <w:pPr>
              <w:widowControl/>
              <w:adjustRightInd w:val="0"/>
              <w:snapToGrid w:val="0"/>
              <w:spacing w:line="460" w:lineRule="exact"/>
              <w:jc w:val="center"/>
              <w:rPr>
                <w:rFonts w:hint="eastAsia" w:ascii="宋体" w:hAnsi="宋体" w:cs="宋体"/>
                <w:color w:val="auto"/>
                <w:sz w:val="24"/>
              </w:rPr>
            </w:pPr>
            <w:r>
              <w:rPr>
                <w:rFonts w:hint="eastAsia" w:ascii="宋体" w:hAnsi="宋体" w:cs="宋体"/>
                <w:color w:val="auto"/>
                <w:sz w:val="24"/>
              </w:rPr>
              <w:t>1</w:t>
            </w:r>
          </w:p>
        </w:tc>
        <w:tc>
          <w:tcPr>
            <w:tcW w:w="2533" w:type="pct"/>
            <w:tcBorders>
              <w:top w:val="single" w:color="auto" w:sz="4" w:space="0"/>
              <w:left w:val="single" w:color="auto" w:sz="4" w:space="0"/>
              <w:bottom w:val="single" w:color="auto" w:sz="4" w:space="0"/>
              <w:right w:val="single" w:color="auto" w:sz="4" w:space="0"/>
            </w:tcBorders>
            <w:vAlign w:val="center"/>
          </w:tcPr>
          <w:p w14:paraId="6D641E80">
            <w:pPr>
              <w:widowControl/>
              <w:adjustRightInd w:val="0"/>
              <w:snapToGrid w:val="0"/>
              <w:spacing w:line="460" w:lineRule="exact"/>
              <w:jc w:val="center"/>
              <w:rPr>
                <w:rFonts w:hint="eastAsia" w:ascii="宋体" w:hAnsi="宋体" w:cs="宋体"/>
                <w:color w:val="auto"/>
              </w:rPr>
            </w:pPr>
            <w:r>
              <w:rPr>
                <w:rFonts w:hint="eastAsia" w:ascii="宋体" w:hAnsi="宋体" w:cs="宋体"/>
                <w:color w:val="auto"/>
              </w:rPr>
              <w:t>工程招标代理服务、咨询费率(100万元以上）含100万</w:t>
            </w:r>
          </w:p>
        </w:tc>
        <w:tc>
          <w:tcPr>
            <w:tcW w:w="1779" w:type="pct"/>
            <w:tcBorders>
              <w:top w:val="single" w:color="auto" w:sz="4" w:space="0"/>
              <w:left w:val="single" w:color="auto" w:sz="4" w:space="0"/>
              <w:bottom w:val="single" w:color="auto" w:sz="4" w:space="0"/>
              <w:right w:val="single" w:color="auto" w:sz="4" w:space="0"/>
            </w:tcBorders>
            <w:vAlign w:val="center"/>
          </w:tcPr>
          <w:p w14:paraId="3A0591CE">
            <w:pPr>
              <w:widowControl/>
              <w:adjustRightInd w:val="0"/>
              <w:snapToGrid w:val="0"/>
              <w:spacing w:line="460" w:lineRule="exact"/>
              <w:jc w:val="center"/>
              <w:rPr>
                <w:rFonts w:hint="eastAsia" w:ascii="宋体" w:hAnsi="宋体" w:cs="宋体"/>
                <w:color w:val="auto"/>
                <w:sz w:val="24"/>
              </w:rPr>
            </w:pPr>
            <w:r>
              <w:rPr>
                <w:rFonts w:hint="eastAsia" w:ascii="宋体" w:hAnsi="宋体" w:cs="宋体"/>
                <w:color w:val="auto"/>
                <w:sz w:val="24"/>
              </w:rPr>
              <w:t>中标价的0.3%</w:t>
            </w:r>
          </w:p>
        </w:tc>
      </w:tr>
      <w:tr w14:paraId="1707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87" w:type="pct"/>
            <w:tcBorders>
              <w:top w:val="single" w:color="auto" w:sz="4" w:space="0"/>
              <w:left w:val="single" w:color="auto" w:sz="4" w:space="0"/>
              <w:bottom w:val="single" w:color="auto" w:sz="4" w:space="0"/>
              <w:right w:val="single" w:color="auto" w:sz="4" w:space="0"/>
            </w:tcBorders>
            <w:vAlign w:val="center"/>
          </w:tcPr>
          <w:p w14:paraId="451B94A7">
            <w:pPr>
              <w:widowControl/>
              <w:adjustRightInd w:val="0"/>
              <w:snapToGrid w:val="0"/>
              <w:spacing w:line="460" w:lineRule="exact"/>
              <w:jc w:val="center"/>
              <w:rPr>
                <w:rFonts w:hint="eastAsia" w:ascii="宋体" w:hAnsi="宋体" w:cs="宋体"/>
                <w:color w:val="auto"/>
                <w:sz w:val="24"/>
              </w:rPr>
            </w:pPr>
            <w:r>
              <w:rPr>
                <w:rFonts w:hint="eastAsia" w:ascii="宋体" w:hAnsi="宋体" w:cs="宋体"/>
                <w:color w:val="auto"/>
                <w:sz w:val="24"/>
              </w:rPr>
              <w:t>2</w:t>
            </w:r>
          </w:p>
        </w:tc>
        <w:tc>
          <w:tcPr>
            <w:tcW w:w="2533" w:type="pct"/>
            <w:tcBorders>
              <w:top w:val="single" w:color="auto" w:sz="4" w:space="0"/>
              <w:left w:val="single" w:color="auto" w:sz="4" w:space="0"/>
              <w:bottom w:val="single" w:color="auto" w:sz="4" w:space="0"/>
              <w:right w:val="single" w:color="auto" w:sz="4" w:space="0"/>
            </w:tcBorders>
            <w:vAlign w:val="center"/>
          </w:tcPr>
          <w:p w14:paraId="3332ABA5">
            <w:pPr>
              <w:widowControl/>
              <w:adjustRightInd w:val="0"/>
              <w:snapToGrid w:val="0"/>
              <w:spacing w:line="460" w:lineRule="exact"/>
              <w:jc w:val="center"/>
              <w:rPr>
                <w:rFonts w:hint="eastAsia" w:ascii="宋体" w:hAnsi="宋体" w:cs="宋体"/>
                <w:color w:val="auto"/>
              </w:rPr>
            </w:pPr>
            <w:r>
              <w:rPr>
                <w:rFonts w:hint="eastAsia" w:ascii="宋体" w:hAnsi="宋体" w:cs="宋体"/>
                <w:color w:val="auto"/>
              </w:rPr>
              <w:t>货物、服务和工程招标代理、咨询服务费(50万元-100万元）含50万</w:t>
            </w:r>
          </w:p>
        </w:tc>
        <w:tc>
          <w:tcPr>
            <w:tcW w:w="1779" w:type="pct"/>
            <w:tcBorders>
              <w:top w:val="single" w:color="auto" w:sz="4" w:space="0"/>
              <w:left w:val="single" w:color="auto" w:sz="4" w:space="0"/>
              <w:bottom w:val="single" w:color="auto" w:sz="4" w:space="0"/>
              <w:right w:val="single" w:color="auto" w:sz="4" w:space="0"/>
            </w:tcBorders>
            <w:vAlign w:val="center"/>
          </w:tcPr>
          <w:p w14:paraId="0A9A19C1">
            <w:pPr>
              <w:widowControl/>
              <w:adjustRightInd w:val="0"/>
              <w:snapToGrid w:val="0"/>
              <w:spacing w:line="460" w:lineRule="exact"/>
              <w:jc w:val="center"/>
              <w:rPr>
                <w:rFonts w:hint="eastAsia" w:ascii="宋体" w:hAnsi="宋体" w:cs="宋体"/>
                <w:color w:val="auto"/>
                <w:sz w:val="24"/>
              </w:rPr>
            </w:pPr>
            <w:r>
              <w:rPr>
                <w:rFonts w:hint="eastAsia" w:ascii="宋体" w:hAnsi="宋体" w:cs="宋体"/>
                <w:color w:val="auto"/>
                <w:sz w:val="24"/>
              </w:rPr>
              <w:t>2500.00元</w:t>
            </w:r>
          </w:p>
        </w:tc>
      </w:tr>
      <w:tr w14:paraId="3B8B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87" w:type="pct"/>
            <w:tcBorders>
              <w:top w:val="single" w:color="auto" w:sz="4" w:space="0"/>
              <w:left w:val="single" w:color="auto" w:sz="4" w:space="0"/>
              <w:bottom w:val="single" w:color="auto" w:sz="4" w:space="0"/>
              <w:right w:val="single" w:color="auto" w:sz="4" w:space="0"/>
            </w:tcBorders>
            <w:vAlign w:val="center"/>
          </w:tcPr>
          <w:p w14:paraId="227B6E1F">
            <w:pPr>
              <w:widowControl/>
              <w:adjustRightInd w:val="0"/>
              <w:snapToGrid w:val="0"/>
              <w:spacing w:line="460" w:lineRule="exact"/>
              <w:jc w:val="center"/>
              <w:rPr>
                <w:rFonts w:hint="eastAsia" w:ascii="宋体" w:hAnsi="宋体" w:cs="宋体"/>
                <w:color w:val="auto"/>
                <w:sz w:val="24"/>
              </w:rPr>
            </w:pPr>
            <w:r>
              <w:rPr>
                <w:rFonts w:hint="eastAsia" w:ascii="宋体" w:hAnsi="宋体" w:cs="宋体"/>
                <w:color w:val="auto"/>
                <w:sz w:val="24"/>
              </w:rPr>
              <w:t>3</w:t>
            </w:r>
          </w:p>
        </w:tc>
        <w:tc>
          <w:tcPr>
            <w:tcW w:w="2533" w:type="pct"/>
            <w:tcBorders>
              <w:top w:val="single" w:color="auto" w:sz="4" w:space="0"/>
              <w:left w:val="single" w:color="auto" w:sz="4" w:space="0"/>
              <w:bottom w:val="single" w:color="auto" w:sz="4" w:space="0"/>
              <w:right w:val="single" w:color="auto" w:sz="4" w:space="0"/>
            </w:tcBorders>
            <w:vAlign w:val="center"/>
          </w:tcPr>
          <w:p w14:paraId="63492594">
            <w:pPr>
              <w:widowControl/>
              <w:adjustRightInd w:val="0"/>
              <w:snapToGrid w:val="0"/>
              <w:spacing w:line="460" w:lineRule="exact"/>
              <w:jc w:val="center"/>
              <w:rPr>
                <w:rFonts w:hint="eastAsia" w:ascii="宋体" w:hAnsi="宋体" w:cs="宋体"/>
                <w:color w:val="auto"/>
                <w:sz w:val="24"/>
              </w:rPr>
            </w:pPr>
            <w:r>
              <w:rPr>
                <w:rFonts w:hint="eastAsia" w:ascii="宋体" w:hAnsi="宋体" w:cs="宋体"/>
                <w:color w:val="auto"/>
                <w:sz w:val="24"/>
              </w:rPr>
              <w:t>货物、服务和工程招标代理、咨询服务费(5万元-50万元）含5万</w:t>
            </w:r>
          </w:p>
        </w:tc>
        <w:tc>
          <w:tcPr>
            <w:tcW w:w="1779" w:type="pct"/>
            <w:tcBorders>
              <w:top w:val="single" w:color="auto" w:sz="4" w:space="0"/>
              <w:left w:val="single" w:color="auto" w:sz="4" w:space="0"/>
              <w:bottom w:val="single" w:color="auto" w:sz="4" w:space="0"/>
              <w:right w:val="single" w:color="auto" w:sz="4" w:space="0"/>
            </w:tcBorders>
            <w:vAlign w:val="center"/>
          </w:tcPr>
          <w:p w14:paraId="66049E74">
            <w:pPr>
              <w:widowControl/>
              <w:adjustRightInd w:val="0"/>
              <w:snapToGrid w:val="0"/>
              <w:spacing w:line="460" w:lineRule="exact"/>
              <w:jc w:val="center"/>
              <w:rPr>
                <w:rFonts w:hint="eastAsia" w:ascii="宋体" w:hAnsi="宋体" w:cs="宋体"/>
                <w:color w:val="auto"/>
                <w:sz w:val="24"/>
              </w:rPr>
            </w:pPr>
            <w:r>
              <w:rPr>
                <w:rFonts w:hint="eastAsia" w:ascii="宋体" w:hAnsi="宋体" w:cs="宋体"/>
                <w:color w:val="auto"/>
                <w:sz w:val="24"/>
              </w:rPr>
              <w:t>2000.00元</w:t>
            </w:r>
          </w:p>
        </w:tc>
      </w:tr>
      <w:tr w14:paraId="1F75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687" w:type="pct"/>
            <w:tcBorders>
              <w:top w:val="single" w:color="auto" w:sz="4" w:space="0"/>
              <w:left w:val="single" w:color="auto" w:sz="4" w:space="0"/>
              <w:bottom w:val="single" w:color="auto" w:sz="4" w:space="0"/>
              <w:right w:val="single" w:color="auto" w:sz="4" w:space="0"/>
            </w:tcBorders>
            <w:vAlign w:val="center"/>
          </w:tcPr>
          <w:p w14:paraId="675C9F70">
            <w:pPr>
              <w:widowControl/>
              <w:adjustRightInd w:val="0"/>
              <w:snapToGrid w:val="0"/>
              <w:spacing w:line="460" w:lineRule="exact"/>
              <w:jc w:val="center"/>
              <w:rPr>
                <w:rFonts w:hint="eastAsia" w:ascii="宋体" w:hAnsi="宋体" w:cs="宋体"/>
                <w:color w:val="auto"/>
                <w:sz w:val="24"/>
              </w:rPr>
            </w:pPr>
            <w:r>
              <w:rPr>
                <w:rFonts w:hint="eastAsia" w:ascii="宋体" w:hAnsi="宋体" w:cs="宋体"/>
                <w:color w:val="auto"/>
                <w:sz w:val="24"/>
              </w:rPr>
              <w:t>4</w:t>
            </w:r>
          </w:p>
        </w:tc>
        <w:tc>
          <w:tcPr>
            <w:tcW w:w="2533" w:type="pct"/>
            <w:tcBorders>
              <w:top w:val="single" w:color="auto" w:sz="4" w:space="0"/>
              <w:left w:val="single" w:color="auto" w:sz="4" w:space="0"/>
              <w:bottom w:val="single" w:color="auto" w:sz="4" w:space="0"/>
              <w:right w:val="single" w:color="auto" w:sz="4" w:space="0"/>
            </w:tcBorders>
            <w:vAlign w:val="center"/>
          </w:tcPr>
          <w:p w14:paraId="3EE04FB4">
            <w:pPr>
              <w:widowControl/>
              <w:adjustRightInd w:val="0"/>
              <w:snapToGrid w:val="0"/>
              <w:spacing w:line="460" w:lineRule="exact"/>
              <w:jc w:val="center"/>
              <w:rPr>
                <w:rFonts w:hint="eastAsia" w:ascii="宋体" w:hAnsi="宋体" w:cs="宋体"/>
                <w:color w:val="auto"/>
                <w:sz w:val="24"/>
              </w:rPr>
            </w:pPr>
            <w:r>
              <w:rPr>
                <w:rFonts w:hint="eastAsia" w:ascii="宋体" w:hAnsi="宋体" w:cs="宋体"/>
                <w:color w:val="auto"/>
                <w:sz w:val="24"/>
              </w:rPr>
              <w:t>货物、服务和工程招标代理、咨询服务费(2万元-5万元）</w:t>
            </w:r>
          </w:p>
        </w:tc>
        <w:tc>
          <w:tcPr>
            <w:tcW w:w="1779" w:type="pct"/>
            <w:tcBorders>
              <w:top w:val="single" w:color="auto" w:sz="4" w:space="0"/>
              <w:left w:val="single" w:color="auto" w:sz="4" w:space="0"/>
              <w:bottom w:val="single" w:color="auto" w:sz="4" w:space="0"/>
              <w:right w:val="single" w:color="auto" w:sz="4" w:space="0"/>
            </w:tcBorders>
            <w:vAlign w:val="center"/>
          </w:tcPr>
          <w:p w14:paraId="3B9AE7DA">
            <w:pPr>
              <w:widowControl/>
              <w:adjustRightInd w:val="0"/>
              <w:snapToGrid w:val="0"/>
              <w:spacing w:line="460" w:lineRule="exact"/>
              <w:jc w:val="center"/>
              <w:rPr>
                <w:rFonts w:hint="eastAsia" w:ascii="宋体" w:hAnsi="宋体" w:cs="宋体"/>
                <w:color w:val="auto"/>
                <w:sz w:val="24"/>
              </w:rPr>
            </w:pPr>
            <w:r>
              <w:rPr>
                <w:rFonts w:hint="eastAsia" w:ascii="宋体" w:hAnsi="宋体" w:cs="宋体"/>
                <w:color w:val="auto"/>
                <w:sz w:val="24"/>
              </w:rPr>
              <w:t>1500.00元</w:t>
            </w:r>
          </w:p>
        </w:tc>
      </w:tr>
    </w:tbl>
    <w:p w14:paraId="209219F9">
      <w:pPr>
        <w:tabs>
          <w:tab w:val="left" w:pos="360"/>
        </w:tabs>
        <w:spacing w:line="460" w:lineRule="exact"/>
        <w:ind w:firstLine="480" w:firstLineChars="200"/>
        <w:rPr>
          <w:rFonts w:hint="eastAsia" w:ascii="宋体" w:hAnsi="宋体" w:cs="宋体"/>
          <w:color w:val="auto"/>
          <w:sz w:val="24"/>
          <w:lang w:val="zh-CN"/>
        </w:rPr>
      </w:pPr>
      <w:r>
        <w:rPr>
          <w:rFonts w:hint="eastAsia" w:ascii="宋体" w:hAnsi="宋体" w:cs="宋体"/>
          <w:color w:val="auto"/>
          <w:sz w:val="24"/>
        </w:rPr>
        <w:t>支</w:t>
      </w:r>
      <w:r>
        <w:rPr>
          <w:rFonts w:hint="eastAsia" w:ascii="宋体" w:hAnsi="宋体" w:cs="宋体"/>
          <w:color w:val="auto"/>
          <w:sz w:val="24"/>
          <w:lang w:val="zh-CN"/>
        </w:rPr>
        <w:t>付要求：</w:t>
      </w:r>
      <w:r>
        <w:rPr>
          <w:rFonts w:hint="eastAsia" w:ascii="宋体" w:hAnsi="宋体" w:cs="宋体"/>
          <w:color w:val="auto"/>
          <w:sz w:val="24"/>
        </w:rPr>
        <w:t>中标人</w:t>
      </w:r>
      <w:r>
        <w:rPr>
          <w:rFonts w:hint="eastAsia" w:ascii="宋体" w:hAnsi="宋体" w:cs="宋体"/>
          <w:color w:val="auto"/>
          <w:sz w:val="24"/>
          <w:lang w:val="zh-CN"/>
        </w:rPr>
        <w:t>在</w:t>
      </w:r>
      <w:r>
        <w:rPr>
          <w:rFonts w:hint="eastAsia" w:ascii="宋体" w:hAnsi="宋体" w:cs="宋体"/>
          <w:color w:val="auto"/>
          <w:sz w:val="24"/>
        </w:rPr>
        <w:t>中标</w:t>
      </w:r>
      <w:r>
        <w:rPr>
          <w:rFonts w:hint="eastAsia" w:ascii="宋体" w:hAnsi="宋体" w:cs="宋体"/>
          <w:color w:val="auto"/>
          <w:sz w:val="24"/>
          <w:lang w:val="zh-CN"/>
        </w:rPr>
        <w:t>结果公告期满、领取</w:t>
      </w:r>
      <w:r>
        <w:rPr>
          <w:rFonts w:hint="eastAsia" w:ascii="宋体" w:hAnsi="宋体" w:cs="宋体"/>
          <w:color w:val="auto"/>
          <w:sz w:val="24"/>
        </w:rPr>
        <w:t>中标</w:t>
      </w:r>
      <w:r>
        <w:rPr>
          <w:rFonts w:hint="eastAsia" w:ascii="宋体" w:hAnsi="宋体" w:cs="宋体"/>
          <w:color w:val="auto"/>
          <w:sz w:val="24"/>
          <w:lang w:val="zh-CN"/>
        </w:rPr>
        <w:t>通知书前，一次性足额向采购代理机构缴纳代理服务费；代理机构收到费用后开具合法有效票据。</w:t>
      </w:r>
    </w:p>
    <w:p w14:paraId="2FD99411">
      <w:pPr>
        <w:tabs>
          <w:tab w:val="left" w:pos="360"/>
        </w:tabs>
        <w:spacing w:line="460" w:lineRule="exact"/>
        <w:ind w:firstLine="480" w:firstLineChars="200"/>
        <w:rPr>
          <w:rFonts w:hint="eastAsia" w:ascii="宋体" w:hAnsi="宋体" w:cs="宋体"/>
          <w:color w:val="auto"/>
          <w:sz w:val="24"/>
          <w:lang w:val="zh-CN"/>
        </w:rPr>
      </w:pPr>
      <w:r>
        <w:rPr>
          <w:rFonts w:hint="eastAsia" w:ascii="宋体" w:hAnsi="宋体" w:cs="宋体"/>
          <w:color w:val="auto"/>
          <w:sz w:val="24"/>
          <w:lang w:val="zh-CN"/>
        </w:rPr>
        <w:t>退费规则：（1）仅因采购代理机构、采购人原因取消采购、作废项目的，全额退还已缴纳代理费；（2）</w:t>
      </w:r>
      <w:r>
        <w:rPr>
          <w:rFonts w:hint="eastAsia" w:ascii="宋体" w:hAnsi="宋体" w:cs="宋体"/>
          <w:color w:val="auto"/>
          <w:sz w:val="24"/>
        </w:rPr>
        <w:t>中标人</w:t>
      </w:r>
      <w:r>
        <w:rPr>
          <w:rFonts w:hint="eastAsia" w:ascii="宋体" w:hAnsi="宋体" w:cs="宋体"/>
          <w:color w:val="auto"/>
          <w:sz w:val="24"/>
          <w:lang w:val="zh-CN"/>
        </w:rPr>
        <w:t>无正当理由放弃成交、提供虚假材料被取消成交资格的，代理机构不予退费（评审、文件编制、公告等全部代理服务完成需附工作记录备查）。</w:t>
      </w:r>
    </w:p>
    <w:p w14:paraId="1FCAE89D">
      <w:pPr>
        <w:tabs>
          <w:tab w:val="left" w:pos="360"/>
        </w:tabs>
        <w:spacing w:line="460" w:lineRule="exact"/>
        <w:ind w:firstLine="480" w:firstLineChars="200"/>
        <w:rPr>
          <w:rFonts w:hint="eastAsia" w:ascii="宋体" w:hAnsi="宋体" w:cs="宋体"/>
          <w:color w:val="auto"/>
          <w:sz w:val="24"/>
          <w:lang w:val="zh-CN"/>
        </w:rPr>
      </w:pPr>
      <w:r>
        <w:rPr>
          <w:rFonts w:hint="eastAsia" w:ascii="宋体" w:hAnsi="宋体" w:cs="宋体"/>
          <w:color w:val="auto"/>
          <w:sz w:val="24"/>
          <w:lang w:val="zh-CN"/>
        </w:rPr>
        <w:t>公开要求：本项目代理费收费标准、最终计费金额将随成交结果公告一并对外公示，接受供应商及采购监管部门监督。</w:t>
      </w:r>
    </w:p>
    <w:p w14:paraId="1D02170F">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4.3</w:t>
      </w:r>
      <w:r>
        <w:rPr>
          <w:rFonts w:hint="eastAsia" w:ascii="宋体" w:hAnsi="宋体" w:cs="宋体"/>
          <w:color w:val="auto"/>
          <w:sz w:val="24"/>
          <w:lang w:val="zh-CN"/>
        </w:rPr>
        <w:t>本项目报价包含完成本项目服务期间所产生的一切费用。</w:t>
      </w:r>
    </w:p>
    <w:p w14:paraId="7A02B9A1">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5.招标文件的约束力</w:t>
      </w:r>
    </w:p>
    <w:p w14:paraId="21380953">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5.1 投标人一旦参加本项目采购活动，即被认为接受了本招标文件的规定和约束。</w:t>
      </w:r>
    </w:p>
    <w:p w14:paraId="2E02FA4D">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6.招标文件的解释</w:t>
      </w:r>
    </w:p>
    <w:p w14:paraId="27E107E3">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6.1招标文件需求部分（供应商资格要求、项目需求、商务技术评分标准）由招标人解释，其它部分由代理机构解释。</w:t>
      </w:r>
    </w:p>
    <w:p w14:paraId="4AF5D443">
      <w:pPr>
        <w:tabs>
          <w:tab w:val="left" w:pos="360"/>
        </w:tabs>
        <w:spacing w:line="460" w:lineRule="exact"/>
        <w:ind w:firstLine="482" w:firstLineChars="200"/>
        <w:rPr>
          <w:rFonts w:hint="eastAsia" w:ascii="宋体" w:hAnsi="宋体" w:cs="宋体"/>
          <w:b/>
          <w:bCs/>
          <w:color w:val="auto"/>
          <w:sz w:val="24"/>
        </w:rPr>
      </w:pPr>
      <w:bookmarkStart w:id="22" w:name="_Toc120614215"/>
      <w:bookmarkStart w:id="23" w:name="_Toc20823281"/>
      <w:bookmarkStart w:id="24" w:name="_Toc513029209"/>
      <w:bookmarkStart w:id="25" w:name="_Toc16938525"/>
      <w:r>
        <w:rPr>
          <w:rFonts w:hint="eastAsia" w:ascii="宋体" w:hAnsi="宋体" w:cs="宋体"/>
          <w:b/>
          <w:bCs/>
          <w:color w:val="auto"/>
          <w:sz w:val="24"/>
        </w:rPr>
        <w:t>二、招标文件</w:t>
      </w:r>
      <w:bookmarkEnd w:id="22"/>
      <w:bookmarkEnd w:id="23"/>
      <w:bookmarkEnd w:id="24"/>
      <w:bookmarkEnd w:id="25"/>
    </w:p>
    <w:p w14:paraId="4A578D32">
      <w:pPr>
        <w:tabs>
          <w:tab w:val="left" w:pos="360"/>
        </w:tabs>
        <w:spacing w:line="460" w:lineRule="exact"/>
        <w:ind w:firstLine="480" w:firstLineChars="200"/>
        <w:rPr>
          <w:rFonts w:hint="eastAsia" w:ascii="宋体" w:hAnsi="宋体" w:cs="宋体"/>
          <w:color w:val="auto"/>
          <w:sz w:val="24"/>
        </w:rPr>
      </w:pPr>
      <w:bookmarkStart w:id="26" w:name="_Toc513029210"/>
      <w:bookmarkStart w:id="27" w:name="_Toc16938526"/>
      <w:bookmarkStart w:id="28" w:name="_Toc20823282"/>
      <w:r>
        <w:rPr>
          <w:rFonts w:hint="eastAsia" w:ascii="宋体" w:hAnsi="宋体" w:cs="宋体"/>
          <w:color w:val="auto"/>
          <w:sz w:val="24"/>
        </w:rPr>
        <w:t>1.招标文件构成</w:t>
      </w:r>
      <w:bookmarkEnd w:id="26"/>
      <w:bookmarkEnd w:id="27"/>
      <w:bookmarkEnd w:id="28"/>
    </w:p>
    <w:p w14:paraId="29516DA2">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1.1 招标文件由以下部分组成：</w:t>
      </w:r>
    </w:p>
    <w:p w14:paraId="66A348A4">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（1）招标公告</w:t>
      </w:r>
    </w:p>
    <w:p w14:paraId="542FD1C7">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（2）投标须知</w:t>
      </w:r>
    </w:p>
    <w:p w14:paraId="516E3C63">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（3）项目需求</w:t>
      </w:r>
    </w:p>
    <w:p w14:paraId="085C554F">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（4）开标和评标</w:t>
      </w:r>
    </w:p>
    <w:p w14:paraId="226D9DDB">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（5）投标文件组成</w:t>
      </w:r>
    </w:p>
    <w:p w14:paraId="6D71FAFC">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（6）附件（如有）</w:t>
      </w:r>
    </w:p>
    <w:p w14:paraId="464CFD3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请仔细检查招标文件是否齐全，如有缺漏请立即与代理机构联系解决。</w:t>
      </w:r>
    </w:p>
    <w:p w14:paraId="665A3E0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65FE7108">
      <w:pPr>
        <w:tabs>
          <w:tab w:val="left" w:pos="360"/>
        </w:tabs>
        <w:spacing w:line="460" w:lineRule="exact"/>
        <w:ind w:firstLine="480" w:firstLineChars="200"/>
        <w:rPr>
          <w:rFonts w:hint="eastAsia" w:ascii="宋体" w:hAnsi="宋体" w:cs="宋体"/>
          <w:color w:val="auto"/>
          <w:sz w:val="24"/>
        </w:rPr>
      </w:pPr>
      <w:bookmarkStart w:id="29" w:name="_Toc16938527"/>
      <w:bookmarkStart w:id="30" w:name="_Toc20823283"/>
      <w:bookmarkStart w:id="31" w:name="_Toc513029211"/>
      <w:bookmarkStart w:id="32" w:name="_Toc462564070"/>
      <w:r>
        <w:rPr>
          <w:rFonts w:hint="eastAsia" w:ascii="宋体" w:hAnsi="宋体" w:cs="宋体"/>
          <w:color w:val="auto"/>
          <w:sz w:val="24"/>
        </w:rPr>
        <w:t>2.招标文件的澄清</w:t>
      </w:r>
      <w:bookmarkEnd w:id="29"/>
      <w:bookmarkEnd w:id="30"/>
      <w:bookmarkEnd w:id="31"/>
      <w:bookmarkEnd w:id="32"/>
    </w:p>
    <w:p w14:paraId="256D7DC0">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2.1 任何要求对招标文件进行澄清的投标人，应在投标截止期十日前按招标公告中的通讯地址，以书面形式通知招标人。招标人有权对发出的招标文件进行必要的澄清或修改。</w:t>
      </w:r>
    </w:p>
    <w:p w14:paraId="599A3B4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2.2招标人视情组织答疑会</w:t>
      </w:r>
    </w:p>
    <w:p w14:paraId="6DE21984">
      <w:pPr>
        <w:tabs>
          <w:tab w:val="left" w:pos="360"/>
        </w:tabs>
        <w:spacing w:line="460" w:lineRule="exact"/>
        <w:ind w:firstLine="480" w:firstLineChars="200"/>
        <w:rPr>
          <w:rFonts w:hint="eastAsia" w:ascii="宋体" w:hAnsi="宋体" w:cs="宋体"/>
          <w:color w:val="auto"/>
          <w:sz w:val="24"/>
        </w:rPr>
      </w:pPr>
      <w:bookmarkStart w:id="33" w:name="_Toc513029212"/>
      <w:bookmarkStart w:id="34" w:name="_Toc16938528"/>
      <w:bookmarkStart w:id="35" w:name="_Toc462564071"/>
      <w:bookmarkStart w:id="36" w:name="_Toc20823284"/>
      <w:r>
        <w:rPr>
          <w:rFonts w:hint="eastAsia" w:ascii="宋体" w:hAnsi="宋体" w:cs="宋体"/>
          <w:color w:val="auto"/>
          <w:sz w:val="24"/>
        </w:rPr>
        <w:t>3.招标文件的修改</w:t>
      </w:r>
      <w:bookmarkEnd w:id="33"/>
      <w:bookmarkEnd w:id="34"/>
      <w:bookmarkEnd w:id="35"/>
      <w:bookmarkEnd w:id="36"/>
    </w:p>
    <w:p w14:paraId="52E22DE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3.1 在投标截止时间前，代理机构可以对招标文件进行修改。</w:t>
      </w:r>
    </w:p>
    <w:p w14:paraId="3A8A0753">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3.2 代理机构有权按照法定的要求推迟投标截止日期和开标日期。</w:t>
      </w:r>
    </w:p>
    <w:p w14:paraId="6FFCB791">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3.3 招标文件的修改将在江苏商贸职业学院网（http://www.jsbc.edu.cn/）公布，补充文件将作为招标文件的组成部分，并对投标人具有约束力。</w:t>
      </w:r>
    </w:p>
    <w:p w14:paraId="4095C3F3">
      <w:pPr>
        <w:tabs>
          <w:tab w:val="left" w:pos="360"/>
        </w:tabs>
        <w:spacing w:line="460" w:lineRule="exact"/>
        <w:ind w:firstLine="482" w:firstLineChars="200"/>
        <w:rPr>
          <w:rFonts w:hint="eastAsia" w:ascii="宋体" w:hAnsi="宋体" w:cs="宋体"/>
          <w:b/>
          <w:bCs/>
          <w:color w:val="auto"/>
          <w:sz w:val="24"/>
        </w:rPr>
      </w:pPr>
      <w:bookmarkStart w:id="37" w:name="_Toc20823285"/>
      <w:bookmarkStart w:id="38" w:name="_Toc513029213"/>
      <w:bookmarkStart w:id="39" w:name="_Toc16938529"/>
      <w:bookmarkStart w:id="40" w:name="_Toc120614216"/>
      <w:bookmarkStart w:id="41" w:name="_Toc462564072"/>
      <w:r>
        <w:rPr>
          <w:rFonts w:hint="eastAsia" w:ascii="宋体" w:hAnsi="宋体" w:cs="宋体"/>
          <w:b/>
          <w:bCs/>
          <w:color w:val="auto"/>
          <w:sz w:val="24"/>
        </w:rPr>
        <w:t>三、投标文件的编制</w:t>
      </w:r>
      <w:bookmarkEnd w:id="37"/>
      <w:bookmarkEnd w:id="38"/>
      <w:bookmarkEnd w:id="39"/>
      <w:bookmarkEnd w:id="40"/>
      <w:bookmarkEnd w:id="41"/>
    </w:p>
    <w:p w14:paraId="4D41F3B8">
      <w:pPr>
        <w:tabs>
          <w:tab w:val="left" w:pos="360"/>
        </w:tabs>
        <w:spacing w:line="460" w:lineRule="exact"/>
        <w:ind w:firstLine="480" w:firstLineChars="200"/>
        <w:rPr>
          <w:rFonts w:hint="eastAsia" w:ascii="宋体" w:hAnsi="宋体" w:cs="宋体"/>
          <w:color w:val="auto"/>
          <w:sz w:val="24"/>
        </w:rPr>
      </w:pPr>
      <w:bookmarkStart w:id="42" w:name="_Toc16938530"/>
      <w:bookmarkStart w:id="43" w:name="_Toc462564073"/>
      <w:bookmarkStart w:id="44" w:name="_Toc513029214"/>
      <w:bookmarkStart w:id="45" w:name="_Toc20823286"/>
      <w:r>
        <w:rPr>
          <w:rFonts w:hint="eastAsia" w:ascii="宋体" w:hAnsi="宋体" w:cs="宋体"/>
          <w:color w:val="auto"/>
          <w:sz w:val="24"/>
        </w:rPr>
        <w:t>1.投标文件的语言及度量衡单位</w:t>
      </w:r>
      <w:bookmarkEnd w:id="42"/>
      <w:bookmarkEnd w:id="43"/>
      <w:bookmarkEnd w:id="44"/>
      <w:bookmarkEnd w:id="45"/>
    </w:p>
    <w:p w14:paraId="467A2919">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1.1 投标人提交的投标文件以及投标人与代理机构就有关投标的所有来往通知、函件和文件均应使用简体中文。</w:t>
      </w:r>
    </w:p>
    <w:p w14:paraId="7BB31489">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1.2 除技术性能另有规定外，投标文件所使用的度量衡单位，均须采用国家法定计量单位。</w:t>
      </w:r>
    </w:p>
    <w:p w14:paraId="290161DB">
      <w:pPr>
        <w:tabs>
          <w:tab w:val="left" w:pos="360"/>
        </w:tabs>
        <w:spacing w:line="460" w:lineRule="exact"/>
        <w:ind w:firstLine="480" w:firstLineChars="200"/>
        <w:rPr>
          <w:rFonts w:hint="eastAsia" w:ascii="宋体" w:hAnsi="宋体" w:cs="宋体"/>
          <w:color w:val="auto"/>
          <w:sz w:val="24"/>
        </w:rPr>
      </w:pPr>
      <w:bookmarkStart w:id="46" w:name="_Toc20823287"/>
      <w:bookmarkStart w:id="47" w:name="_Toc16938531"/>
      <w:bookmarkStart w:id="48" w:name="_Toc513029215"/>
      <w:bookmarkStart w:id="49" w:name="_Toc462564074"/>
      <w:r>
        <w:rPr>
          <w:rFonts w:hint="eastAsia" w:ascii="宋体" w:hAnsi="宋体" w:cs="宋体"/>
          <w:color w:val="auto"/>
          <w:sz w:val="24"/>
        </w:rPr>
        <w:t>2.投标文件构成</w:t>
      </w:r>
      <w:bookmarkEnd w:id="46"/>
      <w:bookmarkEnd w:id="47"/>
      <w:bookmarkEnd w:id="48"/>
      <w:bookmarkEnd w:id="49"/>
    </w:p>
    <w:p w14:paraId="02B560F7">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2.1 投标人编写的投标文件应包括资格审查文件、商务技术标、价格标。供应商按要求编写投标文件。</w:t>
      </w:r>
    </w:p>
    <w:p w14:paraId="735BC086">
      <w:pPr>
        <w:tabs>
          <w:tab w:val="left" w:pos="360"/>
        </w:tabs>
        <w:spacing w:line="460" w:lineRule="exact"/>
        <w:ind w:firstLine="480" w:firstLineChars="200"/>
        <w:rPr>
          <w:rFonts w:hint="eastAsia" w:ascii="宋体" w:hAnsi="宋体" w:cs="宋体"/>
          <w:color w:val="auto"/>
          <w:sz w:val="24"/>
        </w:rPr>
      </w:pPr>
      <w:bookmarkStart w:id="50" w:name="_Hlt26670360"/>
      <w:bookmarkEnd w:id="50"/>
      <w:bookmarkStart w:id="51" w:name="_Hlt26668975"/>
      <w:bookmarkEnd w:id="51"/>
      <w:bookmarkStart w:id="52" w:name="_Hlt26954838"/>
      <w:bookmarkEnd w:id="52"/>
      <w:bookmarkStart w:id="53" w:name="_Toc49090511"/>
      <w:bookmarkStart w:id="54" w:name="_Toc14577360"/>
      <w:r>
        <w:rPr>
          <w:rFonts w:hint="eastAsia" w:ascii="宋体" w:hAnsi="宋体" w:cs="宋体"/>
          <w:color w:val="auto"/>
          <w:sz w:val="24"/>
        </w:rPr>
        <w:t>3.投标有效期</w:t>
      </w:r>
      <w:bookmarkEnd w:id="53"/>
      <w:bookmarkEnd w:id="54"/>
    </w:p>
    <w:p w14:paraId="47767F31">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3.1投标有效期为代理机构规定的开标之日后六十（60）天。投标有效期比规定短的将被视为非响应性投标而予以拒绝。</w:t>
      </w:r>
    </w:p>
    <w:p w14:paraId="22D0FA67">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4.投标有效期的延长</w:t>
      </w:r>
    </w:p>
    <w:p w14:paraId="2A70927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4.1在特殊情况下，代理机构于原投标有效期满之前，可向投标人提出延长投标有效期的要求。这种要求与答复均应采用书面形式。投标人可以拒绝代理机构的这一要求而放弃投标，同意延长投标有效期的投标人既不能要求也不允许修改其投标文件。受投标有效期约束的所有权利与义务均延长至新的有效期。</w:t>
      </w:r>
    </w:p>
    <w:p w14:paraId="54337D46">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5.投标人资格要求</w:t>
      </w:r>
    </w:p>
    <w:p w14:paraId="6B0084B0">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5.1投标人应具备承担本项目的资格要求。</w:t>
      </w:r>
    </w:p>
    <w:p w14:paraId="7A7E90B9">
      <w:pPr>
        <w:tabs>
          <w:tab w:val="left" w:pos="360"/>
        </w:tabs>
        <w:spacing w:line="460" w:lineRule="exact"/>
        <w:ind w:firstLine="482" w:firstLineChars="200"/>
        <w:rPr>
          <w:rFonts w:hint="eastAsia" w:ascii="宋体" w:hAnsi="宋体" w:cs="宋体"/>
          <w:b/>
          <w:bCs/>
          <w:color w:val="auto"/>
          <w:sz w:val="24"/>
        </w:rPr>
      </w:pPr>
      <w:bookmarkStart w:id="55" w:name="_Hlt26954852"/>
      <w:bookmarkEnd w:id="55"/>
      <w:bookmarkStart w:id="56" w:name="_Hlt26954739"/>
      <w:bookmarkEnd w:id="56"/>
      <w:bookmarkStart w:id="57" w:name="_Toc120614217"/>
      <w:bookmarkStart w:id="58" w:name="_Toc513029224"/>
      <w:bookmarkStart w:id="59" w:name="_Toc20823296"/>
      <w:bookmarkStart w:id="60" w:name="_Toc16938540"/>
      <w:r>
        <w:rPr>
          <w:rFonts w:hint="eastAsia" w:ascii="宋体" w:hAnsi="宋体" w:cs="宋体"/>
          <w:b/>
          <w:bCs/>
          <w:color w:val="auto"/>
          <w:sz w:val="24"/>
        </w:rPr>
        <w:t>四、投标文件的递交</w:t>
      </w:r>
      <w:bookmarkEnd w:id="57"/>
      <w:bookmarkEnd w:id="58"/>
      <w:bookmarkEnd w:id="59"/>
      <w:bookmarkEnd w:id="60"/>
    </w:p>
    <w:p w14:paraId="2F1BC1E1">
      <w:pPr>
        <w:tabs>
          <w:tab w:val="left" w:pos="360"/>
        </w:tabs>
        <w:spacing w:line="460" w:lineRule="exact"/>
        <w:ind w:firstLine="480" w:firstLineChars="200"/>
        <w:rPr>
          <w:rFonts w:hint="eastAsia" w:ascii="宋体" w:hAnsi="宋体" w:cs="宋体"/>
          <w:color w:val="auto"/>
          <w:sz w:val="24"/>
        </w:rPr>
      </w:pPr>
      <w:bookmarkStart w:id="61" w:name="_Toc16938542"/>
      <w:bookmarkStart w:id="62" w:name="_Toc513029226"/>
      <w:bookmarkStart w:id="63" w:name="_Toc20823298"/>
      <w:r>
        <w:rPr>
          <w:rFonts w:hint="eastAsia" w:ascii="宋体" w:hAnsi="宋体" w:cs="宋体"/>
          <w:color w:val="auto"/>
          <w:sz w:val="24"/>
        </w:rPr>
        <w:t>1.投标文件的组成</w:t>
      </w:r>
    </w:p>
    <w:p w14:paraId="2D7A4346">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1.1纸质投标文件分资格审查文件、商务技术标、价格标三部分内容。每一部分内容均须提供“壹份正本、贰份副本”纸质响应文件，须分别单独牢固装订，不得相互混淆，文件自编目录并连续标注页码，不得将内容拆开。价格标不得出现于资格审查文件和商务技术标响应投标文件中。</w:t>
      </w:r>
    </w:p>
    <w:p w14:paraId="40CA982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1.2纸质响应文件分三个密封袋（箱）提交。其中：</w:t>
      </w:r>
    </w:p>
    <w:p w14:paraId="153E94E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资格审查文件的正、副本纸质响应文件密封在一个单独的密封袋内；</w:t>
      </w:r>
    </w:p>
    <w:p w14:paraId="025DE72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商务技术标的正、副本纸质响应文件及图纸类（如需提供图纸等其它资料的话）等密封在一个单独的密封袋或密封箱内（如有A3大小的图纸类，可单独密封）；</w:t>
      </w:r>
    </w:p>
    <w:p w14:paraId="6ED7E525">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价格标的正、副本纸质响应文件密封在一个单独的密封袋内。</w:t>
      </w:r>
    </w:p>
    <w:p w14:paraId="1FBDEBF0">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1.3纸质投标文件须采用A4纸（图纸等除外），正、副本须打印并由法定代表人或授权人签字并加盖单位印章。文件内容中不得行间插字、涂改、增删，如修补错漏处，须由投标文件签署人签字并加盖公章。</w:t>
      </w:r>
    </w:p>
    <w:p w14:paraId="723CAE27">
      <w:pPr>
        <w:tabs>
          <w:tab w:val="left" w:pos="360"/>
        </w:tabs>
        <w:spacing w:line="460" w:lineRule="exact"/>
        <w:ind w:firstLine="482" w:firstLineChars="200"/>
        <w:rPr>
          <w:rFonts w:hint="eastAsia" w:ascii="宋体" w:hAnsi="宋体" w:cs="宋体"/>
          <w:color w:val="auto"/>
          <w:sz w:val="24"/>
        </w:rPr>
      </w:pPr>
      <w:r>
        <w:rPr>
          <w:rFonts w:hint="eastAsia" w:ascii="宋体" w:hAnsi="宋体" w:cs="宋体"/>
          <w:b/>
          <w:bCs/>
          <w:color w:val="auto"/>
          <w:sz w:val="24"/>
        </w:rPr>
        <w:t>注：凡是响应文件中涉及供应商资信认证、人员证书、业绩荣誉等复印件，和要求法定代表人或授权委托人签字，和以供应商名称落款并注明需要盖章的，均需相应盖章或签字。否则视为未按照采购文件要求盖章或签字。</w:t>
      </w:r>
    </w:p>
    <w:p w14:paraId="1BEFC072">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1.4.电子投标文件（一份，单独密封提交）</w:t>
      </w:r>
    </w:p>
    <w:p w14:paraId="114B242F">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本项目要求提供电子响应文件一份，电子响应文件的内容为资格审查文件、商务技术标、价格标文件打印盖章（或电子签章）后的响应文件的扫描件（资格审查文件、商务技术标、价格标需分别逐页连续扫描为三个独立的PDF文件），可以采取U盘、电子光盘两种方式中任意一种方式提交，需单独密封提交。</w:t>
      </w:r>
    </w:p>
    <w:p w14:paraId="073ABE14">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电子响应文件内容应与提交的纸质响应文件内容一致。否则，由此产生的后果投标人自负。</w:t>
      </w:r>
    </w:p>
    <w:p w14:paraId="7E618107">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1.5响应文件密封后应标明响应文件项目名称、项目编号、边缝处加盖单位骑缝章或骑缝签字等关键信息，密封完好以不泄露投标文件内容为主要判断依据。</w:t>
      </w:r>
    </w:p>
    <w:p w14:paraId="47476A8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1.6递交时间：供应商须在规定的响应文件接收截止时间前送达指定地点。供应商提交投标文件，即视为已响应参加招标活动。</w:t>
      </w:r>
    </w:p>
    <w:p w14:paraId="1C9456D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友情提醒：①代理机构将拒绝接收在投标文件接收截止时间后递交的投标文件。②采购人、采购代理机构对投标（响应）文件的格式、形式要求，结合财政部《关于促进政府采购公平竞争优化营商环境的通知》（财库〔2019〕38 号）相关规定实施。</w:t>
      </w:r>
    </w:p>
    <w:p w14:paraId="26933ACB">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2.投标截止日期</w:t>
      </w:r>
      <w:bookmarkEnd w:id="61"/>
      <w:bookmarkEnd w:id="62"/>
      <w:bookmarkEnd w:id="63"/>
    </w:p>
    <w:p w14:paraId="49B89964">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2.1 供应商提交响应文件的时间不得迟于招标公告中规定的响应文件提交截止时间。</w:t>
      </w:r>
    </w:p>
    <w:p w14:paraId="43016580">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供应商应充分考虑到交通路况、停车等风险因素，如因供应商自身原因造成的投标响应文件提交不成功由供应商自行承担全部责任。</w:t>
      </w:r>
    </w:p>
    <w:p w14:paraId="1B7A102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2.2 代理机构可以按照规定，通过修改招标文件酌情延长投标截止日期，在此情况下，投标人的所有权利和义务以及投标人受制的截止日期均应以延长后新的截止日期为准。</w:t>
      </w:r>
    </w:p>
    <w:p w14:paraId="1DFD4652">
      <w:pPr>
        <w:tabs>
          <w:tab w:val="left" w:pos="360"/>
        </w:tabs>
        <w:spacing w:line="460" w:lineRule="exact"/>
        <w:ind w:firstLine="480" w:firstLineChars="200"/>
        <w:rPr>
          <w:rFonts w:hint="eastAsia" w:ascii="宋体" w:hAnsi="宋体" w:cs="宋体"/>
          <w:color w:val="auto"/>
          <w:sz w:val="24"/>
        </w:rPr>
      </w:pPr>
      <w:bookmarkStart w:id="64" w:name="_Toc16938543"/>
      <w:bookmarkStart w:id="65" w:name="_Toc20823299"/>
      <w:bookmarkStart w:id="66" w:name="_Toc513029227"/>
      <w:r>
        <w:rPr>
          <w:rFonts w:hint="eastAsia" w:ascii="宋体" w:hAnsi="宋体" w:cs="宋体"/>
          <w:color w:val="auto"/>
          <w:sz w:val="24"/>
        </w:rPr>
        <w:t>3.投标文件</w:t>
      </w:r>
      <w:bookmarkEnd w:id="64"/>
      <w:bookmarkEnd w:id="65"/>
      <w:bookmarkEnd w:id="66"/>
      <w:r>
        <w:rPr>
          <w:rFonts w:hint="eastAsia" w:ascii="宋体" w:hAnsi="宋体" w:cs="宋体"/>
          <w:color w:val="auto"/>
          <w:sz w:val="24"/>
        </w:rPr>
        <w:t>的拒收</w:t>
      </w:r>
    </w:p>
    <w:p w14:paraId="6AA07054">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3.1 代理机构拒绝接收在其规定的投标截止时间后提交的任何投标文件。</w:t>
      </w:r>
    </w:p>
    <w:p w14:paraId="7A42C2D1">
      <w:pPr>
        <w:tabs>
          <w:tab w:val="left" w:pos="360"/>
        </w:tabs>
        <w:spacing w:line="460" w:lineRule="exact"/>
        <w:ind w:firstLine="480" w:firstLineChars="200"/>
        <w:rPr>
          <w:rFonts w:hint="eastAsia" w:ascii="宋体" w:hAnsi="宋体" w:cs="宋体"/>
          <w:color w:val="auto"/>
          <w:sz w:val="24"/>
        </w:rPr>
      </w:pPr>
      <w:bookmarkStart w:id="67" w:name="_Toc513029228"/>
      <w:bookmarkStart w:id="68" w:name="_Toc16938544"/>
      <w:bookmarkStart w:id="69" w:name="_Toc20823300"/>
      <w:r>
        <w:rPr>
          <w:rFonts w:hint="eastAsia" w:ascii="宋体" w:hAnsi="宋体" w:cs="宋体"/>
          <w:color w:val="auto"/>
          <w:sz w:val="24"/>
        </w:rPr>
        <w:t>4.投标文件的撤回和修改</w:t>
      </w:r>
      <w:bookmarkEnd w:id="67"/>
      <w:bookmarkEnd w:id="68"/>
      <w:bookmarkEnd w:id="69"/>
    </w:p>
    <w:p w14:paraId="600A14A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4.1 响应文件的撤回</w:t>
      </w:r>
    </w:p>
    <w:p w14:paraId="6A494F14">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4.1.1供应商可在响应文件提交截止时间前，书面撤回其投标响应文件。</w:t>
      </w:r>
    </w:p>
    <w:p w14:paraId="67D03599">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4.1.2 投标人撤回投标文件，则认为其不再参与本项目投标活动。</w:t>
      </w:r>
    </w:p>
    <w:p w14:paraId="094222E5">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4.2 投标文件的修改</w:t>
      </w:r>
    </w:p>
    <w:p w14:paraId="24ED3C0A">
      <w:pPr>
        <w:tabs>
          <w:tab w:val="left" w:pos="360"/>
        </w:tabs>
        <w:spacing w:line="460" w:lineRule="exact"/>
        <w:ind w:firstLine="480" w:firstLineChars="200"/>
        <w:rPr>
          <w:rFonts w:hint="eastAsia" w:ascii="宋体" w:hAnsi="宋体" w:cs="宋体"/>
          <w:color w:val="auto"/>
          <w:sz w:val="24"/>
        </w:rPr>
      </w:pPr>
      <w:bookmarkStart w:id="70" w:name="_Toc16938545"/>
      <w:bookmarkStart w:id="71" w:name="_Toc20823301"/>
      <w:bookmarkStart w:id="72" w:name="_Toc513029229"/>
      <w:bookmarkStart w:id="73" w:name="_Toc120614218"/>
      <w:r>
        <w:rPr>
          <w:rFonts w:hint="eastAsia" w:ascii="宋体" w:hAnsi="宋体" w:cs="宋体"/>
          <w:color w:val="auto"/>
          <w:sz w:val="24"/>
        </w:rPr>
        <w:t>在响应文件提交截止时间之后，供应商不得再对其提交的响应文件进行修改。</w:t>
      </w:r>
    </w:p>
    <w:p w14:paraId="7FA83325">
      <w:pPr>
        <w:tabs>
          <w:tab w:val="left" w:pos="360"/>
        </w:tabs>
        <w:spacing w:line="460" w:lineRule="exact"/>
        <w:ind w:firstLine="482" w:firstLineChars="200"/>
        <w:rPr>
          <w:rFonts w:hint="eastAsia" w:ascii="宋体" w:hAnsi="宋体" w:cs="宋体"/>
          <w:b/>
          <w:bCs/>
          <w:color w:val="auto"/>
          <w:sz w:val="24"/>
        </w:rPr>
      </w:pPr>
      <w:r>
        <w:rPr>
          <w:rFonts w:hint="eastAsia" w:ascii="宋体" w:hAnsi="宋体" w:cs="宋体"/>
          <w:b/>
          <w:bCs/>
          <w:color w:val="auto"/>
          <w:sz w:val="24"/>
        </w:rPr>
        <w:t>五、开标与评标</w:t>
      </w:r>
      <w:bookmarkEnd w:id="70"/>
      <w:bookmarkEnd w:id="71"/>
      <w:bookmarkEnd w:id="72"/>
      <w:bookmarkEnd w:id="73"/>
    </w:p>
    <w:p w14:paraId="75E41C00">
      <w:pPr>
        <w:tabs>
          <w:tab w:val="left" w:pos="360"/>
        </w:tabs>
        <w:spacing w:line="460" w:lineRule="exact"/>
        <w:ind w:firstLine="480" w:firstLineChars="200"/>
        <w:rPr>
          <w:rFonts w:hint="eastAsia" w:ascii="宋体" w:hAnsi="宋体" w:cs="宋体"/>
          <w:color w:val="auto"/>
          <w:sz w:val="24"/>
        </w:rPr>
      </w:pPr>
      <w:bookmarkStart w:id="74" w:name="_Toc16938546"/>
      <w:bookmarkStart w:id="75" w:name="_Toc513029230"/>
      <w:bookmarkStart w:id="76" w:name="_Toc20823302"/>
      <w:r>
        <w:rPr>
          <w:rFonts w:hint="eastAsia" w:ascii="宋体" w:hAnsi="宋体" w:cs="宋体"/>
          <w:color w:val="auto"/>
          <w:sz w:val="24"/>
        </w:rPr>
        <w:t>1．开标</w:t>
      </w:r>
      <w:bookmarkEnd w:id="74"/>
      <w:bookmarkEnd w:id="75"/>
      <w:bookmarkEnd w:id="76"/>
    </w:p>
    <w:p w14:paraId="3B5ACB5B">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1.1 代理机构将在招标公告中规定的时间和地点组织公开开标。投标人应当按时在指定地点参加开标活动。</w:t>
      </w:r>
    </w:p>
    <w:p w14:paraId="4F80AA79">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1.2开标仪式由代理机构组织。</w:t>
      </w:r>
    </w:p>
    <w:p w14:paraId="06B607F3">
      <w:pPr>
        <w:tabs>
          <w:tab w:val="left" w:pos="360"/>
        </w:tabs>
        <w:spacing w:line="460" w:lineRule="exact"/>
        <w:ind w:firstLine="480" w:firstLineChars="200"/>
        <w:rPr>
          <w:rFonts w:hint="eastAsia" w:ascii="宋体" w:hAnsi="宋体" w:cs="宋体"/>
          <w:color w:val="auto"/>
          <w:sz w:val="24"/>
        </w:rPr>
      </w:pPr>
      <w:bookmarkStart w:id="77" w:name="_Toc20823303"/>
      <w:bookmarkStart w:id="78" w:name="_Toc16938547"/>
      <w:bookmarkStart w:id="79" w:name="_Toc513029231"/>
      <w:r>
        <w:rPr>
          <w:rFonts w:hint="eastAsia" w:ascii="宋体" w:hAnsi="宋体" w:cs="宋体"/>
          <w:color w:val="auto"/>
          <w:sz w:val="24"/>
        </w:rPr>
        <w:t>2．评标委员会</w:t>
      </w:r>
    </w:p>
    <w:p w14:paraId="5A071627">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2.1 开标后，代理机构将立即组织评标委员会（以下简称评委会）进行评标。</w:t>
      </w:r>
    </w:p>
    <w:p w14:paraId="2024988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2.2 评委会由招标人代表和有关技术、经济等方面的专家组成，且人员构成符合政府采购有关规定。</w:t>
      </w:r>
    </w:p>
    <w:p w14:paraId="0A7A1F52">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2.3评委会独立工作，负责评审所有投标文件并确定中标候选人。</w:t>
      </w:r>
    </w:p>
    <w:p w14:paraId="63E72035">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3.评标过程的保密与公正</w:t>
      </w:r>
    </w:p>
    <w:bookmarkEnd w:id="77"/>
    <w:bookmarkEnd w:id="78"/>
    <w:bookmarkEnd w:id="79"/>
    <w:p w14:paraId="7197A3B7">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3.1公开开标后，直至向中标的投标人授予合同时止，凡是与审查、澄清、评价和比较投标的有关资料以及授标建议等，招标人、评委、代理机构均不得向投标人或与评标无关的其他人员透露。</w:t>
      </w:r>
    </w:p>
    <w:p w14:paraId="254582D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3.2在评标过程中，投标人不得以任何行为影响评标过程，否则其投标文件将被作为无效投标文件。</w:t>
      </w:r>
    </w:p>
    <w:p w14:paraId="3D5B3203">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3.3在评标期间，代理机构将设专门人员与投标人联系。</w:t>
      </w:r>
    </w:p>
    <w:p w14:paraId="4879E26D">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3.4 代理机构和评标委员会不向未中标的投标人解释未中标原因，也不公布评标过程中的相关细节。</w:t>
      </w:r>
    </w:p>
    <w:p w14:paraId="44E721CB">
      <w:pPr>
        <w:tabs>
          <w:tab w:val="left" w:pos="360"/>
        </w:tabs>
        <w:spacing w:line="460" w:lineRule="exact"/>
        <w:ind w:firstLine="480" w:firstLineChars="200"/>
        <w:rPr>
          <w:rFonts w:hint="eastAsia" w:ascii="宋体" w:hAnsi="宋体" w:cs="宋体"/>
          <w:color w:val="auto"/>
          <w:sz w:val="24"/>
        </w:rPr>
      </w:pPr>
      <w:bookmarkStart w:id="80" w:name="_Toc20823304"/>
      <w:bookmarkStart w:id="81" w:name="_Toc16938548"/>
      <w:bookmarkStart w:id="82" w:name="_Toc513029232"/>
      <w:r>
        <w:rPr>
          <w:rFonts w:hint="eastAsia" w:ascii="宋体" w:hAnsi="宋体" w:cs="宋体"/>
          <w:color w:val="auto"/>
          <w:sz w:val="24"/>
        </w:rPr>
        <w:t>4.投标的澄清</w:t>
      </w:r>
      <w:bookmarkEnd w:id="80"/>
      <w:bookmarkEnd w:id="81"/>
      <w:bookmarkEnd w:id="82"/>
    </w:p>
    <w:p w14:paraId="375DAD09">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4.1评标期间，为有助于对投标文件的审查、评价和比较，评委会有权要求投标人对其投标文件进行澄清，但并非对每个投标人都作澄清要求。</w:t>
      </w:r>
    </w:p>
    <w:p w14:paraId="1C59E5B6">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4.2接到评委会澄清要求的投标人应按评委会规定的时间和格式做出澄清，澄清的内容作为投标文件的补充部分，但投标的价格和实质性的内容不得做任何更改。</w:t>
      </w:r>
    </w:p>
    <w:p w14:paraId="4226B350">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4.3 接到评委会澄清要求的投标人如未按规定做出澄清，其风险由投标人自行承担。</w:t>
      </w:r>
    </w:p>
    <w:p w14:paraId="464AE453">
      <w:pPr>
        <w:tabs>
          <w:tab w:val="left" w:pos="360"/>
        </w:tabs>
        <w:spacing w:line="460" w:lineRule="exact"/>
        <w:ind w:firstLine="480" w:firstLineChars="200"/>
        <w:rPr>
          <w:rFonts w:hint="eastAsia" w:ascii="宋体" w:hAnsi="宋体" w:cs="宋体"/>
          <w:color w:val="auto"/>
          <w:sz w:val="24"/>
        </w:rPr>
      </w:pPr>
      <w:bookmarkStart w:id="83" w:name="_Toc20823305"/>
      <w:bookmarkStart w:id="84" w:name="_Toc16938549"/>
      <w:bookmarkStart w:id="85" w:name="_Toc513029233"/>
      <w:r>
        <w:rPr>
          <w:rFonts w:hint="eastAsia" w:ascii="宋体" w:hAnsi="宋体" w:cs="宋体"/>
          <w:color w:val="auto"/>
          <w:sz w:val="24"/>
        </w:rPr>
        <w:t>5对投标文件的初审</w:t>
      </w:r>
      <w:bookmarkEnd w:id="83"/>
      <w:bookmarkEnd w:id="84"/>
      <w:bookmarkEnd w:id="85"/>
    </w:p>
    <w:p w14:paraId="674621A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5.1投标文件初审分为资格审查和符合性审查。</w:t>
      </w:r>
    </w:p>
    <w:p w14:paraId="26874CEB">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5.1.1 资格审查：依据法律法规和招标文件的规定，由评委会对投标文件中的资格证明文件进行审查。</w:t>
      </w:r>
    </w:p>
    <w:p w14:paraId="11B0E599">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5.1.2 符合性审查：依据招标文件的规定，由评委会从投标文件的有效性、完整性和对招标文件的响应程度进行审查，以确定是否对招标文件的实质性要求作出响应。</w:t>
      </w:r>
    </w:p>
    <w:p w14:paraId="0959F663">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5.1.3 未通过资格审查或符合性审查的投标人，代理机构将告知未通过资格审查或符合性审查的原因。</w:t>
      </w:r>
    </w:p>
    <w:p w14:paraId="70C9B884">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5.2在详细评标之前，评委会将首先审查每份投标文件是否实质性响应了招标文件的要求。实质性响应的投标应该是与招标文件要求的全部条款、条件和规格相符，没有重大偏离或保留的投标。</w:t>
      </w:r>
    </w:p>
    <w:p w14:paraId="01F4135B">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所谓重大偏离或保留是指与招标文件规定的实质性要求存在负偏离，或者在实质上与招标文件不一致，而且限制了合同中买方和见证方的权利或投标人的义务，纠正这些偏离或保留将会对其他实质性响应要求的投标人的竞争地位产生不公正的影响。重大偏离的认定需经过评委会以少数服从多数的原则作出结论。评委决定投标文件的响应性只根据投标文件本身的内容，而不寻求外部的证据。</w:t>
      </w:r>
    </w:p>
    <w:p w14:paraId="6FAAADA2">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5.3如果投标文件实质上没有响应招标文件的要求，评委会将予以拒绝，投标人不得通过修改或撤销不合要求的偏离或保留而使其投标成为实质性响应的投标。</w:t>
      </w:r>
    </w:p>
    <w:p w14:paraId="563A45DB">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5.4评委会将对确定为实质性响应的投标进行进一步审核，看其是否有计算上或累加上的算术错误，修正错误的原则如下：</w:t>
      </w:r>
    </w:p>
    <w:p w14:paraId="700CE0D6">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5.4.1投标文件中开标一览表内容与投标文件中相应内容不一致的，以开标一览表为准。</w:t>
      </w:r>
    </w:p>
    <w:p w14:paraId="6373ABEC">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5.4.2大写金额和小写金额不一致的，以大写金额为准。</w:t>
      </w:r>
    </w:p>
    <w:p w14:paraId="5DFC96D7">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5.4.3单价金额小数点或者百分比有明显错位的，以开标一览表的总价为准，并修改单价。</w:t>
      </w:r>
    </w:p>
    <w:p w14:paraId="6C2C7E6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5.4.4总价金额与按单价汇总金额不一致的，以单价金额计算结果为准。</w:t>
      </w:r>
    </w:p>
    <w:p w14:paraId="4F34A878">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同时出现两种以上错误的，按照前款规定的顺序修正。</w:t>
      </w:r>
    </w:p>
    <w:p w14:paraId="2B182502">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5.5评委会将按上述修正错误的方法调整投标文件中的投标报价，并告知投标人，调整后的价格应对投标人具有约束力。如果投标人不接受修正后的价格，则其投标将被拒绝。</w:t>
      </w:r>
    </w:p>
    <w:p w14:paraId="198C734B">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5.6评委会将允许修正投标文件中不构成重大偏离的、微小的、非正规的、不一致的或不规则的地方，但这些修改不能影响任何投标人相应的名次排列。</w:t>
      </w:r>
    </w:p>
    <w:p w14:paraId="1A022837">
      <w:pPr>
        <w:tabs>
          <w:tab w:val="left" w:pos="360"/>
        </w:tabs>
        <w:spacing w:line="460" w:lineRule="exact"/>
        <w:ind w:firstLine="480" w:firstLineChars="200"/>
        <w:rPr>
          <w:rFonts w:hint="eastAsia" w:ascii="宋体" w:hAnsi="宋体" w:cs="宋体"/>
          <w:color w:val="auto"/>
          <w:sz w:val="24"/>
        </w:rPr>
      </w:pPr>
      <w:bookmarkStart w:id="86" w:name="_Toc513029234"/>
      <w:bookmarkStart w:id="87" w:name="_Toc20823306"/>
      <w:bookmarkStart w:id="88" w:name="_Toc16938550"/>
      <w:r>
        <w:rPr>
          <w:rFonts w:hint="eastAsia" w:ascii="宋体" w:hAnsi="宋体" w:cs="宋体"/>
          <w:color w:val="auto"/>
          <w:sz w:val="24"/>
        </w:rPr>
        <w:t>5.7异常低价审查</w:t>
      </w:r>
    </w:p>
    <w:p w14:paraId="529179A1">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5.7.1采购评审中出现下列情形之一的，评审委员会应当启动异常低价投标（响应）审查程序（本条所指报价均为投标人原始总报价，不包含中小企业、本国产品价格扣除后的评审价)：</w:t>
      </w:r>
    </w:p>
    <w:p w14:paraId="26DFA6E1">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 xml:space="preserve">1.投标（响应）报价低于全部通过符合性审查供应商投标（响应）报价平均值50%的，即投标（响应）报价&lt;全部通过符合性审查供应商投标（响应）报价平均值×50%； </w:t>
      </w:r>
    </w:p>
    <w:p w14:paraId="6893B674">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 xml:space="preserve">2.投标（响应）报价低于通过符合性审查的次低报价供应商投标（响应）报价50%的，即投标（响应）报价&lt;通过符合性审查的次低报价供应商投标（响应）报价×50%； </w:t>
      </w:r>
    </w:p>
    <w:p w14:paraId="51C193E8">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 xml:space="preserve">3.投标（响应）报价低于采购项目最高限价45%的，即投标（响应）报价&lt;采购项目最高限价×45%； </w:t>
      </w:r>
    </w:p>
    <w:p w14:paraId="563CE864">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 xml:space="preserve">4.评审委员会基于专业判断，认为供应商报价过低，有可能影响产品质量或者不能诚信履约的其他情形。 </w:t>
      </w:r>
    </w:p>
    <w:p w14:paraId="6C085DF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5.7.2启动异常低价投标(响应)审查后，属于上述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投标人已随投标（响应）文件一并提交相关书面说明及必要的证明材料的，在评审现场可不再重复提交。</w:t>
      </w:r>
    </w:p>
    <w:p w14:paraId="2712E158">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异常低价投标（响应）审查的启动原因、审查意见和审查结果应当在评审报告中记录。</w:t>
      </w:r>
    </w:p>
    <w:p w14:paraId="6C38128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5.8投标人在开、评标全过程中应保持通讯畅通，并安排专人与代理机构及评标委员会联系。</w:t>
      </w:r>
    </w:p>
    <w:bookmarkEnd w:id="86"/>
    <w:bookmarkEnd w:id="87"/>
    <w:bookmarkEnd w:id="88"/>
    <w:p w14:paraId="77715D79">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6.无效投标条款和废标条款</w:t>
      </w:r>
    </w:p>
    <w:p w14:paraId="6EEFBAB4">
      <w:pPr>
        <w:tabs>
          <w:tab w:val="left" w:pos="360"/>
        </w:tabs>
        <w:spacing w:line="460" w:lineRule="exact"/>
        <w:ind w:firstLine="480" w:firstLineChars="200"/>
        <w:rPr>
          <w:rFonts w:hint="eastAsia" w:ascii="宋体" w:hAnsi="宋体" w:cs="宋体"/>
          <w:color w:val="auto"/>
          <w:sz w:val="24"/>
        </w:rPr>
      </w:pPr>
      <w:bookmarkStart w:id="89" w:name="_Toc16938551"/>
      <w:bookmarkStart w:id="90" w:name="_Toc513029235"/>
      <w:bookmarkStart w:id="91" w:name="_Toc20823307"/>
      <w:r>
        <w:rPr>
          <w:rFonts w:hint="eastAsia" w:ascii="宋体" w:hAnsi="宋体" w:cs="宋体"/>
          <w:color w:val="auto"/>
          <w:sz w:val="24"/>
        </w:rPr>
        <w:t>6.1无效投标条款</w:t>
      </w:r>
    </w:p>
    <w:p w14:paraId="7F13BC47">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6.1.1 同一投标人提交两个（含两个）以上不同的投标报价的。</w:t>
      </w:r>
    </w:p>
    <w:p w14:paraId="7F676D93">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6.1.2投标人不具备招标文件中规定资格要求的。</w:t>
      </w:r>
    </w:p>
    <w:p w14:paraId="0C581440">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6.1.3投标人的报价高于最高限价的。</w:t>
      </w:r>
    </w:p>
    <w:p w14:paraId="2F704586">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6.1.4未通过符合性检查的。</w:t>
      </w:r>
    </w:p>
    <w:p w14:paraId="273C4A1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6.1.5不符合招标文件中规定的其他实质性要求和条件的。</w:t>
      </w:r>
    </w:p>
    <w:p w14:paraId="3D7B46F5">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6.1.6投标人被 “信用中国”网站（www.creditchina.gov.cn）列入失信被执行人或重大税收违法案件当事人名单或政府采购严重失信行为记录名单。或查询“信用中国”网站后发现投标人存在其他不符合规定条件的信用记录。</w:t>
      </w:r>
    </w:p>
    <w:p w14:paraId="722B8227">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6.1.7投标文含有招标人不能接受的附加条件的 。</w:t>
      </w:r>
    </w:p>
    <w:p w14:paraId="5E921EEB">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6.1.8 评标委员会认为投标人的报价明显低于其他通过符合性审查投标人的报价，有可能影响产品质量或者不能诚信履约的，将要求其在合理的时间内提供说明，必要时提交相关证明材料；投标人不能证明其报价合理性的，评标委员会应当将其作为无效投标处理。</w:t>
      </w:r>
    </w:p>
    <w:p w14:paraId="54BE0E12">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6.1.9投标文件未按照招标文件要求签字或盖章的。</w:t>
      </w:r>
    </w:p>
    <w:p w14:paraId="77631BF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6.1.10投标人的商务技术部分得分相差悬殊，评标委员会认为得分畸低者没有实质性响应的（</w:t>
      </w:r>
      <w:r>
        <w:rPr>
          <w:rFonts w:hint="eastAsia" w:ascii="宋体" w:hAnsi="宋体" w:cs="宋体"/>
          <w:b/>
          <w:color w:val="auto"/>
          <w:kern w:val="0"/>
          <w:sz w:val="24"/>
        </w:rPr>
        <w:t>投标人技术标得分低于招标文件技术总分50%的</w:t>
      </w:r>
      <w:r>
        <w:rPr>
          <w:rFonts w:hint="eastAsia" w:ascii="宋体" w:hAnsi="宋体" w:cs="宋体"/>
          <w:color w:val="auto"/>
          <w:sz w:val="24"/>
        </w:rPr>
        <w:t>）。</w:t>
      </w:r>
    </w:p>
    <w:p w14:paraId="01A64645">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6.1.11启动异常低价响应审查后，供应商不提供书面说明、证明材料，或者提供的书面说明、证明材料不能证明其报价合理性的。</w:t>
      </w:r>
    </w:p>
    <w:p w14:paraId="4A28BA54">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kern w:val="0"/>
          <w:sz w:val="24"/>
        </w:rPr>
        <w:t>6.1.12标注“★”条款出现负偏离。</w:t>
      </w:r>
    </w:p>
    <w:p w14:paraId="17D22CC0">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6.1.13其他法律、法规及本招标文件规定的属无效投标的情形。</w:t>
      </w:r>
    </w:p>
    <w:p w14:paraId="6DC1C4E3">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6.2废标条款：</w:t>
      </w:r>
    </w:p>
    <w:p w14:paraId="3604D6A6">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6.2.1符合专业条件的供应商或者对招标文件作实质响应的供应商不足三家的。</w:t>
      </w:r>
    </w:p>
    <w:p w14:paraId="2AC5AF22">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6.2.2出现影响采购公正的违法、违规行为的。</w:t>
      </w:r>
    </w:p>
    <w:p w14:paraId="2C9A9EA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6.2.3因重大变故，采购任务取消的。</w:t>
      </w:r>
    </w:p>
    <w:p w14:paraId="025036E9">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6.2.4评标委员会认定招标文件存在歧义、重大缺陷导致评审工作无法进行。</w:t>
      </w:r>
    </w:p>
    <w:p w14:paraId="1C86E94C">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6.3 投标截止时间结束后参加投标的供应商不足三家的处理：</w:t>
      </w:r>
    </w:p>
    <w:p w14:paraId="2659DBA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6.3.1如出现投标截止时间结束后参加投标的供应商或者在评标期间对招标文件做出实质响应的供应商不足三家情况，按政府采购相关规定执行。</w:t>
      </w:r>
    </w:p>
    <w:bookmarkEnd w:id="89"/>
    <w:bookmarkEnd w:id="90"/>
    <w:bookmarkEnd w:id="91"/>
    <w:p w14:paraId="3A502628">
      <w:pPr>
        <w:tabs>
          <w:tab w:val="left" w:pos="360"/>
        </w:tabs>
        <w:spacing w:line="460" w:lineRule="exact"/>
        <w:ind w:firstLine="482" w:firstLineChars="200"/>
        <w:rPr>
          <w:rFonts w:hint="eastAsia" w:ascii="宋体" w:hAnsi="宋体" w:cs="宋体"/>
          <w:b/>
          <w:bCs/>
          <w:color w:val="auto"/>
          <w:sz w:val="24"/>
        </w:rPr>
      </w:pPr>
      <w:bookmarkStart w:id="92" w:name="_Toc120614219"/>
      <w:r>
        <w:rPr>
          <w:rFonts w:hint="eastAsia" w:ascii="宋体" w:hAnsi="宋体" w:cs="宋体"/>
          <w:b/>
          <w:bCs/>
          <w:color w:val="auto"/>
          <w:sz w:val="24"/>
        </w:rPr>
        <w:t>六、定标</w:t>
      </w:r>
      <w:bookmarkEnd w:id="92"/>
    </w:p>
    <w:p w14:paraId="53C20B1E">
      <w:pPr>
        <w:tabs>
          <w:tab w:val="left" w:pos="360"/>
        </w:tabs>
        <w:spacing w:line="460" w:lineRule="exact"/>
        <w:ind w:firstLine="480" w:firstLineChars="200"/>
        <w:rPr>
          <w:rFonts w:hint="eastAsia" w:ascii="宋体" w:hAnsi="宋体" w:cs="宋体"/>
          <w:color w:val="auto"/>
          <w:sz w:val="24"/>
        </w:rPr>
      </w:pPr>
      <w:bookmarkStart w:id="93" w:name="_Toc16938554"/>
      <w:bookmarkStart w:id="94" w:name="_Toc20823310"/>
      <w:r>
        <w:rPr>
          <w:rFonts w:hint="eastAsia" w:ascii="宋体" w:hAnsi="宋体" w:cs="宋体"/>
          <w:color w:val="auto"/>
          <w:sz w:val="24"/>
        </w:rPr>
        <w:t>1.确定</w:t>
      </w:r>
      <w:bookmarkEnd w:id="93"/>
      <w:bookmarkEnd w:id="94"/>
      <w:r>
        <w:rPr>
          <w:rFonts w:hint="eastAsia" w:ascii="宋体" w:hAnsi="宋体" w:cs="宋体"/>
          <w:color w:val="auto"/>
          <w:sz w:val="24"/>
        </w:rPr>
        <w:t>中标单位</w:t>
      </w:r>
    </w:p>
    <w:p w14:paraId="4E1215A2">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 xml:space="preserve">1.1中标候选人的选取原则和数量见招标文件第四部分规定。 </w:t>
      </w:r>
    </w:p>
    <w:p w14:paraId="46C388C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1.2招标人授权评委会在中标候选人中直接确定中标人。</w:t>
      </w:r>
    </w:p>
    <w:p w14:paraId="3421282B">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1.3代理机构将在“江苏商贸职业学院网（http://www.jsbc.edu.cn/）”发布中标公告，公告期限为1个工作日。</w:t>
      </w:r>
    </w:p>
    <w:p w14:paraId="52E49B28">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1.4若有充分证据证明，中标人出现下列情况之一的，一经查实，将被取消中标资格：</w:t>
      </w:r>
    </w:p>
    <w:p w14:paraId="560D59EF">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1.4.1提供虚假材料谋取中标的。</w:t>
      </w:r>
    </w:p>
    <w:p w14:paraId="7D82FE2D">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1.4.2向招标人、代理机构行贿或者提供其他不正当利益的。</w:t>
      </w:r>
    </w:p>
    <w:p w14:paraId="4B724BA8">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1.4.3恶意竞争，投标总报价明显低于其自身合理成本且又无法提供证明的。</w:t>
      </w:r>
    </w:p>
    <w:p w14:paraId="379663E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1.4.4属于本文件规定的无效条件，但在评标过程中又未被评委会发现的。</w:t>
      </w:r>
    </w:p>
    <w:p w14:paraId="097F2279">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1.4.5与招标人或者其他供应商恶意串通的。</w:t>
      </w:r>
    </w:p>
    <w:p w14:paraId="64736D1F">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1.4.6采取不正当手段诋毁、排挤其他供应商的。</w:t>
      </w:r>
    </w:p>
    <w:p w14:paraId="391EFC2D">
      <w:pPr>
        <w:tabs>
          <w:tab w:val="left" w:pos="360"/>
        </w:tabs>
        <w:spacing w:line="460" w:lineRule="exact"/>
        <w:ind w:firstLine="480" w:firstLineChars="200"/>
        <w:rPr>
          <w:rFonts w:hint="eastAsia" w:ascii="宋体" w:hAnsi="宋体" w:cs="宋体"/>
          <w:color w:val="auto"/>
          <w:sz w:val="24"/>
        </w:rPr>
      </w:pPr>
      <w:bookmarkStart w:id="95" w:name="_Toc200451960"/>
      <w:r>
        <w:rPr>
          <w:rFonts w:hint="eastAsia" w:ascii="宋体" w:hAnsi="宋体" w:cs="宋体"/>
          <w:color w:val="auto"/>
          <w:sz w:val="24"/>
        </w:rPr>
        <w:t>1.5.有下列情形之一的，视为投标人串通投标，投标无效：</w:t>
      </w:r>
    </w:p>
    <w:p w14:paraId="04A5B0EC">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1.5.1不同投标人的投标文件由同一单位或者个人编制；</w:t>
      </w:r>
    </w:p>
    <w:p w14:paraId="1B7D43DA">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1.5.2不同投标人委托同一单位或者个人办理投标事宜；</w:t>
      </w:r>
    </w:p>
    <w:p w14:paraId="4B04B78B">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1.5.3不同投标人的投标文件载明的项目管理成员或者联系人员为同一人；</w:t>
      </w:r>
    </w:p>
    <w:p w14:paraId="1CF55C5B">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1.5.4不同投标人的投标文件异常一致或者投标报价呈规律性差异；</w:t>
      </w:r>
    </w:p>
    <w:p w14:paraId="68220FB5">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1.5.5不同投标人的投标文件相互混装；</w:t>
      </w:r>
    </w:p>
    <w:p w14:paraId="55EF4F8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2.质疑处理</w:t>
      </w:r>
      <w:bookmarkEnd w:id="95"/>
    </w:p>
    <w:p w14:paraId="769A1FF2">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2.1 提出质疑的供应商应当是参与所质疑项目采购活动的供应商。潜在供应商依法获取其可质疑的采购文件的，可以对采购文件提出质疑。</w:t>
      </w:r>
    </w:p>
    <w:p w14:paraId="434C5509">
      <w:pPr>
        <w:tabs>
          <w:tab w:val="left" w:pos="360"/>
        </w:tabs>
        <w:spacing w:line="460" w:lineRule="exact"/>
        <w:ind w:firstLine="482" w:firstLineChars="200"/>
        <w:rPr>
          <w:rFonts w:hint="eastAsia" w:ascii="宋体" w:hAnsi="宋体" w:cs="宋体"/>
          <w:b/>
          <w:bCs/>
          <w:color w:val="auto"/>
          <w:sz w:val="24"/>
        </w:rPr>
      </w:pPr>
      <w:r>
        <w:rPr>
          <w:rFonts w:hint="eastAsia" w:ascii="宋体" w:hAnsi="宋体" w:cs="宋体"/>
          <w:b/>
          <w:bCs/>
          <w:color w:val="auto"/>
          <w:sz w:val="24"/>
        </w:rPr>
        <w:t>其中：对评审过程中涉及到的密封检查、身份核对、澄清等和程序性事项，供应商如有异议的，必须当场提出。否则，均视为供应商无异议。无论是否成交，供应商事后不得再就前述事项提出任何异议或质疑投诉。</w:t>
      </w:r>
    </w:p>
    <w:p w14:paraId="3C7FDE36">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2.2供应商认为采购文件、采购过程和采购结果使自己的权益受到损害的，可以在知道或应知其权益受到损害之日起七个工作日内，以书面形式向代理机构或招标人提出质疑。上述应知其权益受到损害之日，是指：</w:t>
      </w:r>
    </w:p>
    <w:p w14:paraId="564F6D45">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2.2.1对可以质疑的采购文件提出质疑的，为收到采购文件之日或者采购文件公告期限届满之日；</w:t>
      </w:r>
    </w:p>
    <w:p w14:paraId="1D7B6C8B">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2.2.2对采购过程提出质疑的，为各采购程序环节结束之日；</w:t>
      </w:r>
    </w:p>
    <w:p w14:paraId="3CD94D4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2.2.3对中标或者成交结果提出质疑的，为中标或者成交结果公告期限届满之日。</w:t>
      </w:r>
    </w:p>
    <w:p w14:paraId="6B3B80E1">
      <w:pPr>
        <w:tabs>
          <w:tab w:val="left" w:pos="360"/>
        </w:tabs>
        <w:spacing w:line="460" w:lineRule="exact"/>
        <w:ind w:firstLine="482" w:firstLineChars="200"/>
        <w:rPr>
          <w:rFonts w:hint="eastAsia" w:ascii="宋体" w:hAnsi="宋体" w:cs="宋体"/>
          <w:color w:val="auto"/>
          <w:sz w:val="24"/>
        </w:rPr>
      </w:pPr>
      <w:r>
        <w:rPr>
          <w:rFonts w:hint="eastAsia" w:ascii="宋体" w:hAnsi="宋体" w:cs="宋体"/>
          <w:b/>
          <w:bCs/>
          <w:color w:val="auto"/>
          <w:sz w:val="24"/>
        </w:rPr>
        <w:t>供应商应当在法定质疑期内一次性提出针对同一采购程序环节的质疑</w:t>
      </w:r>
      <w:r>
        <w:rPr>
          <w:rFonts w:hint="eastAsia" w:ascii="宋体" w:hAnsi="宋体" w:cs="宋体"/>
          <w:color w:val="auto"/>
          <w:sz w:val="24"/>
        </w:rPr>
        <w:t>。</w:t>
      </w:r>
    </w:p>
    <w:p w14:paraId="02EA6665">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2.3质疑函必须按照本招标文件中《质疑函范本》要求的格式和内容进行填写。供应商如组成联合体参加投标，则《质疑函范本》中要求签字、盖章、加盖公章之处，联合体各方均须按要求签字、盖章、加盖公章。</w:t>
      </w:r>
    </w:p>
    <w:p w14:paraId="333F1333">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2.4供应商提起质疑采取书面形式，可以现场送达，也可以邮寄。</w:t>
      </w:r>
    </w:p>
    <w:p w14:paraId="33F6A0E2">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招标人及招标代理机构质疑接收人及联系方式，见招标文件第一部分。</w:t>
      </w:r>
    </w:p>
    <w:p w14:paraId="2D43A3B7">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2.5 以下情形的质疑不予受理</w:t>
      </w:r>
    </w:p>
    <w:p w14:paraId="6EBBA665">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2.5.1 内容不符合上述规定的质疑。</w:t>
      </w:r>
    </w:p>
    <w:p w14:paraId="5E82982D">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2.5.2 超出采购法定期限的质疑。</w:t>
      </w:r>
    </w:p>
    <w:p w14:paraId="56C559D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2.5.3 未参加招标活动的供应商或在招标活动中自身权益未受到损害的供应商所提出的质疑。</w:t>
      </w:r>
    </w:p>
    <w:p w14:paraId="4E57AAE4">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2.6 投标人提出书面质疑必须有理、有据，不得捏造事实、提供虚假材料进行恶意质疑。否则，一经查实，招标代理机构有权依据招标的有关规定，报请相关监管部门对该供应商进行相应的行政处罚和记录该供应商的失信信息。</w:t>
      </w:r>
    </w:p>
    <w:p w14:paraId="17431982">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3.中标通知书</w:t>
      </w:r>
    </w:p>
    <w:p w14:paraId="37FCF729">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3.l 中标结果确定后，招标人将向中标单位发出中标通知书。中标单位在中标结果公告期满后5个工作日内到代理机构办理领取中标通知书手续，否则，由此产生的后果供应商自负。</w:t>
      </w:r>
    </w:p>
    <w:p w14:paraId="3202651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3.2中标通知书将是合同的一个组成部分。对招标人和中标单位均具有法律效力。中标通知书发出后，招标人改变中标结果的，或者中标单位放弃中标项目的，应当依法承担法律责任。</w:t>
      </w:r>
    </w:p>
    <w:p w14:paraId="5E692134">
      <w:pPr>
        <w:tabs>
          <w:tab w:val="left" w:pos="360"/>
        </w:tabs>
        <w:spacing w:line="460" w:lineRule="exact"/>
        <w:ind w:firstLine="482" w:firstLineChars="200"/>
        <w:rPr>
          <w:rFonts w:hint="eastAsia" w:ascii="宋体" w:hAnsi="宋体" w:cs="宋体"/>
          <w:b/>
          <w:bCs/>
          <w:color w:val="auto"/>
          <w:sz w:val="24"/>
        </w:rPr>
      </w:pPr>
      <w:bookmarkStart w:id="96" w:name="_Toc120614220"/>
      <w:bookmarkStart w:id="97" w:name="_Toc20823308"/>
      <w:bookmarkStart w:id="98" w:name="_Toc513029236"/>
      <w:bookmarkStart w:id="99" w:name="_Toc16938552"/>
      <w:r>
        <w:rPr>
          <w:rFonts w:hint="eastAsia" w:ascii="宋体" w:hAnsi="宋体" w:cs="宋体"/>
          <w:b/>
          <w:bCs/>
          <w:color w:val="auto"/>
          <w:sz w:val="24"/>
        </w:rPr>
        <w:t>七、授予合同</w:t>
      </w:r>
      <w:bookmarkEnd w:id="96"/>
    </w:p>
    <w:bookmarkEnd w:id="97"/>
    <w:bookmarkEnd w:id="98"/>
    <w:bookmarkEnd w:id="99"/>
    <w:p w14:paraId="1E9470C5">
      <w:pPr>
        <w:tabs>
          <w:tab w:val="left" w:pos="360"/>
        </w:tabs>
        <w:spacing w:line="460" w:lineRule="exact"/>
        <w:ind w:firstLine="480" w:firstLineChars="200"/>
        <w:rPr>
          <w:rFonts w:hint="eastAsia" w:ascii="宋体" w:hAnsi="宋体" w:cs="宋体"/>
          <w:color w:val="auto"/>
          <w:sz w:val="24"/>
        </w:rPr>
      </w:pPr>
      <w:bookmarkStart w:id="100" w:name="_Toc513029237"/>
      <w:bookmarkStart w:id="101" w:name="_Toc16938553"/>
      <w:bookmarkStart w:id="102" w:name="_Toc20823309"/>
      <w:r>
        <w:rPr>
          <w:rFonts w:hint="eastAsia" w:ascii="宋体" w:hAnsi="宋体" w:cs="宋体"/>
          <w:color w:val="auto"/>
          <w:sz w:val="24"/>
        </w:rPr>
        <w:t>1.签订合同</w:t>
      </w:r>
    </w:p>
    <w:p w14:paraId="3BCF96DE">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 xml:space="preserve">1.l中标人在《中标通知书》发出30日内必须按照招标文件确定的事项签订采购合同。合同一式陆份，采购单位伍份、服务商壹份。所签合同不得对采购文件作实质性修改。招标人不得向中标人提出不合理的要求作为签订合同的条件，不得与中标人私下订立背离招标文件实质性内容的协议。  </w:t>
      </w:r>
    </w:p>
    <w:p w14:paraId="270AB51C">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1.2招标人按合同约定积极配合中标人履约，中标人履约到位后，请以书面形式向招标人提出验收申请，招标人接到申请后原则上在5个工作日内及时组织相关专业技术人员，必要时邀请质检等部门共同参与验收，并出具验收报告，验收合格的原则上7个工作日内支付相应款项。</w:t>
      </w:r>
    </w:p>
    <w:p w14:paraId="7FB75E04">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1.3招标人故意推迟项目验收时间的，与中标人串通或要求中标人降低服务标准的，在履行合同中采取更改条款、弄虚作假等手段的，要求中标人出具虚假发票或任意更改销售发票的，谋取不正当利益的，承担相应的法律责任。</w:t>
      </w:r>
    </w:p>
    <w:p w14:paraId="3F118EA8">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1.4中标人出现违约情形，应当及时纠正或补偿；造成损失的，按合同约定追究违约责任；发现有假冒、伪劣、走私产品、商业贿赂等违法情形的，应由招标人移交工商、质监、公安等行政执法部门依法查处。</w:t>
      </w:r>
    </w:p>
    <w:p w14:paraId="22540B2F">
      <w:pPr>
        <w:spacing w:line="360" w:lineRule="auto"/>
        <w:ind w:firstLine="484" w:firstLineChars="202"/>
        <w:rPr>
          <w:rFonts w:hint="eastAsia" w:ascii="宋体" w:hAnsi="宋体" w:cs="宋体"/>
          <w:color w:val="auto"/>
          <w:sz w:val="24"/>
        </w:rPr>
      </w:pPr>
      <w:r>
        <w:rPr>
          <w:rFonts w:hint="eastAsia" w:ascii="宋体" w:hAnsi="宋体" w:cs="宋体"/>
          <w:color w:val="auto"/>
          <w:sz w:val="24"/>
        </w:rPr>
        <w:t>1.5按政府采购合同约定支付的货款进行支付。</w:t>
      </w:r>
    </w:p>
    <w:p w14:paraId="1D21506B">
      <w:pPr>
        <w:tabs>
          <w:tab w:val="left" w:pos="360"/>
        </w:tabs>
        <w:spacing w:line="460" w:lineRule="exact"/>
        <w:rPr>
          <w:rFonts w:hint="eastAsia" w:ascii="宋体" w:hAnsi="宋体" w:cs="宋体"/>
          <w:b/>
          <w:bCs/>
          <w:color w:val="auto"/>
          <w:sz w:val="24"/>
        </w:rPr>
      </w:pPr>
      <w:r>
        <w:rPr>
          <w:rFonts w:hint="eastAsia" w:ascii="宋体" w:hAnsi="宋体" w:cs="宋体"/>
          <w:b/>
          <w:bCs/>
          <w:color w:val="auto"/>
          <w:sz w:val="24"/>
        </w:rPr>
        <w:t>八、未尽事宜</w:t>
      </w:r>
    </w:p>
    <w:p w14:paraId="6B47BD52">
      <w:pPr>
        <w:tabs>
          <w:tab w:val="left" w:pos="360"/>
        </w:tabs>
        <w:spacing w:line="460" w:lineRule="exact"/>
        <w:ind w:firstLine="480" w:firstLineChars="200"/>
        <w:rPr>
          <w:rFonts w:hint="eastAsia" w:ascii="宋体" w:hAnsi="宋体" w:cs="宋体"/>
          <w:color w:val="auto"/>
          <w:sz w:val="24"/>
        </w:rPr>
      </w:pPr>
      <w:r>
        <w:rPr>
          <w:rFonts w:hint="eastAsia" w:ascii="宋体" w:hAnsi="宋体" w:cs="宋体"/>
          <w:color w:val="auto"/>
          <w:sz w:val="24"/>
        </w:rPr>
        <w:t>参照《中华人民共和国政府采购法》及其他有关的法律法规的规定及按江苏商贸职业学院采购管理规定执行。</w:t>
      </w:r>
    </w:p>
    <w:bookmarkEnd w:id="100"/>
    <w:bookmarkEnd w:id="101"/>
    <w:bookmarkEnd w:id="102"/>
    <w:p w14:paraId="04938CEB">
      <w:pPr>
        <w:rPr>
          <w:rFonts w:hint="eastAsia" w:ascii="宋体" w:hAnsi="宋体" w:cs="宋体"/>
          <w:bCs/>
          <w:color w:val="auto"/>
          <w:sz w:val="32"/>
          <w:szCs w:val="32"/>
        </w:rPr>
      </w:pPr>
    </w:p>
    <w:p w14:paraId="3F086840">
      <w:pPr>
        <w:rPr>
          <w:rFonts w:hint="eastAsia" w:ascii="宋体" w:hAnsi="宋体" w:cs="宋体"/>
          <w:bCs/>
          <w:color w:val="auto"/>
          <w:sz w:val="32"/>
          <w:szCs w:val="32"/>
        </w:rPr>
      </w:pPr>
      <w:r>
        <w:rPr>
          <w:rFonts w:hint="eastAsia" w:ascii="宋体" w:hAnsi="宋体" w:cs="宋体"/>
          <w:bCs/>
          <w:color w:val="auto"/>
          <w:sz w:val="32"/>
          <w:szCs w:val="32"/>
        </w:rPr>
        <w:br w:type="page"/>
      </w:r>
    </w:p>
    <w:p w14:paraId="7E457F1D">
      <w:pPr>
        <w:jc w:val="center"/>
        <w:rPr>
          <w:rFonts w:hint="eastAsia" w:ascii="宋体" w:hAnsi="宋体" w:cs="宋体"/>
          <w:bCs/>
          <w:color w:val="auto"/>
          <w:sz w:val="32"/>
          <w:szCs w:val="32"/>
        </w:rPr>
      </w:pPr>
      <w:r>
        <w:rPr>
          <w:rFonts w:hint="eastAsia" w:ascii="宋体" w:hAnsi="宋体" w:cs="宋体"/>
          <w:bCs/>
          <w:color w:val="auto"/>
          <w:sz w:val="32"/>
          <w:szCs w:val="32"/>
        </w:rPr>
        <w:t>第三部分  项目需求</w:t>
      </w:r>
    </w:p>
    <w:bookmarkEnd w:id="0"/>
    <w:bookmarkEnd w:id="1"/>
    <w:bookmarkEnd w:id="2"/>
    <w:p w14:paraId="46F2C264">
      <w:pPr>
        <w:snapToGrid w:val="0"/>
        <w:spacing w:line="460" w:lineRule="exact"/>
        <w:ind w:firstLine="480" w:firstLineChars="200"/>
        <w:rPr>
          <w:rFonts w:hint="eastAsia" w:ascii="宋体" w:hAnsi="宋体" w:cs="宋体"/>
          <w:color w:val="auto"/>
          <w:sz w:val="24"/>
          <w:lang w:val="zh-CN"/>
        </w:rPr>
      </w:pPr>
      <w:bookmarkStart w:id="103" w:name="_Toc182848971"/>
      <w:r>
        <w:rPr>
          <w:rFonts w:hint="eastAsia" w:ascii="宋体" w:hAnsi="宋体" w:cs="宋体"/>
          <w:color w:val="auto"/>
          <w:sz w:val="24"/>
          <w:lang w:val="zh-CN"/>
        </w:rPr>
        <w:t>请投标供应商在报名前和制作投标文件时仔细研究项目需求说明。投标供应商不能简单照搬照抄采购单位项目需求说明中的技术、商务要求，必须作实事求是的响应。如照搬照抄项目需求说明中的技术、商务要求的，中标后供应商在同采购单位签订合同和履约环节中不得提出异议，一切后果和损失由中标供应商承担。</w:t>
      </w:r>
      <w:bookmarkEnd w:id="103"/>
    </w:p>
    <w:p w14:paraId="4EBC8513">
      <w:pPr>
        <w:pStyle w:val="79"/>
        <w:spacing w:line="460" w:lineRule="exact"/>
        <w:ind w:firstLine="482"/>
        <w:rPr>
          <w:rFonts w:hint="eastAsia" w:ascii="宋体" w:hAnsi="宋体" w:cs="宋体"/>
          <w:b/>
          <w:bCs/>
          <w:color w:val="auto"/>
          <w:sz w:val="24"/>
          <w:szCs w:val="24"/>
        </w:rPr>
      </w:pPr>
      <w:bookmarkStart w:id="104" w:name="OLE_LINK52"/>
      <w:bookmarkStart w:id="105" w:name="OLE_LINK51"/>
      <w:r>
        <w:rPr>
          <w:rFonts w:hint="eastAsia" w:ascii="宋体" w:hAnsi="宋体" w:cs="宋体"/>
          <w:b/>
          <w:bCs/>
          <w:color w:val="auto"/>
          <w:kern w:val="2"/>
          <w:sz w:val="24"/>
          <w:szCs w:val="24"/>
        </w:rPr>
        <w:t>一、</w:t>
      </w:r>
      <w:r>
        <w:rPr>
          <w:rFonts w:hint="eastAsia" w:ascii="宋体" w:hAnsi="宋体" w:cs="宋体"/>
          <w:b/>
          <w:bCs/>
          <w:color w:val="auto"/>
          <w:sz w:val="24"/>
          <w:szCs w:val="24"/>
        </w:rPr>
        <w:t>项目背景</w:t>
      </w:r>
    </w:p>
    <w:p w14:paraId="3DC057C0">
      <w:pPr>
        <w:spacing w:line="460" w:lineRule="exact"/>
        <w:ind w:firstLine="480" w:firstLineChars="200"/>
        <w:rPr>
          <w:rFonts w:hint="eastAsia" w:ascii="宋体" w:hAnsi="宋体" w:cs="宋体"/>
          <w:color w:val="auto"/>
          <w:sz w:val="24"/>
        </w:rPr>
      </w:pPr>
      <w:r>
        <w:rPr>
          <w:rFonts w:hint="eastAsia" w:ascii="宋体" w:hAnsi="宋体" w:cs="宋体"/>
          <w:color w:val="auto"/>
          <w:sz w:val="24"/>
        </w:rPr>
        <w:t>校区内车辆逐年增加，车辆超速、违停的现象日趋严重。目前采用传统的人工管理模式管理车辆，管理手段效率低下，且容易导致车辆漏检漏测，引发诸多的校园管理不安全因素，已不能满足当前车辆进出校园管理的需要。因此，拟通过建设校园智能交通系统，通过技防加人防等手段，提高车辆的管理效率，完善车辆管理流程，监控管理校园车辆超速、违停现象，保障校园停车、行车安全，展现江苏商贸职业学院“智慧校园、平安校园”的新面貌。</w:t>
      </w:r>
    </w:p>
    <w:p w14:paraId="0FC4F39C">
      <w:pPr>
        <w:pStyle w:val="79"/>
        <w:spacing w:line="460" w:lineRule="exact"/>
        <w:ind w:firstLine="482"/>
        <w:rPr>
          <w:rFonts w:hint="eastAsia" w:ascii="宋体" w:hAnsi="宋体" w:cs="宋体"/>
          <w:b/>
          <w:bCs/>
          <w:color w:val="auto"/>
          <w:sz w:val="24"/>
          <w:szCs w:val="24"/>
        </w:rPr>
      </w:pPr>
      <w:r>
        <w:rPr>
          <w:rFonts w:hint="eastAsia" w:ascii="宋体" w:hAnsi="宋体" w:cs="宋体"/>
          <w:b/>
          <w:bCs/>
          <w:color w:val="auto"/>
          <w:kern w:val="2"/>
          <w:sz w:val="24"/>
          <w:szCs w:val="24"/>
        </w:rPr>
        <w:t>二、</w:t>
      </w:r>
      <w:r>
        <w:rPr>
          <w:rFonts w:hint="eastAsia" w:ascii="宋体" w:hAnsi="宋体" w:cs="宋体"/>
          <w:b/>
          <w:bCs/>
          <w:color w:val="auto"/>
          <w:sz w:val="24"/>
          <w:szCs w:val="24"/>
        </w:rPr>
        <w:t>项目需求</w:t>
      </w:r>
    </w:p>
    <w:p w14:paraId="3A80F87B">
      <w:pPr>
        <w:spacing w:line="460" w:lineRule="exact"/>
        <w:ind w:firstLine="480" w:firstLineChars="200"/>
        <w:rPr>
          <w:rFonts w:hint="eastAsia" w:ascii="宋体" w:hAnsi="宋体" w:cs="宋体"/>
          <w:color w:val="auto"/>
          <w:sz w:val="24"/>
        </w:rPr>
      </w:pPr>
      <w:r>
        <w:rPr>
          <w:rFonts w:hint="eastAsia" w:ascii="宋体" w:hAnsi="宋体" w:cs="宋体"/>
          <w:color w:val="auto"/>
          <w:sz w:val="24"/>
        </w:rPr>
        <w:t>校园主干道适当位置安装5个抓拍测速设备，限速20km/h（限速阈值可以根据实际情况更改），机动车车辆经过测速点时，实时显示车速信息，所有经过测速点的通行车辆数据自动上传至定制的系统平台，针对超速车辆进行后续相关处理。</w:t>
      </w:r>
    </w:p>
    <w:p w14:paraId="5FE4ED16">
      <w:pPr>
        <w:spacing w:line="460" w:lineRule="exact"/>
        <w:ind w:firstLine="480" w:firstLineChars="200"/>
        <w:rPr>
          <w:rFonts w:hint="eastAsia" w:ascii="宋体" w:hAnsi="宋体" w:cs="宋体"/>
          <w:color w:val="auto"/>
          <w:sz w:val="24"/>
        </w:rPr>
      </w:pPr>
      <w:r>
        <w:rPr>
          <w:rFonts w:hint="eastAsia" w:ascii="宋体" w:hAnsi="宋体" w:cs="宋体"/>
          <w:color w:val="auto"/>
          <w:sz w:val="24"/>
        </w:rPr>
        <w:t>保安在日常巡逻过程中发现违停车辆（包含机动车与非机动车），通过手机端定制系统，实时上传相关数据，并进行后续处理。</w:t>
      </w:r>
    </w:p>
    <w:p w14:paraId="31E90C6F">
      <w:pPr>
        <w:spacing w:line="460" w:lineRule="exact"/>
        <w:ind w:firstLine="480" w:firstLineChars="200"/>
        <w:rPr>
          <w:rFonts w:hint="eastAsia" w:ascii="宋体" w:hAnsi="宋体" w:cs="宋体"/>
          <w:color w:val="auto"/>
          <w:sz w:val="24"/>
        </w:rPr>
      </w:pPr>
      <w:r>
        <w:rPr>
          <w:rFonts w:hint="eastAsia" w:ascii="宋体" w:hAnsi="宋体" w:cs="宋体"/>
          <w:color w:val="auto"/>
          <w:sz w:val="24"/>
        </w:rPr>
        <w:t>西门主干道原测速设备迁移至北门主干道路指定位置。</w:t>
      </w:r>
    </w:p>
    <w:p w14:paraId="0204B9CF">
      <w:pPr>
        <w:pStyle w:val="79"/>
        <w:spacing w:line="460" w:lineRule="exact"/>
        <w:ind w:firstLine="482"/>
        <w:rPr>
          <w:rFonts w:hint="eastAsia" w:ascii="宋体" w:hAnsi="宋体" w:cs="宋体"/>
          <w:b/>
          <w:bCs/>
          <w:color w:val="auto"/>
          <w:sz w:val="24"/>
          <w:szCs w:val="24"/>
        </w:rPr>
      </w:pPr>
      <w:r>
        <w:rPr>
          <w:rFonts w:hint="eastAsia" w:ascii="宋体" w:hAnsi="宋体" w:cs="宋体"/>
          <w:b/>
          <w:bCs/>
          <w:color w:val="auto"/>
          <w:kern w:val="2"/>
          <w:sz w:val="24"/>
          <w:szCs w:val="24"/>
        </w:rPr>
        <w:t>三、</w:t>
      </w:r>
      <w:r>
        <w:rPr>
          <w:rFonts w:hint="eastAsia" w:ascii="宋体" w:hAnsi="宋体" w:cs="宋体"/>
          <w:b/>
          <w:bCs/>
          <w:color w:val="auto"/>
          <w:sz w:val="24"/>
          <w:szCs w:val="24"/>
        </w:rPr>
        <w:t>软、硬件功能描述</w:t>
      </w:r>
    </w:p>
    <w:p w14:paraId="3D20EFD7">
      <w:pPr>
        <w:spacing w:line="460" w:lineRule="exact"/>
        <w:ind w:firstLine="480" w:firstLineChars="200"/>
        <w:rPr>
          <w:rFonts w:hint="eastAsia" w:ascii="宋体" w:hAnsi="宋体" w:cs="宋体"/>
          <w:color w:val="auto"/>
          <w:sz w:val="24"/>
        </w:rPr>
      </w:pPr>
      <w:r>
        <w:rPr>
          <w:rFonts w:hint="eastAsia" w:ascii="宋体" w:hAnsi="宋体" w:cs="宋体"/>
          <w:color w:val="auto"/>
          <w:sz w:val="24"/>
        </w:rPr>
        <w:t>（一）车辆抓拍显示一体机</w:t>
      </w:r>
    </w:p>
    <w:p w14:paraId="01085A3C">
      <w:pPr>
        <w:spacing w:line="460" w:lineRule="exact"/>
        <w:ind w:firstLine="480" w:firstLineChars="200"/>
        <w:rPr>
          <w:rFonts w:hint="eastAsia" w:ascii="宋体" w:hAnsi="宋体" w:cs="宋体"/>
          <w:color w:val="auto"/>
          <w:sz w:val="24"/>
        </w:rPr>
      </w:pPr>
      <w:r>
        <w:rPr>
          <w:rFonts w:hint="eastAsia" w:ascii="宋体" w:hAnsi="宋体" w:cs="宋体"/>
          <w:color w:val="auto"/>
          <w:sz w:val="24"/>
        </w:rPr>
        <w:t>适用于校园车辆测速警示场景，当车辆超速时，显示红色车速+车牌；车辆未超速时，显示绿色车速+车牌；</w:t>
      </w:r>
    </w:p>
    <w:p w14:paraId="33EC6CEA">
      <w:pPr>
        <w:spacing w:line="460" w:lineRule="exact"/>
        <w:ind w:firstLine="480" w:firstLineChars="200"/>
        <w:rPr>
          <w:rFonts w:hint="eastAsia" w:ascii="宋体" w:hAnsi="宋体" w:cs="宋体"/>
          <w:color w:val="auto"/>
          <w:sz w:val="24"/>
        </w:rPr>
      </w:pPr>
      <w:r>
        <w:rPr>
          <w:rFonts w:hint="eastAsia" w:ascii="宋体" w:hAnsi="宋体" w:cs="宋体"/>
          <w:color w:val="auto"/>
          <w:sz w:val="24"/>
        </w:rPr>
        <w:t>支持显示车辆实时车速和车牌号；支持亮度较暗时对车牌补光；</w:t>
      </w:r>
    </w:p>
    <w:p w14:paraId="0441BC8B">
      <w:pPr>
        <w:spacing w:line="460" w:lineRule="exact"/>
        <w:ind w:firstLine="480" w:firstLineChars="200"/>
        <w:rPr>
          <w:rFonts w:hint="eastAsia" w:ascii="宋体" w:hAnsi="宋体" w:cs="宋体"/>
          <w:color w:val="auto"/>
          <w:sz w:val="24"/>
        </w:rPr>
      </w:pPr>
      <w:r>
        <w:rPr>
          <w:rFonts w:hint="eastAsia" w:ascii="宋体" w:hAnsi="宋体" w:cs="宋体"/>
          <w:color w:val="auto"/>
          <w:sz w:val="24"/>
        </w:rPr>
        <w:t>测速范围5-300km/h，车牌识别距离不低于20米；</w:t>
      </w:r>
    </w:p>
    <w:p w14:paraId="3905E805">
      <w:pPr>
        <w:spacing w:line="460" w:lineRule="exact"/>
        <w:ind w:firstLine="480" w:firstLineChars="200"/>
        <w:rPr>
          <w:rFonts w:hint="eastAsia" w:ascii="宋体" w:hAnsi="宋体" w:cs="宋体"/>
          <w:color w:val="auto"/>
          <w:sz w:val="24"/>
        </w:rPr>
      </w:pPr>
      <w:r>
        <w:rPr>
          <w:rFonts w:hint="eastAsia" w:ascii="宋体" w:hAnsi="宋体" w:cs="宋体"/>
          <w:color w:val="auto"/>
          <w:sz w:val="24"/>
        </w:rPr>
        <w:t>支持宽动态，并具有多种白平衡模式，适合各种场景需求；</w:t>
      </w:r>
    </w:p>
    <w:p w14:paraId="43A6CF5F">
      <w:pPr>
        <w:spacing w:line="460" w:lineRule="exact"/>
        <w:ind w:firstLine="480" w:firstLineChars="200"/>
        <w:rPr>
          <w:rFonts w:hint="eastAsia" w:ascii="宋体" w:hAnsi="宋体" w:cs="宋体"/>
          <w:color w:val="auto"/>
          <w:sz w:val="24"/>
        </w:rPr>
      </w:pPr>
      <w:r>
        <w:rPr>
          <w:rFonts w:hint="eastAsia" w:ascii="宋体" w:hAnsi="宋体" w:cs="宋体"/>
          <w:color w:val="auto"/>
          <w:sz w:val="24"/>
        </w:rPr>
        <w:t>内置雷达及视频检测模块，空间分辨率高，穿透力强，测速不受光照、可见度、恶劣气候等自然条件的影响。</w:t>
      </w:r>
    </w:p>
    <w:p w14:paraId="15E78AC6">
      <w:pPr>
        <w:spacing w:line="460" w:lineRule="exact"/>
        <w:ind w:firstLine="480" w:firstLineChars="200"/>
        <w:rPr>
          <w:rFonts w:hint="eastAsia" w:ascii="宋体" w:hAnsi="宋体" w:cs="宋体"/>
          <w:color w:val="auto"/>
          <w:sz w:val="24"/>
        </w:rPr>
      </w:pPr>
      <w:r>
        <w:rPr>
          <w:rFonts w:hint="eastAsia" w:ascii="宋体" w:hAnsi="宋体" w:cs="宋体"/>
          <w:color w:val="auto"/>
          <w:sz w:val="24"/>
        </w:rPr>
        <w:t>（二）终端管理设备</w:t>
      </w:r>
    </w:p>
    <w:p w14:paraId="07112F70">
      <w:pPr>
        <w:spacing w:line="460" w:lineRule="exact"/>
        <w:ind w:firstLine="480" w:firstLineChars="200"/>
        <w:rPr>
          <w:rFonts w:hint="eastAsia" w:ascii="宋体" w:hAnsi="宋体" w:cs="宋体"/>
          <w:color w:val="auto"/>
          <w:sz w:val="24"/>
        </w:rPr>
      </w:pPr>
      <w:r>
        <w:rPr>
          <w:rFonts w:hint="eastAsia" w:ascii="宋体" w:hAnsi="宋体" w:cs="宋体"/>
          <w:color w:val="auto"/>
          <w:sz w:val="24"/>
        </w:rPr>
        <w:t>支持过车记录存储、图片存储、视频存储、数据上传、视频流转发；</w:t>
      </w:r>
    </w:p>
    <w:p w14:paraId="15841B68">
      <w:pPr>
        <w:spacing w:line="460" w:lineRule="exact"/>
        <w:ind w:firstLine="480" w:firstLineChars="200"/>
        <w:rPr>
          <w:rFonts w:hint="eastAsia" w:ascii="宋体" w:hAnsi="宋体" w:cs="宋体"/>
          <w:color w:val="auto"/>
          <w:sz w:val="24"/>
        </w:rPr>
      </w:pPr>
      <w:r>
        <w:rPr>
          <w:rFonts w:hint="eastAsia" w:ascii="宋体" w:hAnsi="宋体" w:cs="宋体"/>
          <w:color w:val="auto"/>
          <w:sz w:val="24"/>
        </w:rPr>
        <w:t>可混合接入智慧监控摄像机、卡口电子警察抓拍机、网络球机等多种前端设备；</w:t>
      </w:r>
    </w:p>
    <w:p w14:paraId="6C3C0F6C">
      <w:pPr>
        <w:spacing w:line="460" w:lineRule="exact"/>
        <w:ind w:firstLine="480" w:firstLineChars="200"/>
        <w:rPr>
          <w:rFonts w:hint="eastAsia" w:ascii="宋体" w:hAnsi="宋体" w:cs="宋体"/>
          <w:color w:val="auto"/>
          <w:sz w:val="24"/>
        </w:rPr>
      </w:pPr>
      <w:r>
        <w:rPr>
          <w:rFonts w:hint="eastAsia" w:ascii="宋体" w:hAnsi="宋体" w:cs="宋体"/>
          <w:color w:val="auto"/>
          <w:sz w:val="24"/>
        </w:rPr>
        <w:t>适合在路边机柜及抱杆机柜使用，单面接口设计，更便于施工操作；</w:t>
      </w:r>
    </w:p>
    <w:p w14:paraId="5762C993">
      <w:pPr>
        <w:spacing w:line="460" w:lineRule="exact"/>
        <w:ind w:firstLine="480" w:firstLineChars="200"/>
        <w:rPr>
          <w:rFonts w:hint="eastAsia" w:ascii="宋体" w:hAnsi="宋体" w:cs="宋体"/>
          <w:color w:val="auto"/>
          <w:sz w:val="24"/>
        </w:rPr>
      </w:pPr>
      <w:r>
        <w:rPr>
          <w:rFonts w:hint="eastAsia" w:ascii="宋体" w:hAnsi="宋体" w:cs="宋体"/>
          <w:color w:val="auto"/>
          <w:sz w:val="24"/>
        </w:rPr>
        <w:t>支持4TB硬盘存储，图片与录像可设置配额；</w:t>
      </w:r>
    </w:p>
    <w:p w14:paraId="5C61B3AE">
      <w:pPr>
        <w:spacing w:line="460" w:lineRule="exact"/>
        <w:ind w:firstLine="480" w:firstLineChars="200"/>
        <w:rPr>
          <w:rFonts w:hint="eastAsia" w:ascii="宋体" w:hAnsi="宋体" w:cs="宋体"/>
          <w:color w:val="auto"/>
          <w:sz w:val="24"/>
        </w:rPr>
      </w:pPr>
      <w:r>
        <w:rPr>
          <w:rFonts w:hint="eastAsia" w:ascii="宋体" w:hAnsi="宋体" w:cs="宋体"/>
          <w:color w:val="auto"/>
          <w:sz w:val="24"/>
        </w:rPr>
        <w:t>支持Web操作、SDK。</w:t>
      </w:r>
    </w:p>
    <w:p w14:paraId="6F3534E8">
      <w:pPr>
        <w:spacing w:line="460" w:lineRule="exact"/>
        <w:ind w:firstLine="480" w:firstLineChars="200"/>
        <w:rPr>
          <w:rFonts w:hint="eastAsia" w:ascii="宋体" w:hAnsi="宋体" w:cs="宋体"/>
          <w:color w:val="auto"/>
          <w:sz w:val="24"/>
        </w:rPr>
      </w:pPr>
      <w:r>
        <w:rPr>
          <w:rFonts w:hint="eastAsia" w:ascii="宋体" w:hAnsi="宋体" w:cs="宋体"/>
          <w:color w:val="auto"/>
          <w:sz w:val="24"/>
        </w:rPr>
        <w:t>（三）园区卡口</w:t>
      </w:r>
    </w:p>
    <w:p w14:paraId="179DFAC1">
      <w:pPr>
        <w:spacing w:line="460" w:lineRule="exact"/>
        <w:ind w:firstLine="480" w:firstLineChars="200"/>
        <w:rPr>
          <w:rFonts w:hint="eastAsia" w:ascii="宋体" w:hAnsi="宋体" w:cs="宋体"/>
          <w:color w:val="auto"/>
          <w:sz w:val="24"/>
        </w:rPr>
      </w:pPr>
      <w:r>
        <w:rPr>
          <w:rFonts w:hint="eastAsia" w:ascii="宋体" w:hAnsi="宋体" w:cs="宋体"/>
          <w:color w:val="auto"/>
          <w:sz w:val="24"/>
        </w:rPr>
        <w:t>园区卡口提供园区内道路上行驶车辆的抓拍识别，包含车牌号码、车牌类型、车牌颜色、车辆类型、车辆颜色、车辆品牌等属性识别，并提供车辆管控能力。支持车辆超速等违规行为检测抓拍和违规数据统计。</w:t>
      </w:r>
    </w:p>
    <w:p w14:paraId="11022813">
      <w:pPr>
        <w:spacing w:line="460" w:lineRule="exact"/>
        <w:ind w:firstLine="480" w:firstLineChars="200"/>
        <w:rPr>
          <w:rFonts w:hint="eastAsia" w:ascii="宋体" w:hAnsi="宋体" w:cs="宋体"/>
          <w:color w:val="auto"/>
          <w:sz w:val="24"/>
        </w:rPr>
      </w:pPr>
      <w:r>
        <w:rPr>
          <w:rFonts w:hint="eastAsia" w:ascii="宋体" w:hAnsi="宋体" w:cs="宋体"/>
          <w:color w:val="auto"/>
          <w:sz w:val="24"/>
        </w:rPr>
        <w:t>（四）定制软件功能</w:t>
      </w:r>
    </w:p>
    <w:p w14:paraId="644FC355">
      <w:pPr>
        <w:pStyle w:val="79"/>
        <w:spacing w:line="460" w:lineRule="exact"/>
        <w:ind w:firstLine="480"/>
        <w:rPr>
          <w:rFonts w:hint="eastAsia" w:ascii="宋体" w:hAnsi="宋体" w:cs="宋体"/>
          <w:color w:val="auto"/>
          <w:sz w:val="24"/>
          <w:szCs w:val="24"/>
        </w:rPr>
      </w:pPr>
      <w:r>
        <w:rPr>
          <w:rFonts w:hint="eastAsia" w:ascii="宋体" w:hAnsi="宋体" w:cs="宋体"/>
          <w:color w:val="auto"/>
          <w:sz w:val="24"/>
          <w:szCs w:val="24"/>
        </w:rPr>
        <w:t>★与学校现有的“高校安全管理平台（版本信息：V1.2.100_20230726）”、“出入口闸机管控系统”、“智慧安保”、“访客系统”、“学校数据中心”等进行对接。</w:t>
      </w:r>
    </w:p>
    <w:p w14:paraId="6816AFD3">
      <w:pPr>
        <w:spacing w:line="460" w:lineRule="exact"/>
        <w:ind w:firstLine="480" w:firstLineChars="200"/>
        <w:rPr>
          <w:rFonts w:hint="eastAsia" w:ascii="宋体" w:hAnsi="宋体" w:cs="宋体"/>
          <w:color w:val="auto"/>
          <w:sz w:val="24"/>
        </w:rPr>
      </w:pPr>
      <w:r>
        <w:rPr>
          <w:rFonts w:hint="eastAsia" w:ascii="宋体" w:hAnsi="宋体" w:cs="宋体"/>
          <w:color w:val="auto"/>
          <w:sz w:val="24"/>
        </w:rPr>
        <w:t>1、违章信息获取</w:t>
      </w:r>
    </w:p>
    <w:p w14:paraId="4B56C834">
      <w:pPr>
        <w:spacing w:line="460" w:lineRule="exact"/>
        <w:ind w:firstLine="480" w:firstLineChars="200"/>
        <w:rPr>
          <w:rFonts w:hint="eastAsia" w:ascii="宋体" w:hAnsi="宋体" w:cs="宋体"/>
          <w:color w:val="auto"/>
          <w:sz w:val="24"/>
        </w:rPr>
      </w:pPr>
      <w:r>
        <w:rPr>
          <w:rFonts w:hint="eastAsia" w:ascii="宋体" w:hAnsi="宋体" w:cs="宋体"/>
          <w:color w:val="auto"/>
          <w:sz w:val="24"/>
        </w:rPr>
        <w:t>【1】机动车车辆超速信息获取</w:t>
      </w:r>
    </w:p>
    <w:p w14:paraId="2C10F326">
      <w:pPr>
        <w:spacing w:line="460" w:lineRule="exact"/>
        <w:ind w:firstLine="480" w:firstLineChars="200"/>
        <w:rPr>
          <w:rFonts w:hint="eastAsia" w:ascii="宋体" w:hAnsi="宋体" w:cs="宋体"/>
          <w:color w:val="auto"/>
          <w:sz w:val="24"/>
        </w:rPr>
      </w:pPr>
      <w:r>
        <w:rPr>
          <w:rFonts w:hint="eastAsia" w:ascii="宋体" w:hAnsi="宋体" w:cs="宋体"/>
          <w:color w:val="auto"/>
          <w:sz w:val="24"/>
        </w:rPr>
        <w:t>借助车辆抓拍显示一体机设备和配套软件，支持车辆的抓拍识别。对所有经过机动车车辆进行抓拍，获取车辆相关信息、车速、通行时间等数据统计，并分析出超速车辆，限速阈值可以根据实际情况更改。</w:t>
      </w:r>
    </w:p>
    <w:p w14:paraId="097D7ABF">
      <w:pPr>
        <w:spacing w:line="460" w:lineRule="exact"/>
        <w:ind w:firstLine="480" w:firstLineChars="200"/>
        <w:rPr>
          <w:rFonts w:hint="eastAsia" w:ascii="宋体" w:hAnsi="宋体" w:cs="宋体"/>
          <w:color w:val="auto"/>
          <w:sz w:val="24"/>
        </w:rPr>
      </w:pPr>
      <w:r>
        <w:rPr>
          <w:rFonts w:hint="eastAsia" w:ascii="宋体" w:hAnsi="宋体" w:cs="宋体"/>
          <w:color w:val="auto"/>
          <w:sz w:val="24"/>
        </w:rPr>
        <w:t>【2】机动车车辆违停信息获取</w:t>
      </w:r>
    </w:p>
    <w:p w14:paraId="22811283">
      <w:pPr>
        <w:spacing w:line="460" w:lineRule="exact"/>
        <w:ind w:firstLine="480" w:firstLineChars="200"/>
        <w:rPr>
          <w:rFonts w:hint="eastAsia" w:ascii="宋体" w:hAnsi="宋体" w:cs="宋体"/>
          <w:color w:val="auto"/>
          <w:sz w:val="24"/>
        </w:rPr>
      </w:pPr>
      <w:r>
        <w:rPr>
          <w:rFonts w:hint="eastAsia" w:ascii="宋体" w:hAnsi="宋体" w:cs="宋体"/>
          <w:color w:val="auto"/>
          <w:sz w:val="24"/>
        </w:rPr>
        <w:t>保安日常巡逻校园发现机动车车辆违停时，手机端打开定制的软件系统，拍照并上传车辆违停信息；手机操作界面通过输入车牌号码获取到手机号码后，一键呼叫车主，实现高效的违停处理闭环。</w:t>
      </w:r>
    </w:p>
    <w:p w14:paraId="6B206231">
      <w:pPr>
        <w:spacing w:line="460" w:lineRule="exact"/>
        <w:ind w:firstLine="480" w:firstLineChars="200"/>
        <w:rPr>
          <w:rFonts w:hint="eastAsia" w:ascii="宋体" w:hAnsi="宋体" w:cs="宋体"/>
          <w:color w:val="auto"/>
          <w:sz w:val="24"/>
        </w:rPr>
      </w:pPr>
      <w:r>
        <w:rPr>
          <w:rFonts w:hint="eastAsia" w:ascii="宋体" w:hAnsi="宋体" w:cs="宋体"/>
          <w:color w:val="auto"/>
          <w:sz w:val="24"/>
        </w:rPr>
        <w:t>注：可通过车牌查询车主信息，包含人员信息、组织架构信息、联系方式（号码段中间字符显示密文）等。</w:t>
      </w:r>
    </w:p>
    <w:p w14:paraId="6B399D26">
      <w:pPr>
        <w:spacing w:line="460" w:lineRule="exact"/>
        <w:ind w:firstLine="480" w:firstLineChars="200"/>
        <w:rPr>
          <w:rFonts w:hint="eastAsia" w:ascii="宋体" w:hAnsi="宋体" w:cs="宋体"/>
          <w:color w:val="auto"/>
          <w:sz w:val="24"/>
        </w:rPr>
      </w:pPr>
      <w:r>
        <w:rPr>
          <w:rFonts w:hint="eastAsia" w:ascii="宋体" w:hAnsi="宋体" w:cs="宋体"/>
          <w:color w:val="auto"/>
          <w:sz w:val="24"/>
        </w:rPr>
        <w:t>2、机动车车辆违章处理</w:t>
      </w:r>
    </w:p>
    <w:p w14:paraId="287C20C1">
      <w:pPr>
        <w:spacing w:line="460" w:lineRule="exact"/>
        <w:ind w:firstLine="480" w:firstLineChars="200"/>
        <w:rPr>
          <w:rFonts w:hint="eastAsia" w:ascii="宋体" w:hAnsi="宋体" w:cs="宋体"/>
          <w:color w:val="auto"/>
          <w:sz w:val="24"/>
        </w:rPr>
      </w:pPr>
      <w:r>
        <w:rPr>
          <w:rFonts w:hint="eastAsia" w:ascii="宋体" w:hAnsi="宋体" w:cs="宋体"/>
          <w:color w:val="auto"/>
          <w:sz w:val="24"/>
        </w:rPr>
        <w:t>【1】机动车车辆违章（超速、违停）时，向其发送短信提醒（包含固定车辆与访客车辆）。</w:t>
      </w:r>
    </w:p>
    <w:p w14:paraId="7AF24FE5">
      <w:pPr>
        <w:spacing w:line="460" w:lineRule="exact"/>
        <w:ind w:firstLine="480" w:firstLineChars="200"/>
        <w:rPr>
          <w:rFonts w:hint="eastAsia" w:ascii="宋体" w:hAnsi="宋体" w:cs="宋体"/>
          <w:color w:val="auto"/>
          <w:sz w:val="24"/>
        </w:rPr>
      </w:pPr>
      <w:r>
        <w:rPr>
          <w:rFonts w:hint="eastAsia" w:ascii="宋体" w:hAnsi="宋体" w:cs="宋体"/>
          <w:color w:val="auto"/>
          <w:sz w:val="24"/>
        </w:rPr>
        <w:t>【2】机动车车辆违章（超速、违停）次数合并超过阈值（暂定3次）后，将进入校园车辆管理黑名单。</w:t>
      </w:r>
    </w:p>
    <w:p w14:paraId="3D6E089E">
      <w:pPr>
        <w:spacing w:line="460" w:lineRule="exact"/>
        <w:ind w:firstLine="480" w:firstLineChars="200"/>
        <w:rPr>
          <w:rFonts w:hint="eastAsia" w:ascii="宋体" w:hAnsi="宋体" w:cs="宋体"/>
          <w:color w:val="auto"/>
          <w:sz w:val="24"/>
        </w:rPr>
      </w:pPr>
      <w:r>
        <w:rPr>
          <w:rFonts w:hint="eastAsia" w:ascii="宋体" w:hAnsi="宋体" w:cs="宋体"/>
          <w:color w:val="auto"/>
          <w:sz w:val="24"/>
        </w:rPr>
        <w:t>注：可设置白名单车辆，不受上述限制</w:t>
      </w:r>
    </w:p>
    <w:p w14:paraId="00220CF1">
      <w:pPr>
        <w:spacing w:line="460" w:lineRule="exact"/>
        <w:ind w:firstLine="480" w:firstLineChars="200"/>
        <w:rPr>
          <w:rFonts w:hint="eastAsia" w:ascii="宋体" w:hAnsi="宋体" w:cs="宋体"/>
          <w:color w:val="auto"/>
          <w:sz w:val="24"/>
        </w:rPr>
      </w:pPr>
      <w:r>
        <w:rPr>
          <w:rFonts w:hint="eastAsia" w:ascii="宋体" w:hAnsi="宋体" w:cs="宋体"/>
          <w:color w:val="auto"/>
          <w:sz w:val="24"/>
        </w:rPr>
        <w:t>【3】黑名单车辆在一个月（暂定）后自动移除黑名单，或黑名单车辆的车主填写并提交申请，经相关部门审批后，由安保处相关负责人手动移出黑名单。</w:t>
      </w:r>
    </w:p>
    <w:p w14:paraId="14A54E89">
      <w:pPr>
        <w:spacing w:line="460" w:lineRule="exact"/>
        <w:ind w:firstLine="480" w:firstLineChars="200"/>
        <w:rPr>
          <w:rFonts w:hint="eastAsia" w:ascii="宋体" w:hAnsi="宋体" w:cs="宋体"/>
          <w:color w:val="auto"/>
          <w:sz w:val="24"/>
        </w:rPr>
      </w:pPr>
      <w:r>
        <w:rPr>
          <w:rFonts w:hint="eastAsia" w:ascii="宋体" w:hAnsi="宋体" w:cs="宋体"/>
          <w:color w:val="auto"/>
          <w:sz w:val="24"/>
        </w:rPr>
        <w:t>注：如访客车辆进入黑名单期间，访客再次申请时，界面弹窗相关黑名单提示，如需进校，联系被访老师走流程解除黑名单。</w:t>
      </w:r>
    </w:p>
    <w:p w14:paraId="02B39BC5">
      <w:pPr>
        <w:spacing w:line="460" w:lineRule="exact"/>
        <w:ind w:firstLine="480" w:firstLineChars="200"/>
        <w:rPr>
          <w:rFonts w:hint="eastAsia" w:ascii="宋体" w:hAnsi="宋体" w:cs="宋体"/>
          <w:color w:val="auto"/>
          <w:sz w:val="24"/>
        </w:rPr>
      </w:pPr>
      <w:r>
        <w:rPr>
          <w:rFonts w:hint="eastAsia" w:ascii="宋体" w:hAnsi="宋体" w:cs="宋体"/>
          <w:color w:val="auto"/>
          <w:sz w:val="24"/>
        </w:rPr>
        <w:t>3、陌生机动车车辆违规进校处理</w:t>
      </w:r>
    </w:p>
    <w:p w14:paraId="408CDA66">
      <w:pPr>
        <w:spacing w:line="460" w:lineRule="exact"/>
        <w:ind w:firstLine="480" w:firstLineChars="200"/>
        <w:rPr>
          <w:rFonts w:hint="eastAsia" w:ascii="宋体" w:hAnsi="宋体" w:cs="宋体"/>
          <w:color w:val="auto"/>
          <w:sz w:val="24"/>
        </w:rPr>
      </w:pPr>
      <w:r>
        <w:rPr>
          <w:rFonts w:hint="eastAsia" w:ascii="宋体" w:hAnsi="宋体" w:cs="宋体"/>
          <w:color w:val="auto"/>
          <w:sz w:val="24"/>
        </w:rPr>
        <w:t>不在①固定车辆数据库②有效期内的访客车辆数据库的车辆进入校园后被车辆抓拍摄像机抓拍到，相关信息推送至安保处，待安保处确认是非法途径进校后，手动加入长期黑名单库（不遵循自动移除规则），如需移出黑名单，须安保处手动移出。</w:t>
      </w:r>
    </w:p>
    <w:p w14:paraId="1CFE2E63">
      <w:pPr>
        <w:spacing w:line="460" w:lineRule="exact"/>
        <w:ind w:firstLine="480" w:firstLineChars="200"/>
        <w:rPr>
          <w:rFonts w:hint="eastAsia" w:ascii="宋体" w:hAnsi="宋体" w:cs="宋体"/>
          <w:color w:val="auto"/>
          <w:sz w:val="24"/>
        </w:rPr>
      </w:pPr>
      <w:r>
        <w:rPr>
          <w:rFonts w:hint="eastAsia" w:ascii="宋体" w:hAnsi="宋体" w:cs="宋体"/>
          <w:color w:val="auto"/>
          <w:sz w:val="24"/>
        </w:rPr>
        <w:t>4、非机动车车辆违停处理</w:t>
      </w:r>
    </w:p>
    <w:p w14:paraId="0FEEC251">
      <w:pPr>
        <w:spacing w:line="460" w:lineRule="exact"/>
        <w:ind w:firstLine="480" w:firstLineChars="200"/>
        <w:rPr>
          <w:rFonts w:hint="eastAsia" w:ascii="宋体" w:hAnsi="宋体" w:cs="宋体"/>
          <w:color w:val="auto"/>
          <w:sz w:val="24"/>
        </w:rPr>
      </w:pPr>
      <w:r>
        <w:rPr>
          <w:rFonts w:hint="eastAsia" w:ascii="宋体" w:hAnsi="宋体" w:cs="宋体"/>
          <w:color w:val="auto"/>
          <w:sz w:val="24"/>
        </w:rPr>
        <w:t>保安日常巡逻校园发现非机动车车辆违停时，根据车辆号牌可查询车主并一键拨号电话通知。</w:t>
      </w:r>
    </w:p>
    <w:p w14:paraId="2DA054FD">
      <w:pPr>
        <w:pStyle w:val="79"/>
        <w:spacing w:line="460" w:lineRule="exact"/>
        <w:ind w:firstLine="480"/>
        <w:rPr>
          <w:rFonts w:hint="eastAsia" w:ascii="宋体" w:hAnsi="宋体" w:cs="宋体"/>
          <w:b/>
          <w:bCs/>
          <w:color w:val="auto"/>
          <w:sz w:val="24"/>
          <w:szCs w:val="24"/>
        </w:rPr>
      </w:pPr>
      <w:r>
        <w:rPr>
          <w:rFonts w:hint="eastAsia" w:ascii="宋体" w:hAnsi="宋体" w:cs="宋体"/>
          <w:b/>
          <w:bCs/>
          <w:color w:val="auto"/>
          <w:kern w:val="2"/>
          <w:sz w:val="24"/>
          <w:szCs w:val="24"/>
        </w:rPr>
        <w:t>四、</w:t>
      </w:r>
      <w:r>
        <w:rPr>
          <w:rFonts w:hint="eastAsia" w:ascii="宋体" w:hAnsi="宋体" w:cs="宋体"/>
          <w:b/>
          <w:bCs/>
          <w:color w:val="auto"/>
          <w:sz w:val="24"/>
          <w:szCs w:val="24"/>
        </w:rPr>
        <w:t>项目清单</w:t>
      </w:r>
    </w:p>
    <w:tbl>
      <w:tblPr>
        <w:tblStyle w:val="37"/>
        <w:tblW w:w="9493" w:type="dxa"/>
        <w:tblInd w:w="0" w:type="dxa"/>
        <w:tblLayout w:type="autofit"/>
        <w:tblCellMar>
          <w:top w:w="0" w:type="dxa"/>
          <w:left w:w="108" w:type="dxa"/>
          <w:bottom w:w="0" w:type="dxa"/>
          <w:right w:w="108" w:type="dxa"/>
        </w:tblCellMar>
      </w:tblPr>
      <w:tblGrid>
        <w:gridCol w:w="846"/>
        <w:gridCol w:w="1134"/>
        <w:gridCol w:w="6095"/>
        <w:gridCol w:w="709"/>
        <w:gridCol w:w="709"/>
      </w:tblGrid>
      <w:tr w14:paraId="10D83F92">
        <w:tblPrEx>
          <w:tblCellMar>
            <w:top w:w="0" w:type="dxa"/>
            <w:left w:w="108" w:type="dxa"/>
            <w:bottom w:w="0" w:type="dxa"/>
            <w:right w:w="108" w:type="dxa"/>
          </w:tblCellMar>
        </w:tblPrEx>
        <w:trPr>
          <w:trHeight w:val="312" w:hRule="atLeast"/>
          <w:tblHeader/>
        </w:trPr>
        <w:tc>
          <w:tcPr>
            <w:tcW w:w="846" w:type="dxa"/>
            <w:vMerge w:val="restart"/>
            <w:tcBorders>
              <w:top w:val="single" w:color="0D0D0D" w:sz="4" w:space="0"/>
              <w:left w:val="single" w:color="0D0D0D" w:sz="4" w:space="0"/>
              <w:bottom w:val="nil"/>
              <w:right w:val="single" w:color="0D0D0D" w:sz="4" w:space="0"/>
            </w:tcBorders>
            <w:noWrap/>
            <w:vAlign w:val="center"/>
          </w:tcPr>
          <w:p w14:paraId="4BDA2C7B">
            <w:pPr>
              <w:jc w:val="center"/>
              <w:rPr>
                <w:rFonts w:hint="eastAsia" w:ascii="宋体" w:hAnsi="宋体" w:cs="宋体"/>
                <w:b/>
                <w:bCs/>
                <w:color w:val="auto"/>
                <w:sz w:val="24"/>
              </w:rPr>
            </w:pPr>
            <w:r>
              <w:rPr>
                <w:rFonts w:hint="eastAsia" w:ascii="宋体" w:hAnsi="宋体" w:cs="宋体"/>
                <w:b/>
                <w:bCs/>
                <w:color w:val="auto"/>
                <w:sz w:val="24"/>
              </w:rPr>
              <w:t>序号</w:t>
            </w:r>
          </w:p>
        </w:tc>
        <w:tc>
          <w:tcPr>
            <w:tcW w:w="1134" w:type="dxa"/>
            <w:vMerge w:val="restart"/>
            <w:tcBorders>
              <w:top w:val="single" w:color="0D0D0D" w:sz="4" w:space="0"/>
              <w:left w:val="single" w:color="0D0D0D" w:sz="4" w:space="0"/>
              <w:bottom w:val="nil"/>
              <w:right w:val="single" w:color="0D0D0D" w:sz="4" w:space="0"/>
            </w:tcBorders>
            <w:noWrap/>
            <w:vAlign w:val="center"/>
          </w:tcPr>
          <w:p w14:paraId="130F672D">
            <w:pPr>
              <w:jc w:val="center"/>
              <w:rPr>
                <w:rFonts w:hint="eastAsia" w:ascii="宋体" w:hAnsi="宋体" w:cs="宋体"/>
                <w:b/>
                <w:bCs/>
                <w:color w:val="auto"/>
                <w:sz w:val="24"/>
              </w:rPr>
            </w:pPr>
            <w:r>
              <w:rPr>
                <w:rFonts w:hint="eastAsia" w:ascii="宋体" w:hAnsi="宋体" w:cs="宋体"/>
                <w:b/>
                <w:bCs/>
                <w:color w:val="auto"/>
                <w:sz w:val="24"/>
              </w:rPr>
              <w:t>名称</w:t>
            </w:r>
          </w:p>
        </w:tc>
        <w:tc>
          <w:tcPr>
            <w:tcW w:w="6095" w:type="dxa"/>
            <w:vMerge w:val="restart"/>
            <w:tcBorders>
              <w:top w:val="single" w:color="0D0D0D" w:sz="4" w:space="0"/>
              <w:left w:val="single" w:color="0D0D0D" w:sz="4" w:space="0"/>
              <w:bottom w:val="single" w:color="000000" w:sz="4" w:space="0"/>
              <w:right w:val="nil"/>
            </w:tcBorders>
            <w:noWrap/>
            <w:vAlign w:val="center"/>
          </w:tcPr>
          <w:p w14:paraId="11C649C1">
            <w:pPr>
              <w:jc w:val="center"/>
              <w:rPr>
                <w:rFonts w:hint="eastAsia" w:ascii="宋体" w:hAnsi="宋体" w:cs="宋体"/>
                <w:b/>
                <w:bCs/>
                <w:color w:val="auto"/>
                <w:sz w:val="24"/>
              </w:rPr>
            </w:pPr>
            <w:r>
              <w:rPr>
                <w:rFonts w:hint="eastAsia" w:ascii="宋体" w:hAnsi="宋体" w:cs="宋体"/>
                <w:b/>
                <w:bCs/>
                <w:color w:val="auto"/>
                <w:sz w:val="24"/>
              </w:rPr>
              <w:t>规格参数</w:t>
            </w:r>
          </w:p>
        </w:tc>
        <w:tc>
          <w:tcPr>
            <w:tcW w:w="709" w:type="dxa"/>
            <w:vMerge w:val="restart"/>
            <w:tcBorders>
              <w:top w:val="single" w:color="0D0D0D" w:sz="4" w:space="0"/>
              <w:left w:val="single" w:color="0D0D0D" w:sz="4" w:space="0"/>
              <w:bottom w:val="nil"/>
              <w:right w:val="single" w:color="0D0D0D" w:sz="4" w:space="0"/>
            </w:tcBorders>
            <w:noWrap/>
            <w:vAlign w:val="center"/>
          </w:tcPr>
          <w:p w14:paraId="3300D952">
            <w:pPr>
              <w:jc w:val="center"/>
              <w:rPr>
                <w:rFonts w:hint="eastAsia" w:ascii="宋体" w:hAnsi="宋体" w:cs="宋体"/>
                <w:b/>
                <w:bCs/>
                <w:color w:val="auto"/>
                <w:sz w:val="24"/>
              </w:rPr>
            </w:pPr>
            <w:r>
              <w:rPr>
                <w:rFonts w:hint="eastAsia" w:ascii="宋体" w:hAnsi="宋体" w:cs="宋体"/>
                <w:b/>
                <w:bCs/>
                <w:color w:val="auto"/>
                <w:sz w:val="24"/>
              </w:rPr>
              <w:t>数量</w:t>
            </w:r>
          </w:p>
        </w:tc>
        <w:tc>
          <w:tcPr>
            <w:tcW w:w="709" w:type="dxa"/>
            <w:vMerge w:val="restart"/>
            <w:tcBorders>
              <w:top w:val="single" w:color="0D0D0D" w:sz="4" w:space="0"/>
              <w:left w:val="single" w:color="0D0D0D" w:sz="4" w:space="0"/>
              <w:bottom w:val="nil"/>
              <w:right w:val="single" w:color="0D0D0D" w:sz="4" w:space="0"/>
            </w:tcBorders>
            <w:noWrap/>
            <w:vAlign w:val="center"/>
          </w:tcPr>
          <w:p w14:paraId="358729C5">
            <w:pPr>
              <w:jc w:val="center"/>
              <w:rPr>
                <w:rFonts w:hint="eastAsia" w:ascii="宋体" w:hAnsi="宋体" w:cs="宋体"/>
                <w:b/>
                <w:bCs/>
                <w:color w:val="auto"/>
                <w:sz w:val="24"/>
              </w:rPr>
            </w:pPr>
            <w:r>
              <w:rPr>
                <w:rFonts w:hint="eastAsia" w:ascii="宋体" w:hAnsi="宋体" w:cs="宋体"/>
                <w:b/>
                <w:bCs/>
                <w:color w:val="auto"/>
                <w:sz w:val="24"/>
              </w:rPr>
              <w:t>单位</w:t>
            </w:r>
          </w:p>
        </w:tc>
      </w:tr>
      <w:tr w14:paraId="539520A9">
        <w:tblPrEx>
          <w:tblCellMar>
            <w:top w:w="0" w:type="dxa"/>
            <w:left w:w="108" w:type="dxa"/>
            <w:bottom w:w="0" w:type="dxa"/>
            <w:right w:w="108" w:type="dxa"/>
          </w:tblCellMar>
        </w:tblPrEx>
        <w:trPr>
          <w:trHeight w:val="312" w:hRule="atLeast"/>
        </w:trPr>
        <w:tc>
          <w:tcPr>
            <w:tcW w:w="846" w:type="dxa"/>
            <w:vMerge w:val="continue"/>
            <w:tcBorders>
              <w:top w:val="single" w:color="0D0D0D" w:sz="4" w:space="0"/>
              <w:left w:val="single" w:color="0D0D0D" w:sz="4" w:space="0"/>
              <w:bottom w:val="nil"/>
              <w:right w:val="single" w:color="0D0D0D" w:sz="4" w:space="0"/>
            </w:tcBorders>
            <w:vAlign w:val="center"/>
          </w:tcPr>
          <w:p w14:paraId="6AF915B2">
            <w:pPr>
              <w:widowControl/>
              <w:jc w:val="left"/>
              <w:rPr>
                <w:rFonts w:hint="eastAsia" w:ascii="宋体" w:hAnsi="宋体" w:cs="宋体"/>
                <w:b/>
                <w:bCs/>
                <w:color w:val="auto"/>
                <w:kern w:val="0"/>
                <w:sz w:val="24"/>
              </w:rPr>
            </w:pPr>
          </w:p>
        </w:tc>
        <w:tc>
          <w:tcPr>
            <w:tcW w:w="1134" w:type="dxa"/>
            <w:vMerge w:val="continue"/>
            <w:tcBorders>
              <w:top w:val="single" w:color="0D0D0D" w:sz="4" w:space="0"/>
              <w:left w:val="single" w:color="0D0D0D" w:sz="4" w:space="0"/>
              <w:bottom w:val="nil"/>
              <w:right w:val="single" w:color="0D0D0D" w:sz="4" w:space="0"/>
            </w:tcBorders>
            <w:vAlign w:val="center"/>
          </w:tcPr>
          <w:p w14:paraId="693DB866">
            <w:pPr>
              <w:widowControl/>
              <w:jc w:val="left"/>
              <w:rPr>
                <w:rFonts w:hint="eastAsia" w:ascii="宋体" w:hAnsi="宋体" w:cs="宋体"/>
                <w:b/>
                <w:bCs/>
                <w:color w:val="auto"/>
                <w:kern w:val="0"/>
                <w:sz w:val="24"/>
              </w:rPr>
            </w:pPr>
          </w:p>
        </w:tc>
        <w:tc>
          <w:tcPr>
            <w:tcW w:w="6095" w:type="dxa"/>
            <w:vMerge w:val="continue"/>
            <w:tcBorders>
              <w:top w:val="single" w:color="0D0D0D" w:sz="4" w:space="0"/>
              <w:left w:val="single" w:color="0D0D0D" w:sz="4" w:space="0"/>
              <w:bottom w:val="single" w:color="000000" w:sz="4" w:space="0"/>
              <w:right w:val="nil"/>
            </w:tcBorders>
            <w:vAlign w:val="center"/>
          </w:tcPr>
          <w:p w14:paraId="589C4F8B">
            <w:pPr>
              <w:widowControl/>
              <w:jc w:val="left"/>
              <w:rPr>
                <w:rFonts w:hint="eastAsia" w:ascii="宋体" w:hAnsi="宋体" w:cs="宋体"/>
                <w:b/>
                <w:bCs/>
                <w:color w:val="auto"/>
                <w:kern w:val="0"/>
                <w:sz w:val="24"/>
              </w:rPr>
            </w:pPr>
          </w:p>
        </w:tc>
        <w:tc>
          <w:tcPr>
            <w:tcW w:w="709" w:type="dxa"/>
            <w:vMerge w:val="continue"/>
            <w:tcBorders>
              <w:top w:val="single" w:color="0D0D0D" w:sz="4" w:space="0"/>
              <w:left w:val="single" w:color="0D0D0D" w:sz="4" w:space="0"/>
              <w:bottom w:val="nil"/>
              <w:right w:val="single" w:color="0D0D0D" w:sz="4" w:space="0"/>
            </w:tcBorders>
            <w:vAlign w:val="center"/>
          </w:tcPr>
          <w:p w14:paraId="6A908AE9">
            <w:pPr>
              <w:widowControl/>
              <w:jc w:val="left"/>
              <w:rPr>
                <w:rFonts w:hint="eastAsia" w:ascii="宋体" w:hAnsi="宋体" w:cs="宋体"/>
                <w:b/>
                <w:bCs/>
                <w:color w:val="auto"/>
                <w:kern w:val="0"/>
                <w:sz w:val="24"/>
              </w:rPr>
            </w:pPr>
          </w:p>
        </w:tc>
        <w:tc>
          <w:tcPr>
            <w:tcW w:w="709" w:type="dxa"/>
            <w:vMerge w:val="continue"/>
            <w:tcBorders>
              <w:top w:val="single" w:color="0D0D0D" w:sz="4" w:space="0"/>
              <w:left w:val="single" w:color="0D0D0D" w:sz="4" w:space="0"/>
              <w:bottom w:val="nil"/>
              <w:right w:val="single" w:color="0D0D0D" w:sz="4" w:space="0"/>
            </w:tcBorders>
            <w:vAlign w:val="center"/>
          </w:tcPr>
          <w:p w14:paraId="66C4A556">
            <w:pPr>
              <w:widowControl/>
              <w:jc w:val="left"/>
              <w:rPr>
                <w:rFonts w:hint="eastAsia" w:ascii="宋体" w:hAnsi="宋体" w:cs="宋体"/>
                <w:b/>
                <w:bCs/>
                <w:color w:val="auto"/>
                <w:kern w:val="0"/>
                <w:sz w:val="24"/>
              </w:rPr>
            </w:pPr>
          </w:p>
        </w:tc>
      </w:tr>
      <w:tr w14:paraId="0335644C">
        <w:tblPrEx>
          <w:tblCellMar>
            <w:top w:w="0" w:type="dxa"/>
            <w:left w:w="108" w:type="dxa"/>
            <w:bottom w:w="0" w:type="dxa"/>
            <w:right w:w="108" w:type="dxa"/>
          </w:tblCellMar>
        </w:tblPrEx>
        <w:trPr>
          <w:trHeight w:val="3085" w:hRule="atLeast"/>
        </w:trPr>
        <w:tc>
          <w:tcPr>
            <w:tcW w:w="846" w:type="dxa"/>
            <w:tcBorders>
              <w:top w:val="single" w:color="000000" w:sz="4" w:space="0"/>
              <w:left w:val="single" w:color="000000" w:sz="4" w:space="0"/>
              <w:bottom w:val="single" w:color="000000" w:sz="4" w:space="0"/>
              <w:right w:val="single" w:color="000000" w:sz="4" w:space="0"/>
            </w:tcBorders>
            <w:vAlign w:val="center"/>
          </w:tcPr>
          <w:p w14:paraId="73691EB6">
            <w:pPr>
              <w:widowControl/>
              <w:jc w:val="center"/>
              <w:rPr>
                <w:rFonts w:hint="eastAsia" w:ascii="宋体" w:hAnsi="宋体" w:cs="宋体"/>
                <w:color w:val="auto"/>
                <w:kern w:val="0"/>
                <w:sz w:val="24"/>
              </w:rPr>
            </w:pPr>
            <w:r>
              <w:rPr>
                <w:rFonts w:hint="eastAsia" w:ascii="宋体" w:hAnsi="宋体" w:cs="宋体"/>
                <w:color w:val="auto"/>
                <w:kern w:val="0"/>
                <w:sz w:val="24"/>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73C54F0D">
            <w:pPr>
              <w:widowControl/>
              <w:jc w:val="left"/>
              <w:rPr>
                <w:rFonts w:hint="eastAsia" w:ascii="宋体" w:hAnsi="宋体" w:cs="宋体"/>
                <w:color w:val="auto"/>
                <w:kern w:val="0"/>
                <w:sz w:val="24"/>
              </w:rPr>
            </w:pPr>
            <w:bookmarkStart w:id="106" w:name="_Hlk234064385"/>
            <w:r>
              <w:rPr>
                <w:rFonts w:hint="eastAsia" w:ascii="宋体" w:hAnsi="宋体" w:cs="宋体"/>
                <w:color w:val="auto"/>
                <w:kern w:val="0"/>
                <w:sz w:val="24"/>
              </w:rPr>
              <w:t>车辆抓拍显示一体机</w:t>
            </w:r>
            <w:bookmarkEnd w:id="106"/>
          </w:p>
        </w:tc>
        <w:tc>
          <w:tcPr>
            <w:tcW w:w="6095" w:type="dxa"/>
            <w:tcBorders>
              <w:top w:val="single" w:color="000000" w:sz="4" w:space="0"/>
              <w:left w:val="single" w:color="000000" w:sz="4" w:space="0"/>
              <w:bottom w:val="single" w:color="000000" w:sz="4" w:space="0"/>
              <w:right w:val="single" w:color="000000" w:sz="4" w:space="0"/>
            </w:tcBorders>
            <w:vAlign w:val="center"/>
          </w:tcPr>
          <w:p w14:paraId="02FFA02A">
            <w:pPr>
              <w:pStyle w:val="79"/>
              <w:widowControl/>
              <w:numPr>
                <w:ilvl w:val="0"/>
                <w:numId w:val="2"/>
              </w:numPr>
              <w:ind w:firstLineChars="0"/>
              <w:rPr>
                <w:rFonts w:hint="eastAsia" w:ascii="宋体" w:hAnsi="宋体" w:cs="宋体"/>
                <w:color w:val="auto"/>
                <w:sz w:val="24"/>
                <w:szCs w:val="24"/>
              </w:rPr>
            </w:pPr>
            <w:r>
              <w:rPr>
                <w:rFonts w:hint="eastAsia" w:ascii="宋体" w:hAnsi="宋体" w:cs="宋体"/>
                <w:color w:val="auto"/>
                <w:sz w:val="24"/>
                <w:szCs w:val="24"/>
              </w:rPr>
              <w:t>分辨率：3840×2160</w:t>
            </w:r>
          </w:p>
          <w:p w14:paraId="563BF77D">
            <w:pPr>
              <w:pStyle w:val="79"/>
              <w:widowControl/>
              <w:numPr>
                <w:ilvl w:val="0"/>
                <w:numId w:val="2"/>
              </w:numPr>
              <w:ind w:firstLineChars="0"/>
              <w:rPr>
                <w:rFonts w:hint="eastAsia" w:ascii="宋体" w:hAnsi="宋体" w:cs="宋体"/>
                <w:color w:val="auto"/>
                <w:sz w:val="24"/>
                <w:szCs w:val="24"/>
              </w:rPr>
            </w:pPr>
            <w:r>
              <w:rPr>
                <w:rFonts w:hint="eastAsia" w:ascii="宋体" w:hAnsi="宋体" w:cs="宋体"/>
                <w:color w:val="auto"/>
                <w:sz w:val="24"/>
                <w:szCs w:val="24"/>
              </w:rPr>
              <w:t>低照度：彩色0.01Lux@(F1.2,AGC ON)黑白0.001Lux@(F1.2,AGC ON)</w:t>
            </w:r>
          </w:p>
          <w:p w14:paraId="5FAAC84E">
            <w:pPr>
              <w:pStyle w:val="79"/>
              <w:widowControl/>
              <w:numPr>
                <w:ilvl w:val="0"/>
                <w:numId w:val="2"/>
              </w:numPr>
              <w:ind w:firstLineChars="0"/>
              <w:rPr>
                <w:rFonts w:hint="eastAsia" w:ascii="宋体" w:hAnsi="宋体" w:cs="宋体"/>
                <w:color w:val="auto"/>
                <w:sz w:val="24"/>
                <w:szCs w:val="24"/>
              </w:rPr>
            </w:pPr>
            <w:r>
              <w:rPr>
                <w:rFonts w:hint="eastAsia" w:ascii="宋体" w:hAnsi="宋体" w:cs="宋体"/>
                <w:color w:val="auto"/>
                <w:sz w:val="24"/>
                <w:szCs w:val="24"/>
              </w:rPr>
              <w:t>智能识别：卡口抓拍、车牌识别、车型识别、车身颜色识别</w:t>
            </w:r>
          </w:p>
          <w:p w14:paraId="5B4F2915">
            <w:pPr>
              <w:pStyle w:val="79"/>
              <w:widowControl/>
              <w:numPr>
                <w:ilvl w:val="0"/>
                <w:numId w:val="2"/>
              </w:numPr>
              <w:ind w:firstLineChars="0"/>
              <w:rPr>
                <w:rFonts w:hint="eastAsia" w:ascii="宋体" w:hAnsi="宋体" w:cs="宋体"/>
                <w:color w:val="auto"/>
                <w:sz w:val="24"/>
                <w:szCs w:val="24"/>
              </w:rPr>
            </w:pPr>
            <w:r>
              <w:rPr>
                <w:rFonts w:hint="eastAsia" w:ascii="宋体" w:hAnsi="宋体" w:cs="宋体"/>
                <w:color w:val="auto"/>
                <w:sz w:val="24"/>
                <w:szCs w:val="24"/>
              </w:rPr>
              <w:t>网络接口：≥2个RJ45 100M /1000M自适应以太网口</w:t>
            </w:r>
          </w:p>
          <w:p w14:paraId="3384D88E">
            <w:pPr>
              <w:pStyle w:val="79"/>
              <w:widowControl/>
              <w:numPr>
                <w:ilvl w:val="0"/>
                <w:numId w:val="2"/>
              </w:numPr>
              <w:ind w:firstLineChars="0"/>
              <w:rPr>
                <w:rFonts w:hint="eastAsia" w:ascii="宋体" w:hAnsi="宋体" w:cs="宋体"/>
                <w:color w:val="auto"/>
                <w:sz w:val="24"/>
                <w:szCs w:val="24"/>
              </w:rPr>
            </w:pPr>
            <w:r>
              <w:rPr>
                <w:rFonts w:hint="eastAsia" w:ascii="宋体" w:hAnsi="宋体" w:cs="宋体"/>
                <w:color w:val="auto"/>
                <w:sz w:val="24"/>
                <w:szCs w:val="24"/>
              </w:rPr>
              <w:t>视频压缩标准：H.264;H.265</w:t>
            </w:r>
          </w:p>
          <w:p w14:paraId="4A2B699E">
            <w:pPr>
              <w:pStyle w:val="79"/>
              <w:widowControl/>
              <w:numPr>
                <w:ilvl w:val="0"/>
                <w:numId w:val="2"/>
              </w:numPr>
              <w:ind w:firstLineChars="0"/>
              <w:rPr>
                <w:rFonts w:hint="eastAsia" w:ascii="宋体" w:hAnsi="宋体" w:cs="宋体"/>
                <w:color w:val="auto"/>
                <w:sz w:val="24"/>
                <w:szCs w:val="24"/>
              </w:rPr>
            </w:pPr>
            <w:r>
              <w:rPr>
                <w:rFonts w:hint="eastAsia" w:ascii="宋体" w:hAnsi="宋体" w:cs="宋体"/>
                <w:color w:val="auto"/>
                <w:sz w:val="24"/>
                <w:szCs w:val="24"/>
              </w:rPr>
              <w:t>帧率：25fps(3840×2160)</w:t>
            </w:r>
          </w:p>
          <w:p w14:paraId="0F5D7AAE">
            <w:pPr>
              <w:pStyle w:val="79"/>
              <w:widowControl/>
              <w:numPr>
                <w:ilvl w:val="0"/>
                <w:numId w:val="2"/>
              </w:numPr>
              <w:ind w:firstLineChars="0"/>
              <w:rPr>
                <w:rFonts w:hint="eastAsia" w:ascii="宋体" w:hAnsi="宋体" w:cs="宋体"/>
                <w:color w:val="auto"/>
                <w:sz w:val="24"/>
                <w:szCs w:val="24"/>
              </w:rPr>
            </w:pPr>
            <w:r>
              <w:rPr>
                <w:rFonts w:hint="eastAsia" w:ascii="宋体" w:hAnsi="宋体" w:cs="宋体"/>
                <w:color w:val="auto"/>
                <w:sz w:val="24"/>
                <w:szCs w:val="24"/>
              </w:rPr>
              <w:t>▲LED屏物理点间距：≤8mm</w:t>
            </w:r>
          </w:p>
        </w:tc>
        <w:tc>
          <w:tcPr>
            <w:tcW w:w="709" w:type="dxa"/>
            <w:tcBorders>
              <w:top w:val="single" w:color="000000" w:sz="4" w:space="0"/>
              <w:left w:val="single" w:color="000000" w:sz="4" w:space="0"/>
              <w:bottom w:val="single" w:color="000000" w:sz="4" w:space="0"/>
              <w:right w:val="single" w:color="000000" w:sz="4" w:space="0"/>
            </w:tcBorders>
            <w:vAlign w:val="center"/>
          </w:tcPr>
          <w:p w14:paraId="4CD27F90">
            <w:pPr>
              <w:widowControl/>
              <w:jc w:val="center"/>
              <w:rPr>
                <w:rFonts w:hint="eastAsia" w:ascii="宋体" w:hAnsi="宋体" w:cs="宋体"/>
                <w:color w:val="auto"/>
                <w:kern w:val="0"/>
                <w:sz w:val="24"/>
              </w:rPr>
            </w:pPr>
            <w:r>
              <w:rPr>
                <w:rFonts w:hint="eastAsia" w:ascii="宋体" w:hAnsi="宋体" w:cs="宋体"/>
                <w:color w:val="auto"/>
                <w:kern w:val="0"/>
                <w:sz w:val="24"/>
              </w:rPr>
              <w:t>5</w:t>
            </w:r>
          </w:p>
        </w:tc>
        <w:tc>
          <w:tcPr>
            <w:tcW w:w="709" w:type="dxa"/>
            <w:tcBorders>
              <w:top w:val="single" w:color="000000" w:sz="4" w:space="0"/>
              <w:left w:val="single" w:color="000000" w:sz="4" w:space="0"/>
              <w:bottom w:val="single" w:color="000000" w:sz="4" w:space="0"/>
              <w:right w:val="single" w:color="000000" w:sz="4" w:space="0"/>
            </w:tcBorders>
            <w:vAlign w:val="center"/>
          </w:tcPr>
          <w:p w14:paraId="08733E38">
            <w:pPr>
              <w:widowControl/>
              <w:jc w:val="center"/>
              <w:rPr>
                <w:rFonts w:hint="eastAsia" w:ascii="宋体" w:hAnsi="宋体" w:cs="宋体"/>
                <w:color w:val="auto"/>
                <w:kern w:val="0"/>
                <w:sz w:val="24"/>
              </w:rPr>
            </w:pPr>
            <w:r>
              <w:rPr>
                <w:rFonts w:hint="eastAsia" w:ascii="宋体" w:hAnsi="宋体" w:cs="宋体"/>
                <w:color w:val="auto"/>
                <w:kern w:val="0"/>
                <w:sz w:val="24"/>
              </w:rPr>
              <w:t>台</w:t>
            </w:r>
          </w:p>
        </w:tc>
      </w:tr>
      <w:tr w14:paraId="3C983798">
        <w:tblPrEx>
          <w:tblCellMar>
            <w:top w:w="0" w:type="dxa"/>
            <w:left w:w="108" w:type="dxa"/>
            <w:bottom w:w="0" w:type="dxa"/>
            <w:right w:w="108" w:type="dxa"/>
          </w:tblCellMar>
        </w:tblPrEx>
        <w:trPr>
          <w:trHeight w:val="499" w:hRule="atLeast"/>
        </w:trPr>
        <w:tc>
          <w:tcPr>
            <w:tcW w:w="846" w:type="dxa"/>
            <w:tcBorders>
              <w:top w:val="single" w:color="000000" w:sz="4" w:space="0"/>
              <w:left w:val="single" w:color="000000" w:sz="4" w:space="0"/>
              <w:bottom w:val="single" w:color="000000" w:sz="4" w:space="0"/>
              <w:right w:val="single" w:color="000000" w:sz="4" w:space="0"/>
            </w:tcBorders>
            <w:vAlign w:val="center"/>
          </w:tcPr>
          <w:p w14:paraId="4A521084">
            <w:pPr>
              <w:widowControl/>
              <w:jc w:val="center"/>
              <w:rPr>
                <w:rFonts w:hint="eastAsia" w:ascii="宋体" w:hAnsi="宋体" w:cs="宋体"/>
                <w:color w:val="auto"/>
                <w:kern w:val="0"/>
                <w:sz w:val="24"/>
              </w:rPr>
            </w:pPr>
            <w:r>
              <w:rPr>
                <w:rFonts w:hint="eastAsia" w:ascii="宋体" w:hAnsi="宋体" w:cs="宋体"/>
                <w:color w:val="auto"/>
                <w:kern w:val="0"/>
                <w:sz w:val="24"/>
              </w:rPr>
              <w:t>2</w:t>
            </w:r>
          </w:p>
        </w:tc>
        <w:tc>
          <w:tcPr>
            <w:tcW w:w="1134" w:type="dxa"/>
            <w:tcBorders>
              <w:top w:val="single" w:color="000000" w:sz="4" w:space="0"/>
              <w:left w:val="single" w:color="000000" w:sz="4" w:space="0"/>
              <w:bottom w:val="single" w:color="000000" w:sz="4" w:space="0"/>
              <w:right w:val="single" w:color="000000" w:sz="4" w:space="0"/>
            </w:tcBorders>
            <w:vAlign w:val="center"/>
          </w:tcPr>
          <w:p w14:paraId="7E3CF23D">
            <w:pPr>
              <w:widowControl/>
              <w:jc w:val="left"/>
              <w:rPr>
                <w:rFonts w:hint="eastAsia" w:ascii="宋体" w:hAnsi="宋体" w:cs="宋体"/>
                <w:color w:val="auto"/>
                <w:kern w:val="0"/>
                <w:sz w:val="24"/>
              </w:rPr>
            </w:pPr>
            <w:r>
              <w:rPr>
                <w:rFonts w:hint="eastAsia" w:ascii="宋体" w:hAnsi="宋体" w:cs="宋体"/>
                <w:color w:val="auto"/>
                <w:kern w:val="0"/>
                <w:sz w:val="24"/>
              </w:rPr>
              <w:t>终端管理设备</w:t>
            </w:r>
          </w:p>
        </w:tc>
        <w:tc>
          <w:tcPr>
            <w:tcW w:w="6095" w:type="dxa"/>
            <w:tcBorders>
              <w:top w:val="single" w:color="000000" w:sz="4" w:space="0"/>
              <w:left w:val="single" w:color="000000" w:sz="4" w:space="0"/>
              <w:bottom w:val="single" w:color="000000" w:sz="4" w:space="0"/>
              <w:right w:val="single" w:color="000000" w:sz="4" w:space="0"/>
            </w:tcBorders>
            <w:vAlign w:val="center"/>
          </w:tcPr>
          <w:p w14:paraId="3EE35BCF">
            <w:pPr>
              <w:pStyle w:val="79"/>
              <w:widowControl/>
              <w:numPr>
                <w:ilvl w:val="0"/>
                <w:numId w:val="3"/>
              </w:numPr>
              <w:ind w:firstLineChars="0"/>
              <w:rPr>
                <w:rFonts w:hint="eastAsia" w:ascii="宋体" w:hAnsi="宋体" w:cs="宋体"/>
                <w:color w:val="auto"/>
                <w:sz w:val="24"/>
                <w:szCs w:val="24"/>
              </w:rPr>
            </w:pPr>
            <w:r>
              <w:rPr>
                <w:rFonts w:hint="eastAsia" w:ascii="宋体" w:hAnsi="宋体" w:cs="宋体"/>
                <w:color w:val="auto"/>
                <w:sz w:val="24"/>
                <w:szCs w:val="24"/>
              </w:rPr>
              <w:t>光纤接口数量：≥1</w:t>
            </w:r>
          </w:p>
          <w:p w14:paraId="6C482C8D">
            <w:pPr>
              <w:pStyle w:val="79"/>
              <w:widowControl/>
              <w:numPr>
                <w:ilvl w:val="0"/>
                <w:numId w:val="3"/>
              </w:numPr>
              <w:ind w:firstLineChars="0"/>
              <w:rPr>
                <w:rFonts w:hint="eastAsia" w:ascii="宋体" w:hAnsi="宋体" w:cs="宋体"/>
                <w:color w:val="auto"/>
                <w:sz w:val="24"/>
                <w:szCs w:val="24"/>
              </w:rPr>
            </w:pPr>
            <w:r>
              <w:rPr>
                <w:rFonts w:hint="eastAsia" w:ascii="宋体" w:hAnsi="宋体" w:cs="宋体"/>
                <w:color w:val="auto"/>
                <w:sz w:val="24"/>
                <w:szCs w:val="24"/>
              </w:rPr>
              <w:t>硬盘盘位数量：≥1</w:t>
            </w:r>
          </w:p>
          <w:p w14:paraId="7BEFC235">
            <w:pPr>
              <w:pStyle w:val="79"/>
              <w:widowControl/>
              <w:numPr>
                <w:ilvl w:val="0"/>
                <w:numId w:val="3"/>
              </w:numPr>
              <w:ind w:firstLineChars="0"/>
              <w:rPr>
                <w:rFonts w:hint="eastAsia" w:ascii="宋体" w:hAnsi="宋体" w:cs="宋体"/>
                <w:color w:val="auto"/>
                <w:sz w:val="24"/>
                <w:szCs w:val="24"/>
              </w:rPr>
            </w:pPr>
            <w:r>
              <w:rPr>
                <w:rFonts w:hint="eastAsia" w:ascii="宋体" w:hAnsi="宋体" w:cs="宋体"/>
                <w:color w:val="auto"/>
                <w:sz w:val="24"/>
                <w:szCs w:val="24"/>
              </w:rPr>
              <w:t>硬盘容量：≥4T</w:t>
            </w:r>
          </w:p>
          <w:p w14:paraId="005BE4A1">
            <w:pPr>
              <w:pStyle w:val="79"/>
              <w:widowControl/>
              <w:numPr>
                <w:ilvl w:val="0"/>
                <w:numId w:val="3"/>
              </w:numPr>
              <w:ind w:firstLineChars="0"/>
              <w:rPr>
                <w:rFonts w:hint="eastAsia" w:ascii="宋体" w:hAnsi="宋体" w:cs="宋体"/>
                <w:color w:val="auto"/>
                <w:sz w:val="24"/>
                <w:szCs w:val="24"/>
              </w:rPr>
            </w:pPr>
            <w:r>
              <w:rPr>
                <w:rFonts w:hint="eastAsia" w:ascii="宋体" w:hAnsi="宋体" w:cs="宋体"/>
                <w:color w:val="auto"/>
                <w:sz w:val="24"/>
                <w:szCs w:val="24"/>
              </w:rPr>
              <w:t>视频压缩标准：H.264;H.265</w:t>
            </w:r>
          </w:p>
          <w:p w14:paraId="548730F3">
            <w:pPr>
              <w:pStyle w:val="79"/>
              <w:widowControl/>
              <w:numPr>
                <w:ilvl w:val="0"/>
                <w:numId w:val="3"/>
              </w:numPr>
              <w:ind w:firstLineChars="0"/>
              <w:rPr>
                <w:rFonts w:hint="eastAsia" w:ascii="宋体" w:hAnsi="宋体" w:cs="宋体"/>
                <w:color w:val="auto"/>
                <w:sz w:val="24"/>
                <w:szCs w:val="24"/>
              </w:rPr>
            </w:pPr>
            <w:r>
              <w:rPr>
                <w:rFonts w:hint="eastAsia" w:ascii="宋体" w:hAnsi="宋体" w:cs="宋体"/>
                <w:color w:val="auto"/>
                <w:sz w:val="24"/>
                <w:szCs w:val="24"/>
              </w:rPr>
              <w:t>▲接入摄像机路数：≥12</w:t>
            </w:r>
          </w:p>
          <w:p w14:paraId="5BA7379C">
            <w:pPr>
              <w:pStyle w:val="79"/>
              <w:widowControl/>
              <w:numPr>
                <w:ilvl w:val="0"/>
                <w:numId w:val="3"/>
              </w:numPr>
              <w:ind w:firstLineChars="0"/>
              <w:rPr>
                <w:rFonts w:hint="eastAsia" w:ascii="宋体" w:hAnsi="宋体" w:cs="宋体"/>
                <w:color w:val="auto"/>
                <w:sz w:val="24"/>
                <w:szCs w:val="24"/>
              </w:rPr>
            </w:pPr>
            <w:r>
              <w:rPr>
                <w:rFonts w:hint="eastAsia" w:ascii="宋体" w:hAnsi="宋体" w:cs="宋体"/>
                <w:color w:val="auto"/>
                <w:sz w:val="24"/>
                <w:szCs w:val="24"/>
              </w:rPr>
              <w:t>图片手动抓拍功能：支持</w:t>
            </w:r>
          </w:p>
          <w:p w14:paraId="6D72EF10">
            <w:pPr>
              <w:pStyle w:val="79"/>
              <w:widowControl/>
              <w:numPr>
                <w:ilvl w:val="0"/>
                <w:numId w:val="3"/>
              </w:numPr>
              <w:ind w:firstLineChars="0"/>
              <w:rPr>
                <w:rFonts w:hint="eastAsia" w:ascii="宋体" w:hAnsi="宋体" w:cs="宋体"/>
                <w:color w:val="auto"/>
                <w:sz w:val="24"/>
                <w:szCs w:val="24"/>
              </w:rPr>
            </w:pPr>
            <w:r>
              <w:rPr>
                <w:rFonts w:hint="eastAsia" w:ascii="宋体" w:hAnsi="宋体" w:cs="宋体"/>
                <w:color w:val="auto"/>
                <w:sz w:val="24"/>
                <w:szCs w:val="24"/>
              </w:rPr>
              <w:t>数据上传功能：可将抓拍数据、违章数据上传至远程主机，并具备断网恢复后的自动续传功能</w:t>
            </w:r>
          </w:p>
          <w:p w14:paraId="6264A27F">
            <w:pPr>
              <w:pStyle w:val="79"/>
              <w:widowControl/>
              <w:numPr>
                <w:ilvl w:val="0"/>
                <w:numId w:val="3"/>
              </w:numPr>
              <w:ind w:firstLineChars="0"/>
              <w:rPr>
                <w:rFonts w:hint="eastAsia" w:ascii="宋体" w:hAnsi="宋体" w:cs="宋体"/>
                <w:color w:val="auto"/>
                <w:sz w:val="24"/>
                <w:szCs w:val="24"/>
              </w:rPr>
            </w:pPr>
            <w:r>
              <w:rPr>
                <w:rFonts w:hint="eastAsia" w:ascii="宋体" w:hAnsi="宋体" w:cs="宋体"/>
                <w:color w:val="auto"/>
                <w:sz w:val="24"/>
                <w:szCs w:val="24"/>
              </w:rPr>
              <w:t>▲过车数据远程查询功能：支持按时间、通道、数据类型、车牌号码、车牌类型、形式方向、车道号、车辆速度区域查询过车信息及图片</w:t>
            </w:r>
          </w:p>
          <w:p w14:paraId="56C9226C">
            <w:pPr>
              <w:pStyle w:val="79"/>
              <w:widowControl/>
              <w:numPr>
                <w:ilvl w:val="0"/>
                <w:numId w:val="3"/>
              </w:numPr>
              <w:ind w:firstLineChars="0"/>
              <w:rPr>
                <w:rFonts w:hint="eastAsia" w:ascii="宋体" w:hAnsi="宋体" w:cs="宋体"/>
                <w:color w:val="auto"/>
                <w:sz w:val="24"/>
                <w:szCs w:val="24"/>
              </w:rPr>
            </w:pPr>
            <w:r>
              <w:rPr>
                <w:rFonts w:hint="eastAsia" w:ascii="宋体" w:hAnsi="宋体" w:cs="宋体"/>
                <w:color w:val="auto"/>
                <w:sz w:val="24"/>
                <w:szCs w:val="24"/>
              </w:rPr>
              <w:t>▲可以关联过车回放录像片段。</w:t>
            </w:r>
          </w:p>
        </w:tc>
        <w:tc>
          <w:tcPr>
            <w:tcW w:w="709" w:type="dxa"/>
            <w:tcBorders>
              <w:top w:val="single" w:color="000000" w:sz="4" w:space="0"/>
              <w:left w:val="single" w:color="000000" w:sz="4" w:space="0"/>
              <w:bottom w:val="single" w:color="000000" w:sz="4" w:space="0"/>
              <w:right w:val="single" w:color="000000" w:sz="4" w:space="0"/>
            </w:tcBorders>
            <w:vAlign w:val="center"/>
          </w:tcPr>
          <w:p w14:paraId="23F26328">
            <w:pPr>
              <w:widowControl/>
              <w:jc w:val="center"/>
              <w:rPr>
                <w:rFonts w:hint="eastAsia" w:ascii="宋体" w:hAnsi="宋体" w:cs="宋体"/>
                <w:color w:val="auto"/>
                <w:kern w:val="0"/>
                <w:sz w:val="24"/>
              </w:rPr>
            </w:pPr>
            <w:r>
              <w:rPr>
                <w:rFonts w:hint="eastAsia" w:ascii="宋体" w:hAnsi="宋体" w:cs="宋体"/>
                <w:color w:val="auto"/>
                <w:kern w:val="0"/>
                <w:sz w:val="24"/>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38EBA08D">
            <w:pPr>
              <w:widowControl/>
              <w:jc w:val="center"/>
              <w:rPr>
                <w:rFonts w:hint="eastAsia" w:ascii="宋体" w:hAnsi="宋体" w:cs="宋体"/>
                <w:color w:val="auto"/>
                <w:kern w:val="0"/>
                <w:sz w:val="24"/>
              </w:rPr>
            </w:pPr>
            <w:r>
              <w:rPr>
                <w:rFonts w:hint="eastAsia" w:ascii="宋体" w:hAnsi="宋体" w:cs="宋体"/>
                <w:color w:val="auto"/>
                <w:kern w:val="0"/>
                <w:sz w:val="24"/>
              </w:rPr>
              <w:t>台</w:t>
            </w:r>
          </w:p>
        </w:tc>
      </w:tr>
      <w:tr w14:paraId="6541C10A">
        <w:tblPrEx>
          <w:tblCellMar>
            <w:top w:w="0" w:type="dxa"/>
            <w:left w:w="108" w:type="dxa"/>
            <w:bottom w:w="0" w:type="dxa"/>
            <w:right w:w="108" w:type="dxa"/>
          </w:tblCellMar>
        </w:tblPrEx>
        <w:trPr>
          <w:trHeight w:val="499" w:hRule="atLeast"/>
        </w:trPr>
        <w:tc>
          <w:tcPr>
            <w:tcW w:w="846" w:type="dxa"/>
            <w:tcBorders>
              <w:top w:val="single" w:color="000000" w:sz="4" w:space="0"/>
              <w:left w:val="single" w:color="000000" w:sz="4" w:space="0"/>
              <w:bottom w:val="single" w:color="000000" w:sz="4" w:space="0"/>
              <w:right w:val="single" w:color="000000" w:sz="4" w:space="0"/>
            </w:tcBorders>
            <w:vAlign w:val="center"/>
          </w:tcPr>
          <w:p w14:paraId="7F056767">
            <w:pPr>
              <w:widowControl/>
              <w:jc w:val="center"/>
              <w:rPr>
                <w:rFonts w:hint="eastAsia" w:ascii="宋体" w:hAnsi="宋体" w:cs="宋体"/>
                <w:color w:val="auto"/>
                <w:kern w:val="0"/>
                <w:sz w:val="24"/>
              </w:rPr>
            </w:pPr>
            <w:r>
              <w:rPr>
                <w:rFonts w:hint="eastAsia" w:ascii="宋体" w:hAnsi="宋体" w:cs="宋体"/>
                <w:color w:val="auto"/>
                <w:kern w:val="0"/>
                <w:sz w:val="24"/>
              </w:rPr>
              <w:t>3</w:t>
            </w:r>
          </w:p>
        </w:tc>
        <w:tc>
          <w:tcPr>
            <w:tcW w:w="1134" w:type="dxa"/>
            <w:tcBorders>
              <w:top w:val="single" w:color="000000" w:sz="4" w:space="0"/>
              <w:left w:val="single" w:color="000000" w:sz="4" w:space="0"/>
              <w:bottom w:val="single" w:color="000000" w:sz="4" w:space="0"/>
              <w:right w:val="single" w:color="000000" w:sz="4" w:space="0"/>
            </w:tcBorders>
            <w:vAlign w:val="center"/>
          </w:tcPr>
          <w:p w14:paraId="40391679">
            <w:pPr>
              <w:widowControl/>
              <w:jc w:val="left"/>
              <w:rPr>
                <w:rFonts w:hint="eastAsia" w:ascii="宋体" w:hAnsi="宋体" w:cs="宋体"/>
                <w:color w:val="auto"/>
                <w:kern w:val="0"/>
                <w:sz w:val="24"/>
              </w:rPr>
            </w:pPr>
            <w:r>
              <w:rPr>
                <w:rFonts w:hint="eastAsia" w:ascii="宋体" w:hAnsi="宋体" w:cs="宋体"/>
                <w:color w:val="auto"/>
                <w:kern w:val="0"/>
                <w:sz w:val="24"/>
              </w:rPr>
              <w:t>园区卡口</w:t>
            </w:r>
          </w:p>
        </w:tc>
        <w:tc>
          <w:tcPr>
            <w:tcW w:w="6095" w:type="dxa"/>
            <w:tcBorders>
              <w:top w:val="single" w:color="000000" w:sz="4" w:space="0"/>
              <w:left w:val="single" w:color="000000" w:sz="4" w:space="0"/>
              <w:bottom w:val="single" w:color="000000" w:sz="4" w:space="0"/>
              <w:right w:val="single" w:color="000000" w:sz="4" w:space="0"/>
            </w:tcBorders>
            <w:vAlign w:val="center"/>
          </w:tcPr>
          <w:p w14:paraId="535EC867">
            <w:pPr>
              <w:widowControl/>
              <w:rPr>
                <w:rFonts w:hint="eastAsia" w:ascii="宋体" w:hAnsi="宋体" w:cs="宋体"/>
                <w:color w:val="auto"/>
                <w:kern w:val="0"/>
                <w:sz w:val="24"/>
              </w:rPr>
            </w:pPr>
            <w:r>
              <w:rPr>
                <w:rFonts w:hint="eastAsia" w:ascii="宋体" w:hAnsi="宋体" w:cs="宋体"/>
                <w:color w:val="auto"/>
                <w:kern w:val="0"/>
                <w:sz w:val="24"/>
              </w:rPr>
              <w:t>一、卡口管理</w:t>
            </w:r>
          </w:p>
          <w:p w14:paraId="3354B05B">
            <w:pPr>
              <w:widowControl/>
              <w:rPr>
                <w:rFonts w:hint="eastAsia" w:ascii="宋体" w:hAnsi="宋体" w:cs="宋体"/>
                <w:color w:val="auto"/>
                <w:kern w:val="0"/>
                <w:sz w:val="24"/>
              </w:rPr>
            </w:pPr>
            <w:r>
              <w:rPr>
                <w:rFonts w:hint="eastAsia" w:ascii="宋体" w:hAnsi="宋体" w:cs="宋体"/>
                <w:color w:val="auto"/>
                <w:kern w:val="0"/>
                <w:sz w:val="24"/>
              </w:rPr>
              <w:t>1、支持卡口设备、终端服务器的接入</w:t>
            </w:r>
          </w:p>
          <w:p w14:paraId="335104B1">
            <w:pPr>
              <w:widowControl/>
              <w:rPr>
                <w:rFonts w:hint="eastAsia" w:ascii="宋体" w:hAnsi="宋体" w:cs="宋体"/>
                <w:color w:val="auto"/>
                <w:kern w:val="0"/>
                <w:sz w:val="24"/>
              </w:rPr>
            </w:pPr>
            <w:r>
              <w:rPr>
                <w:rFonts w:hint="eastAsia" w:ascii="宋体" w:hAnsi="宋体" w:cs="宋体"/>
                <w:color w:val="auto"/>
                <w:kern w:val="0"/>
                <w:sz w:val="24"/>
              </w:rPr>
              <w:t>2、支持卡口车道管理，包含车道名称、车道方向、车道号</w:t>
            </w:r>
          </w:p>
          <w:p w14:paraId="07700A74">
            <w:pPr>
              <w:widowControl/>
              <w:rPr>
                <w:rFonts w:hint="eastAsia" w:ascii="宋体" w:hAnsi="宋体" w:cs="宋体"/>
                <w:color w:val="auto"/>
                <w:kern w:val="0"/>
                <w:sz w:val="24"/>
              </w:rPr>
            </w:pPr>
            <w:r>
              <w:rPr>
                <w:rFonts w:hint="eastAsia" w:ascii="宋体" w:hAnsi="宋体" w:cs="宋体"/>
                <w:color w:val="auto"/>
                <w:kern w:val="0"/>
                <w:sz w:val="24"/>
              </w:rPr>
              <w:t>二、车辆抓拍</w:t>
            </w:r>
          </w:p>
          <w:p w14:paraId="05FD6558">
            <w:pPr>
              <w:widowControl/>
              <w:rPr>
                <w:rFonts w:hint="eastAsia" w:ascii="宋体" w:hAnsi="宋体" w:cs="宋体"/>
                <w:color w:val="auto"/>
                <w:kern w:val="0"/>
                <w:sz w:val="24"/>
              </w:rPr>
            </w:pPr>
            <w:r>
              <w:rPr>
                <w:rFonts w:hint="eastAsia" w:ascii="宋体" w:hAnsi="宋体" w:cs="宋体"/>
                <w:color w:val="auto"/>
                <w:kern w:val="0"/>
                <w:sz w:val="24"/>
              </w:rPr>
              <w:t>1、支持园区道路车辆抓拍识别，包含车牌号码、车牌类型、车牌颜色、车辆类型、车辆颜色、车辆品牌等</w:t>
            </w:r>
          </w:p>
          <w:p w14:paraId="7E550987">
            <w:pPr>
              <w:widowControl/>
              <w:rPr>
                <w:rFonts w:hint="eastAsia" w:ascii="宋体" w:hAnsi="宋体" w:cs="宋体"/>
                <w:color w:val="auto"/>
                <w:kern w:val="0"/>
                <w:sz w:val="24"/>
              </w:rPr>
            </w:pPr>
            <w:r>
              <w:rPr>
                <w:rFonts w:hint="eastAsia" w:ascii="宋体" w:hAnsi="宋体" w:cs="宋体"/>
                <w:color w:val="auto"/>
                <w:kern w:val="0"/>
                <w:sz w:val="24"/>
              </w:rPr>
              <w:t>2、支持园区道路车辆违规检测</w:t>
            </w:r>
          </w:p>
          <w:p w14:paraId="6072F875">
            <w:pPr>
              <w:widowControl/>
              <w:rPr>
                <w:rFonts w:hint="eastAsia" w:ascii="宋体" w:hAnsi="宋体" w:cs="宋体"/>
                <w:color w:val="auto"/>
                <w:kern w:val="0"/>
                <w:sz w:val="24"/>
              </w:rPr>
            </w:pPr>
            <w:r>
              <w:rPr>
                <w:rFonts w:hint="eastAsia" w:ascii="宋体" w:hAnsi="宋体" w:cs="宋体"/>
                <w:color w:val="auto"/>
                <w:kern w:val="0"/>
                <w:sz w:val="24"/>
              </w:rPr>
              <w:t>3、支持车牌号进行黑名单管控</w:t>
            </w:r>
          </w:p>
          <w:p w14:paraId="43A2EC51">
            <w:pPr>
              <w:widowControl/>
              <w:rPr>
                <w:rFonts w:hint="eastAsia" w:ascii="宋体" w:hAnsi="宋体" w:cs="宋体"/>
                <w:color w:val="auto"/>
                <w:kern w:val="0"/>
                <w:sz w:val="24"/>
              </w:rPr>
            </w:pPr>
            <w:r>
              <w:rPr>
                <w:rFonts w:hint="eastAsia" w:ascii="宋体" w:hAnsi="宋体" w:cs="宋体"/>
                <w:color w:val="auto"/>
                <w:kern w:val="0"/>
                <w:sz w:val="24"/>
              </w:rPr>
              <w:t>4、支持车辆白名单管理</w:t>
            </w:r>
          </w:p>
          <w:p w14:paraId="5B2906C6">
            <w:pPr>
              <w:widowControl/>
              <w:rPr>
                <w:rFonts w:hint="eastAsia" w:ascii="宋体" w:hAnsi="宋体" w:cs="宋体"/>
                <w:color w:val="auto"/>
                <w:kern w:val="0"/>
                <w:sz w:val="24"/>
              </w:rPr>
            </w:pPr>
            <w:r>
              <w:rPr>
                <w:rFonts w:hint="eastAsia" w:ascii="宋体" w:hAnsi="宋体" w:cs="宋体"/>
                <w:color w:val="auto"/>
                <w:kern w:val="0"/>
                <w:sz w:val="24"/>
              </w:rPr>
              <w:t>5、支持在中心客户端实时查看卡口抓拍车辆信息，包含车牌号码、车牌类型、车牌颜色、车辆类型、车辆颜色、车辆品牌、速度、通过时间等</w:t>
            </w:r>
          </w:p>
          <w:p w14:paraId="02805CF2">
            <w:pPr>
              <w:widowControl/>
              <w:rPr>
                <w:rFonts w:hint="eastAsia" w:ascii="宋体" w:hAnsi="宋体" w:cs="宋体"/>
                <w:color w:val="auto"/>
                <w:kern w:val="0"/>
                <w:sz w:val="24"/>
              </w:rPr>
            </w:pPr>
            <w:r>
              <w:rPr>
                <w:rFonts w:hint="eastAsia" w:ascii="宋体" w:hAnsi="宋体" w:cs="宋体"/>
                <w:color w:val="auto"/>
                <w:kern w:val="0"/>
                <w:sz w:val="24"/>
              </w:rPr>
              <w:t>6、支持卡口设备的视频预览和回放</w:t>
            </w:r>
          </w:p>
          <w:p w14:paraId="74B847C2">
            <w:pPr>
              <w:widowControl/>
              <w:rPr>
                <w:rFonts w:hint="eastAsia" w:ascii="宋体" w:hAnsi="宋体" w:cs="宋体"/>
                <w:color w:val="auto"/>
                <w:kern w:val="0"/>
                <w:sz w:val="24"/>
              </w:rPr>
            </w:pPr>
            <w:r>
              <w:rPr>
                <w:rFonts w:hint="eastAsia" w:ascii="宋体" w:hAnsi="宋体" w:cs="宋体"/>
                <w:color w:val="auto"/>
                <w:kern w:val="0"/>
                <w:sz w:val="24"/>
              </w:rPr>
              <w:t>三、查询统计</w:t>
            </w:r>
          </w:p>
          <w:p w14:paraId="1F67D15F">
            <w:pPr>
              <w:widowControl/>
              <w:rPr>
                <w:rFonts w:hint="eastAsia" w:ascii="宋体" w:hAnsi="宋体" w:cs="宋体"/>
                <w:color w:val="auto"/>
                <w:kern w:val="0"/>
                <w:sz w:val="24"/>
              </w:rPr>
            </w:pPr>
            <w:r>
              <w:rPr>
                <w:rFonts w:hint="eastAsia" w:ascii="宋体" w:hAnsi="宋体" w:cs="宋体"/>
                <w:color w:val="auto"/>
                <w:kern w:val="0"/>
                <w:sz w:val="24"/>
              </w:rPr>
              <w:t>1、支持抓拍记录查询和违规记录查询</w:t>
            </w:r>
          </w:p>
          <w:p w14:paraId="35557E07">
            <w:pPr>
              <w:widowControl/>
              <w:rPr>
                <w:rFonts w:hint="eastAsia" w:ascii="宋体" w:hAnsi="宋体" w:cs="宋体"/>
                <w:color w:val="auto"/>
                <w:kern w:val="0"/>
                <w:sz w:val="24"/>
              </w:rPr>
            </w:pPr>
            <w:r>
              <w:rPr>
                <w:rFonts w:hint="eastAsia" w:ascii="宋体" w:hAnsi="宋体" w:cs="宋体"/>
                <w:color w:val="auto"/>
                <w:kern w:val="0"/>
                <w:sz w:val="24"/>
              </w:rPr>
              <w:t>2、支持车流量统计</w:t>
            </w:r>
          </w:p>
          <w:p w14:paraId="260C5BFD">
            <w:pPr>
              <w:widowControl/>
              <w:rPr>
                <w:rFonts w:hint="eastAsia" w:ascii="宋体" w:hAnsi="宋体" w:cs="宋体"/>
                <w:color w:val="auto"/>
                <w:kern w:val="0"/>
                <w:sz w:val="24"/>
              </w:rPr>
            </w:pPr>
            <w:r>
              <w:rPr>
                <w:rFonts w:hint="eastAsia" w:ascii="宋体" w:hAnsi="宋体" w:cs="宋体"/>
                <w:color w:val="auto"/>
                <w:kern w:val="0"/>
                <w:sz w:val="24"/>
              </w:rPr>
              <w:t>3、支持违章事件的统计</w:t>
            </w:r>
          </w:p>
        </w:tc>
        <w:tc>
          <w:tcPr>
            <w:tcW w:w="709" w:type="dxa"/>
            <w:tcBorders>
              <w:top w:val="single" w:color="000000" w:sz="4" w:space="0"/>
              <w:left w:val="single" w:color="000000" w:sz="4" w:space="0"/>
              <w:bottom w:val="single" w:color="000000" w:sz="4" w:space="0"/>
              <w:right w:val="single" w:color="000000" w:sz="4" w:space="0"/>
            </w:tcBorders>
            <w:vAlign w:val="center"/>
          </w:tcPr>
          <w:p w14:paraId="28AA4072">
            <w:pPr>
              <w:widowControl/>
              <w:jc w:val="center"/>
              <w:rPr>
                <w:rFonts w:hint="eastAsia" w:ascii="宋体" w:hAnsi="宋体" w:cs="宋体"/>
                <w:color w:val="auto"/>
                <w:kern w:val="0"/>
                <w:sz w:val="24"/>
              </w:rPr>
            </w:pPr>
            <w:r>
              <w:rPr>
                <w:rFonts w:hint="eastAsia" w:ascii="宋体" w:hAnsi="宋体" w:cs="宋体"/>
                <w:color w:val="auto"/>
                <w:kern w:val="0"/>
                <w:sz w:val="24"/>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01317978">
            <w:pPr>
              <w:widowControl/>
              <w:jc w:val="center"/>
              <w:rPr>
                <w:rFonts w:hint="eastAsia" w:ascii="宋体" w:hAnsi="宋体" w:cs="宋体"/>
                <w:color w:val="auto"/>
                <w:kern w:val="0"/>
                <w:sz w:val="24"/>
              </w:rPr>
            </w:pPr>
            <w:r>
              <w:rPr>
                <w:rFonts w:hint="eastAsia" w:ascii="宋体" w:hAnsi="宋体" w:cs="宋体"/>
                <w:color w:val="auto"/>
                <w:kern w:val="0"/>
                <w:sz w:val="24"/>
              </w:rPr>
              <w:t>套</w:t>
            </w:r>
          </w:p>
        </w:tc>
      </w:tr>
      <w:tr w14:paraId="3747DDAC">
        <w:tblPrEx>
          <w:tblCellMar>
            <w:top w:w="0" w:type="dxa"/>
            <w:left w:w="108" w:type="dxa"/>
            <w:bottom w:w="0" w:type="dxa"/>
            <w:right w:w="108" w:type="dxa"/>
          </w:tblCellMar>
        </w:tblPrEx>
        <w:trPr>
          <w:trHeight w:val="1332" w:hRule="atLeast"/>
        </w:trPr>
        <w:tc>
          <w:tcPr>
            <w:tcW w:w="846" w:type="dxa"/>
            <w:tcBorders>
              <w:top w:val="single" w:color="000000" w:sz="4" w:space="0"/>
              <w:left w:val="single" w:color="000000" w:sz="4" w:space="0"/>
              <w:bottom w:val="single" w:color="000000" w:sz="4" w:space="0"/>
              <w:right w:val="single" w:color="000000" w:sz="4" w:space="0"/>
            </w:tcBorders>
            <w:vAlign w:val="center"/>
          </w:tcPr>
          <w:p w14:paraId="1315641E">
            <w:pPr>
              <w:widowControl/>
              <w:jc w:val="center"/>
              <w:rPr>
                <w:rFonts w:hint="eastAsia" w:ascii="宋体" w:hAnsi="宋体" w:cs="宋体"/>
                <w:color w:val="auto"/>
                <w:kern w:val="0"/>
                <w:sz w:val="24"/>
              </w:rPr>
            </w:pPr>
            <w:r>
              <w:rPr>
                <w:rFonts w:hint="eastAsia" w:ascii="宋体" w:hAnsi="宋体" w:cs="宋体"/>
                <w:color w:val="auto"/>
                <w:kern w:val="0"/>
                <w:sz w:val="24"/>
              </w:rPr>
              <w:t>4</w:t>
            </w:r>
          </w:p>
        </w:tc>
        <w:tc>
          <w:tcPr>
            <w:tcW w:w="1134" w:type="dxa"/>
            <w:tcBorders>
              <w:top w:val="single" w:color="000000" w:sz="4" w:space="0"/>
              <w:left w:val="single" w:color="000000" w:sz="4" w:space="0"/>
              <w:bottom w:val="single" w:color="000000" w:sz="4" w:space="0"/>
              <w:right w:val="single" w:color="000000" w:sz="4" w:space="0"/>
            </w:tcBorders>
            <w:vAlign w:val="center"/>
          </w:tcPr>
          <w:p w14:paraId="3C104266">
            <w:pPr>
              <w:widowControl/>
              <w:jc w:val="left"/>
              <w:rPr>
                <w:rFonts w:hint="eastAsia" w:ascii="宋体" w:hAnsi="宋体" w:cs="宋体"/>
                <w:color w:val="auto"/>
                <w:kern w:val="0"/>
                <w:sz w:val="24"/>
              </w:rPr>
            </w:pPr>
            <w:r>
              <w:rPr>
                <w:rFonts w:hint="eastAsia" w:ascii="宋体" w:hAnsi="宋体" w:cs="宋体"/>
                <w:color w:val="auto"/>
                <w:kern w:val="0"/>
                <w:sz w:val="24"/>
              </w:rPr>
              <w:t>★定制对接开发</w:t>
            </w:r>
          </w:p>
        </w:tc>
        <w:tc>
          <w:tcPr>
            <w:tcW w:w="6095" w:type="dxa"/>
            <w:tcBorders>
              <w:top w:val="single" w:color="000000" w:sz="4" w:space="0"/>
              <w:left w:val="single" w:color="000000" w:sz="4" w:space="0"/>
              <w:bottom w:val="single" w:color="000000" w:sz="4" w:space="0"/>
              <w:right w:val="single" w:color="000000" w:sz="4" w:space="0"/>
            </w:tcBorders>
            <w:vAlign w:val="center"/>
          </w:tcPr>
          <w:p w14:paraId="51205DB4">
            <w:pPr>
              <w:widowControl/>
              <w:rPr>
                <w:rFonts w:hint="eastAsia" w:ascii="宋体" w:hAnsi="宋体" w:cs="宋体"/>
                <w:color w:val="auto"/>
                <w:kern w:val="0"/>
                <w:sz w:val="24"/>
              </w:rPr>
            </w:pPr>
            <w:r>
              <w:rPr>
                <w:rFonts w:hint="eastAsia" w:ascii="宋体" w:hAnsi="宋体" w:cs="宋体"/>
                <w:color w:val="auto"/>
                <w:kern w:val="0"/>
                <w:sz w:val="24"/>
              </w:rPr>
              <w:t>与学校现有的“高校安全管理平台（版本信息：V1.2.100_20230726）”、“出入口闸机管控系统”、“智慧安保”、“访客系统”、“学校数据中心”等进行无缝对接。学校提供相关数据接口协议。具体对接方案由投标人勘察现场后自行制定。</w:t>
            </w:r>
            <w:r>
              <w:rPr>
                <w:rFonts w:hint="eastAsia" w:ascii="宋体" w:hAnsi="宋体" w:cs="宋体"/>
                <w:color w:val="auto"/>
                <w:kern w:val="0"/>
                <w:sz w:val="24"/>
              </w:rPr>
              <w:br w:type="textWrapping"/>
            </w:r>
            <w:r>
              <w:rPr>
                <w:rFonts w:hint="eastAsia" w:ascii="宋体" w:hAnsi="宋体" w:cs="宋体"/>
                <w:color w:val="auto"/>
                <w:kern w:val="0"/>
                <w:sz w:val="24"/>
              </w:rPr>
              <w:t>（一）违章信息获取</w:t>
            </w:r>
            <w:r>
              <w:rPr>
                <w:rFonts w:hint="eastAsia" w:ascii="宋体" w:hAnsi="宋体" w:cs="宋体"/>
                <w:color w:val="auto"/>
                <w:kern w:val="0"/>
                <w:sz w:val="24"/>
              </w:rPr>
              <w:br w:type="textWrapping"/>
            </w:r>
            <w:r>
              <w:rPr>
                <w:rFonts w:hint="eastAsia" w:ascii="宋体" w:hAnsi="宋体" w:cs="宋体"/>
                <w:color w:val="auto"/>
                <w:kern w:val="0"/>
                <w:sz w:val="24"/>
              </w:rPr>
              <w:t>【1】机动车车辆超速信息获取</w:t>
            </w:r>
            <w:r>
              <w:rPr>
                <w:rFonts w:hint="eastAsia" w:ascii="宋体" w:hAnsi="宋体" w:cs="宋体"/>
                <w:color w:val="auto"/>
                <w:kern w:val="0"/>
                <w:sz w:val="24"/>
              </w:rPr>
              <w:br w:type="textWrapping"/>
            </w:r>
            <w:r>
              <w:rPr>
                <w:rFonts w:hint="eastAsia" w:ascii="宋体" w:hAnsi="宋体" w:cs="宋体"/>
                <w:color w:val="auto"/>
                <w:kern w:val="0"/>
                <w:sz w:val="24"/>
              </w:rPr>
              <w:t>借助车辆抓拍显示一体机设备和配套软件，支持车辆的抓拍识别。对所有经过机动车车辆进行抓拍，获取车辆相关信息、车速、通行时间等数据统计，并分析出超速车辆。</w:t>
            </w:r>
            <w:r>
              <w:rPr>
                <w:rFonts w:hint="eastAsia" w:ascii="宋体" w:hAnsi="宋体" w:cs="宋体"/>
                <w:color w:val="auto"/>
                <w:kern w:val="0"/>
                <w:sz w:val="24"/>
              </w:rPr>
              <w:br w:type="textWrapping"/>
            </w:r>
            <w:r>
              <w:rPr>
                <w:rFonts w:hint="eastAsia" w:ascii="宋体" w:hAnsi="宋体" w:cs="宋体"/>
                <w:color w:val="auto"/>
                <w:kern w:val="0"/>
                <w:sz w:val="24"/>
              </w:rPr>
              <w:t>【2】机动车车辆违停信息获取</w:t>
            </w:r>
            <w:r>
              <w:rPr>
                <w:rFonts w:hint="eastAsia" w:ascii="宋体" w:hAnsi="宋体" w:cs="宋体"/>
                <w:color w:val="auto"/>
                <w:kern w:val="0"/>
                <w:sz w:val="24"/>
              </w:rPr>
              <w:br w:type="textWrapping"/>
            </w:r>
            <w:r>
              <w:rPr>
                <w:rFonts w:hint="eastAsia" w:ascii="宋体" w:hAnsi="宋体" w:cs="宋体"/>
                <w:color w:val="auto"/>
                <w:kern w:val="0"/>
                <w:sz w:val="24"/>
              </w:rPr>
              <w:t>保安日常巡逻校园发现机动车车辆违停时，手机端打开定制的软件系统，拍照并上传车辆违停信息；手机操作界面通过输入车牌号码获取到手机号码后，一键呼叫车主，实现高效的违停处理闭环。</w:t>
            </w:r>
            <w:r>
              <w:rPr>
                <w:rFonts w:hint="eastAsia" w:ascii="宋体" w:hAnsi="宋体" w:cs="宋体"/>
                <w:color w:val="auto"/>
                <w:kern w:val="0"/>
                <w:sz w:val="24"/>
              </w:rPr>
              <w:br w:type="textWrapping"/>
            </w:r>
            <w:r>
              <w:rPr>
                <w:rFonts w:hint="eastAsia" w:ascii="宋体" w:hAnsi="宋体" w:cs="宋体"/>
                <w:color w:val="auto"/>
                <w:kern w:val="0"/>
                <w:sz w:val="24"/>
              </w:rPr>
              <w:t>注：可通过车牌查询车主信息，包含人员信息、组织架构信息、联系方式（号码段中间字符显示密文）等</w:t>
            </w:r>
            <w:r>
              <w:rPr>
                <w:rFonts w:hint="eastAsia" w:ascii="宋体" w:hAnsi="宋体" w:cs="宋体"/>
                <w:color w:val="auto"/>
                <w:kern w:val="0"/>
                <w:sz w:val="24"/>
              </w:rPr>
              <w:br w:type="textWrapping"/>
            </w:r>
            <w:r>
              <w:rPr>
                <w:rFonts w:hint="eastAsia" w:ascii="宋体" w:hAnsi="宋体" w:cs="宋体"/>
                <w:color w:val="auto"/>
                <w:kern w:val="0"/>
                <w:sz w:val="24"/>
              </w:rPr>
              <w:t>（二）机动车车辆违章处理</w:t>
            </w:r>
            <w:r>
              <w:rPr>
                <w:rFonts w:hint="eastAsia" w:ascii="宋体" w:hAnsi="宋体" w:cs="宋体"/>
                <w:color w:val="auto"/>
                <w:kern w:val="0"/>
                <w:sz w:val="24"/>
              </w:rPr>
              <w:br w:type="textWrapping"/>
            </w:r>
            <w:r>
              <w:rPr>
                <w:rFonts w:hint="eastAsia" w:ascii="宋体" w:hAnsi="宋体" w:cs="宋体"/>
                <w:color w:val="auto"/>
                <w:kern w:val="0"/>
                <w:sz w:val="24"/>
              </w:rPr>
              <w:t>【1】机动车车辆违章（超速、违停）时，向其发送短信提醒（包含固定车辆与访客车辆）。</w:t>
            </w:r>
            <w:r>
              <w:rPr>
                <w:rFonts w:hint="eastAsia" w:ascii="宋体" w:hAnsi="宋体" w:cs="宋体"/>
                <w:color w:val="auto"/>
                <w:kern w:val="0"/>
                <w:sz w:val="24"/>
              </w:rPr>
              <w:br w:type="textWrapping"/>
            </w:r>
            <w:r>
              <w:rPr>
                <w:rFonts w:hint="eastAsia" w:ascii="宋体" w:hAnsi="宋体" w:cs="宋体"/>
                <w:color w:val="auto"/>
                <w:kern w:val="0"/>
                <w:sz w:val="24"/>
              </w:rPr>
              <w:t>【2】机动车车辆违章（超速、违停）次数合并超过阈值（暂定3次）后，将进入校园车辆管理黑名单。</w:t>
            </w:r>
            <w:r>
              <w:rPr>
                <w:rFonts w:hint="eastAsia" w:ascii="宋体" w:hAnsi="宋体" w:cs="宋体"/>
                <w:color w:val="auto"/>
                <w:kern w:val="0"/>
                <w:sz w:val="24"/>
              </w:rPr>
              <w:br w:type="textWrapping"/>
            </w:r>
            <w:r>
              <w:rPr>
                <w:rFonts w:hint="eastAsia" w:ascii="宋体" w:hAnsi="宋体" w:cs="宋体"/>
                <w:color w:val="auto"/>
                <w:kern w:val="0"/>
                <w:sz w:val="24"/>
              </w:rPr>
              <w:t>注：可设置白名单车辆，不受上述限制</w:t>
            </w:r>
            <w:r>
              <w:rPr>
                <w:rFonts w:hint="eastAsia" w:ascii="宋体" w:hAnsi="宋体" w:cs="宋体"/>
                <w:color w:val="auto"/>
                <w:kern w:val="0"/>
                <w:sz w:val="24"/>
              </w:rPr>
              <w:br w:type="textWrapping"/>
            </w:r>
            <w:r>
              <w:rPr>
                <w:rFonts w:hint="eastAsia" w:ascii="宋体" w:hAnsi="宋体" w:cs="宋体"/>
                <w:color w:val="auto"/>
                <w:kern w:val="0"/>
                <w:sz w:val="24"/>
              </w:rPr>
              <w:t>【3】黑名单车辆在一个月（暂定）后自动移除黑名单</w:t>
            </w:r>
            <w:r>
              <w:rPr>
                <w:rFonts w:hint="eastAsia" w:ascii="宋体" w:hAnsi="宋体" w:cs="宋体"/>
                <w:color w:val="auto"/>
                <w:kern w:val="0"/>
                <w:sz w:val="24"/>
              </w:rPr>
              <w:br w:type="textWrapping"/>
            </w:r>
            <w:r>
              <w:rPr>
                <w:rFonts w:hint="eastAsia" w:ascii="宋体" w:hAnsi="宋体" w:cs="宋体"/>
                <w:color w:val="auto"/>
                <w:kern w:val="0"/>
                <w:sz w:val="24"/>
              </w:rPr>
              <w:t>或黑名单车辆的车主填写并提交申请，经相关部门审批后，由安保处相关负责人手动移出黑名单。</w:t>
            </w:r>
            <w:r>
              <w:rPr>
                <w:rFonts w:hint="eastAsia" w:ascii="宋体" w:hAnsi="宋体" w:cs="宋体"/>
                <w:color w:val="auto"/>
                <w:kern w:val="0"/>
                <w:sz w:val="24"/>
              </w:rPr>
              <w:br w:type="textWrapping"/>
            </w:r>
            <w:r>
              <w:rPr>
                <w:rFonts w:hint="eastAsia" w:ascii="宋体" w:hAnsi="宋体" w:cs="宋体"/>
                <w:color w:val="auto"/>
                <w:kern w:val="0"/>
                <w:sz w:val="24"/>
              </w:rPr>
              <w:t>注：如访客车辆进入黑名单期间，访客再次申请时，界面弹窗相关黑名单提示，如需进校，联系被访老师走流程解除黑名单</w:t>
            </w:r>
            <w:r>
              <w:rPr>
                <w:rFonts w:hint="eastAsia" w:ascii="宋体" w:hAnsi="宋体" w:cs="宋体"/>
                <w:color w:val="auto"/>
                <w:kern w:val="0"/>
                <w:sz w:val="24"/>
              </w:rPr>
              <w:br w:type="textWrapping"/>
            </w:r>
            <w:r>
              <w:rPr>
                <w:rFonts w:hint="eastAsia" w:ascii="宋体" w:hAnsi="宋体" w:cs="宋体"/>
                <w:color w:val="auto"/>
                <w:kern w:val="0"/>
                <w:sz w:val="24"/>
              </w:rPr>
              <w:t>（三）陌生机动车车辆违规进校处理</w:t>
            </w:r>
            <w:r>
              <w:rPr>
                <w:rFonts w:hint="eastAsia" w:ascii="宋体" w:hAnsi="宋体" w:cs="宋体"/>
                <w:color w:val="auto"/>
                <w:kern w:val="0"/>
                <w:sz w:val="24"/>
              </w:rPr>
              <w:br w:type="textWrapping"/>
            </w:r>
            <w:r>
              <w:rPr>
                <w:rFonts w:hint="eastAsia" w:ascii="宋体" w:hAnsi="宋体" w:cs="宋体"/>
                <w:color w:val="auto"/>
                <w:kern w:val="0"/>
                <w:sz w:val="24"/>
              </w:rPr>
              <w:t>不在①固定车辆数据库②有效期内的访客车辆数据库的车辆进入校园后被车辆抓拍摄像机抓拍到，相关信息推送至安保处，待安保处确认是非法途径进校后，手动加入长期黑名单库（不遵循自动移除规则），如需移出黑名单，须安保处手动移出。</w:t>
            </w:r>
            <w:r>
              <w:rPr>
                <w:rFonts w:hint="eastAsia" w:ascii="宋体" w:hAnsi="宋体" w:cs="宋体"/>
                <w:color w:val="auto"/>
                <w:kern w:val="0"/>
                <w:sz w:val="24"/>
              </w:rPr>
              <w:br w:type="textWrapping"/>
            </w:r>
            <w:r>
              <w:rPr>
                <w:rFonts w:hint="eastAsia" w:ascii="宋体" w:hAnsi="宋体" w:cs="宋体"/>
                <w:color w:val="auto"/>
                <w:kern w:val="0"/>
                <w:sz w:val="24"/>
              </w:rPr>
              <w:t>（四）非机动车车辆违停处理</w:t>
            </w:r>
            <w:r>
              <w:rPr>
                <w:rFonts w:hint="eastAsia" w:ascii="宋体" w:hAnsi="宋体" w:cs="宋体"/>
                <w:color w:val="auto"/>
                <w:kern w:val="0"/>
                <w:sz w:val="24"/>
              </w:rPr>
              <w:br w:type="textWrapping"/>
            </w:r>
            <w:r>
              <w:rPr>
                <w:rFonts w:hint="eastAsia" w:ascii="宋体" w:hAnsi="宋体" w:cs="宋体"/>
                <w:color w:val="auto"/>
                <w:kern w:val="0"/>
                <w:sz w:val="24"/>
              </w:rPr>
              <w:t>保安日常巡逻校园发现非机动车车辆违停时，根据车辆号牌可查询车主并一键拨号电话通知。</w:t>
            </w:r>
          </w:p>
        </w:tc>
        <w:tc>
          <w:tcPr>
            <w:tcW w:w="709" w:type="dxa"/>
            <w:tcBorders>
              <w:top w:val="single" w:color="000000" w:sz="4" w:space="0"/>
              <w:left w:val="single" w:color="000000" w:sz="4" w:space="0"/>
              <w:bottom w:val="single" w:color="000000" w:sz="4" w:space="0"/>
              <w:right w:val="single" w:color="000000" w:sz="4" w:space="0"/>
            </w:tcBorders>
            <w:vAlign w:val="center"/>
          </w:tcPr>
          <w:p w14:paraId="3A24449F">
            <w:pPr>
              <w:widowControl/>
              <w:jc w:val="center"/>
              <w:rPr>
                <w:rFonts w:hint="eastAsia" w:ascii="宋体" w:hAnsi="宋体" w:cs="宋体"/>
                <w:color w:val="auto"/>
                <w:kern w:val="0"/>
                <w:sz w:val="24"/>
              </w:rPr>
            </w:pPr>
            <w:r>
              <w:rPr>
                <w:rFonts w:hint="eastAsia" w:ascii="宋体" w:hAnsi="宋体" w:cs="宋体"/>
                <w:color w:val="auto"/>
                <w:kern w:val="0"/>
                <w:sz w:val="24"/>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640B316F">
            <w:pPr>
              <w:widowControl/>
              <w:jc w:val="center"/>
              <w:rPr>
                <w:rFonts w:hint="eastAsia" w:ascii="宋体" w:hAnsi="宋体" w:cs="宋体"/>
                <w:color w:val="auto"/>
                <w:kern w:val="0"/>
                <w:sz w:val="24"/>
              </w:rPr>
            </w:pPr>
            <w:r>
              <w:rPr>
                <w:rFonts w:hint="eastAsia" w:ascii="宋体" w:hAnsi="宋体" w:cs="宋体"/>
                <w:color w:val="auto"/>
                <w:kern w:val="0"/>
                <w:sz w:val="24"/>
              </w:rPr>
              <w:t>项</w:t>
            </w:r>
          </w:p>
        </w:tc>
      </w:tr>
      <w:tr w14:paraId="2E898D22">
        <w:tblPrEx>
          <w:tblCellMar>
            <w:top w:w="0" w:type="dxa"/>
            <w:left w:w="108" w:type="dxa"/>
            <w:bottom w:w="0" w:type="dxa"/>
            <w:right w:w="108" w:type="dxa"/>
          </w:tblCellMar>
        </w:tblPrEx>
        <w:trPr>
          <w:trHeight w:val="499" w:hRule="atLeast"/>
        </w:trPr>
        <w:tc>
          <w:tcPr>
            <w:tcW w:w="846" w:type="dxa"/>
            <w:tcBorders>
              <w:top w:val="single" w:color="000000" w:sz="4" w:space="0"/>
              <w:left w:val="single" w:color="000000" w:sz="4" w:space="0"/>
              <w:bottom w:val="single" w:color="000000" w:sz="4" w:space="0"/>
              <w:right w:val="single" w:color="000000" w:sz="4" w:space="0"/>
            </w:tcBorders>
            <w:vAlign w:val="center"/>
          </w:tcPr>
          <w:p w14:paraId="3A049F92">
            <w:pPr>
              <w:widowControl/>
              <w:jc w:val="center"/>
              <w:rPr>
                <w:rFonts w:hint="eastAsia" w:ascii="宋体" w:hAnsi="宋体" w:cs="宋体"/>
                <w:color w:val="auto"/>
                <w:kern w:val="0"/>
                <w:sz w:val="24"/>
              </w:rPr>
            </w:pPr>
            <w:r>
              <w:rPr>
                <w:rFonts w:hint="eastAsia" w:ascii="宋体" w:hAnsi="宋体" w:cs="宋体"/>
                <w:color w:val="auto"/>
                <w:kern w:val="0"/>
                <w:sz w:val="24"/>
              </w:rPr>
              <w:t>5</w:t>
            </w:r>
          </w:p>
        </w:tc>
        <w:tc>
          <w:tcPr>
            <w:tcW w:w="1134" w:type="dxa"/>
            <w:tcBorders>
              <w:top w:val="single" w:color="000000" w:sz="4" w:space="0"/>
              <w:left w:val="single" w:color="000000" w:sz="4" w:space="0"/>
              <w:bottom w:val="single" w:color="000000" w:sz="4" w:space="0"/>
              <w:right w:val="single" w:color="000000" w:sz="4" w:space="0"/>
            </w:tcBorders>
            <w:vAlign w:val="center"/>
          </w:tcPr>
          <w:p w14:paraId="2B1EBFE6">
            <w:pPr>
              <w:widowControl/>
              <w:jc w:val="left"/>
              <w:rPr>
                <w:rFonts w:hint="eastAsia" w:ascii="宋体" w:hAnsi="宋体" w:cs="宋体"/>
                <w:color w:val="auto"/>
                <w:kern w:val="0"/>
                <w:sz w:val="24"/>
              </w:rPr>
            </w:pPr>
            <w:r>
              <w:rPr>
                <w:rFonts w:hint="eastAsia" w:ascii="宋体" w:hAnsi="宋体" w:cs="宋体"/>
                <w:color w:val="auto"/>
                <w:kern w:val="0"/>
                <w:sz w:val="24"/>
              </w:rPr>
              <w:t>光纤收发器</w:t>
            </w:r>
          </w:p>
        </w:tc>
        <w:tc>
          <w:tcPr>
            <w:tcW w:w="6095" w:type="dxa"/>
            <w:tcBorders>
              <w:top w:val="single" w:color="000000" w:sz="4" w:space="0"/>
              <w:left w:val="single" w:color="000000" w:sz="4" w:space="0"/>
              <w:bottom w:val="single" w:color="000000" w:sz="4" w:space="0"/>
              <w:right w:val="single" w:color="000000" w:sz="4" w:space="0"/>
            </w:tcBorders>
            <w:vAlign w:val="center"/>
          </w:tcPr>
          <w:p w14:paraId="34FC451C">
            <w:pPr>
              <w:widowControl/>
              <w:rPr>
                <w:rFonts w:hint="eastAsia" w:ascii="宋体" w:hAnsi="宋体" w:cs="宋体"/>
                <w:color w:val="auto"/>
                <w:kern w:val="0"/>
                <w:sz w:val="24"/>
              </w:rPr>
            </w:pPr>
            <w:r>
              <w:rPr>
                <w:rFonts w:hint="eastAsia" w:ascii="宋体" w:hAnsi="宋体" w:cs="宋体"/>
                <w:color w:val="auto"/>
                <w:kern w:val="0"/>
                <w:sz w:val="24"/>
              </w:rPr>
              <w:t>千兆单模双纤</w:t>
            </w:r>
          </w:p>
        </w:tc>
        <w:tc>
          <w:tcPr>
            <w:tcW w:w="709" w:type="dxa"/>
            <w:tcBorders>
              <w:top w:val="single" w:color="000000" w:sz="4" w:space="0"/>
              <w:left w:val="single" w:color="000000" w:sz="4" w:space="0"/>
              <w:bottom w:val="single" w:color="000000" w:sz="4" w:space="0"/>
              <w:right w:val="single" w:color="000000" w:sz="4" w:space="0"/>
            </w:tcBorders>
            <w:vAlign w:val="center"/>
          </w:tcPr>
          <w:p w14:paraId="08F0F833">
            <w:pPr>
              <w:widowControl/>
              <w:jc w:val="center"/>
              <w:rPr>
                <w:rFonts w:hint="eastAsia" w:ascii="宋体" w:hAnsi="宋体" w:cs="宋体"/>
                <w:color w:val="auto"/>
                <w:kern w:val="0"/>
                <w:sz w:val="24"/>
              </w:rPr>
            </w:pPr>
            <w:r>
              <w:rPr>
                <w:rFonts w:hint="eastAsia" w:ascii="宋体" w:hAnsi="宋体" w:cs="宋体"/>
                <w:color w:val="auto"/>
                <w:kern w:val="0"/>
                <w:sz w:val="24"/>
              </w:rPr>
              <w:t>3</w:t>
            </w:r>
          </w:p>
        </w:tc>
        <w:tc>
          <w:tcPr>
            <w:tcW w:w="709" w:type="dxa"/>
            <w:tcBorders>
              <w:top w:val="single" w:color="000000" w:sz="4" w:space="0"/>
              <w:left w:val="single" w:color="000000" w:sz="4" w:space="0"/>
              <w:bottom w:val="single" w:color="000000" w:sz="4" w:space="0"/>
              <w:right w:val="single" w:color="000000" w:sz="4" w:space="0"/>
            </w:tcBorders>
            <w:vAlign w:val="center"/>
          </w:tcPr>
          <w:p w14:paraId="6608212C">
            <w:pPr>
              <w:widowControl/>
              <w:jc w:val="center"/>
              <w:rPr>
                <w:rFonts w:hint="eastAsia" w:ascii="宋体" w:hAnsi="宋体" w:cs="宋体"/>
                <w:color w:val="auto"/>
                <w:kern w:val="0"/>
                <w:sz w:val="24"/>
              </w:rPr>
            </w:pPr>
            <w:r>
              <w:rPr>
                <w:rFonts w:hint="eastAsia" w:ascii="宋体" w:hAnsi="宋体" w:cs="宋体"/>
                <w:color w:val="auto"/>
                <w:kern w:val="0"/>
                <w:sz w:val="24"/>
              </w:rPr>
              <w:t>对</w:t>
            </w:r>
          </w:p>
        </w:tc>
      </w:tr>
      <w:tr w14:paraId="2C7EAA4D">
        <w:tblPrEx>
          <w:tblCellMar>
            <w:top w:w="0" w:type="dxa"/>
            <w:left w:w="108" w:type="dxa"/>
            <w:bottom w:w="0" w:type="dxa"/>
            <w:right w:w="108" w:type="dxa"/>
          </w:tblCellMar>
        </w:tblPrEx>
        <w:trPr>
          <w:trHeight w:val="499" w:hRule="atLeast"/>
        </w:trPr>
        <w:tc>
          <w:tcPr>
            <w:tcW w:w="846" w:type="dxa"/>
            <w:tcBorders>
              <w:top w:val="single" w:color="000000" w:sz="4" w:space="0"/>
              <w:left w:val="single" w:color="000000" w:sz="4" w:space="0"/>
              <w:bottom w:val="single" w:color="000000" w:sz="4" w:space="0"/>
              <w:right w:val="single" w:color="000000" w:sz="4" w:space="0"/>
            </w:tcBorders>
            <w:vAlign w:val="center"/>
          </w:tcPr>
          <w:p w14:paraId="3E6F9BD2">
            <w:pPr>
              <w:widowControl/>
              <w:jc w:val="center"/>
              <w:rPr>
                <w:rFonts w:hint="eastAsia" w:ascii="宋体" w:hAnsi="宋体" w:cs="宋体"/>
                <w:color w:val="auto"/>
                <w:kern w:val="0"/>
                <w:sz w:val="24"/>
              </w:rPr>
            </w:pPr>
            <w:r>
              <w:rPr>
                <w:rFonts w:hint="eastAsia" w:ascii="宋体" w:hAnsi="宋体" w:cs="宋体"/>
                <w:color w:val="auto"/>
                <w:kern w:val="0"/>
                <w:sz w:val="24"/>
              </w:rPr>
              <w:t>6</w:t>
            </w:r>
          </w:p>
        </w:tc>
        <w:tc>
          <w:tcPr>
            <w:tcW w:w="1134" w:type="dxa"/>
            <w:tcBorders>
              <w:top w:val="single" w:color="000000" w:sz="4" w:space="0"/>
              <w:left w:val="single" w:color="000000" w:sz="4" w:space="0"/>
              <w:bottom w:val="single" w:color="000000" w:sz="4" w:space="0"/>
              <w:right w:val="single" w:color="000000" w:sz="4" w:space="0"/>
            </w:tcBorders>
            <w:vAlign w:val="center"/>
          </w:tcPr>
          <w:p w14:paraId="38A20D7E">
            <w:pPr>
              <w:widowControl/>
              <w:jc w:val="left"/>
              <w:rPr>
                <w:rFonts w:hint="eastAsia" w:ascii="宋体" w:hAnsi="宋体" w:cs="宋体"/>
                <w:color w:val="auto"/>
                <w:kern w:val="0"/>
                <w:sz w:val="24"/>
              </w:rPr>
            </w:pPr>
            <w:r>
              <w:rPr>
                <w:rFonts w:hint="eastAsia" w:ascii="宋体" w:hAnsi="宋体" w:cs="宋体"/>
                <w:color w:val="auto"/>
                <w:kern w:val="0"/>
                <w:sz w:val="24"/>
              </w:rPr>
              <w:t>立杆</w:t>
            </w:r>
          </w:p>
        </w:tc>
        <w:tc>
          <w:tcPr>
            <w:tcW w:w="6095" w:type="dxa"/>
            <w:tcBorders>
              <w:top w:val="single" w:color="000000" w:sz="4" w:space="0"/>
              <w:left w:val="single" w:color="000000" w:sz="4" w:space="0"/>
              <w:bottom w:val="single" w:color="000000" w:sz="4" w:space="0"/>
              <w:right w:val="single" w:color="000000" w:sz="4" w:space="0"/>
            </w:tcBorders>
            <w:vAlign w:val="center"/>
          </w:tcPr>
          <w:p w14:paraId="17E6B5C5">
            <w:pPr>
              <w:widowControl/>
              <w:rPr>
                <w:rFonts w:hint="eastAsia" w:ascii="宋体" w:hAnsi="宋体" w:cs="宋体"/>
                <w:color w:val="auto"/>
                <w:kern w:val="0"/>
                <w:sz w:val="24"/>
              </w:rPr>
            </w:pPr>
            <w:r>
              <w:rPr>
                <w:rFonts w:hint="eastAsia" w:ascii="宋体" w:hAnsi="宋体" w:cs="宋体"/>
                <w:color w:val="auto"/>
                <w:kern w:val="0"/>
                <w:sz w:val="24"/>
              </w:rPr>
              <w:t>杆高3.5米，壁厚：≥2.5mm,直径≥114mm，含地笼</w:t>
            </w:r>
          </w:p>
        </w:tc>
        <w:tc>
          <w:tcPr>
            <w:tcW w:w="709" w:type="dxa"/>
            <w:tcBorders>
              <w:top w:val="single" w:color="000000" w:sz="4" w:space="0"/>
              <w:left w:val="single" w:color="000000" w:sz="4" w:space="0"/>
              <w:bottom w:val="single" w:color="000000" w:sz="4" w:space="0"/>
              <w:right w:val="single" w:color="000000" w:sz="4" w:space="0"/>
            </w:tcBorders>
            <w:vAlign w:val="center"/>
          </w:tcPr>
          <w:p w14:paraId="3B962DC1">
            <w:pPr>
              <w:widowControl/>
              <w:jc w:val="center"/>
              <w:rPr>
                <w:rFonts w:hint="eastAsia" w:ascii="宋体" w:hAnsi="宋体" w:cs="宋体"/>
                <w:color w:val="auto"/>
                <w:kern w:val="0"/>
                <w:sz w:val="24"/>
              </w:rPr>
            </w:pPr>
            <w:r>
              <w:rPr>
                <w:rFonts w:hint="eastAsia" w:ascii="宋体" w:hAnsi="宋体" w:cs="宋体"/>
                <w:color w:val="auto"/>
                <w:kern w:val="0"/>
                <w:sz w:val="24"/>
              </w:rPr>
              <w:t>3</w:t>
            </w:r>
          </w:p>
        </w:tc>
        <w:tc>
          <w:tcPr>
            <w:tcW w:w="709" w:type="dxa"/>
            <w:tcBorders>
              <w:top w:val="single" w:color="000000" w:sz="4" w:space="0"/>
              <w:left w:val="single" w:color="000000" w:sz="4" w:space="0"/>
              <w:bottom w:val="single" w:color="000000" w:sz="4" w:space="0"/>
              <w:right w:val="single" w:color="000000" w:sz="4" w:space="0"/>
            </w:tcBorders>
            <w:vAlign w:val="center"/>
          </w:tcPr>
          <w:p w14:paraId="18AC2CED">
            <w:pPr>
              <w:widowControl/>
              <w:jc w:val="center"/>
              <w:rPr>
                <w:rFonts w:hint="eastAsia" w:ascii="宋体" w:hAnsi="宋体" w:cs="宋体"/>
                <w:color w:val="auto"/>
                <w:kern w:val="0"/>
                <w:sz w:val="24"/>
              </w:rPr>
            </w:pPr>
            <w:r>
              <w:rPr>
                <w:rFonts w:hint="eastAsia" w:ascii="宋体" w:hAnsi="宋体" w:cs="宋体"/>
                <w:color w:val="auto"/>
                <w:kern w:val="0"/>
                <w:sz w:val="24"/>
              </w:rPr>
              <w:t>根</w:t>
            </w:r>
          </w:p>
        </w:tc>
      </w:tr>
      <w:tr w14:paraId="62314300">
        <w:tblPrEx>
          <w:tblCellMar>
            <w:top w:w="0" w:type="dxa"/>
            <w:left w:w="108" w:type="dxa"/>
            <w:bottom w:w="0" w:type="dxa"/>
            <w:right w:w="108" w:type="dxa"/>
          </w:tblCellMar>
        </w:tblPrEx>
        <w:trPr>
          <w:trHeight w:val="499" w:hRule="atLeast"/>
        </w:trPr>
        <w:tc>
          <w:tcPr>
            <w:tcW w:w="846" w:type="dxa"/>
            <w:tcBorders>
              <w:top w:val="single" w:color="000000" w:sz="4" w:space="0"/>
              <w:left w:val="single" w:color="000000" w:sz="4" w:space="0"/>
              <w:bottom w:val="single" w:color="000000" w:sz="4" w:space="0"/>
              <w:right w:val="single" w:color="000000" w:sz="4" w:space="0"/>
            </w:tcBorders>
            <w:vAlign w:val="center"/>
          </w:tcPr>
          <w:p w14:paraId="592B934A">
            <w:pPr>
              <w:widowControl/>
              <w:jc w:val="center"/>
              <w:rPr>
                <w:rFonts w:hint="eastAsia" w:ascii="宋体" w:hAnsi="宋体" w:cs="宋体"/>
                <w:color w:val="auto"/>
                <w:kern w:val="0"/>
                <w:sz w:val="24"/>
              </w:rPr>
            </w:pPr>
            <w:r>
              <w:rPr>
                <w:rFonts w:hint="eastAsia" w:ascii="宋体" w:hAnsi="宋体" w:cs="宋体"/>
                <w:color w:val="auto"/>
                <w:kern w:val="0"/>
                <w:sz w:val="24"/>
              </w:rPr>
              <w:t>7</w:t>
            </w:r>
          </w:p>
        </w:tc>
        <w:tc>
          <w:tcPr>
            <w:tcW w:w="1134" w:type="dxa"/>
            <w:tcBorders>
              <w:top w:val="single" w:color="000000" w:sz="4" w:space="0"/>
              <w:left w:val="single" w:color="000000" w:sz="4" w:space="0"/>
              <w:bottom w:val="single" w:color="000000" w:sz="4" w:space="0"/>
              <w:right w:val="single" w:color="000000" w:sz="4" w:space="0"/>
            </w:tcBorders>
            <w:vAlign w:val="center"/>
          </w:tcPr>
          <w:p w14:paraId="010473BF">
            <w:pPr>
              <w:widowControl/>
              <w:jc w:val="left"/>
              <w:rPr>
                <w:rFonts w:hint="eastAsia" w:ascii="宋体" w:hAnsi="宋体" w:cs="宋体"/>
                <w:color w:val="auto"/>
                <w:kern w:val="0"/>
                <w:sz w:val="24"/>
              </w:rPr>
            </w:pPr>
            <w:r>
              <w:rPr>
                <w:rFonts w:hint="eastAsia" w:ascii="宋体" w:hAnsi="宋体" w:cs="宋体"/>
                <w:color w:val="auto"/>
                <w:kern w:val="0"/>
                <w:sz w:val="24"/>
              </w:rPr>
              <w:t>室外防水箱</w:t>
            </w:r>
          </w:p>
        </w:tc>
        <w:tc>
          <w:tcPr>
            <w:tcW w:w="6095" w:type="dxa"/>
            <w:tcBorders>
              <w:top w:val="single" w:color="000000" w:sz="4" w:space="0"/>
              <w:left w:val="single" w:color="000000" w:sz="4" w:space="0"/>
              <w:bottom w:val="single" w:color="000000" w:sz="4" w:space="0"/>
              <w:right w:val="single" w:color="000000" w:sz="4" w:space="0"/>
            </w:tcBorders>
            <w:vAlign w:val="center"/>
          </w:tcPr>
          <w:p w14:paraId="410939D2">
            <w:pPr>
              <w:widowControl/>
              <w:rPr>
                <w:rFonts w:hint="eastAsia" w:ascii="宋体" w:hAnsi="宋体" w:cs="宋体"/>
                <w:color w:val="auto"/>
                <w:kern w:val="0"/>
                <w:sz w:val="24"/>
              </w:rPr>
            </w:pPr>
            <w:r>
              <w:rPr>
                <w:rFonts w:hint="eastAsia" w:ascii="宋体" w:hAnsi="宋体" w:cs="宋体"/>
                <w:color w:val="auto"/>
                <w:kern w:val="0"/>
                <w:sz w:val="24"/>
              </w:rPr>
              <w:t>不锈钢材质，300*400mm，含导轨、空开</w:t>
            </w:r>
          </w:p>
        </w:tc>
        <w:tc>
          <w:tcPr>
            <w:tcW w:w="709" w:type="dxa"/>
            <w:tcBorders>
              <w:top w:val="single" w:color="000000" w:sz="4" w:space="0"/>
              <w:left w:val="single" w:color="000000" w:sz="4" w:space="0"/>
              <w:bottom w:val="single" w:color="000000" w:sz="4" w:space="0"/>
              <w:right w:val="single" w:color="000000" w:sz="4" w:space="0"/>
            </w:tcBorders>
            <w:vAlign w:val="center"/>
          </w:tcPr>
          <w:p w14:paraId="76DF15B7">
            <w:pPr>
              <w:widowControl/>
              <w:jc w:val="center"/>
              <w:rPr>
                <w:rFonts w:hint="eastAsia" w:ascii="宋体" w:hAnsi="宋体" w:cs="宋体"/>
                <w:color w:val="auto"/>
                <w:kern w:val="0"/>
                <w:sz w:val="24"/>
              </w:rPr>
            </w:pPr>
            <w:r>
              <w:rPr>
                <w:rFonts w:hint="eastAsia" w:ascii="宋体" w:hAnsi="宋体" w:cs="宋体"/>
                <w:color w:val="auto"/>
                <w:kern w:val="0"/>
                <w:sz w:val="24"/>
              </w:rPr>
              <w:t>3</w:t>
            </w:r>
          </w:p>
        </w:tc>
        <w:tc>
          <w:tcPr>
            <w:tcW w:w="709" w:type="dxa"/>
            <w:tcBorders>
              <w:top w:val="single" w:color="000000" w:sz="4" w:space="0"/>
              <w:left w:val="single" w:color="000000" w:sz="4" w:space="0"/>
              <w:bottom w:val="single" w:color="000000" w:sz="4" w:space="0"/>
              <w:right w:val="single" w:color="000000" w:sz="4" w:space="0"/>
            </w:tcBorders>
            <w:vAlign w:val="center"/>
          </w:tcPr>
          <w:p w14:paraId="559BA27E">
            <w:pPr>
              <w:widowControl/>
              <w:jc w:val="center"/>
              <w:rPr>
                <w:rFonts w:hint="eastAsia" w:ascii="宋体" w:hAnsi="宋体" w:cs="宋体"/>
                <w:color w:val="auto"/>
                <w:kern w:val="0"/>
                <w:sz w:val="24"/>
              </w:rPr>
            </w:pPr>
            <w:r>
              <w:rPr>
                <w:rFonts w:hint="eastAsia" w:ascii="宋体" w:hAnsi="宋体" w:cs="宋体"/>
                <w:color w:val="auto"/>
                <w:kern w:val="0"/>
                <w:sz w:val="24"/>
              </w:rPr>
              <w:t>个</w:t>
            </w:r>
          </w:p>
        </w:tc>
      </w:tr>
      <w:tr w14:paraId="03625047">
        <w:tblPrEx>
          <w:tblCellMar>
            <w:top w:w="0" w:type="dxa"/>
            <w:left w:w="108" w:type="dxa"/>
            <w:bottom w:w="0" w:type="dxa"/>
            <w:right w:w="108" w:type="dxa"/>
          </w:tblCellMar>
        </w:tblPrEx>
        <w:trPr>
          <w:trHeight w:val="499" w:hRule="atLeast"/>
        </w:trPr>
        <w:tc>
          <w:tcPr>
            <w:tcW w:w="846" w:type="dxa"/>
            <w:tcBorders>
              <w:top w:val="single" w:color="000000" w:sz="4" w:space="0"/>
              <w:left w:val="single" w:color="000000" w:sz="4" w:space="0"/>
              <w:bottom w:val="single" w:color="000000" w:sz="4" w:space="0"/>
              <w:right w:val="single" w:color="000000" w:sz="4" w:space="0"/>
            </w:tcBorders>
            <w:vAlign w:val="center"/>
          </w:tcPr>
          <w:p w14:paraId="6B3B5257">
            <w:pPr>
              <w:widowControl/>
              <w:jc w:val="center"/>
              <w:rPr>
                <w:rFonts w:hint="eastAsia" w:ascii="宋体" w:hAnsi="宋体" w:cs="宋体"/>
                <w:color w:val="auto"/>
                <w:kern w:val="0"/>
                <w:sz w:val="24"/>
              </w:rPr>
            </w:pPr>
            <w:r>
              <w:rPr>
                <w:rFonts w:hint="eastAsia" w:ascii="宋体" w:hAnsi="宋体" w:cs="宋体"/>
                <w:color w:val="auto"/>
                <w:kern w:val="0"/>
                <w:sz w:val="24"/>
              </w:rPr>
              <w:t>8</w:t>
            </w:r>
          </w:p>
        </w:tc>
        <w:tc>
          <w:tcPr>
            <w:tcW w:w="1134" w:type="dxa"/>
            <w:tcBorders>
              <w:top w:val="single" w:color="000000" w:sz="4" w:space="0"/>
              <w:left w:val="single" w:color="000000" w:sz="4" w:space="0"/>
              <w:bottom w:val="single" w:color="000000" w:sz="4" w:space="0"/>
              <w:right w:val="single" w:color="000000" w:sz="4" w:space="0"/>
            </w:tcBorders>
            <w:vAlign w:val="center"/>
          </w:tcPr>
          <w:p w14:paraId="103C7355">
            <w:pPr>
              <w:widowControl/>
              <w:jc w:val="left"/>
              <w:rPr>
                <w:rFonts w:hint="eastAsia" w:ascii="宋体" w:hAnsi="宋体" w:cs="宋体"/>
                <w:color w:val="auto"/>
                <w:kern w:val="0"/>
                <w:sz w:val="24"/>
              </w:rPr>
            </w:pPr>
            <w:r>
              <w:rPr>
                <w:rFonts w:hint="eastAsia" w:ascii="宋体" w:hAnsi="宋体" w:cs="宋体"/>
                <w:color w:val="auto"/>
                <w:kern w:val="0"/>
                <w:sz w:val="24"/>
              </w:rPr>
              <w:t>网线</w:t>
            </w:r>
          </w:p>
        </w:tc>
        <w:tc>
          <w:tcPr>
            <w:tcW w:w="6095" w:type="dxa"/>
            <w:tcBorders>
              <w:top w:val="single" w:color="000000" w:sz="4" w:space="0"/>
              <w:left w:val="single" w:color="000000" w:sz="4" w:space="0"/>
              <w:bottom w:val="single" w:color="000000" w:sz="4" w:space="0"/>
              <w:right w:val="single" w:color="000000" w:sz="4" w:space="0"/>
            </w:tcBorders>
            <w:vAlign w:val="center"/>
          </w:tcPr>
          <w:p w14:paraId="049F15E9">
            <w:pPr>
              <w:widowControl/>
              <w:rPr>
                <w:rFonts w:hint="eastAsia" w:ascii="宋体" w:hAnsi="宋体" w:cs="宋体"/>
                <w:color w:val="auto"/>
                <w:kern w:val="0"/>
                <w:sz w:val="24"/>
              </w:rPr>
            </w:pPr>
            <w:r>
              <w:rPr>
                <w:rFonts w:hint="eastAsia" w:ascii="宋体" w:hAnsi="宋体" w:cs="宋体"/>
                <w:color w:val="auto"/>
                <w:kern w:val="0"/>
                <w:sz w:val="24"/>
              </w:rPr>
              <w:t>UTP CAT6</w:t>
            </w:r>
          </w:p>
        </w:tc>
        <w:tc>
          <w:tcPr>
            <w:tcW w:w="709" w:type="dxa"/>
            <w:tcBorders>
              <w:top w:val="single" w:color="000000" w:sz="4" w:space="0"/>
              <w:left w:val="single" w:color="000000" w:sz="4" w:space="0"/>
              <w:bottom w:val="single" w:color="000000" w:sz="4" w:space="0"/>
              <w:right w:val="single" w:color="000000" w:sz="4" w:space="0"/>
            </w:tcBorders>
            <w:vAlign w:val="center"/>
          </w:tcPr>
          <w:p w14:paraId="0BFD8C0F">
            <w:pPr>
              <w:widowControl/>
              <w:jc w:val="center"/>
              <w:rPr>
                <w:rFonts w:hint="eastAsia" w:ascii="宋体" w:hAnsi="宋体" w:cs="宋体"/>
                <w:color w:val="auto"/>
                <w:kern w:val="0"/>
                <w:sz w:val="24"/>
              </w:rPr>
            </w:pPr>
            <w:r>
              <w:rPr>
                <w:rFonts w:hint="eastAsia" w:ascii="宋体" w:hAnsi="宋体" w:cs="宋体"/>
                <w:color w:val="auto"/>
                <w:kern w:val="0"/>
                <w:sz w:val="24"/>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6CF04828">
            <w:pPr>
              <w:widowControl/>
              <w:jc w:val="center"/>
              <w:rPr>
                <w:rFonts w:hint="eastAsia" w:ascii="宋体" w:hAnsi="宋体" w:cs="宋体"/>
                <w:color w:val="auto"/>
                <w:kern w:val="0"/>
                <w:sz w:val="24"/>
              </w:rPr>
            </w:pPr>
            <w:r>
              <w:rPr>
                <w:rFonts w:hint="eastAsia" w:ascii="宋体" w:hAnsi="宋体" w:cs="宋体"/>
                <w:color w:val="auto"/>
                <w:kern w:val="0"/>
                <w:sz w:val="24"/>
              </w:rPr>
              <w:t>箱</w:t>
            </w:r>
          </w:p>
        </w:tc>
      </w:tr>
      <w:tr w14:paraId="2443CBE0">
        <w:tblPrEx>
          <w:tblCellMar>
            <w:top w:w="0" w:type="dxa"/>
            <w:left w:w="108" w:type="dxa"/>
            <w:bottom w:w="0" w:type="dxa"/>
            <w:right w:w="108" w:type="dxa"/>
          </w:tblCellMar>
        </w:tblPrEx>
        <w:trPr>
          <w:trHeight w:val="499" w:hRule="atLeast"/>
        </w:trPr>
        <w:tc>
          <w:tcPr>
            <w:tcW w:w="846" w:type="dxa"/>
            <w:tcBorders>
              <w:top w:val="single" w:color="000000" w:sz="4" w:space="0"/>
              <w:left w:val="single" w:color="000000" w:sz="4" w:space="0"/>
              <w:bottom w:val="single" w:color="000000" w:sz="4" w:space="0"/>
              <w:right w:val="single" w:color="000000" w:sz="4" w:space="0"/>
            </w:tcBorders>
            <w:vAlign w:val="center"/>
          </w:tcPr>
          <w:p w14:paraId="28286391">
            <w:pPr>
              <w:widowControl/>
              <w:jc w:val="center"/>
              <w:rPr>
                <w:rFonts w:hint="eastAsia" w:ascii="宋体" w:hAnsi="宋体" w:cs="宋体"/>
                <w:color w:val="auto"/>
                <w:kern w:val="0"/>
                <w:sz w:val="24"/>
              </w:rPr>
            </w:pPr>
            <w:r>
              <w:rPr>
                <w:rFonts w:hint="eastAsia" w:ascii="宋体" w:hAnsi="宋体" w:cs="宋体"/>
                <w:color w:val="auto"/>
                <w:kern w:val="0"/>
                <w:sz w:val="24"/>
              </w:rPr>
              <w:t>9</w:t>
            </w:r>
          </w:p>
        </w:tc>
        <w:tc>
          <w:tcPr>
            <w:tcW w:w="1134" w:type="dxa"/>
            <w:tcBorders>
              <w:top w:val="single" w:color="000000" w:sz="4" w:space="0"/>
              <w:left w:val="single" w:color="000000" w:sz="4" w:space="0"/>
              <w:bottom w:val="single" w:color="000000" w:sz="4" w:space="0"/>
              <w:right w:val="single" w:color="000000" w:sz="4" w:space="0"/>
            </w:tcBorders>
            <w:vAlign w:val="center"/>
          </w:tcPr>
          <w:p w14:paraId="1B8B3DA2">
            <w:pPr>
              <w:widowControl/>
              <w:jc w:val="left"/>
              <w:rPr>
                <w:rFonts w:hint="eastAsia" w:ascii="宋体" w:hAnsi="宋体" w:cs="宋体"/>
                <w:color w:val="auto"/>
                <w:kern w:val="0"/>
                <w:sz w:val="24"/>
              </w:rPr>
            </w:pPr>
            <w:r>
              <w:rPr>
                <w:rFonts w:hint="eastAsia" w:ascii="宋体" w:hAnsi="宋体" w:cs="宋体"/>
                <w:color w:val="auto"/>
                <w:kern w:val="0"/>
                <w:sz w:val="24"/>
              </w:rPr>
              <w:t>电源线</w:t>
            </w:r>
          </w:p>
        </w:tc>
        <w:tc>
          <w:tcPr>
            <w:tcW w:w="6095" w:type="dxa"/>
            <w:tcBorders>
              <w:top w:val="single" w:color="000000" w:sz="4" w:space="0"/>
              <w:left w:val="single" w:color="000000" w:sz="4" w:space="0"/>
              <w:bottom w:val="single" w:color="000000" w:sz="4" w:space="0"/>
              <w:right w:val="single" w:color="000000" w:sz="4" w:space="0"/>
            </w:tcBorders>
            <w:vAlign w:val="center"/>
          </w:tcPr>
          <w:p w14:paraId="46B69369">
            <w:pPr>
              <w:widowControl/>
              <w:rPr>
                <w:rFonts w:hint="eastAsia" w:ascii="宋体" w:hAnsi="宋体" w:cs="宋体"/>
                <w:color w:val="auto"/>
                <w:kern w:val="0"/>
                <w:sz w:val="24"/>
              </w:rPr>
            </w:pPr>
            <w:r>
              <w:rPr>
                <w:rFonts w:hint="eastAsia" w:ascii="宋体" w:hAnsi="宋体" w:cs="宋体"/>
                <w:color w:val="auto"/>
                <w:kern w:val="0"/>
                <w:sz w:val="24"/>
              </w:rPr>
              <w:t>RVV3*1.5</w:t>
            </w:r>
          </w:p>
        </w:tc>
        <w:tc>
          <w:tcPr>
            <w:tcW w:w="709" w:type="dxa"/>
            <w:tcBorders>
              <w:top w:val="single" w:color="000000" w:sz="4" w:space="0"/>
              <w:left w:val="single" w:color="000000" w:sz="4" w:space="0"/>
              <w:bottom w:val="single" w:color="000000" w:sz="4" w:space="0"/>
              <w:right w:val="single" w:color="000000" w:sz="4" w:space="0"/>
            </w:tcBorders>
            <w:vAlign w:val="center"/>
          </w:tcPr>
          <w:p w14:paraId="73358E43">
            <w:pPr>
              <w:widowControl/>
              <w:jc w:val="center"/>
              <w:rPr>
                <w:rFonts w:hint="eastAsia" w:ascii="宋体" w:hAnsi="宋体" w:cs="宋体"/>
                <w:color w:val="auto"/>
                <w:kern w:val="0"/>
                <w:sz w:val="24"/>
              </w:rPr>
            </w:pPr>
            <w:r>
              <w:rPr>
                <w:rFonts w:hint="eastAsia" w:ascii="宋体" w:hAnsi="宋体" w:cs="宋体"/>
                <w:color w:val="auto"/>
                <w:kern w:val="0"/>
                <w:sz w:val="24"/>
              </w:rPr>
              <w:t>500</w:t>
            </w:r>
          </w:p>
        </w:tc>
        <w:tc>
          <w:tcPr>
            <w:tcW w:w="709" w:type="dxa"/>
            <w:tcBorders>
              <w:top w:val="single" w:color="000000" w:sz="4" w:space="0"/>
              <w:left w:val="single" w:color="000000" w:sz="4" w:space="0"/>
              <w:bottom w:val="single" w:color="000000" w:sz="4" w:space="0"/>
              <w:right w:val="single" w:color="000000" w:sz="4" w:space="0"/>
            </w:tcBorders>
            <w:vAlign w:val="center"/>
          </w:tcPr>
          <w:p w14:paraId="4E96F4AC">
            <w:pPr>
              <w:widowControl/>
              <w:jc w:val="center"/>
              <w:rPr>
                <w:rFonts w:hint="eastAsia" w:ascii="宋体" w:hAnsi="宋体" w:cs="宋体"/>
                <w:color w:val="auto"/>
                <w:kern w:val="0"/>
                <w:sz w:val="24"/>
              </w:rPr>
            </w:pPr>
            <w:r>
              <w:rPr>
                <w:rFonts w:hint="eastAsia" w:ascii="宋体" w:hAnsi="宋体" w:cs="宋体"/>
                <w:color w:val="auto"/>
                <w:kern w:val="0"/>
                <w:sz w:val="24"/>
              </w:rPr>
              <w:t>米</w:t>
            </w:r>
          </w:p>
        </w:tc>
      </w:tr>
      <w:tr w14:paraId="2B74D657">
        <w:tblPrEx>
          <w:tblCellMar>
            <w:top w:w="0" w:type="dxa"/>
            <w:left w:w="108" w:type="dxa"/>
            <w:bottom w:w="0" w:type="dxa"/>
            <w:right w:w="108" w:type="dxa"/>
          </w:tblCellMar>
        </w:tblPrEx>
        <w:trPr>
          <w:trHeight w:val="499" w:hRule="atLeast"/>
        </w:trPr>
        <w:tc>
          <w:tcPr>
            <w:tcW w:w="846" w:type="dxa"/>
            <w:tcBorders>
              <w:top w:val="single" w:color="000000" w:sz="4" w:space="0"/>
              <w:left w:val="single" w:color="000000" w:sz="4" w:space="0"/>
              <w:bottom w:val="single" w:color="000000" w:sz="4" w:space="0"/>
              <w:right w:val="single" w:color="000000" w:sz="4" w:space="0"/>
            </w:tcBorders>
            <w:vAlign w:val="center"/>
          </w:tcPr>
          <w:p w14:paraId="0BB2090B">
            <w:pPr>
              <w:widowControl/>
              <w:jc w:val="center"/>
              <w:rPr>
                <w:rFonts w:hint="eastAsia" w:ascii="宋体" w:hAnsi="宋体" w:cs="宋体"/>
                <w:color w:val="auto"/>
                <w:kern w:val="0"/>
                <w:sz w:val="24"/>
              </w:rPr>
            </w:pPr>
            <w:r>
              <w:rPr>
                <w:rFonts w:hint="eastAsia" w:ascii="宋体" w:hAnsi="宋体" w:cs="宋体"/>
                <w:color w:val="auto"/>
                <w:kern w:val="0"/>
                <w:sz w:val="24"/>
              </w:rPr>
              <w:t>10</w:t>
            </w:r>
          </w:p>
        </w:tc>
        <w:tc>
          <w:tcPr>
            <w:tcW w:w="1134" w:type="dxa"/>
            <w:tcBorders>
              <w:top w:val="single" w:color="000000" w:sz="4" w:space="0"/>
              <w:left w:val="single" w:color="000000" w:sz="4" w:space="0"/>
              <w:bottom w:val="single" w:color="000000" w:sz="4" w:space="0"/>
              <w:right w:val="single" w:color="000000" w:sz="4" w:space="0"/>
            </w:tcBorders>
            <w:vAlign w:val="center"/>
          </w:tcPr>
          <w:p w14:paraId="3FB75A52">
            <w:pPr>
              <w:widowControl/>
              <w:jc w:val="left"/>
              <w:rPr>
                <w:rFonts w:hint="eastAsia" w:ascii="宋体" w:hAnsi="宋体" w:cs="宋体"/>
                <w:color w:val="auto"/>
                <w:kern w:val="0"/>
                <w:sz w:val="24"/>
              </w:rPr>
            </w:pPr>
            <w:r>
              <w:rPr>
                <w:rFonts w:hint="eastAsia" w:ascii="宋体" w:hAnsi="宋体" w:cs="宋体"/>
                <w:color w:val="auto"/>
                <w:kern w:val="0"/>
                <w:sz w:val="24"/>
              </w:rPr>
              <w:t>光纤</w:t>
            </w:r>
          </w:p>
        </w:tc>
        <w:tc>
          <w:tcPr>
            <w:tcW w:w="6095" w:type="dxa"/>
            <w:tcBorders>
              <w:top w:val="single" w:color="000000" w:sz="4" w:space="0"/>
              <w:left w:val="single" w:color="000000" w:sz="4" w:space="0"/>
              <w:bottom w:val="single" w:color="000000" w:sz="4" w:space="0"/>
              <w:right w:val="single" w:color="000000" w:sz="4" w:space="0"/>
            </w:tcBorders>
            <w:vAlign w:val="center"/>
          </w:tcPr>
          <w:p w14:paraId="4E3C28FF">
            <w:pPr>
              <w:widowControl/>
              <w:rPr>
                <w:rFonts w:hint="eastAsia" w:ascii="宋体" w:hAnsi="宋体" w:cs="宋体"/>
                <w:color w:val="auto"/>
                <w:kern w:val="0"/>
                <w:sz w:val="24"/>
              </w:rPr>
            </w:pPr>
            <w:r>
              <w:rPr>
                <w:rFonts w:hint="eastAsia" w:ascii="宋体" w:hAnsi="宋体" w:cs="宋体"/>
                <w:color w:val="auto"/>
                <w:kern w:val="0"/>
                <w:sz w:val="24"/>
              </w:rPr>
              <w:t>4芯单模</w:t>
            </w:r>
          </w:p>
        </w:tc>
        <w:tc>
          <w:tcPr>
            <w:tcW w:w="709" w:type="dxa"/>
            <w:tcBorders>
              <w:top w:val="single" w:color="000000" w:sz="4" w:space="0"/>
              <w:left w:val="single" w:color="000000" w:sz="4" w:space="0"/>
              <w:bottom w:val="single" w:color="000000" w:sz="4" w:space="0"/>
              <w:right w:val="single" w:color="000000" w:sz="4" w:space="0"/>
            </w:tcBorders>
            <w:vAlign w:val="center"/>
          </w:tcPr>
          <w:p w14:paraId="5220C851">
            <w:pPr>
              <w:widowControl/>
              <w:jc w:val="center"/>
              <w:rPr>
                <w:rFonts w:hint="eastAsia" w:ascii="宋体" w:hAnsi="宋体" w:cs="宋体"/>
                <w:color w:val="auto"/>
                <w:kern w:val="0"/>
                <w:sz w:val="24"/>
              </w:rPr>
            </w:pPr>
            <w:r>
              <w:rPr>
                <w:rFonts w:hint="eastAsia" w:ascii="宋体" w:hAnsi="宋体" w:cs="宋体"/>
                <w:color w:val="auto"/>
                <w:kern w:val="0"/>
                <w:sz w:val="24"/>
              </w:rPr>
              <w:t>400</w:t>
            </w:r>
          </w:p>
        </w:tc>
        <w:tc>
          <w:tcPr>
            <w:tcW w:w="709" w:type="dxa"/>
            <w:tcBorders>
              <w:top w:val="single" w:color="000000" w:sz="4" w:space="0"/>
              <w:left w:val="single" w:color="000000" w:sz="4" w:space="0"/>
              <w:bottom w:val="single" w:color="000000" w:sz="4" w:space="0"/>
              <w:right w:val="single" w:color="000000" w:sz="4" w:space="0"/>
            </w:tcBorders>
            <w:vAlign w:val="center"/>
          </w:tcPr>
          <w:p w14:paraId="0BE50365">
            <w:pPr>
              <w:widowControl/>
              <w:jc w:val="center"/>
              <w:rPr>
                <w:rFonts w:hint="eastAsia" w:ascii="宋体" w:hAnsi="宋体" w:cs="宋体"/>
                <w:color w:val="auto"/>
                <w:kern w:val="0"/>
                <w:sz w:val="24"/>
              </w:rPr>
            </w:pPr>
            <w:r>
              <w:rPr>
                <w:rFonts w:hint="eastAsia" w:ascii="宋体" w:hAnsi="宋体" w:cs="宋体"/>
                <w:color w:val="auto"/>
                <w:kern w:val="0"/>
                <w:sz w:val="24"/>
              </w:rPr>
              <w:t>米</w:t>
            </w:r>
          </w:p>
        </w:tc>
      </w:tr>
      <w:tr w14:paraId="6EE81B31">
        <w:tblPrEx>
          <w:tblCellMar>
            <w:top w:w="0" w:type="dxa"/>
            <w:left w:w="108" w:type="dxa"/>
            <w:bottom w:w="0" w:type="dxa"/>
            <w:right w:w="108" w:type="dxa"/>
          </w:tblCellMar>
        </w:tblPrEx>
        <w:trPr>
          <w:trHeight w:val="499" w:hRule="atLeast"/>
        </w:trPr>
        <w:tc>
          <w:tcPr>
            <w:tcW w:w="846" w:type="dxa"/>
            <w:tcBorders>
              <w:top w:val="single" w:color="000000" w:sz="4" w:space="0"/>
              <w:left w:val="single" w:color="000000" w:sz="4" w:space="0"/>
              <w:bottom w:val="single" w:color="000000" w:sz="4" w:space="0"/>
              <w:right w:val="single" w:color="000000" w:sz="4" w:space="0"/>
            </w:tcBorders>
            <w:vAlign w:val="center"/>
          </w:tcPr>
          <w:p w14:paraId="7C9A0D38">
            <w:pPr>
              <w:widowControl/>
              <w:jc w:val="center"/>
              <w:rPr>
                <w:rFonts w:hint="eastAsia" w:ascii="宋体" w:hAnsi="宋体" w:cs="宋体"/>
                <w:color w:val="auto"/>
                <w:kern w:val="0"/>
                <w:sz w:val="24"/>
              </w:rPr>
            </w:pPr>
            <w:r>
              <w:rPr>
                <w:rFonts w:hint="eastAsia" w:ascii="宋体" w:hAnsi="宋体" w:cs="宋体"/>
                <w:color w:val="auto"/>
                <w:kern w:val="0"/>
                <w:sz w:val="24"/>
              </w:rPr>
              <w:t>11</w:t>
            </w:r>
          </w:p>
        </w:tc>
        <w:tc>
          <w:tcPr>
            <w:tcW w:w="1134" w:type="dxa"/>
            <w:tcBorders>
              <w:top w:val="single" w:color="000000" w:sz="4" w:space="0"/>
              <w:left w:val="single" w:color="000000" w:sz="4" w:space="0"/>
              <w:bottom w:val="single" w:color="000000" w:sz="4" w:space="0"/>
              <w:right w:val="single" w:color="000000" w:sz="4" w:space="0"/>
            </w:tcBorders>
            <w:vAlign w:val="center"/>
          </w:tcPr>
          <w:p w14:paraId="46BE3B46">
            <w:pPr>
              <w:widowControl/>
              <w:jc w:val="left"/>
              <w:rPr>
                <w:rFonts w:hint="eastAsia" w:ascii="宋体" w:hAnsi="宋体" w:cs="宋体"/>
                <w:color w:val="auto"/>
                <w:kern w:val="0"/>
                <w:sz w:val="24"/>
              </w:rPr>
            </w:pPr>
            <w:r>
              <w:rPr>
                <w:rFonts w:hint="eastAsia" w:ascii="宋体" w:hAnsi="宋体" w:cs="宋体"/>
                <w:color w:val="auto"/>
                <w:kern w:val="0"/>
                <w:sz w:val="24"/>
              </w:rPr>
              <w:t>管材</w:t>
            </w:r>
          </w:p>
        </w:tc>
        <w:tc>
          <w:tcPr>
            <w:tcW w:w="6095" w:type="dxa"/>
            <w:tcBorders>
              <w:top w:val="single" w:color="000000" w:sz="4" w:space="0"/>
              <w:left w:val="single" w:color="000000" w:sz="4" w:space="0"/>
              <w:bottom w:val="single" w:color="000000" w:sz="4" w:space="0"/>
              <w:right w:val="single" w:color="000000" w:sz="4" w:space="0"/>
            </w:tcBorders>
            <w:vAlign w:val="center"/>
          </w:tcPr>
          <w:p w14:paraId="4ECBDA84">
            <w:pPr>
              <w:widowControl/>
              <w:rPr>
                <w:rFonts w:hint="eastAsia" w:ascii="宋体" w:hAnsi="宋体" w:cs="宋体"/>
                <w:color w:val="auto"/>
                <w:kern w:val="0"/>
                <w:sz w:val="24"/>
              </w:rPr>
            </w:pPr>
            <w:r>
              <w:rPr>
                <w:rFonts w:hint="eastAsia" w:ascii="宋体" w:hAnsi="宋体" w:cs="宋体"/>
                <w:color w:val="auto"/>
                <w:kern w:val="0"/>
                <w:sz w:val="24"/>
              </w:rPr>
              <w:t>PVC25</w:t>
            </w:r>
          </w:p>
        </w:tc>
        <w:tc>
          <w:tcPr>
            <w:tcW w:w="709" w:type="dxa"/>
            <w:tcBorders>
              <w:top w:val="single" w:color="000000" w:sz="4" w:space="0"/>
              <w:left w:val="single" w:color="000000" w:sz="4" w:space="0"/>
              <w:bottom w:val="single" w:color="000000" w:sz="4" w:space="0"/>
              <w:right w:val="single" w:color="000000" w:sz="4" w:space="0"/>
            </w:tcBorders>
            <w:vAlign w:val="center"/>
          </w:tcPr>
          <w:p w14:paraId="5B240367">
            <w:pPr>
              <w:widowControl/>
              <w:jc w:val="center"/>
              <w:rPr>
                <w:rFonts w:hint="eastAsia" w:ascii="宋体" w:hAnsi="宋体" w:cs="宋体"/>
                <w:color w:val="auto"/>
                <w:kern w:val="0"/>
                <w:sz w:val="24"/>
              </w:rPr>
            </w:pPr>
            <w:r>
              <w:rPr>
                <w:rFonts w:hint="eastAsia" w:ascii="宋体" w:hAnsi="宋体" w:cs="宋体"/>
                <w:color w:val="auto"/>
                <w:kern w:val="0"/>
                <w:sz w:val="24"/>
              </w:rPr>
              <w:t>400</w:t>
            </w:r>
          </w:p>
        </w:tc>
        <w:tc>
          <w:tcPr>
            <w:tcW w:w="709" w:type="dxa"/>
            <w:tcBorders>
              <w:top w:val="single" w:color="000000" w:sz="4" w:space="0"/>
              <w:left w:val="single" w:color="000000" w:sz="4" w:space="0"/>
              <w:bottom w:val="single" w:color="000000" w:sz="4" w:space="0"/>
              <w:right w:val="single" w:color="000000" w:sz="4" w:space="0"/>
            </w:tcBorders>
            <w:vAlign w:val="center"/>
          </w:tcPr>
          <w:p w14:paraId="16B56181">
            <w:pPr>
              <w:widowControl/>
              <w:jc w:val="center"/>
              <w:rPr>
                <w:rFonts w:hint="eastAsia" w:ascii="宋体" w:hAnsi="宋体" w:cs="宋体"/>
                <w:color w:val="auto"/>
                <w:kern w:val="0"/>
                <w:sz w:val="24"/>
              </w:rPr>
            </w:pPr>
            <w:r>
              <w:rPr>
                <w:rFonts w:hint="eastAsia" w:ascii="宋体" w:hAnsi="宋体" w:cs="宋体"/>
                <w:color w:val="auto"/>
                <w:kern w:val="0"/>
                <w:sz w:val="24"/>
              </w:rPr>
              <w:t>米</w:t>
            </w:r>
          </w:p>
        </w:tc>
      </w:tr>
      <w:tr w14:paraId="5ECE17DA">
        <w:tblPrEx>
          <w:tblCellMar>
            <w:top w:w="0" w:type="dxa"/>
            <w:left w:w="108" w:type="dxa"/>
            <w:bottom w:w="0" w:type="dxa"/>
            <w:right w:w="108" w:type="dxa"/>
          </w:tblCellMar>
        </w:tblPrEx>
        <w:trPr>
          <w:trHeight w:val="499" w:hRule="atLeast"/>
        </w:trPr>
        <w:tc>
          <w:tcPr>
            <w:tcW w:w="846" w:type="dxa"/>
            <w:tcBorders>
              <w:top w:val="single" w:color="000000" w:sz="4" w:space="0"/>
              <w:left w:val="single" w:color="000000" w:sz="4" w:space="0"/>
              <w:bottom w:val="single" w:color="000000" w:sz="4" w:space="0"/>
              <w:right w:val="single" w:color="000000" w:sz="4" w:space="0"/>
            </w:tcBorders>
            <w:vAlign w:val="center"/>
          </w:tcPr>
          <w:p w14:paraId="122F68CC">
            <w:pPr>
              <w:widowControl/>
              <w:jc w:val="center"/>
              <w:rPr>
                <w:rFonts w:hint="eastAsia" w:ascii="宋体" w:hAnsi="宋体" w:cs="宋体"/>
                <w:color w:val="auto"/>
                <w:kern w:val="0"/>
                <w:sz w:val="24"/>
              </w:rPr>
            </w:pPr>
            <w:r>
              <w:rPr>
                <w:rFonts w:hint="eastAsia" w:ascii="宋体" w:hAnsi="宋体" w:cs="宋体"/>
                <w:color w:val="auto"/>
                <w:kern w:val="0"/>
                <w:sz w:val="24"/>
              </w:rPr>
              <w:t>12</w:t>
            </w:r>
          </w:p>
        </w:tc>
        <w:tc>
          <w:tcPr>
            <w:tcW w:w="1134" w:type="dxa"/>
            <w:tcBorders>
              <w:top w:val="nil"/>
              <w:left w:val="single" w:color="000000" w:sz="4" w:space="0"/>
              <w:bottom w:val="single" w:color="000000" w:sz="4" w:space="0"/>
              <w:right w:val="single" w:color="000000" w:sz="4" w:space="0"/>
            </w:tcBorders>
            <w:vAlign w:val="center"/>
          </w:tcPr>
          <w:p w14:paraId="2387658B">
            <w:pPr>
              <w:widowControl/>
              <w:jc w:val="left"/>
              <w:rPr>
                <w:rFonts w:hint="eastAsia" w:ascii="宋体" w:hAnsi="宋体" w:cs="宋体"/>
                <w:color w:val="auto"/>
                <w:kern w:val="0"/>
                <w:sz w:val="24"/>
              </w:rPr>
            </w:pPr>
            <w:r>
              <w:rPr>
                <w:rFonts w:hint="eastAsia" w:ascii="宋体" w:hAnsi="宋体" w:cs="宋体"/>
                <w:color w:val="auto"/>
                <w:kern w:val="0"/>
                <w:sz w:val="24"/>
              </w:rPr>
              <w:t>安装调试</w:t>
            </w:r>
          </w:p>
        </w:tc>
        <w:tc>
          <w:tcPr>
            <w:tcW w:w="6095" w:type="dxa"/>
            <w:tcBorders>
              <w:top w:val="nil"/>
              <w:left w:val="single" w:color="000000" w:sz="4" w:space="0"/>
              <w:bottom w:val="single" w:color="000000" w:sz="4" w:space="0"/>
              <w:right w:val="single" w:color="000000" w:sz="4" w:space="0"/>
            </w:tcBorders>
            <w:vAlign w:val="center"/>
          </w:tcPr>
          <w:p w14:paraId="4D216F57">
            <w:pPr>
              <w:widowControl/>
              <w:rPr>
                <w:rFonts w:hint="eastAsia" w:ascii="宋体" w:hAnsi="宋体" w:cs="宋体"/>
                <w:color w:val="auto"/>
                <w:kern w:val="0"/>
                <w:sz w:val="24"/>
              </w:rPr>
            </w:pPr>
            <w:r>
              <w:rPr>
                <w:rFonts w:hint="eastAsia" w:ascii="宋体" w:hAnsi="宋体" w:cs="宋体"/>
                <w:color w:val="auto"/>
                <w:kern w:val="0"/>
                <w:sz w:val="24"/>
              </w:rPr>
              <w:t>含辅材</w:t>
            </w:r>
          </w:p>
        </w:tc>
        <w:tc>
          <w:tcPr>
            <w:tcW w:w="709" w:type="dxa"/>
            <w:tcBorders>
              <w:top w:val="nil"/>
              <w:left w:val="single" w:color="000000" w:sz="4" w:space="0"/>
              <w:bottom w:val="single" w:color="000000" w:sz="4" w:space="0"/>
              <w:right w:val="single" w:color="000000" w:sz="4" w:space="0"/>
            </w:tcBorders>
            <w:vAlign w:val="center"/>
          </w:tcPr>
          <w:p w14:paraId="0C217122">
            <w:pPr>
              <w:widowControl/>
              <w:jc w:val="center"/>
              <w:rPr>
                <w:rFonts w:hint="eastAsia" w:ascii="宋体" w:hAnsi="宋体" w:cs="宋体"/>
                <w:color w:val="auto"/>
                <w:kern w:val="0"/>
                <w:sz w:val="24"/>
              </w:rPr>
            </w:pPr>
            <w:r>
              <w:rPr>
                <w:rFonts w:hint="eastAsia" w:ascii="宋体" w:hAnsi="宋体" w:cs="宋体"/>
                <w:color w:val="auto"/>
                <w:kern w:val="0"/>
                <w:sz w:val="24"/>
              </w:rPr>
              <w:t>1</w:t>
            </w:r>
          </w:p>
        </w:tc>
        <w:tc>
          <w:tcPr>
            <w:tcW w:w="709" w:type="dxa"/>
            <w:tcBorders>
              <w:top w:val="nil"/>
              <w:left w:val="single" w:color="000000" w:sz="4" w:space="0"/>
              <w:bottom w:val="single" w:color="000000" w:sz="4" w:space="0"/>
              <w:right w:val="single" w:color="000000" w:sz="4" w:space="0"/>
            </w:tcBorders>
            <w:vAlign w:val="center"/>
          </w:tcPr>
          <w:p w14:paraId="6B9584BC">
            <w:pPr>
              <w:widowControl/>
              <w:jc w:val="center"/>
              <w:rPr>
                <w:rFonts w:hint="eastAsia" w:ascii="宋体" w:hAnsi="宋体" w:cs="宋体"/>
                <w:color w:val="auto"/>
                <w:kern w:val="0"/>
                <w:sz w:val="24"/>
              </w:rPr>
            </w:pPr>
            <w:r>
              <w:rPr>
                <w:rFonts w:hint="eastAsia" w:ascii="宋体" w:hAnsi="宋体" w:cs="宋体"/>
                <w:color w:val="auto"/>
                <w:kern w:val="0"/>
                <w:sz w:val="24"/>
              </w:rPr>
              <w:t>项</w:t>
            </w:r>
          </w:p>
        </w:tc>
      </w:tr>
    </w:tbl>
    <w:p w14:paraId="007F65FC">
      <w:pPr>
        <w:spacing w:line="440" w:lineRule="exact"/>
        <w:rPr>
          <w:rFonts w:hint="eastAsia" w:ascii="宋体" w:hAnsi="宋体" w:cs="宋体"/>
          <w:color w:val="auto"/>
          <w:sz w:val="24"/>
        </w:rPr>
      </w:pPr>
      <w:r>
        <w:rPr>
          <w:rFonts w:hint="eastAsia" w:ascii="宋体" w:hAnsi="宋体" w:cs="宋体"/>
          <w:color w:val="auto"/>
          <w:sz w:val="24"/>
        </w:rPr>
        <w:t>注：</w:t>
      </w:r>
    </w:p>
    <w:p w14:paraId="31A27321">
      <w:pPr>
        <w:spacing w:line="440" w:lineRule="exact"/>
        <w:ind w:firstLine="482" w:firstLineChars="200"/>
        <w:rPr>
          <w:rFonts w:hint="eastAsia" w:ascii="宋体" w:hAnsi="宋体" w:cs="宋体"/>
          <w:b/>
          <w:bCs/>
          <w:color w:val="auto"/>
          <w:kern w:val="0"/>
          <w:sz w:val="24"/>
        </w:rPr>
      </w:pPr>
      <w:r>
        <w:rPr>
          <w:rFonts w:hint="eastAsia" w:ascii="宋体" w:hAnsi="宋体" w:cs="宋体"/>
          <w:b/>
          <w:bCs/>
          <w:color w:val="auto"/>
          <w:kern w:val="0"/>
          <w:sz w:val="24"/>
        </w:rPr>
        <w:t>1、标注“▲”号条款须提供由具备CMA或CNAS资质的第三方检测机构出具的检测报告复印件加盖供应商公章。</w:t>
      </w:r>
    </w:p>
    <w:p w14:paraId="70DB30D0">
      <w:pPr>
        <w:spacing w:line="440" w:lineRule="exact"/>
        <w:ind w:firstLine="482" w:firstLineChars="200"/>
        <w:rPr>
          <w:rFonts w:hint="eastAsia" w:ascii="宋体" w:hAnsi="宋体" w:cs="宋体"/>
          <w:b/>
          <w:bCs/>
          <w:color w:val="auto"/>
          <w:kern w:val="0"/>
          <w:sz w:val="24"/>
        </w:rPr>
      </w:pPr>
      <w:r>
        <w:rPr>
          <w:rFonts w:hint="eastAsia" w:ascii="宋体" w:hAnsi="宋体" w:cs="宋体"/>
          <w:b/>
          <w:bCs/>
          <w:color w:val="auto"/>
          <w:kern w:val="0"/>
          <w:sz w:val="24"/>
        </w:rPr>
        <w:t>2、标注“★”条款作为本次项目的核心内容，不接受负偏离，需提供承诺函（格式详见附件6），如不提供，作无效标处理。</w:t>
      </w:r>
    </w:p>
    <w:p w14:paraId="40B8F8E4">
      <w:pPr>
        <w:spacing w:line="440" w:lineRule="exact"/>
        <w:ind w:firstLine="482" w:firstLineChars="200"/>
        <w:rPr>
          <w:rFonts w:hint="eastAsia" w:ascii="宋体" w:hAnsi="宋体" w:cs="宋体"/>
          <w:b/>
          <w:bCs/>
          <w:color w:val="auto"/>
          <w:kern w:val="0"/>
          <w:sz w:val="24"/>
        </w:rPr>
      </w:pPr>
      <w:r>
        <w:rPr>
          <w:rFonts w:hint="eastAsia" w:ascii="宋体" w:hAnsi="宋体" w:cs="宋体"/>
          <w:b/>
          <w:bCs/>
          <w:color w:val="auto"/>
          <w:kern w:val="0"/>
          <w:sz w:val="24"/>
        </w:rPr>
        <w:t>3、</w:t>
      </w:r>
      <w:bookmarkStart w:id="107" w:name="_Hlk234308834"/>
      <w:bookmarkStart w:id="108" w:name="_Hlk234309362"/>
      <w:r>
        <w:rPr>
          <w:rFonts w:hint="eastAsia" w:ascii="宋体" w:hAnsi="宋体" w:cs="宋体"/>
          <w:b/>
          <w:bCs/>
          <w:color w:val="auto"/>
          <w:kern w:val="0"/>
          <w:sz w:val="24"/>
        </w:rPr>
        <w:t>整体项目需提供三年质保，其中定制对接开发软件需提供终身质保</w:t>
      </w:r>
      <w:bookmarkEnd w:id="107"/>
      <w:r>
        <w:rPr>
          <w:rFonts w:hint="eastAsia" w:ascii="宋体" w:hAnsi="宋体" w:cs="宋体"/>
          <w:b/>
          <w:bCs/>
          <w:color w:val="auto"/>
          <w:kern w:val="0"/>
          <w:sz w:val="24"/>
        </w:rPr>
        <w:t>。</w:t>
      </w:r>
      <w:bookmarkEnd w:id="108"/>
      <w:r>
        <w:rPr>
          <w:rFonts w:hint="eastAsia" w:ascii="宋体" w:hAnsi="宋体" w:cs="宋体"/>
          <w:b/>
          <w:bCs/>
          <w:color w:val="auto"/>
          <w:kern w:val="0"/>
          <w:sz w:val="24"/>
        </w:rPr>
        <w:t>（投标单位需提供质保承诺函，格式详见附件6），如不提供，作无效标处理。</w:t>
      </w:r>
    </w:p>
    <w:p w14:paraId="0FE63A25">
      <w:pPr>
        <w:spacing w:line="500" w:lineRule="exact"/>
        <w:ind w:firstLine="472" w:firstLineChars="196"/>
        <w:rPr>
          <w:rFonts w:hint="eastAsia" w:ascii="宋体" w:hAnsi="宋体" w:cs="宋体"/>
          <w:b/>
          <w:bCs/>
          <w:color w:val="auto"/>
          <w:kern w:val="0"/>
          <w:sz w:val="24"/>
        </w:rPr>
      </w:pPr>
      <w:r>
        <w:rPr>
          <w:rFonts w:hint="eastAsia" w:ascii="宋体" w:hAnsi="宋体" w:cs="宋体"/>
          <w:b/>
          <w:bCs/>
          <w:color w:val="auto"/>
          <w:kern w:val="0"/>
          <w:sz w:val="24"/>
          <w:lang w:eastAsia="zh-CN"/>
        </w:rPr>
        <w:t>五</w:t>
      </w:r>
      <w:r>
        <w:rPr>
          <w:rFonts w:hint="eastAsia" w:ascii="宋体" w:hAnsi="宋体" w:cs="宋体"/>
          <w:b/>
          <w:bCs/>
          <w:color w:val="auto"/>
          <w:kern w:val="0"/>
          <w:sz w:val="24"/>
        </w:rPr>
        <w:t>、其他</w:t>
      </w:r>
    </w:p>
    <w:bookmarkEnd w:id="104"/>
    <w:bookmarkEnd w:id="105"/>
    <w:p w14:paraId="27C3F28E">
      <w:pPr>
        <w:spacing w:line="460" w:lineRule="exact"/>
        <w:ind w:firstLine="480" w:firstLineChars="200"/>
        <w:rPr>
          <w:rFonts w:hint="eastAsia" w:ascii="宋体" w:hAnsi="宋体" w:cs="宋体"/>
          <w:bCs/>
          <w:color w:val="auto"/>
          <w:sz w:val="24"/>
        </w:rPr>
      </w:pPr>
      <w:r>
        <w:rPr>
          <w:rFonts w:hint="eastAsia" w:ascii="宋体" w:hAnsi="宋体" w:cs="宋体"/>
          <w:bCs/>
          <w:color w:val="auto"/>
          <w:sz w:val="24"/>
        </w:rPr>
        <w:t>1.验收的具体方案：</w:t>
      </w:r>
    </w:p>
    <w:p w14:paraId="2A0627B7">
      <w:pPr>
        <w:spacing w:line="460" w:lineRule="exact"/>
        <w:ind w:firstLine="480" w:firstLineChars="200"/>
        <w:rPr>
          <w:rFonts w:hint="eastAsia" w:ascii="宋体" w:hAnsi="宋体" w:cs="宋体"/>
          <w:bCs/>
          <w:color w:val="auto"/>
          <w:sz w:val="24"/>
        </w:rPr>
      </w:pPr>
      <w:r>
        <w:rPr>
          <w:rFonts w:hint="eastAsia" w:ascii="宋体" w:hAnsi="宋体" w:cs="宋体"/>
          <w:bCs/>
          <w:color w:val="auto"/>
          <w:sz w:val="24"/>
        </w:rPr>
        <w:t>在接到供应商以书面形式提出验收申请后，在5个工作日内及时组织相关专业技术人员，必要时邀请资产管理与招投标办公室、纪检等部门共同参与验收，并出具验收报告，作为支付货款的依据。</w:t>
      </w:r>
    </w:p>
    <w:p w14:paraId="5EB7B77E">
      <w:pPr>
        <w:pStyle w:val="32"/>
        <w:shd w:val="clear" w:color="auto" w:fill="FFFFFF"/>
        <w:spacing w:line="460" w:lineRule="exact"/>
        <w:ind w:firstLine="480" w:firstLineChars="200"/>
        <w:rPr>
          <w:rFonts w:hint="eastAsia"/>
          <w:color w:val="auto"/>
          <w:kern w:val="2"/>
        </w:rPr>
      </w:pPr>
      <w:r>
        <w:rPr>
          <w:rFonts w:hint="eastAsia"/>
          <w:color w:val="auto"/>
          <w:kern w:val="2"/>
        </w:rPr>
        <w:t>2.安装、调试、培训要求：项目实施阶段安排专业技术人员现场实施，中标方对使用方进行软件功能和日常维护的免费使用培训。</w:t>
      </w:r>
    </w:p>
    <w:p w14:paraId="26026066">
      <w:pPr>
        <w:pStyle w:val="32"/>
        <w:shd w:val="clear" w:color="auto" w:fill="FFFFFF"/>
        <w:spacing w:line="460" w:lineRule="exact"/>
        <w:ind w:firstLine="480" w:firstLineChars="200"/>
        <w:rPr>
          <w:rFonts w:hint="eastAsia"/>
          <w:color w:val="auto"/>
          <w:kern w:val="2"/>
        </w:rPr>
      </w:pPr>
      <w:r>
        <w:rPr>
          <w:rFonts w:hint="eastAsia"/>
          <w:color w:val="auto"/>
          <w:kern w:val="2"/>
        </w:rPr>
        <w:t>3.项目涉及到的现场勘察</w:t>
      </w:r>
    </w:p>
    <w:p w14:paraId="0D90081C">
      <w:pPr>
        <w:pStyle w:val="32"/>
        <w:shd w:val="clear" w:color="auto" w:fill="FFFFFF"/>
        <w:spacing w:line="460" w:lineRule="exact"/>
        <w:ind w:firstLine="480" w:firstLineChars="200"/>
        <w:rPr>
          <w:rFonts w:hint="eastAsia"/>
          <w:color w:val="auto"/>
          <w:kern w:val="2"/>
        </w:rPr>
      </w:pPr>
      <w:r>
        <w:rPr>
          <w:rFonts w:hint="eastAsia"/>
          <w:color w:val="auto"/>
          <w:kern w:val="2"/>
        </w:rPr>
        <w:t>3.1采购文件所提供的项目相关数据仅做参考，根据自身需要，供应商可在响应文件递交之日前对有关现场和周围环境进行勘察，以获取编制响应文件和签署合同所需的信息。勘察现场所发生的费用由供应商自己承担。</w:t>
      </w:r>
    </w:p>
    <w:p w14:paraId="7ADD1292">
      <w:pPr>
        <w:pStyle w:val="32"/>
        <w:shd w:val="clear" w:color="auto" w:fill="FFFFFF"/>
        <w:spacing w:line="460" w:lineRule="exact"/>
        <w:ind w:firstLine="480" w:firstLineChars="200"/>
        <w:rPr>
          <w:rFonts w:hint="eastAsia"/>
          <w:color w:val="auto"/>
          <w:kern w:val="2"/>
        </w:rPr>
      </w:pPr>
      <w:r>
        <w:rPr>
          <w:rFonts w:hint="eastAsia"/>
          <w:color w:val="auto"/>
          <w:kern w:val="2"/>
        </w:rPr>
        <w:t>3.2采购人向供应商提供的有关现场的资料和数据，是采购人现有的并认为能使供应商可利用的资料。采购人对供应商由此而做出的推论、理解和结论概不负责。</w:t>
      </w:r>
    </w:p>
    <w:p w14:paraId="53CA2458">
      <w:pPr>
        <w:pStyle w:val="32"/>
        <w:shd w:val="clear" w:color="auto" w:fill="FFFFFF"/>
        <w:spacing w:line="460" w:lineRule="exact"/>
        <w:ind w:firstLine="480" w:firstLineChars="200"/>
        <w:rPr>
          <w:rFonts w:hint="eastAsia"/>
          <w:color w:val="auto"/>
          <w:kern w:val="2"/>
        </w:rPr>
      </w:pPr>
      <w:r>
        <w:rPr>
          <w:rFonts w:hint="eastAsia"/>
          <w:color w:val="auto"/>
          <w:kern w:val="2"/>
        </w:rPr>
        <w:t>3.3经采购人允许，供应商可为勘察目的进入采购人的项目现场，但供应商不得因此使采购人承担有关的责任和蒙受损失。供应商应承担勘察现场的责任和风险。</w:t>
      </w:r>
    </w:p>
    <w:p w14:paraId="5F1F9032">
      <w:pPr>
        <w:pStyle w:val="32"/>
        <w:shd w:val="clear" w:color="auto" w:fill="FFFFFF"/>
        <w:spacing w:line="460" w:lineRule="exact"/>
        <w:ind w:firstLine="480" w:firstLineChars="200"/>
        <w:rPr>
          <w:rFonts w:hint="eastAsia"/>
          <w:color w:val="auto"/>
          <w:kern w:val="2"/>
        </w:rPr>
      </w:pPr>
      <w:r>
        <w:rPr>
          <w:rFonts w:hint="eastAsia"/>
          <w:color w:val="auto"/>
          <w:kern w:val="2"/>
        </w:rPr>
        <w:t>3.4在现场勘察时，供应商应熟悉施工及制作安装现场、现场周围交通道路以及主校区监控等情况，以获得一切可能影响投标方案及报价的直接资料。如因响应供应商现场踏勘不充分造成的后续问题由中标供应商自行解决且不得提出额外增加费用，采购单位不承担任何责任并将不作任何答复与考虑。</w:t>
      </w:r>
    </w:p>
    <w:p w14:paraId="01416EA3">
      <w:pPr>
        <w:pStyle w:val="32"/>
        <w:shd w:val="clear" w:color="auto" w:fill="FFFFFF"/>
        <w:spacing w:line="460" w:lineRule="exact"/>
        <w:ind w:firstLine="480" w:firstLineChars="200"/>
        <w:rPr>
          <w:rFonts w:hint="eastAsia"/>
          <w:color w:val="auto"/>
          <w:kern w:val="2"/>
        </w:rPr>
      </w:pPr>
      <w:r>
        <w:rPr>
          <w:rFonts w:hint="eastAsia"/>
          <w:color w:val="auto"/>
          <w:kern w:val="2"/>
        </w:rPr>
        <w:t>3.5现场实地勘察时需提前与采购人联系，联系人：何老师，联系电话：0</w:t>
      </w:r>
      <w:r>
        <w:rPr>
          <w:color w:val="auto"/>
          <w:kern w:val="2"/>
        </w:rPr>
        <w:t>513-85679266</w:t>
      </w:r>
      <w:r>
        <w:rPr>
          <w:rFonts w:hint="eastAsia"/>
          <w:color w:val="auto"/>
          <w:kern w:val="2"/>
        </w:rPr>
        <w:t xml:space="preserve"> ， 勘察时间：2026年7月</w:t>
      </w:r>
      <w:r>
        <w:rPr>
          <w:rFonts w:hint="eastAsia"/>
          <w:color w:val="auto"/>
          <w:kern w:val="2"/>
          <w:lang w:val="en-US" w:eastAsia="zh-CN"/>
        </w:rPr>
        <w:t>14</w:t>
      </w:r>
      <w:r>
        <w:rPr>
          <w:rFonts w:hint="eastAsia"/>
          <w:color w:val="auto"/>
          <w:kern w:val="2"/>
        </w:rPr>
        <w:t xml:space="preserve"> 日-7月</w:t>
      </w:r>
      <w:r>
        <w:rPr>
          <w:rFonts w:hint="eastAsia"/>
          <w:color w:val="auto"/>
          <w:kern w:val="2"/>
          <w:lang w:val="en-US" w:eastAsia="zh-CN"/>
        </w:rPr>
        <w:t>17</w:t>
      </w:r>
      <w:r>
        <w:rPr>
          <w:rFonts w:hint="eastAsia"/>
          <w:color w:val="auto"/>
          <w:kern w:val="2"/>
        </w:rPr>
        <w:t>日上午8：30--11：30，下午2：00-5：00。</w:t>
      </w:r>
    </w:p>
    <w:p w14:paraId="25F9ECA2">
      <w:pPr>
        <w:pStyle w:val="32"/>
        <w:shd w:val="clear" w:color="auto" w:fill="FFFFFF"/>
        <w:spacing w:line="460" w:lineRule="exact"/>
        <w:ind w:firstLine="482" w:firstLineChars="200"/>
        <w:rPr>
          <w:rFonts w:hint="eastAsia" w:eastAsia="宋体"/>
          <w:b/>
          <w:bCs/>
          <w:color w:val="auto"/>
          <w:kern w:val="2"/>
          <w:lang w:eastAsia="zh-CN"/>
        </w:rPr>
      </w:pPr>
      <w:r>
        <w:rPr>
          <w:rFonts w:hint="eastAsia"/>
          <w:b/>
          <w:bCs/>
          <w:color w:val="auto"/>
          <w:kern w:val="2"/>
          <w:lang w:eastAsia="zh-CN"/>
        </w:rPr>
        <w:t>六、履约保证金</w:t>
      </w:r>
    </w:p>
    <w:p w14:paraId="7AB8CC5B">
      <w:pPr>
        <w:keepNext w:val="0"/>
        <w:keepLines w:val="0"/>
        <w:pageBreakBefore w:val="0"/>
        <w:widowControl w:val="0"/>
        <w:kinsoku/>
        <w:wordWrap/>
        <w:overflowPunct/>
        <w:topLinePunct w:val="0"/>
        <w:autoSpaceDE/>
        <w:autoSpaceDN/>
        <w:bidi w:val="0"/>
        <w:adjustRightInd/>
        <w:snapToGrid/>
        <w:spacing w:line="460" w:lineRule="exact"/>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1.本项目</w:t>
      </w:r>
      <w:r>
        <w:rPr>
          <w:rFonts w:hint="eastAsia" w:ascii="宋体" w:hAnsi="宋体" w:eastAsia="宋体" w:cs="宋体"/>
          <w:color w:val="auto"/>
          <w:sz w:val="24"/>
          <w:szCs w:val="24"/>
          <w:lang w:val="en-US" w:eastAsia="zh-CN"/>
        </w:rPr>
        <w:t>成交</w:t>
      </w:r>
      <w:r>
        <w:rPr>
          <w:rFonts w:hint="eastAsia" w:ascii="宋体" w:hAnsi="宋体" w:eastAsia="宋体" w:cs="宋体"/>
          <w:color w:val="auto"/>
          <w:sz w:val="24"/>
          <w:szCs w:val="24"/>
        </w:rPr>
        <w:t>后的履约保证金为</w:t>
      </w:r>
      <w:r>
        <w:rPr>
          <w:rFonts w:hint="eastAsia" w:ascii="宋体" w:hAnsi="宋体" w:eastAsia="宋体" w:cs="宋体"/>
          <w:color w:val="auto"/>
          <w:sz w:val="24"/>
          <w:szCs w:val="24"/>
          <w:lang w:eastAsia="zh-CN"/>
        </w:rPr>
        <w:t>人民币</w:t>
      </w:r>
      <w:r>
        <w:rPr>
          <w:rFonts w:hint="eastAsia" w:ascii="宋体" w:hAnsi="宋体" w:eastAsia="宋体" w:cs="宋体"/>
          <w:color w:val="auto"/>
          <w:sz w:val="24"/>
          <w:szCs w:val="24"/>
          <w:lang w:val="en-US" w:eastAsia="zh-CN"/>
        </w:rPr>
        <w:t>1万元</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中标人</w:t>
      </w:r>
      <w:r>
        <w:rPr>
          <w:rFonts w:hint="eastAsia" w:ascii="宋体" w:hAnsi="宋体" w:eastAsia="宋体" w:cs="宋体"/>
          <w:color w:val="auto"/>
          <w:sz w:val="24"/>
          <w:szCs w:val="24"/>
        </w:rPr>
        <w:t>的履约保证金须在</w:t>
      </w:r>
      <w:r>
        <w:rPr>
          <w:rFonts w:hint="eastAsia" w:ascii="宋体" w:hAnsi="宋体" w:eastAsia="宋体" w:cs="宋体"/>
          <w:color w:val="auto"/>
          <w:sz w:val="24"/>
          <w:szCs w:val="24"/>
          <w:lang w:eastAsia="zh-CN"/>
        </w:rPr>
        <w:t>中标通知书</w:t>
      </w:r>
      <w:r>
        <w:rPr>
          <w:rFonts w:hint="eastAsia" w:ascii="宋体" w:hAnsi="宋体" w:eastAsia="宋体" w:cs="宋体"/>
          <w:color w:val="auto"/>
          <w:sz w:val="24"/>
          <w:szCs w:val="24"/>
        </w:rPr>
        <w:t>发出之日起至合同签订前汇入</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账户（应当以支票、汇票等非现金形式提交），</w:t>
      </w:r>
      <w:r>
        <w:rPr>
          <w:rFonts w:hint="eastAsia" w:ascii="宋体" w:hAnsi="宋体" w:eastAsia="宋体" w:cs="宋体"/>
          <w:color w:val="auto"/>
          <w:sz w:val="24"/>
          <w:szCs w:val="24"/>
          <w:lang w:eastAsia="zh-CN"/>
        </w:rPr>
        <w:t>中标人</w:t>
      </w:r>
      <w:r>
        <w:rPr>
          <w:rFonts w:hint="eastAsia" w:ascii="宋体" w:hAnsi="宋体" w:eastAsia="宋体" w:cs="宋体"/>
          <w:color w:val="auto"/>
          <w:sz w:val="24"/>
          <w:szCs w:val="24"/>
        </w:rPr>
        <w:t>凭</w:t>
      </w:r>
      <w:r>
        <w:rPr>
          <w:rFonts w:hint="eastAsia" w:ascii="宋体" w:hAnsi="宋体" w:eastAsia="宋体" w:cs="宋体"/>
          <w:color w:val="auto"/>
          <w:sz w:val="24"/>
          <w:szCs w:val="24"/>
          <w:lang w:eastAsia="zh-CN"/>
        </w:rPr>
        <w:t>中标通知书</w:t>
      </w:r>
      <w:r>
        <w:rPr>
          <w:rFonts w:hint="eastAsia" w:ascii="宋体" w:hAnsi="宋体" w:eastAsia="宋体" w:cs="宋体"/>
          <w:color w:val="auto"/>
          <w:sz w:val="24"/>
          <w:szCs w:val="24"/>
        </w:rPr>
        <w:t>与</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签订合同。超期或未有协商，则视为自动放弃中标资格。</w:t>
      </w:r>
    </w:p>
    <w:p w14:paraId="19B51CDE">
      <w:pPr>
        <w:keepNext w:val="0"/>
        <w:keepLines w:val="0"/>
        <w:pageBreakBefore w:val="0"/>
        <w:widowControl w:val="0"/>
        <w:kinsoku/>
        <w:wordWrap/>
        <w:overflowPunct/>
        <w:topLinePunct w:val="0"/>
        <w:autoSpaceDE/>
        <w:autoSpaceDN/>
        <w:bidi w:val="0"/>
        <w:adjustRightInd/>
        <w:snapToGrid/>
        <w:spacing w:line="460" w:lineRule="exact"/>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中标人</w:t>
      </w:r>
      <w:r>
        <w:rPr>
          <w:rFonts w:hint="eastAsia" w:ascii="宋体" w:hAnsi="宋体" w:eastAsia="宋体" w:cs="宋体"/>
          <w:color w:val="auto"/>
          <w:sz w:val="24"/>
          <w:szCs w:val="24"/>
        </w:rPr>
        <w:t>全部履约合同义务，经</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验收合格无质量、进度等问题的，本项目</w:t>
      </w:r>
      <w:r>
        <w:rPr>
          <w:rFonts w:hint="eastAsia" w:ascii="宋体" w:hAnsi="宋体" w:eastAsia="宋体" w:cs="宋体"/>
          <w:color w:val="auto"/>
          <w:sz w:val="24"/>
          <w:szCs w:val="24"/>
          <w:lang w:val="en-US" w:eastAsia="zh-CN"/>
        </w:rPr>
        <w:t>验收合格满3年</w:t>
      </w:r>
      <w:r>
        <w:rPr>
          <w:rFonts w:hint="eastAsia" w:ascii="宋体" w:hAnsi="宋体" w:eastAsia="宋体" w:cs="宋体"/>
          <w:color w:val="auto"/>
          <w:sz w:val="24"/>
          <w:szCs w:val="24"/>
        </w:rPr>
        <w:t>后一次性退还履约保证金，</w:t>
      </w:r>
      <w:r>
        <w:rPr>
          <w:rFonts w:hint="eastAsia" w:ascii="宋体" w:hAnsi="宋体" w:eastAsia="宋体" w:cs="宋体"/>
          <w:color w:val="auto"/>
          <w:sz w:val="24"/>
          <w:szCs w:val="24"/>
          <w:lang w:eastAsia="zh-CN"/>
        </w:rPr>
        <w:t>采购</w:t>
      </w:r>
      <w:bookmarkStart w:id="301" w:name="_GoBack"/>
      <w:bookmarkEnd w:id="301"/>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若逾期退还履约保证金的，按照逾期部分的每日0.05%支付违约金；</w:t>
      </w:r>
    </w:p>
    <w:p w14:paraId="13D4642D">
      <w:pPr>
        <w:keepNext w:val="0"/>
        <w:keepLines w:val="0"/>
        <w:pageBreakBefore w:val="0"/>
        <w:widowControl w:val="0"/>
        <w:kinsoku/>
        <w:wordWrap/>
        <w:overflowPunct/>
        <w:topLinePunct w:val="0"/>
        <w:autoSpaceDE/>
        <w:autoSpaceDN/>
        <w:bidi w:val="0"/>
        <w:adjustRightInd/>
        <w:snapToGrid/>
        <w:spacing w:line="460" w:lineRule="exact"/>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3.发生以下情况的，履约保证金不予退还或部分退还：</w:t>
      </w:r>
    </w:p>
    <w:p w14:paraId="7E8AA63B">
      <w:pPr>
        <w:keepNext w:val="0"/>
        <w:keepLines w:val="0"/>
        <w:pageBreakBefore w:val="0"/>
        <w:widowControl w:val="0"/>
        <w:kinsoku/>
        <w:wordWrap/>
        <w:overflowPunct/>
        <w:topLinePunct w:val="0"/>
        <w:autoSpaceDE/>
        <w:autoSpaceDN/>
        <w:bidi w:val="0"/>
        <w:adjustRightInd/>
        <w:snapToGrid/>
        <w:spacing w:line="460" w:lineRule="exact"/>
        <w:ind w:left="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a.签订合同后，</w:t>
      </w:r>
      <w:r>
        <w:rPr>
          <w:rFonts w:hint="eastAsia" w:ascii="宋体" w:hAnsi="宋体" w:eastAsia="宋体" w:cs="宋体"/>
          <w:color w:val="auto"/>
          <w:sz w:val="24"/>
          <w:szCs w:val="24"/>
          <w:lang w:eastAsia="zh-CN"/>
        </w:rPr>
        <w:t>中标人</w:t>
      </w:r>
      <w:r>
        <w:rPr>
          <w:rFonts w:hint="eastAsia" w:ascii="宋体" w:hAnsi="宋体" w:eastAsia="宋体" w:cs="宋体"/>
          <w:color w:val="auto"/>
          <w:sz w:val="24"/>
          <w:szCs w:val="24"/>
        </w:rPr>
        <w:t>不履行合同义务的，</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有权全额扣除履约保证金，全额不予退还，同时</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亦有权终止合同，</w:t>
      </w:r>
      <w:r>
        <w:rPr>
          <w:rFonts w:hint="eastAsia" w:ascii="宋体" w:hAnsi="宋体" w:eastAsia="宋体" w:cs="宋体"/>
          <w:color w:val="auto"/>
          <w:sz w:val="24"/>
          <w:szCs w:val="24"/>
          <w:lang w:eastAsia="zh-CN"/>
        </w:rPr>
        <w:t>中标人</w:t>
      </w:r>
      <w:r>
        <w:rPr>
          <w:rFonts w:hint="eastAsia" w:ascii="宋体" w:hAnsi="宋体" w:eastAsia="宋体" w:cs="宋体"/>
          <w:color w:val="auto"/>
          <w:sz w:val="24"/>
          <w:szCs w:val="24"/>
        </w:rPr>
        <w:t>还须承担相应的法律赔偿责任。</w:t>
      </w:r>
    </w:p>
    <w:p w14:paraId="6F607ED2">
      <w:pPr>
        <w:keepNext w:val="0"/>
        <w:keepLines w:val="0"/>
        <w:pageBreakBefore w:val="0"/>
        <w:widowControl w:val="0"/>
        <w:kinsoku/>
        <w:wordWrap/>
        <w:overflowPunct/>
        <w:topLinePunct w:val="0"/>
        <w:autoSpaceDE/>
        <w:autoSpaceDN/>
        <w:bidi w:val="0"/>
        <w:adjustRightInd/>
        <w:snapToGrid/>
        <w:spacing w:line="460" w:lineRule="exact"/>
        <w:ind w:left="0" w:firstLine="480" w:firstLineChars="200"/>
        <w:jc w:val="both"/>
        <w:textAlignment w:val="auto"/>
        <w:rPr>
          <w:rFonts w:hint="eastAsia"/>
          <w:color w:val="auto"/>
          <w:kern w:val="2"/>
          <w:sz w:val="24"/>
          <w:szCs w:val="24"/>
        </w:rPr>
      </w:pPr>
      <w:r>
        <w:rPr>
          <w:rFonts w:hint="eastAsia" w:ascii="宋体" w:hAnsi="宋体" w:eastAsia="宋体" w:cs="宋体"/>
          <w:color w:val="auto"/>
          <w:sz w:val="24"/>
          <w:szCs w:val="24"/>
        </w:rPr>
        <w:t>b.</w:t>
      </w:r>
      <w:r>
        <w:rPr>
          <w:rFonts w:hint="eastAsia" w:ascii="宋体" w:hAnsi="宋体" w:eastAsia="宋体" w:cs="宋体"/>
          <w:color w:val="auto"/>
          <w:sz w:val="24"/>
          <w:szCs w:val="24"/>
          <w:lang w:eastAsia="zh-CN"/>
        </w:rPr>
        <w:t>中标人</w:t>
      </w:r>
      <w:r>
        <w:rPr>
          <w:rFonts w:hint="eastAsia" w:ascii="宋体" w:hAnsi="宋体" w:eastAsia="宋体" w:cs="宋体"/>
          <w:color w:val="auto"/>
          <w:sz w:val="24"/>
          <w:szCs w:val="24"/>
        </w:rPr>
        <w:t>在履约过程中发生违约行为，给</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造成损失的，</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有权在</w:t>
      </w:r>
      <w:r>
        <w:rPr>
          <w:rFonts w:hint="eastAsia" w:ascii="宋体" w:hAnsi="宋体" w:eastAsia="宋体" w:cs="宋体"/>
          <w:color w:val="auto"/>
          <w:sz w:val="24"/>
          <w:szCs w:val="24"/>
          <w:lang w:eastAsia="zh-CN"/>
        </w:rPr>
        <w:t>中标人</w:t>
      </w:r>
      <w:r>
        <w:rPr>
          <w:rFonts w:hint="eastAsia" w:ascii="宋体" w:hAnsi="宋体" w:eastAsia="宋体" w:cs="宋体"/>
          <w:color w:val="auto"/>
          <w:sz w:val="24"/>
          <w:szCs w:val="24"/>
        </w:rPr>
        <w:t>缴纳的履约保证金中予以扣款，以弥补</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经济损失，不足的部分</w:t>
      </w:r>
      <w:r>
        <w:rPr>
          <w:rFonts w:hint="eastAsia" w:ascii="宋体" w:hAnsi="宋体" w:eastAsia="宋体" w:cs="宋体"/>
          <w:color w:val="auto"/>
          <w:sz w:val="24"/>
          <w:szCs w:val="24"/>
          <w:lang w:eastAsia="zh-CN"/>
        </w:rPr>
        <w:t>中标人</w:t>
      </w:r>
      <w:r>
        <w:rPr>
          <w:rFonts w:hint="eastAsia" w:ascii="宋体" w:hAnsi="宋体" w:eastAsia="宋体" w:cs="宋体"/>
          <w:color w:val="auto"/>
          <w:sz w:val="24"/>
          <w:szCs w:val="24"/>
        </w:rPr>
        <w:t xml:space="preserve">另外补齐。  </w:t>
      </w:r>
    </w:p>
    <w:p w14:paraId="525E11CD">
      <w:pPr>
        <w:pStyle w:val="32"/>
        <w:shd w:val="clear" w:color="auto" w:fill="FFFFFF"/>
        <w:spacing w:line="460" w:lineRule="exact"/>
        <w:ind w:firstLine="482" w:firstLineChars="200"/>
        <w:rPr>
          <w:rFonts w:hint="eastAsia"/>
          <w:b/>
          <w:bCs/>
          <w:color w:val="auto"/>
          <w:kern w:val="2"/>
        </w:rPr>
      </w:pPr>
      <w:r>
        <w:rPr>
          <w:rFonts w:hint="eastAsia"/>
          <w:b/>
          <w:bCs/>
          <w:color w:val="auto"/>
          <w:kern w:val="2"/>
          <w:lang w:eastAsia="zh-CN"/>
        </w:rPr>
        <w:t>七</w:t>
      </w:r>
      <w:r>
        <w:rPr>
          <w:rFonts w:hint="eastAsia"/>
          <w:b/>
          <w:bCs/>
          <w:color w:val="auto"/>
          <w:kern w:val="2"/>
        </w:rPr>
        <w:t>、付款方式</w:t>
      </w:r>
    </w:p>
    <w:p w14:paraId="61359280">
      <w:pPr>
        <w:pStyle w:val="32"/>
        <w:shd w:val="clear" w:color="auto" w:fill="FFFFFF"/>
        <w:spacing w:line="460" w:lineRule="exact"/>
        <w:ind w:firstLine="720" w:firstLineChars="300"/>
        <w:rPr>
          <w:rFonts w:hint="eastAsia"/>
          <w:color w:val="auto"/>
          <w:kern w:val="2"/>
        </w:rPr>
      </w:pPr>
      <w:r>
        <w:rPr>
          <w:color w:val="auto"/>
          <w:kern w:val="2"/>
        </w:rPr>
        <w:t>安装</w:t>
      </w:r>
      <w:r>
        <w:rPr>
          <w:rFonts w:hint="eastAsia"/>
          <w:color w:val="auto"/>
          <w:kern w:val="2"/>
        </w:rPr>
        <w:t>调试</w:t>
      </w:r>
      <w:r>
        <w:rPr>
          <w:color w:val="auto"/>
          <w:kern w:val="2"/>
        </w:rPr>
        <w:t>完成并验收通过后15个工作日内支付至合同总额的95％，剩余5％尾款待试运行满1个月后，15个工作日付清。</w:t>
      </w:r>
    </w:p>
    <w:p w14:paraId="7EA6CC5F">
      <w:pPr>
        <w:spacing w:line="500" w:lineRule="exact"/>
        <w:ind w:firstLine="472" w:firstLineChars="196"/>
        <w:rPr>
          <w:rFonts w:hint="eastAsia" w:ascii="宋体" w:hAnsi="宋体" w:cs="宋体"/>
          <w:b/>
          <w:bCs/>
          <w:color w:val="auto"/>
          <w:kern w:val="0"/>
          <w:sz w:val="24"/>
        </w:rPr>
      </w:pPr>
      <w:r>
        <w:rPr>
          <w:rFonts w:hint="eastAsia" w:ascii="宋体" w:hAnsi="宋体" w:cs="宋体"/>
          <w:b/>
          <w:bCs/>
          <w:color w:val="auto"/>
          <w:kern w:val="0"/>
          <w:sz w:val="24"/>
          <w:lang w:eastAsia="zh-CN"/>
        </w:rPr>
        <w:t>八</w:t>
      </w:r>
      <w:r>
        <w:rPr>
          <w:rFonts w:hint="eastAsia" w:ascii="宋体" w:hAnsi="宋体" w:cs="宋体"/>
          <w:b/>
          <w:bCs/>
          <w:color w:val="auto"/>
          <w:kern w:val="0"/>
          <w:sz w:val="24"/>
        </w:rPr>
        <w:t>、采购需求中必须满足的实质性要求</w:t>
      </w:r>
    </w:p>
    <w:p w14:paraId="3756774C">
      <w:pPr>
        <w:spacing w:line="440" w:lineRule="exact"/>
        <w:ind w:firstLine="480" w:firstLineChars="200"/>
        <w:rPr>
          <w:rFonts w:hint="eastAsia" w:ascii="宋体" w:hAnsi="宋体" w:cs="宋体"/>
          <w:i/>
          <w:iCs/>
          <w:color w:val="auto"/>
          <w:sz w:val="24"/>
          <w:u w:val="single"/>
        </w:rPr>
      </w:pPr>
      <w:r>
        <w:rPr>
          <w:rFonts w:hint="eastAsia" w:ascii="宋体" w:hAnsi="宋体" w:cs="宋体"/>
          <w:i/>
          <w:iCs/>
          <w:color w:val="auto"/>
          <w:sz w:val="24"/>
          <w:u w:val="single"/>
        </w:rPr>
        <w:t>1.标注“★”条款作为本次项目的核心内容，不接受负偏离，需提供承诺函（格式详见附件6），如不提供，作无效标处理。</w:t>
      </w:r>
    </w:p>
    <w:p w14:paraId="38CE326A">
      <w:pPr>
        <w:spacing w:line="440" w:lineRule="exact"/>
        <w:ind w:firstLine="480" w:firstLineChars="200"/>
        <w:rPr>
          <w:rFonts w:hint="eastAsia" w:ascii="宋体" w:hAnsi="宋体" w:cs="宋体"/>
          <w:i/>
          <w:iCs/>
          <w:color w:val="auto"/>
          <w:sz w:val="24"/>
          <w:u w:val="single"/>
        </w:rPr>
      </w:pPr>
      <w:r>
        <w:rPr>
          <w:rFonts w:hint="eastAsia" w:ascii="宋体" w:hAnsi="宋体" w:cs="宋体"/>
          <w:i/>
          <w:iCs/>
          <w:color w:val="auto"/>
          <w:sz w:val="24"/>
          <w:u w:val="single"/>
        </w:rPr>
        <w:t>2.整体项目需提供三年质保，其中定制对接开发软件需提供终身质保。投标单位需提供质保承诺函（格式详见附件6）。</w:t>
      </w:r>
    </w:p>
    <w:p w14:paraId="24191E76">
      <w:pPr>
        <w:pStyle w:val="17"/>
        <w:rPr>
          <w:color w:val="auto"/>
        </w:rPr>
      </w:pPr>
      <w:r>
        <w:rPr>
          <w:rFonts w:hint="eastAsia" w:ascii="宋体" w:hAnsi="宋体" w:eastAsia="宋体" w:cs="宋体"/>
          <w:i/>
          <w:iCs/>
          <w:color w:val="auto"/>
          <w:kern w:val="2"/>
          <w:szCs w:val="24"/>
          <w:u w:val="single"/>
        </w:rPr>
        <w:t xml:space="preserve">  </w:t>
      </w:r>
    </w:p>
    <w:p w14:paraId="4C875345">
      <w:pPr>
        <w:rPr>
          <w:rFonts w:hint="eastAsia" w:ascii="宋体" w:hAnsi="宋体" w:cs="宋体"/>
          <w:bCs/>
          <w:color w:val="auto"/>
          <w:sz w:val="32"/>
          <w:szCs w:val="32"/>
        </w:rPr>
      </w:pPr>
    </w:p>
    <w:p w14:paraId="15942F4F">
      <w:pPr>
        <w:rPr>
          <w:rFonts w:hint="eastAsia" w:ascii="宋体" w:hAnsi="宋体" w:cs="宋体"/>
          <w:bCs/>
          <w:color w:val="auto"/>
          <w:sz w:val="32"/>
          <w:szCs w:val="32"/>
        </w:rPr>
      </w:pPr>
      <w:r>
        <w:rPr>
          <w:rFonts w:hint="eastAsia" w:ascii="宋体" w:hAnsi="宋体" w:cs="宋体"/>
          <w:bCs/>
          <w:color w:val="auto"/>
          <w:sz w:val="32"/>
          <w:szCs w:val="32"/>
        </w:rPr>
        <w:br w:type="page"/>
      </w:r>
    </w:p>
    <w:p w14:paraId="1CA5F8CA">
      <w:pPr>
        <w:adjustRightInd w:val="0"/>
        <w:snapToGrid w:val="0"/>
        <w:spacing w:line="500" w:lineRule="exact"/>
        <w:jc w:val="center"/>
        <w:outlineLvl w:val="0"/>
        <w:rPr>
          <w:rFonts w:hint="eastAsia" w:ascii="宋体" w:hAnsi="宋体" w:cs="宋体"/>
          <w:bCs/>
          <w:color w:val="auto"/>
          <w:sz w:val="32"/>
          <w:szCs w:val="32"/>
        </w:rPr>
      </w:pPr>
      <w:r>
        <w:rPr>
          <w:rFonts w:hint="eastAsia" w:ascii="宋体" w:hAnsi="宋体" w:cs="宋体"/>
          <w:bCs/>
          <w:color w:val="auto"/>
          <w:sz w:val="32"/>
          <w:szCs w:val="32"/>
        </w:rPr>
        <w:t>第四部分  开标和评标</w:t>
      </w:r>
    </w:p>
    <w:p w14:paraId="6067B759">
      <w:pPr>
        <w:pStyle w:val="82"/>
        <w:snapToGrid w:val="0"/>
        <w:spacing w:before="0" w:after="0" w:line="460" w:lineRule="exact"/>
        <w:ind w:left="0" w:right="0" w:firstLine="482" w:firstLineChars="200"/>
        <w:jc w:val="left"/>
        <w:rPr>
          <w:rFonts w:hint="eastAsia" w:ascii="宋体" w:hAnsi="宋体" w:cs="宋体"/>
          <w:b/>
          <w:color w:val="auto"/>
          <w:kern w:val="2"/>
        </w:rPr>
      </w:pPr>
      <w:r>
        <w:rPr>
          <w:rFonts w:hint="eastAsia" w:ascii="宋体" w:hAnsi="宋体" w:cs="宋体"/>
          <w:b/>
          <w:color w:val="auto"/>
          <w:kern w:val="2"/>
        </w:rPr>
        <w:t>一、开标</w:t>
      </w:r>
    </w:p>
    <w:p w14:paraId="3EA4788F">
      <w:pPr>
        <w:tabs>
          <w:tab w:val="left" w:pos="3585"/>
        </w:tabs>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见面开标模式：投标人在指定地点参加开标会。</w:t>
      </w:r>
    </w:p>
    <w:p w14:paraId="5B47A59C">
      <w:pPr>
        <w:pStyle w:val="82"/>
        <w:snapToGrid w:val="0"/>
        <w:spacing w:before="0" w:after="0" w:line="460" w:lineRule="exact"/>
        <w:ind w:left="0" w:right="0" w:firstLine="482" w:firstLineChars="200"/>
        <w:jc w:val="left"/>
        <w:rPr>
          <w:rFonts w:hint="eastAsia" w:ascii="宋体" w:hAnsi="宋体" w:cs="宋体"/>
          <w:b/>
          <w:color w:val="auto"/>
          <w:kern w:val="2"/>
        </w:rPr>
      </w:pPr>
      <w:r>
        <w:rPr>
          <w:rFonts w:hint="eastAsia" w:ascii="宋体" w:hAnsi="宋体" w:cs="宋体"/>
          <w:b/>
          <w:color w:val="auto"/>
          <w:kern w:val="2"/>
        </w:rPr>
        <w:t>二、评标流程和评标标准</w:t>
      </w:r>
    </w:p>
    <w:p w14:paraId="1D6EC392">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采用综合评分法。分资格审查、商务技术标、价格标、三部分评审，总分值为100分，加分和减分因素除外。</w:t>
      </w:r>
    </w:p>
    <w:p w14:paraId="3F03C3F8">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首先由评标委员会对投标人资格进行审查，然后评标委员会对符合资格的投标人的投标文件进行符合性审查，最后评标委员会对符合性审查合格的投标文件商务、技术部分进行评估，综合比较与评价。待商务技术标评审结束后，进行价格标的开启、评审。投标人商务、技术部分和价格部分的合计分值，为该投标人的评标总得分。</w:t>
      </w:r>
    </w:p>
    <w:p w14:paraId="01B609AF">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评标结果按评审后得分由高到低顺序排列。得分相同的，按投标报价由高到低顺序排列。得分且投标报价相同的并列。</w:t>
      </w:r>
    </w:p>
    <w:p w14:paraId="510C594C">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评委在认真审阅投标文件的基础上，根据各投标文件的响应程度独立评判，不得统一打分。</w:t>
      </w:r>
    </w:p>
    <w:p w14:paraId="0B5260B5">
      <w:pPr>
        <w:adjustRightInd w:val="0"/>
        <w:snapToGrid w:val="0"/>
        <w:spacing w:line="460" w:lineRule="exact"/>
        <w:ind w:firstLine="482" w:firstLineChars="200"/>
        <w:rPr>
          <w:rFonts w:hint="eastAsia" w:ascii="宋体" w:hAnsi="宋体" w:cs="宋体"/>
          <w:b/>
          <w:color w:val="auto"/>
          <w:sz w:val="24"/>
        </w:rPr>
      </w:pPr>
      <w:r>
        <w:rPr>
          <w:rFonts w:hint="eastAsia" w:ascii="宋体" w:hAnsi="宋体" w:cs="宋体"/>
          <w:b/>
          <w:color w:val="auto"/>
          <w:sz w:val="24"/>
        </w:rPr>
        <w:t>1.招标人（代表）对投标人资格进行审查。</w:t>
      </w:r>
    </w:p>
    <w:p w14:paraId="77B69E6E">
      <w:pPr>
        <w:pStyle w:val="86"/>
        <w:adjustRightInd w:val="0"/>
        <w:snapToGrid w:val="0"/>
        <w:spacing w:line="460" w:lineRule="exact"/>
        <w:ind w:firstLine="480" w:firstLineChars="200"/>
        <w:rPr>
          <w:rFonts w:hint="eastAsia" w:ascii="宋体" w:eastAsia="宋体" w:cs="宋体"/>
          <w:color w:val="auto"/>
          <w:sz w:val="24"/>
          <w:szCs w:val="24"/>
        </w:rPr>
      </w:pPr>
      <w:r>
        <w:rPr>
          <w:rFonts w:hint="eastAsia" w:ascii="宋体" w:eastAsia="宋体" w:cs="宋体"/>
          <w:color w:val="auto"/>
          <w:sz w:val="24"/>
          <w:szCs w:val="24"/>
        </w:rPr>
        <w:t>投标人资格不合格的，其投标文件判定为无效投标文件。</w:t>
      </w:r>
    </w:p>
    <w:p w14:paraId="567C101B">
      <w:pPr>
        <w:adjustRightInd w:val="0"/>
        <w:snapToGrid w:val="0"/>
        <w:spacing w:line="460" w:lineRule="exact"/>
        <w:ind w:firstLine="482" w:firstLineChars="200"/>
        <w:jc w:val="left"/>
        <w:rPr>
          <w:rFonts w:hint="eastAsia" w:ascii="宋体" w:hAnsi="宋体" w:cs="宋体"/>
          <w:b/>
          <w:color w:val="auto"/>
          <w:sz w:val="24"/>
        </w:rPr>
      </w:pPr>
      <w:r>
        <w:rPr>
          <w:rFonts w:hint="eastAsia" w:ascii="宋体" w:hAnsi="宋体" w:cs="宋体"/>
          <w:b/>
          <w:color w:val="auto"/>
          <w:sz w:val="24"/>
        </w:rPr>
        <w:t>2.评标委员会对符合资格投标人的投标文件进行符合性审查。</w:t>
      </w:r>
    </w:p>
    <w:p w14:paraId="41840A81">
      <w:pPr>
        <w:pStyle w:val="86"/>
        <w:adjustRightInd w:val="0"/>
        <w:snapToGrid w:val="0"/>
        <w:spacing w:line="460" w:lineRule="exact"/>
        <w:ind w:firstLine="480" w:firstLineChars="200"/>
        <w:rPr>
          <w:rFonts w:hint="eastAsia" w:ascii="宋体" w:eastAsia="宋体" w:cs="宋体"/>
          <w:color w:val="auto"/>
          <w:sz w:val="24"/>
          <w:szCs w:val="24"/>
        </w:rPr>
      </w:pPr>
      <w:r>
        <w:rPr>
          <w:rFonts w:hint="eastAsia" w:ascii="宋体" w:eastAsia="宋体" w:cs="宋体"/>
          <w:color w:val="auto"/>
          <w:sz w:val="24"/>
          <w:szCs w:val="24"/>
        </w:rPr>
        <w:t xml:space="preserve">未通过符合性审查的投标文件，将被判为不满足招标文件实质性要求。 </w:t>
      </w:r>
    </w:p>
    <w:p w14:paraId="0430276E">
      <w:pPr>
        <w:adjustRightInd w:val="0"/>
        <w:snapToGrid w:val="0"/>
        <w:spacing w:line="460" w:lineRule="exact"/>
        <w:ind w:firstLine="482" w:firstLineChars="200"/>
        <w:jc w:val="left"/>
        <w:rPr>
          <w:rFonts w:hint="eastAsia" w:ascii="宋体" w:hAnsi="宋体" w:cs="宋体"/>
          <w:b/>
          <w:bCs/>
          <w:color w:val="auto"/>
          <w:sz w:val="24"/>
        </w:rPr>
      </w:pPr>
      <w:r>
        <w:rPr>
          <w:rFonts w:hint="eastAsia" w:ascii="宋体" w:hAnsi="宋体" w:cs="宋体"/>
          <w:b/>
          <w:color w:val="auto"/>
          <w:sz w:val="24"/>
          <w:lang w:val="zh-CN"/>
        </w:rPr>
        <w:t>3.商务技术分：</w:t>
      </w:r>
      <w:r>
        <w:rPr>
          <w:rFonts w:hint="eastAsia" w:ascii="宋体" w:hAnsi="宋体" w:cs="宋体"/>
          <w:b/>
          <w:bCs/>
          <w:color w:val="auto"/>
          <w:sz w:val="24"/>
        </w:rPr>
        <w:t>（70分）</w:t>
      </w:r>
    </w:p>
    <w:tbl>
      <w:tblPr>
        <w:tblStyle w:val="37"/>
        <w:tblW w:w="9758" w:type="dxa"/>
        <w:tblInd w:w="93" w:type="dxa"/>
        <w:tblLayout w:type="autofit"/>
        <w:tblCellMar>
          <w:top w:w="0" w:type="dxa"/>
          <w:left w:w="108" w:type="dxa"/>
          <w:bottom w:w="0" w:type="dxa"/>
          <w:right w:w="108" w:type="dxa"/>
        </w:tblCellMar>
      </w:tblPr>
      <w:tblGrid>
        <w:gridCol w:w="1080"/>
        <w:gridCol w:w="2880"/>
        <w:gridCol w:w="1080"/>
        <w:gridCol w:w="4718"/>
      </w:tblGrid>
      <w:tr w14:paraId="2D6A69D5">
        <w:tblPrEx>
          <w:tblCellMar>
            <w:top w:w="0" w:type="dxa"/>
            <w:left w:w="108" w:type="dxa"/>
            <w:bottom w:w="0" w:type="dxa"/>
            <w:right w:w="108" w:type="dxa"/>
          </w:tblCellMar>
        </w:tblPrEx>
        <w:trPr>
          <w:trHeight w:val="524" w:hRule="atLeast"/>
        </w:trPr>
        <w:tc>
          <w:tcPr>
            <w:tcW w:w="1080" w:type="dxa"/>
            <w:tcBorders>
              <w:top w:val="single" w:color="000000" w:sz="4" w:space="0"/>
              <w:left w:val="single" w:color="000000" w:sz="4" w:space="0"/>
              <w:bottom w:val="single" w:color="000000" w:sz="4" w:space="0"/>
              <w:right w:val="single" w:color="000000" w:sz="4" w:space="0"/>
            </w:tcBorders>
            <w:vAlign w:val="center"/>
          </w:tcPr>
          <w:p w14:paraId="3F1581CB">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序号</w:t>
            </w:r>
          </w:p>
        </w:tc>
        <w:tc>
          <w:tcPr>
            <w:tcW w:w="2880" w:type="dxa"/>
            <w:tcBorders>
              <w:top w:val="single" w:color="000000" w:sz="4" w:space="0"/>
              <w:left w:val="single" w:color="000000" w:sz="4" w:space="0"/>
              <w:bottom w:val="single" w:color="000000" w:sz="4" w:space="0"/>
              <w:right w:val="single" w:color="000000" w:sz="4" w:space="0"/>
            </w:tcBorders>
            <w:vAlign w:val="center"/>
          </w:tcPr>
          <w:p w14:paraId="19A2DA00">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评分点名称</w:t>
            </w:r>
          </w:p>
        </w:tc>
        <w:tc>
          <w:tcPr>
            <w:tcW w:w="1080" w:type="dxa"/>
            <w:tcBorders>
              <w:top w:val="single" w:color="000000" w:sz="4" w:space="0"/>
              <w:left w:val="single" w:color="000000" w:sz="4" w:space="0"/>
              <w:bottom w:val="single" w:color="000000" w:sz="4" w:space="0"/>
              <w:right w:val="single" w:color="000000" w:sz="4" w:space="0"/>
            </w:tcBorders>
            <w:vAlign w:val="center"/>
          </w:tcPr>
          <w:p w14:paraId="673FEB91">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分值</w:t>
            </w:r>
          </w:p>
        </w:tc>
        <w:tc>
          <w:tcPr>
            <w:tcW w:w="4718" w:type="dxa"/>
            <w:tcBorders>
              <w:top w:val="single" w:color="000000" w:sz="4" w:space="0"/>
              <w:left w:val="single" w:color="000000" w:sz="4" w:space="0"/>
              <w:bottom w:val="single" w:color="000000" w:sz="4" w:space="0"/>
              <w:right w:val="single" w:color="000000" w:sz="4" w:space="0"/>
            </w:tcBorders>
            <w:vAlign w:val="center"/>
          </w:tcPr>
          <w:p w14:paraId="4E9E3D67">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评审标准</w:t>
            </w:r>
          </w:p>
        </w:tc>
      </w:tr>
      <w:tr w14:paraId="4AC1024E">
        <w:tblPrEx>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vAlign w:val="center"/>
          </w:tcPr>
          <w:p w14:paraId="31BEB562">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1</w:t>
            </w:r>
          </w:p>
        </w:tc>
        <w:tc>
          <w:tcPr>
            <w:tcW w:w="2880" w:type="dxa"/>
            <w:tcBorders>
              <w:top w:val="single" w:color="000000" w:sz="4" w:space="0"/>
              <w:left w:val="single" w:color="000000" w:sz="4" w:space="0"/>
              <w:bottom w:val="single" w:color="000000" w:sz="4" w:space="0"/>
              <w:right w:val="single" w:color="000000" w:sz="4" w:space="0"/>
            </w:tcBorders>
            <w:vAlign w:val="center"/>
          </w:tcPr>
          <w:p w14:paraId="5F2A5A8D">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企业实力和履约能力</w:t>
            </w:r>
          </w:p>
        </w:tc>
        <w:tc>
          <w:tcPr>
            <w:tcW w:w="1080" w:type="dxa"/>
            <w:tcBorders>
              <w:top w:val="single" w:color="000000" w:sz="4" w:space="0"/>
              <w:left w:val="single" w:color="000000" w:sz="4" w:space="0"/>
              <w:bottom w:val="single" w:color="000000" w:sz="4" w:space="0"/>
              <w:right w:val="single" w:color="000000" w:sz="4" w:space="0"/>
            </w:tcBorders>
            <w:vAlign w:val="center"/>
          </w:tcPr>
          <w:p w14:paraId="6CD02E4E">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4</w:t>
            </w:r>
          </w:p>
        </w:tc>
        <w:tc>
          <w:tcPr>
            <w:tcW w:w="4718" w:type="dxa"/>
            <w:tcBorders>
              <w:top w:val="single" w:color="000000" w:sz="4" w:space="0"/>
              <w:left w:val="single" w:color="000000" w:sz="4" w:space="0"/>
              <w:bottom w:val="single" w:color="000000" w:sz="4" w:space="0"/>
              <w:right w:val="single" w:color="000000" w:sz="4" w:space="0"/>
            </w:tcBorders>
            <w:vAlign w:val="center"/>
          </w:tcPr>
          <w:p w14:paraId="2AF15975">
            <w:pPr>
              <w:widowControl/>
              <w:spacing w:line="340" w:lineRule="exact"/>
              <w:textAlignment w:val="center"/>
              <w:rPr>
                <w:rFonts w:hint="eastAsia" w:ascii="宋体" w:hAnsi="宋体" w:cs="宋体"/>
                <w:b/>
                <w:bCs/>
                <w:color w:val="auto"/>
                <w:sz w:val="24"/>
              </w:rPr>
            </w:pPr>
            <w:r>
              <w:rPr>
                <w:rFonts w:hint="eastAsia" w:ascii="宋体" w:hAnsi="宋体" w:cs="宋体"/>
                <w:b/>
                <w:bCs/>
                <w:color w:val="auto"/>
                <w:kern w:val="0"/>
                <w:sz w:val="24"/>
              </w:rPr>
              <w:t>企业实力和履约能力，满分4分（须在有效期内）。投标人提交的相关证明材料均应为原件的复印件且清晰可见，加盖投标单位公章，否则投标人自行承担因复印件模糊等问题导致评委无法辨识的一切后果。</w:t>
            </w:r>
          </w:p>
        </w:tc>
      </w:tr>
      <w:tr w14:paraId="2E9809D8">
        <w:tblPrEx>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vAlign w:val="center"/>
          </w:tcPr>
          <w:p w14:paraId="08DC511D">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1.1</w:t>
            </w:r>
          </w:p>
        </w:tc>
        <w:tc>
          <w:tcPr>
            <w:tcW w:w="2880" w:type="dxa"/>
            <w:tcBorders>
              <w:top w:val="single" w:color="000000" w:sz="4" w:space="0"/>
              <w:left w:val="single" w:color="000000" w:sz="4" w:space="0"/>
              <w:bottom w:val="single" w:color="000000" w:sz="4" w:space="0"/>
              <w:right w:val="single" w:color="000000" w:sz="4" w:space="0"/>
            </w:tcBorders>
            <w:vAlign w:val="center"/>
          </w:tcPr>
          <w:p w14:paraId="5FCF8313">
            <w:pPr>
              <w:spacing w:line="340" w:lineRule="exact"/>
              <w:jc w:val="left"/>
              <w:rPr>
                <w:rFonts w:hint="eastAsia" w:ascii="宋体" w:hAnsi="宋体" w:cs="宋体"/>
                <w:color w:val="auto"/>
                <w:sz w:val="24"/>
              </w:rPr>
            </w:pPr>
            <w:r>
              <w:rPr>
                <w:rFonts w:hint="eastAsia" w:ascii="宋体" w:hAnsi="宋体" w:cs="宋体"/>
                <w:color w:val="auto"/>
                <w:kern w:val="0"/>
                <w:sz w:val="24"/>
              </w:rPr>
              <w:t>ISO9001 质量管理体系认证证书</w:t>
            </w:r>
          </w:p>
        </w:tc>
        <w:tc>
          <w:tcPr>
            <w:tcW w:w="1080" w:type="dxa"/>
            <w:tcBorders>
              <w:top w:val="single" w:color="000000" w:sz="4" w:space="0"/>
              <w:left w:val="single" w:color="000000" w:sz="4" w:space="0"/>
              <w:bottom w:val="single" w:color="000000" w:sz="4" w:space="0"/>
              <w:right w:val="single" w:color="000000" w:sz="4" w:space="0"/>
            </w:tcBorders>
            <w:vAlign w:val="center"/>
          </w:tcPr>
          <w:p w14:paraId="6588DC26">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1</w:t>
            </w:r>
          </w:p>
        </w:tc>
        <w:tc>
          <w:tcPr>
            <w:tcW w:w="4718" w:type="dxa"/>
            <w:tcBorders>
              <w:top w:val="single" w:color="000000" w:sz="4" w:space="0"/>
              <w:left w:val="single" w:color="000000" w:sz="4" w:space="0"/>
              <w:bottom w:val="single" w:color="000000" w:sz="4" w:space="0"/>
              <w:right w:val="single" w:color="000000" w:sz="4" w:space="0"/>
            </w:tcBorders>
            <w:vAlign w:val="center"/>
          </w:tcPr>
          <w:p w14:paraId="1B2BD6F4">
            <w:pPr>
              <w:pStyle w:val="15"/>
              <w:rPr>
                <w:rFonts w:hint="eastAsia" w:ascii="宋体" w:hAnsi="宋体" w:cs="宋体"/>
                <w:color w:val="auto"/>
                <w:sz w:val="24"/>
              </w:rPr>
            </w:pPr>
            <w:r>
              <w:rPr>
                <w:rFonts w:hint="eastAsia" w:ascii="宋体" w:hAnsi="宋体" w:cs="宋体"/>
                <w:color w:val="auto"/>
                <w:kern w:val="0"/>
                <w:sz w:val="24"/>
              </w:rPr>
              <w:t>投标人具有 ISO9001 质量管理体系认证证书，认证范围覆盖智能化系统/信息化相关业务的，得1分。</w:t>
            </w:r>
          </w:p>
        </w:tc>
      </w:tr>
      <w:tr w14:paraId="18363E1B">
        <w:tblPrEx>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vAlign w:val="center"/>
          </w:tcPr>
          <w:p w14:paraId="24418CCF">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1.2</w:t>
            </w:r>
          </w:p>
        </w:tc>
        <w:tc>
          <w:tcPr>
            <w:tcW w:w="2880" w:type="dxa"/>
            <w:tcBorders>
              <w:top w:val="single" w:color="000000" w:sz="4" w:space="0"/>
              <w:left w:val="single" w:color="000000" w:sz="4" w:space="0"/>
              <w:bottom w:val="single" w:color="000000" w:sz="4" w:space="0"/>
              <w:right w:val="single" w:color="000000" w:sz="4" w:space="0"/>
            </w:tcBorders>
            <w:vAlign w:val="center"/>
          </w:tcPr>
          <w:p w14:paraId="2E02FF4A">
            <w:pPr>
              <w:spacing w:line="340" w:lineRule="exact"/>
              <w:jc w:val="left"/>
              <w:rPr>
                <w:rFonts w:hint="eastAsia" w:ascii="宋体" w:hAnsi="宋体" w:cs="宋体"/>
                <w:color w:val="auto"/>
                <w:sz w:val="24"/>
              </w:rPr>
            </w:pPr>
            <w:r>
              <w:rPr>
                <w:rFonts w:hint="eastAsia" w:ascii="宋体" w:hAnsi="宋体" w:cs="宋体"/>
                <w:color w:val="auto"/>
                <w:kern w:val="0"/>
                <w:sz w:val="24"/>
              </w:rPr>
              <w:t>ISO45001 职业健康安全管理体系认证证书</w:t>
            </w:r>
          </w:p>
        </w:tc>
        <w:tc>
          <w:tcPr>
            <w:tcW w:w="1080" w:type="dxa"/>
            <w:tcBorders>
              <w:top w:val="single" w:color="000000" w:sz="4" w:space="0"/>
              <w:left w:val="single" w:color="000000" w:sz="4" w:space="0"/>
              <w:bottom w:val="single" w:color="000000" w:sz="4" w:space="0"/>
              <w:right w:val="single" w:color="000000" w:sz="4" w:space="0"/>
            </w:tcBorders>
            <w:vAlign w:val="center"/>
          </w:tcPr>
          <w:p w14:paraId="5F3DD3EE">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1</w:t>
            </w:r>
          </w:p>
        </w:tc>
        <w:tc>
          <w:tcPr>
            <w:tcW w:w="4718" w:type="dxa"/>
            <w:tcBorders>
              <w:top w:val="single" w:color="000000" w:sz="4" w:space="0"/>
              <w:left w:val="single" w:color="000000" w:sz="4" w:space="0"/>
              <w:bottom w:val="single" w:color="000000" w:sz="4" w:space="0"/>
              <w:right w:val="single" w:color="000000" w:sz="4" w:space="0"/>
            </w:tcBorders>
            <w:vAlign w:val="center"/>
          </w:tcPr>
          <w:p w14:paraId="7F3C7271">
            <w:pPr>
              <w:widowControl/>
              <w:spacing w:line="340" w:lineRule="exact"/>
              <w:textAlignment w:val="center"/>
              <w:rPr>
                <w:rFonts w:hint="eastAsia" w:ascii="宋体" w:hAnsi="宋体" w:cs="宋体"/>
                <w:color w:val="auto"/>
                <w:sz w:val="24"/>
              </w:rPr>
            </w:pPr>
            <w:r>
              <w:rPr>
                <w:rFonts w:hint="eastAsia" w:ascii="宋体" w:hAnsi="宋体" w:cs="宋体"/>
                <w:color w:val="auto"/>
                <w:kern w:val="0"/>
                <w:sz w:val="24"/>
              </w:rPr>
              <w:t>2.投标人具有ISO45001 职业健康安全管理体系认证证书，认证范围覆盖智能化系统/信息化相关业务的，得1分。</w:t>
            </w:r>
          </w:p>
        </w:tc>
      </w:tr>
      <w:tr w14:paraId="2D0493A3">
        <w:tblPrEx>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vAlign w:val="center"/>
          </w:tcPr>
          <w:p w14:paraId="10A56BCB">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1.3</w:t>
            </w:r>
          </w:p>
        </w:tc>
        <w:tc>
          <w:tcPr>
            <w:tcW w:w="2880" w:type="dxa"/>
            <w:tcBorders>
              <w:top w:val="single" w:color="000000" w:sz="4" w:space="0"/>
              <w:left w:val="single" w:color="000000" w:sz="4" w:space="0"/>
              <w:bottom w:val="single" w:color="000000" w:sz="4" w:space="0"/>
              <w:right w:val="single" w:color="000000" w:sz="4" w:space="0"/>
            </w:tcBorders>
            <w:vAlign w:val="center"/>
          </w:tcPr>
          <w:p w14:paraId="2B6DDD48">
            <w:pPr>
              <w:spacing w:line="340" w:lineRule="exact"/>
              <w:jc w:val="left"/>
              <w:rPr>
                <w:rFonts w:hint="eastAsia" w:ascii="宋体" w:hAnsi="宋体" w:cs="宋体"/>
                <w:color w:val="auto"/>
                <w:sz w:val="24"/>
              </w:rPr>
            </w:pPr>
            <w:r>
              <w:rPr>
                <w:rFonts w:hint="eastAsia" w:ascii="宋体" w:hAnsi="宋体" w:cs="宋体"/>
                <w:color w:val="auto"/>
                <w:kern w:val="0"/>
                <w:sz w:val="24"/>
              </w:rPr>
              <w:t>ISO14001 环境管理体系认证证书</w:t>
            </w:r>
          </w:p>
        </w:tc>
        <w:tc>
          <w:tcPr>
            <w:tcW w:w="1080" w:type="dxa"/>
            <w:tcBorders>
              <w:top w:val="single" w:color="000000" w:sz="4" w:space="0"/>
              <w:left w:val="single" w:color="000000" w:sz="4" w:space="0"/>
              <w:bottom w:val="single" w:color="000000" w:sz="4" w:space="0"/>
              <w:right w:val="single" w:color="000000" w:sz="4" w:space="0"/>
            </w:tcBorders>
            <w:vAlign w:val="center"/>
          </w:tcPr>
          <w:p w14:paraId="4B31302D">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1</w:t>
            </w:r>
          </w:p>
        </w:tc>
        <w:tc>
          <w:tcPr>
            <w:tcW w:w="4718" w:type="dxa"/>
            <w:tcBorders>
              <w:top w:val="single" w:color="000000" w:sz="4" w:space="0"/>
              <w:left w:val="single" w:color="000000" w:sz="4" w:space="0"/>
              <w:bottom w:val="single" w:color="000000" w:sz="4" w:space="0"/>
              <w:right w:val="single" w:color="000000" w:sz="4" w:space="0"/>
            </w:tcBorders>
            <w:vAlign w:val="center"/>
          </w:tcPr>
          <w:p w14:paraId="273FC0D8">
            <w:pPr>
              <w:widowControl/>
              <w:spacing w:line="340" w:lineRule="exact"/>
              <w:textAlignment w:val="center"/>
              <w:rPr>
                <w:rFonts w:hint="eastAsia" w:ascii="宋体" w:hAnsi="宋体" w:cs="宋体"/>
                <w:color w:val="auto"/>
                <w:sz w:val="24"/>
              </w:rPr>
            </w:pPr>
            <w:r>
              <w:rPr>
                <w:rFonts w:hint="eastAsia" w:ascii="宋体" w:hAnsi="宋体" w:cs="宋体"/>
                <w:color w:val="auto"/>
                <w:kern w:val="0"/>
                <w:sz w:val="24"/>
              </w:rPr>
              <w:t>3.投标人具备ISO14001 环境管理体系认证证书，认证范围覆盖智能化系统/信息化相关业务的，得1分。</w:t>
            </w:r>
          </w:p>
        </w:tc>
      </w:tr>
      <w:tr w14:paraId="0F34AAD0">
        <w:tblPrEx>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vAlign w:val="center"/>
          </w:tcPr>
          <w:p w14:paraId="7CF94B20">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1.4</w:t>
            </w:r>
          </w:p>
        </w:tc>
        <w:tc>
          <w:tcPr>
            <w:tcW w:w="2880" w:type="dxa"/>
            <w:tcBorders>
              <w:top w:val="single" w:color="000000" w:sz="4" w:space="0"/>
              <w:left w:val="single" w:color="000000" w:sz="4" w:space="0"/>
              <w:bottom w:val="single" w:color="000000" w:sz="4" w:space="0"/>
              <w:right w:val="single" w:color="000000" w:sz="4" w:space="0"/>
            </w:tcBorders>
            <w:vAlign w:val="center"/>
          </w:tcPr>
          <w:p w14:paraId="3A35DAF6">
            <w:pPr>
              <w:spacing w:line="340" w:lineRule="exact"/>
              <w:jc w:val="center"/>
              <w:rPr>
                <w:rFonts w:hint="eastAsia" w:ascii="宋体" w:hAnsi="宋体" w:cs="宋体"/>
                <w:color w:val="auto"/>
                <w:sz w:val="24"/>
              </w:rPr>
            </w:pPr>
            <w:r>
              <w:rPr>
                <w:rFonts w:hint="eastAsia" w:ascii="宋体" w:hAnsi="宋体" w:cs="宋体"/>
                <w:color w:val="auto"/>
                <w:sz w:val="24"/>
              </w:rPr>
              <w:t>企业资质</w:t>
            </w:r>
          </w:p>
        </w:tc>
        <w:tc>
          <w:tcPr>
            <w:tcW w:w="1080" w:type="dxa"/>
            <w:tcBorders>
              <w:top w:val="single" w:color="000000" w:sz="4" w:space="0"/>
              <w:left w:val="single" w:color="000000" w:sz="4" w:space="0"/>
              <w:bottom w:val="single" w:color="000000" w:sz="4" w:space="0"/>
              <w:right w:val="single" w:color="000000" w:sz="4" w:space="0"/>
            </w:tcBorders>
            <w:vAlign w:val="center"/>
          </w:tcPr>
          <w:p w14:paraId="030C61E5">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1</w:t>
            </w:r>
          </w:p>
        </w:tc>
        <w:tc>
          <w:tcPr>
            <w:tcW w:w="4718" w:type="dxa"/>
            <w:tcBorders>
              <w:top w:val="single" w:color="000000" w:sz="4" w:space="0"/>
              <w:left w:val="single" w:color="000000" w:sz="4" w:space="0"/>
              <w:bottom w:val="single" w:color="000000" w:sz="4" w:space="0"/>
              <w:right w:val="single" w:color="000000" w:sz="4" w:space="0"/>
            </w:tcBorders>
            <w:vAlign w:val="center"/>
          </w:tcPr>
          <w:p w14:paraId="4EE051E4">
            <w:pPr>
              <w:widowControl/>
              <w:spacing w:line="340" w:lineRule="exact"/>
              <w:textAlignment w:val="center"/>
              <w:rPr>
                <w:rFonts w:hint="eastAsia" w:ascii="宋体" w:hAnsi="宋体" w:cs="宋体"/>
                <w:color w:val="auto"/>
                <w:sz w:val="24"/>
              </w:rPr>
            </w:pPr>
            <w:r>
              <w:rPr>
                <w:rFonts w:hint="eastAsia" w:ascii="宋体" w:hAnsi="宋体" w:cs="宋体"/>
                <w:color w:val="auto"/>
                <w:kern w:val="0"/>
                <w:sz w:val="24"/>
              </w:rPr>
              <w:t>4.</w:t>
            </w:r>
            <w:r>
              <w:rPr>
                <w:rFonts w:hint="eastAsia"/>
                <w:color w:val="auto"/>
              </w:rPr>
              <w:t xml:space="preserve"> </w:t>
            </w:r>
            <w:r>
              <w:rPr>
                <w:rFonts w:hint="eastAsia" w:ascii="宋体" w:hAnsi="宋体" w:cs="宋体"/>
                <w:color w:val="auto"/>
                <w:kern w:val="0"/>
                <w:sz w:val="24"/>
              </w:rPr>
              <w:t>投标人具有电子与智能化工程专业承包贰级及以上资质，得1分。</w:t>
            </w:r>
          </w:p>
        </w:tc>
      </w:tr>
      <w:tr w14:paraId="7A41C41C">
        <w:tblPrEx>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vAlign w:val="center"/>
          </w:tcPr>
          <w:p w14:paraId="60D63BC0">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2</w:t>
            </w:r>
          </w:p>
        </w:tc>
        <w:tc>
          <w:tcPr>
            <w:tcW w:w="2880" w:type="dxa"/>
            <w:tcBorders>
              <w:top w:val="single" w:color="000000" w:sz="4" w:space="0"/>
              <w:left w:val="single" w:color="000000" w:sz="4" w:space="0"/>
              <w:bottom w:val="single" w:color="000000" w:sz="4" w:space="0"/>
              <w:right w:val="single" w:color="000000" w:sz="4" w:space="0"/>
            </w:tcBorders>
            <w:vAlign w:val="center"/>
          </w:tcPr>
          <w:p w14:paraId="58D07ED6">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企业业绩</w:t>
            </w:r>
          </w:p>
        </w:tc>
        <w:tc>
          <w:tcPr>
            <w:tcW w:w="1080" w:type="dxa"/>
            <w:tcBorders>
              <w:top w:val="single" w:color="000000" w:sz="4" w:space="0"/>
              <w:left w:val="single" w:color="000000" w:sz="4" w:space="0"/>
              <w:bottom w:val="single" w:color="000000" w:sz="4" w:space="0"/>
              <w:right w:val="single" w:color="000000" w:sz="4" w:space="0"/>
            </w:tcBorders>
            <w:vAlign w:val="center"/>
          </w:tcPr>
          <w:p w14:paraId="3DE7ECFF">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6</w:t>
            </w:r>
          </w:p>
        </w:tc>
        <w:tc>
          <w:tcPr>
            <w:tcW w:w="4718" w:type="dxa"/>
            <w:tcBorders>
              <w:top w:val="single" w:color="000000" w:sz="4" w:space="0"/>
              <w:left w:val="single" w:color="000000" w:sz="4" w:space="0"/>
              <w:bottom w:val="single" w:color="000000" w:sz="4" w:space="0"/>
              <w:right w:val="single" w:color="000000" w:sz="4" w:space="0"/>
            </w:tcBorders>
            <w:vAlign w:val="center"/>
          </w:tcPr>
          <w:p w14:paraId="3A0E422E">
            <w:pPr>
              <w:widowControl/>
              <w:spacing w:line="340" w:lineRule="exact"/>
              <w:textAlignment w:val="center"/>
              <w:rPr>
                <w:rFonts w:hint="eastAsia" w:ascii="宋体" w:hAnsi="宋体" w:cs="宋体"/>
                <w:b/>
                <w:bCs/>
                <w:color w:val="auto"/>
                <w:sz w:val="24"/>
              </w:rPr>
            </w:pPr>
            <w:r>
              <w:rPr>
                <w:rFonts w:hint="eastAsia" w:ascii="宋体" w:hAnsi="宋体" w:cs="宋体"/>
                <w:b/>
                <w:bCs/>
                <w:color w:val="auto"/>
                <w:kern w:val="0"/>
                <w:sz w:val="24"/>
              </w:rPr>
              <w:t>业绩合同</w:t>
            </w:r>
          </w:p>
        </w:tc>
      </w:tr>
      <w:tr w14:paraId="731602D8">
        <w:tblPrEx>
          <w:tblCellMar>
            <w:top w:w="0" w:type="dxa"/>
            <w:left w:w="108" w:type="dxa"/>
            <w:bottom w:w="0" w:type="dxa"/>
            <w:right w:w="108" w:type="dxa"/>
          </w:tblCellMar>
        </w:tblPrEx>
        <w:trPr>
          <w:trHeight w:val="1140" w:hRule="atLeast"/>
        </w:trPr>
        <w:tc>
          <w:tcPr>
            <w:tcW w:w="1080" w:type="dxa"/>
            <w:tcBorders>
              <w:top w:val="single" w:color="000000" w:sz="4" w:space="0"/>
              <w:left w:val="single" w:color="000000" w:sz="4" w:space="0"/>
              <w:bottom w:val="single" w:color="000000" w:sz="4" w:space="0"/>
              <w:right w:val="single" w:color="000000" w:sz="4" w:space="0"/>
            </w:tcBorders>
            <w:vAlign w:val="center"/>
          </w:tcPr>
          <w:p w14:paraId="5E8AA6EC">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2.1</w:t>
            </w:r>
          </w:p>
        </w:tc>
        <w:tc>
          <w:tcPr>
            <w:tcW w:w="2880" w:type="dxa"/>
            <w:tcBorders>
              <w:top w:val="single" w:color="000000" w:sz="4" w:space="0"/>
              <w:left w:val="single" w:color="000000" w:sz="4" w:space="0"/>
              <w:bottom w:val="single" w:color="000000" w:sz="4" w:space="0"/>
              <w:right w:val="single" w:color="000000" w:sz="4" w:space="0"/>
            </w:tcBorders>
            <w:vAlign w:val="center"/>
          </w:tcPr>
          <w:p w14:paraId="5BF29827">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类似项目业绩</w:t>
            </w:r>
          </w:p>
        </w:tc>
        <w:tc>
          <w:tcPr>
            <w:tcW w:w="1080" w:type="dxa"/>
            <w:tcBorders>
              <w:top w:val="single" w:color="000000" w:sz="4" w:space="0"/>
              <w:left w:val="single" w:color="000000" w:sz="4" w:space="0"/>
              <w:bottom w:val="single" w:color="000000" w:sz="4" w:space="0"/>
              <w:right w:val="single" w:color="000000" w:sz="4" w:space="0"/>
            </w:tcBorders>
            <w:vAlign w:val="center"/>
          </w:tcPr>
          <w:p w14:paraId="0BD20C3C">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6</w:t>
            </w:r>
          </w:p>
        </w:tc>
        <w:tc>
          <w:tcPr>
            <w:tcW w:w="4718" w:type="dxa"/>
            <w:tcBorders>
              <w:top w:val="single" w:color="000000" w:sz="4" w:space="0"/>
              <w:left w:val="single" w:color="000000" w:sz="4" w:space="0"/>
              <w:bottom w:val="single" w:color="000000" w:sz="4" w:space="0"/>
              <w:right w:val="single" w:color="000000" w:sz="4" w:space="0"/>
            </w:tcBorders>
            <w:vAlign w:val="center"/>
          </w:tcPr>
          <w:p w14:paraId="55BCF4F8">
            <w:pPr>
              <w:widowControl/>
              <w:spacing w:line="340" w:lineRule="exact"/>
              <w:textAlignment w:val="center"/>
              <w:rPr>
                <w:rFonts w:hint="eastAsia" w:ascii="宋体" w:hAnsi="宋体" w:cs="宋体"/>
                <w:color w:val="auto"/>
                <w:kern w:val="0"/>
                <w:sz w:val="24"/>
              </w:rPr>
            </w:pPr>
            <w:r>
              <w:rPr>
                <w:rFonts w:hint="eastAsia" w:ascii="宋体" w:hAnsi="宋体" w:cs="宋体"/>
                <w:color w:val="auto"/>
                <w:kern w:val="0"/>
                <w:sz w:val="24"/>
              </w:rPr>
              <w:t>投标人提供2022年12月至今类似安防项目成功案例（时间以签订合同日期为准）。每提供1份包含视频监控的项目合同得1分，每提供1份包含卡口测速的项目合同得2分，本项最高得6分。(以上如为与本项目招标人签订的合同最多得1分)</w:t>
            </w:r>
          </w:p>
          <w:p w14:paraId="41CF7FE2">
            <w:pPr>
              <w:widowControl/>
              <w:spacing w:line="340" w:lineRule="exact"/>
              <w:textAlignment w:val="center"/>
              <w:rPr>
                <w:rFonts w:hint="eastAsia" w:ascii="宋体" w:hAnsi="宋体" w:cs="宋体"/>
                <w:color w:val="auto"/>
                <w:kern w:val="0"/>
                <w:sz w:val="24"/>
              </w:rPr>
            </w:pPr>
            <w:r>
              <w:rPr>
                <w:rFonts w:hint="eastAsia" w:ascii="宋体" w:hAnsi="宋体" w:cs="宋体"/>
                <w:color w:val="auto"/>
                <w:kern w:val="0"/>
                <w:sz w:val="24"/>
              </w:rPr>
              <w:t>注：提供有效的合同扫描件和发票，合同扫描件和发票中的甲、乙双方单位名称必须对应一致， 否则不得分，分包或转包的合同不予得分；投标人提供的多个业绩项目，若建设单位为同一家单位，仅按1份业绩计算得分；</w:t>
            </w:r>
          </w:p>
          <w:p w14:paraId="1D145B6B">
            <w:pPr>
              <w:widowControl/>
              <w:spacing w:line="340" w:lineRule="exact"/>
              <w:textAlignment w:val="center"/>
              <w:rPr>
                <w:rFonts w:hint="eastAsia" w:ascii="宋体" w:hAnsi="宋体" w:cs="宋体"/>
                <w:color w:val="auto"/>
                <w:sz w:val="24"/>
              </w:rPr>
            </w:pPr>
            <w:r>
              <w:rPr>
                <w:rFonts w:hint="eastAsia" w:ascii="宋体" w:hAnsi="宋体" w:cs="宋体"/>
                <w:color w:val="auto"/>
                <w:kern w:val="0"/>
                <w:sz w:val="24"/>
              </w:rPr>
              <w:t>投标人提供的相关证明材料均应为原件的扫描件且清晰可见，否则，投标人自行承担因扫描件模糊等问题导致评委无法辨识的一切后果。</w:t>
            </w:r>
          </w:p>
        </w:tc>
      </w:tr>
      <w:tr w14:paraId="00858E44">
        <w:tblPrEx>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vAlign w:val="center"/>
          </w:tcPr>
          <w:p w14:paraId="0F783E38">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3</w:t>
            </w:r>
          </w:p>
        </w:tc>
        <w:tc>
          <w:tcPr>
            <w:tcW w:w="2880" w:type="dxa"/>
            <w:tcBorders>
              <w:top w:val="single" w:color="000000" w:sz="4" w:space="0"/>
              <w:left w:val="single" w:color="000000" w:sz="4" w:space="0"/>
              <w:bottom w:val="single" w:color="000000" w:sz="4" w:space="0"/>
              <w:right w:val="single" w:color="000000" w:sz="4" w:space="0"/>
            </w:tcBorders>
            <w:vAlign w:val="center"/>
          </w:tcPr>
          <w:p w14:paraId="3D528B3A">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技术参数</w:t>
            </w:r>
          </w:p>
        </w:tc>
        <w:tc>
          <w:tcPr>
            <w:tcW w:w="1080" w:type="dxa"/>
            <w:tcBorders>
              <w:top w:val="single" w:color="000000" w:sz="4" w:space="0"/>
              <w:left w:val="single" w:color="000000" w:sz="4" w:space="0"/>
              <w:bottom w:val="single" w:color="000000" w:sz="4" w:space="0"/>
              <w:right w:val="single" w:color="000000" w:sz="4" w:space="0"/>
            </w:tcBorders>
            <w:vAlign w:val="center"/>
          </w:tcPr>
          <w:p w14:paraId="7AF3D5E5">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35</w:t>
            </w:r>
          </w:p>
        </w:tc>
        <w:tc>
          <w:tcPr>
            <w:tcW w:w="4718" w:type="dxa"/>
            <w:tcBorders>
              <w:top w:val="single" w:color="000000" w:sz="4" w:space="0"/>
              <w:left w:val="single" w:color="000000" w:sz="4" w:space="0"/>
              <w:bottom w:val="single" w:color="000000" w:sz="4" w:space="0"/>
              <w:right w:val="single" w:color="000000" w:sz="4" w:space="0"/>
            </w:tcBorders>
            <w:vAlign w:val="center"/>
          </w:tcPr>
          <w:p w14:paraId="68913201">
            <w:pPr>
              <w:widowControl/>
              <w:spacing w:line="340" w:lineRule="exact"/>
              <w:textAlignment w:val="center"/>
              <w:rPr>
                <w:rFonts w:hint="eastAsia" w:ascii="宋体" w:hAnsi="宋体" w:cs="宋体"/>
                <w:b/>
                <w:bCs/>
                <w:color w:val="auto"/>
                <w:sz w:val="24"/>
              </w:rPr>
            </w:pPr>
            <w:r>
              <w:rPr>
                <w:rFonts w:hint="eastAsia" w:ascii="宋体" w:hAnsi="宋体" w:cs="宋体"/>
                <w:b/>
                <w:bCs/>
                <w:color w:val="auto"/>
                <w:kern w:val="0"/>
                <w:sz w:val="24"/>
              </w:rPr>
              <w:t>投标人须在技术参数响应及偏离表中如实列明，并提供相关证明文件</w:t>
            </w:r>
          </w:p>
        </w:tc>
      </w:tr>
      <w:tr w14:paraId="3C7B9892">
        <w:tblPrEx>
          <w:tblCellMar>
            <w:top w:w="0" w:type="dxa"/>
            <w:left w:w="108" w:type="dxa"/>
            <w:bottom w:w="0" w:type="dxa"/>
            <w:right w:w="108" w:type="dxa"/>
          </w:tblCellMar>
        </w:tblPrEx>
        <w:trPr>
          <w:trHeight w:val="570" w:hRule="atLeast"/>
        </w:trPr>
        <w:tc>
          <w:tcPr>
            <w:tcW w:w="1080" w:type="dxa"/>
            <w:vMerge w:val="restart"/>
            <w:tcBorders>
              <w:top w:val="single" w:color="000000" w:sz="4" w:space="0"/>
              <w:left w:val="single" w:color="000000" w:sz="4" w:space="0"/>
              <w:bottom w:val="single" w:color="000000" w:sz="4" w:space="0"/>
              <w:right w:val="single" w:color="000000" w:sz="4" w:space="0"/>
            </w:tcBorders>
            <w:vAlign w:val="center"/>
          </w:tcPr>
          <w:p w14:paraId="31FA8FD3">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3.1</w:t>
            </w:r>
          </w:p>
        </w:tc>
        <w:tc>
          <w:tcPr>
            <w:tcW w:w="2880" w:type="dxa"/>
            <w:vMerge w:val="restart"/>
            <w:tcBorders>
              <w:top w:val="single" w:color="000000" w:sz="4" w:space="0"/>
              <w:left w:val="single" w:color="000000" w:sz="4" w:space="0"/>
              <w:bottom w:val="single" w:color="000000" w:sz="4" w:space="0"/>
              <w:right w:val="single" w:color="000000" w:sz="4" w:space="0"/>
            </w:tcBorders>
            <w:vAlign w:val="center"/>
          </w:tcPr>
          <w:p w14:paraId="07C98D2E">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技术参数响应</w:t>
            </w:r>
          </w:p>
        </w:tc>
        <w:tc>
          <w:tcPr>
            <w:tcW w:w="1080" w:type="dxa"/>
            <w:vMerge w:val="restart"/>
            <w:tcBorders>
              <w:top w:val="single" w:color="000000" w:sz="4" w:space="0"/>
              <w:left w:val="single" w:color="000000" w:sz="4" w:space="0"/>
              <w:bottom w:val="single" w:color="000000" w:sz="4" w:space="0"/>
              <w:right w:val="single" w:color="000000" w:sz="4" w:space="0"/>
            </w:tcBorders>
            <w:vAlign w:val="center"/>
          </w:tcPr>
          <w:p w14:paraId="6E2BA39C">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35</w:t>
            </w:r>
          </w:p>
        </w:tc>
        <w:tc>
          <w:tcPr>
            <w:tcW w:w="4718" w:type="dxa"/>
            <w:tcBorders>
              <w:top w:val="single" w:color="000000" w:sz="4" w:space="0"/>
              <w:left w:val="single" w:color="000000" w:sz="4" w:space="0"/>
              <w:bottom w:val="single" w:color="000000" w:sz="4" w:space="0"/>
              <w:right w:val="single" w:color="000000" w:sz="4" w:space="0"/>
            </w:tcBorders>
            <w:vAlign w:val="center"/>
          </w:tcPr>
          <w:p w14:paraId="670E49BE">
            <w:pPr>
              <w:widowControl/>
              <w:spacing w:line="340" w:lineRule="exact"/>
              <w:textAlignment w:val="center"/>
              <w:rPr>
                <w:rFonts w:hint="eastAsia" w:ascii="宋体" w:hAnsi="宋体" w:cs="宋体"/>
                <w:color w:val="auto"/>
                <w:sz w:val="24"/>
              </w:rPr>
            </w:pPr>
            <w:r>
              <w:rPr>
                <w:rFonts w:hint="eastAsia" w:ascii="宋体" w:hAnsi="宋体" w:cs="宋体"/>
                <w:color w:val="auto"/>
                <w:kern w:val="0"/>
                <w:sz w:val="24"/>
              </w:rPr>
              <w:t>投标人所投产品全部满足项目需求中建议设备清单各项技术指标和功能要求的得35分。提供《技术部分正负偏离表》及标注“▲ ”号条款按招标文件要求提供由具备CMA或CNAS资质的第三方检测机构出具的检测报告复印件加盖供应商公章。</w:t>
            </w:r>
          </w:p>
        </w:tc>
      </w:tr>
      <w:tr w14:paraId="32A9BD7D">
        <w:tblPrEx>
          <w:tblCellMar>
            <w:top w:w="0" w:type="dxa"/>
            <w:left w:w="108" w:type="dxa"/>
            <w:bottom w:w="0" w:type="dxa"/>
            <w:right w:w="108" w:type="dxa"/>
          </w:tblCellMar>
        </w:tblPrEx>
        <w:trPr>
          <w:trHeight w:val="570" w:hRule="atLeast"/>
        </w:trPr>
        <w:tc>
          <w:tcPr>
            <w:tcW w:w="1080" w:type="dxa"/>
            <w:vMerge w:val="continue"/>
            <w:tcBorders>
              <w:top w:val="single" w:color="000000" w:sz="4" w:space="0"/>
              <w:left w:val="single" w:color="000000" w:sz="4" w:space="0"/>
              <w:bottom w:val="single" w:color="000000" w:sz="4" w:space="0"/>
              <w:right w:val="single" w:color="000000" w:sz="4" w:space="0"/>
            </w:tcBorders>
            <w:vAlign w:val="center"/>
          </w:tcPr>
          <w:p w14:paraId="0509FE53">
            <w:pPr>
              <w:spacing w:line="340" w:lineRule="exact"/>
              <w:jc w:val="center"/>
              <w:rPr>
                <w:rFonts w:hint="eastAsia" w:ascii="宋体" w:hAnsi="宋体" w:cs="宋体"/>
                <w:color w:val="auto"/>
                <w:sz w:val="24"/>
              </w:rPr>
            </w:pPr>
          </w:p>
        </w:tc>
        <w:tc>
          <w:tcPr>
            <w:tcW w:w="2880" w:type="dxa"/>
            <w:vMerge w:val="continue"/>
            <w:tcBorders>
              <w:top w:val="single" w:color="000000" w:sz="4" w:space="0"/>
              <w:left w:val="single" w:color="000000" w:sz="4" w:space="0"/>
              <w:bottom w:val="single" w:color="000000" w:sz="4" w:space="0"/>
              <w:right w:val="single" w:color="000000" w:sz="4" w:space="0"/>
            </w:tcBorders>
            <w:vAlign w:val="center"/>
          </w:tcPr>
          <w:p w14:paraId="0B140B2F">
            <w:pPr>
              <w:spacing w:line="340" w:lineRule="exact"/>
              <w:jc w:val="center"/>
              <w:rPr>
                <w:rFonts w:hint="eastAsia" w:ascii="宋体" w:hAnsi="宋体" w:cs="宋体"/>
                <w:color w:val="auto"/>
                <w:sz w:val="24"/>
              </w:rPr>
            </w:pPr>
          </w:p>
        </w:tc>
        <w:tc>
          <w:tcPr>
            <w:tcW w:w="1080" w:type="dxa"/>
            <w:vMerge w:val="continue"/>
            <w:tcBorders>
              <w:top w:val="single" w:color="000000" w:sz="4" w:space="0"/>
              <w:left w:val="single" w:color="000000" w:sz="4" w:space="0"/>
              <w:bottom w:val="single" w:color="000000" w:sz="4" w:space="0"/>
              <w:right w:val="single" w:color="000000" w:sz="4" w:space="0"/>
            </w:tcBorders>
            <w:vAlign w:val="center"/>
          </w:tcPr>
          <w:p w14:paraId="6B29C7E7">
            <w:pPr>
              <w:spacing w:line="340" w:lineRule="exact"/>
              <w:jc w:val="center"/>
              <w:rPr>
                <w:rFonts w:hint="eastAsia" w:ascii="宋体" w:hAnsi="宋体" w:cs="宋体"/>
                <w:color w:val="auto"/>
                <w:sz w:val="24"/>
              </w:rPr>
            </w:pPr>
          </w:p>
        </w:tc>
        <w:tc>
          <w:tcPr>
            <w:tcW w:w="4718" w:type="dxa"/>
            <w:tcBorders>
              <w:top w:val="single" w:color="000000" w:sz="4" w:space="0"/>
              <w:left w:val="single" w:color="000000" w:sz="4" w:space="0"/>
              <w:bottom w:val="single" w:color="000000" w:sz="4" w:space="0"/>
              <w:right w:val="single" w:color="000000" w:sz="4" w:space="0"/>
            </w:tcBorders>
            <w:vAlign w:val="center"/>
          </w:tcPr>
          <w:p w14:paraId="4E78C268">
            <w:pPr>
              <w:widowControl/>
              <w:spacing w:line="340" w:lineRule="exact"/>
              <w:textAlignment w:val="center"/>
              <w:rPr>
                <w:rFonts w:hint="eastAsia" w:ascii="宋体" w:hAnsi="宋体" w:cs="宋体"/>
                <w:color w:val="auto"/>
                <w:sz w:val="24"/>
              </w:rPr>
            </w:pPr>
            <w:r>
              <w:rPr>
                <w:rFonts w:hint="eastAsia" w:ascii="宋体" w:hAnsi="宋体" w:cs="宋体"/>
                <w:color w:val="auto"/>
                <w:kern w:val="0"/>
                <w:sz w:val="24"/>
              </w:rPr>
              <w:t>1.标注“ ▲ ”条款有一项负偏离扣 2 分，直至扣完为止，标注“▲ ”号条款未按要求提供由具备CMA或CNAS资质的第三方检测机构出具的检测报告复印件加盖供应商公章视为负偏离。</w:t>
            </w:r>
          </w:p>
        </w:tc>
      </w:tr>
      <w:tr w14:paraId="7624AD11">
        <w:tblPrEx>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vAlign w:val="center"/>
          </w:tcPr>
          <w:p w14:paraId="765AEA62">
            <w:pPr>
              <w:spacing w:line="340" w:lineRule="exact"/>
              <w:jc w:val="center"/>
              <w:rPr>
                <w:rFonts w:hint="eastAsia" w:ascii="宋体" w:hAnsi="宋体" w:cs="宋体"/>
                <w:color w:val="auto"/>
                <w:sz w:val="24"/>
              </w:rPr>
            </w:pPr>
          </w:p>
        </w:tc>
        <w:tc>
          <w:tcPr>
            <w:tcW w:w="2880" w:type="dxa"/>
            <w:vMerge w:val="continue"/>
            <w:tcBorders>
              <w:top w:val="single" w:color="000000" w:sz="4" w:space="0"/>
              <w:left w:val="single" w:color="000000" w:sz="4" w:space="0"/>
              <w:bottom w:val="single" w:color="000000" w:sz="4" w:space="0"/>
              <w:right w:val="single" w:color="000000" w:sz="4" w:space="0"/>
            </w:tcBorders>
            <w:vAlign w:val="center"/>
          </w:tcPr>
          <w:p w14:paraId="72EC9BDA">
            <w:pPr>
              <w:spacing w:line="340" w:lineRule="exact"/>
              <w:jc w:val="center"/>
              <w:rPr>
                <w:rFonts w:hint="eastAsia" w:ascii="宋体" w:hAnsi="宋体" w:cs="宋体"/>
                <w:color w:val="auto"/>
                <w:sz w:val="24"/>
              </w:rPr>
            </w:pPr>
          </w:p>
        </w:tc>
        <w:tc>
          <w:tcPr>
            <w:tcW w:w="1080" w:type="dxa"/>
            <w:vMerge w:val="continue"/>
            <w:tcBorders>
              <w:top w:val="single" w:color="000000" w:sz="4" w:space="0"/>
              <w:left w:val="single" w:color="000000" w:sz="4" w:space="0"/>
              <w:bottom w:val="single" w:color="000000" w:sz="4" w:space="0"/>
              <w:right w:val="single" w:color="000000" w:sz="4" w:space="0"/>
            </w:tcBorders>
            <w:vAlign w:val="center"/>
          </w:tcPr>
          <w:p w14:paraId="0AF7921D">
            <w:pPr>
              <w:spacing w:line="340" w:lineRule="exact"/>
              <w:jc w:val="center"/>
              <w:rPr>
                <w:rFonts w:hint="eastAsia" w:ascii="宋体" w:hAnsi="宋体" w:cs="宋体"/>
                <w:color w:val="auto"/>
                <w:sz w:val="24"/>
              </w:rPr>
            </w:pPr>
          </w:p>
        </w:tc>
        <w:tc>
          <w:tcPr>
            <w:tcW w:w="4718" w:type="dxa"/>
            <w:tcBorders>
              <w:top w:val="single" w:color="000000" w:sz="4" w:space="0"/>
              <w:left w:val="single" w:color="000000" w:sz="4" w:space="0"/>
              <w:bottom w:val="single" w:color="000000" w:sz="4" w:space="0"/>
              <w:right w:val="single" w:color="000000" w:sz="4" w:space="0"/>
            </w:tcBorders>
            <w:vAlign w:val="center"/>
          </w:tcPr>
          <w:p w14:paraId="35773F5F">
            <w:pPr>
              <w:widowControl/>
              <w:spacing w:line="340" w:lineRule="exact"/>
              <w:textAlignment w:val="center"/>
              <w:rPr>
                <w:rFonts w:hint="eastAsia" w:ascii="宋体" w:hAnsi="宋体" w:cs="宋体"/>
                <w:color w:val="auto"/>
                <w:sz w:val="24"/>
              </w:rPr>
            </w:pPr>
            <w:r>
              <w:rPr>
                <w:rFonts w:hint="eastAsia" w:ascii="宋体" w:hAnsi="宋体" w:cs="宋体"/>
                <w:color w:val="auto"/>
                <w:kern w:val="0"/>
                <w:sz w:val="24"/>
              </w:rPr>
              <w:t>2.其余条款有一项负偏离扣1分，直到扣完为止。</w:t>
            </w:r>
          </w:p>
        </w:tc>
      </w:tr>
      <w:tr w14:paraId="051D0819">
        <w:tblPrEx>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vAlign w:val="center"/>
          </w:tcPr>
          <w:p w14:paraId="5731F3AE">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4</w:t>
            </w:r>
          </w:p>
        </w:tc>
        <w:tc>
          <w:tcPr>
            <w:tcW w:w="2880" w:type="dxa"/>
            <w:tcBorders>
              <w:top w:val="single" w:color="000000" w:sz="4" w:space="0"/>
              <w:left w:val="single" w:color="000000" w:sz="4" w:space="0"/>
              <w:bottom w:val="single" w:color="000000" w:sz="4" w:space="0"/>
              <w:right w:val="single" w:color="000000" w:sz="4" w:space="0"/>
            </w:tcBorders>
            <w:vAlign w:val="center"/>
          </w:tcPr>
          <w:p w14:paraId="5DE841F0">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实施方案</w:t>
            </w:r>
          </w:p>
        </w:tc>
        <w:tc>
          <w:tcPr>
            <w:tcW w:w="1080" w:type="dxa"/>
            <w:tcBorders>
              <w:top w:val="single" w:color="000000" w:sz="4" w:space="0"/>
              <w:left w:val="single" w:color="000000" w:sz="4" w:space="0"/>
              <w:bottom w:val="single" w:color="000000" w:sz="4" w:space="0"/>
              <w:right w:val="single" w:color="000000" w:sz="4" w:space="0"/>
            </w:tcBorders>
            <w:vAlign w:val="center"/>
          </w:tcPr>
          <w:p w14:paraId="692DB251">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18</w:t>
            </w:r>
          </w:p>
        </w:tc>
        <w:tc>
          <w:tcPr>
            <w:tcW w:w="4718" w:type="dxa"/>
            <w:tcBorders>
              <w:top w:val="single" w:color="000000" w:sz="4" w:space="0"/>
              <w:left w:val="single" w:color="000000" w:sz="4" w:space="0"/>
              <w:bottom w:val="single" w:color="000000" w:sz="4" w:space="0"/>
              <w:right w:val="single" w:color="000000" w:sz="4" w:space="0"/>
            </w:tcBorders>
            <w:vAlign w:val="center"/>
          </w:tcPr>
          <w:p w14:paraId="68F518FD">
            <w:pPr>
              <w:widowControl/>
              <w:spacing w:line="340" w:lineRule="exact"/>
              <w:textAlignment w:val="center"/>
              <w:rPr>
                <w:rFonts w:hint="eastAsia" w:ascii="宋体" w:hAnsi="宋体" w:cs="宋体"/>
                <w:b/>
                <w:bCs/>
                <w:color w:val="auto"/>
                <w:sz w:val="24"/>
              </w:rPr>
            </w:pPr>
            <w:r>
              <w:rPr>
                <w:rFonts w:hint="eastAsia" w:ascii="宋体" w:hAnsi="宋体" w:cs="宋体"/>
                <w:b/>
                <w:bCs/>
                <w:color w:val="auto"/>
                <w:kern w:val="0"/>
                <w:sz w:val="24"/>
              </w:rPr>
              <w:t>评标委员会对投标人的项目实施方案进行独立评审。</w:t>
            </w:r>
          </w:p>
        </w:tc>
      </w:tr>
      <w:tr w14:paraId="4B4760B8">
        <w:tblPrEx>
          <w:tblCellMar>
            <w:top w:w="0" w:type="dxa"/>
            <w:left w:w="108" w:type="dxa"/>
            <w:bottom w:w="0" w:type="dxa"/>
            <w:right w:w="108" w:type="dxa"/>
          </w:tblCellMar>
        </w:tblPrEx>
        <w:trPr>
          <w:trHeight w:val="338" w:hRule="atLeast"/>
        </w:trPr>
        <w:tc>
          <w:tcPr>
            <w:tcW w:w="1080" w:type="dxa"/>
            <w:vMerge w:val="restart"/>
            <w:tcBorders>
              <w:top w:val="single" w:color="000000" w:sz="4" w:space="0"/>
              <w:left w:val="single" w:color="000000" w:sz="4" w:space="0"/>
              <w:bottom w:val="single" w:color="000000" w:sz="4" w:space="0"/>
              <w:right w:val="single" w:color="000000" w:sz="4" w:space="0"/>
            </w:tcBorders>
            <w:vAlign w:val="center"/>
          </w:tcPr>
          <w:p w14:paraId="767CED33">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4.1</w:t>
            </w:r>
          </w:p>
        </w:tc>
        <w:tc>
          <w:tcPr>
            <w:tcW w:w="2880" w:type="dxa"/>
            <w:vMerge w:val="restart"/>
            <w:tcBorders>
              <w:top w:val="single" w:color="000000" w:sz="4" w:space="0"/>
              <w:left w:val="single" w:color="000000" w:sz="4" w:space="0"/>
              <w:bottom w:val="single" w:color="000000" w:sz="4" w:space="0"/>
              <w:right w:val="single" w:color="000000" w:sz="4" w:space="0"/>
            </w:tcBorders>
            <w:vAlign w:val="center"/>
          </w:tcPr>
          <w:p w14:paraId="75C1A66C">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方案设计</w:t>
            </w:r>
          </w:p>
        </w:tc>
        <w:tc>
          <w:tcPr>
            <w:tcW w:w="1080" w:type="dxa"/>
            <w:vMerge w:val="restart"/>
            <w:tcBorders>
              <w:top w:val="single" w:color="000000" w:sz="4" w:space="0"/>
              <w:left w:val="single" w:color="000000" w:sz="4" w:space="0"/>
              <w:bottom w:val="single" w:color="000000" w:sz="4" w:space="0"/>
              <w:right w:val="single" w:color="000000" w:sz="4" w:space="0"/>
            </w:tcBorders>
            <w:vAlign w:val="center"/>
          </w:tcPr>
          <w:p w14:paraId="51CFDD5C">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18</w:t>
            </w:r>
          </w:p>
        </w:tc>
        <w:tc>
          <w:tcPr>
            <w:tcW w:w="4718" w:type="dxa"/>
            <w:tcBorders>
              <w:top w:val="single" w:color="000000" w:sz="4" w:space="0"/>
              <w:left w:val="single" w:color="000000" w:sz="4" w:space="0"/>
              <w:bottom w:val="single" w:color="000000" w:sz="4" w:space="0"/>
              <w:right w:val="single" w:color="000000" w:sz="4" w:space="0"/>
            </w:tcBorders>
            <w:vAlign w:val="center"/>
          </w:tcPr>
          <w:p w14:paraId="6D329543">
            <w:pPr>
              <w:widowControl/>
              <w:spacing w:line="340" w:lineRule="exact"/>
              <w:textAlignment w:val="center"/>
              <w:rPr>
                <w:rFonts w:hint="eastAsia" w:ascii="宋体" w:hAnsi="宋体" w:cs="宋体"/>
                <w:color w:val="auto"/>
                <w:sz w:val="24"/>
              </w:rPr>
            </w:pPr>
            <w:r>
              <w:rPr>
                <w:rFonts w:hint="eastAsia" w:ascii="宋体" w:hAnsi="宋体" w:cs="宋体"/>
                <w:color w:val="auto"/>
                <w:kern w:val="0"/>
                <w:sz w:val="24"/>
              </w:rPr>
              <w:t>1、对本项目各系统有针对性实施方案；有详细的设计图纸和说明，方案细致全面、合理，针对性强，技术可行性强，得5分；方案较为完整，基本响应需求，技术可行性较强，得3分；方案内容表述不清，得1分；不提供不得分。</w:t>
            </w:r>
          </w:p>
        </w:tc>
      </w:tr>
      <w:tr w14:paraId="1E6D2D1E">
        <w:tblPrEx>
          <w:tblCellMar>
            <w:top w:w="0" w:type="dxa"/>
            <w:left w:w="108" w:type="dxa"/>
            <w:bottom w:w="0" w:type="dxa"/>
            <w:right w:w="108" w:type="dxa"/>
          </w:tblCellMar>
        </w:tblPrEx>
        <w:trPr>
          <w:trHeight w:val="855" w:hRule="atLeast"/>
        </w:trPr>
        <w:tc>
          <w:tcPr>
            <w:tcW w:w="1080" w:type="dxa"/>
            <w:vMerge w:val="continue"/>
            <w:tcBorders>
              <w:top w:val="single" w:color="000000" w:sz="4" w:space="0"/>
              <w:left w:val="single" w:color="000000" w:sz="4" w:space="0"/>
              <w:bottom w:val="single" w:color="000000" w:sz="4" w:space="0"/>
              <w:right w:val="single" w:color="000000" w:sz="4" w:space="0"/>
            </w:tcBorders>
            <w:vAlign w:val="center"/>
          </w:tcPr>
          <w:p w14:paraId="13DA383E">
            <w:pPr>
              <w:spacing w:line="340" w:lineRule="exact"/>
              <w:jc w:val="center"/>
              <w:rPr>
                <w:rFonts w:hint="eastAsia" w:ascii="宋体" w:hAnsi="宋体" w:cs="宋体"/>
                <w:color w:val="auto"/>
                <w:sz w:val="24"/>
              </w:rPr>
            </w:pPr>
          </w:p>
        </w:tc>
        <w:tc>
          <w:tcPr>
            <w:tcW w:w="2880" w:type="dxa"/>
            <w:vMerge w:val="continue"/>
            <w:tcBorders>
              <w:top w:val="single" w:color="000000" w:sz="4" w:space="0"/>
              <w:left w:val="single" w:color="000000" w:sz="4" w:space="0"/>
              <w:bottom w:val="single" w:color="000000" w:sz="4" w:space="0"/>
              <w:right w:val="single" w:color="000000" w:sz="4" w:space="0"/>
            </w:tcBorders>
            <w:vAlign w:val="center"/>
          </w:tcPr>
          <w:p w14:paraId="0FEAB8E2">
            <w:pPr>
              <w:spacing w:line="340" w:lineRule="exact"/>
              <w:jc w:val="center"/>
              <w:rPr>
                <w:rFonts w:hint="eastAsia" w:ascii="宋体" w:hAnsi="宋体" w:cs="宋体"/>
                <w:color w:val="auto"/>
                <w:sz w:val="24"/>
              </w:rPr>
            </w:pPr>
          </w:p>
        </w:tc>
        <w:tc>
          <w:tcPr>
            <w:tcW w:w="1080" w:type="dxa"/>
            <w:vMerge w:val="continue"/>
            <w:tcBorders>
              <w:top w:val="single" w:color="000000" w:sz="4" w:space="0"/>
              <w:left w:val="single" w:color="000000" w:sz="4" w:space="0"/>
              <w:bottom w:val="single" w:color="000000" w:sz="4" w:space="0"/>
              <w:right w:val="single" w:color="000000" w:sz="4" w:space="0"/>
            </w:tcBorders>
            <w:vAlign w:val="center"/>
          </w:tcPr>
          <w:p w14:paraId="764C22C3">
            <w:pPr>
              <w:spacing w:line="340" w:lineRule="exact"/>
              <w:jc w:val="center"/>
              <w:rPr>
                <w:rFonts w:hint="eastAsia" w:ascii="宋体" w:hAnsi="宋体" w:cs="宋体"/>
                <w:color w:val="auto"/>
                <w:sz w:val="24"/>
              </w:rPr>
            </w:pPr>
          </w:p>
        </w:tc>
        <w:tc>
          <w:tcPr>
            <w:tcW w:w="4718" w:type="dxa"/>
            <w:tcBorders>
              <w:top w:val="single" w:color="000000" w:sz="4" w:space="0"/>
              <w:left w:val="single" w:color="000000" w:sz="4" w:space="0"/>
              <w:bottom w:val="single" w:color="000000" w:sz="4" w:space="0"/>
              <w:right w:val="single" w:color="000000" w:sz="4" w:space="0"/>
            </w:tcBorders>
            <w:vAlign w:val="center"/>
          </w:tcPr>
          <w:p w14:paraId="1737A0F9">
            <w:pPr>
              <w:widowControl/>
              <w:spacing w:line="340" w:lineRule="exact"/>
              <w:textAlignment w:val="center"/>
              <w:rPr>
                <w:rFonts w:hint="eastAsia" w:ascii="宋体" w:hAnsi="宋体" w:cs="宋体"/>
                <w:color w:val="auto"/>
                <w:sz w:val="24"/>
              </w:rPr>
            </w:pPr>
            <w:r>
              <w:rPr>
                <w:rFonts w:hint="eastAsia" w:ascii="宋体" w:hAnsi="宋体" w:cs="宋体"/>
                <w:color w:val="auto"/>
                <w:kern w:val="0"/>
                <w:sz w:val="24"/>
              </w:rPr>
              <w:t>2、质量保证措施合理，安全责任制度明确。方案细致全面、合理，针对性强，技术可行性强，得5分；方案基本响应需求，得3分；方案内容表述不清，得1分；不提供不得分。</w:t>
            </w:r>
          </w:p>
        </w:tc>
      </w:tr>
      <w:tr w14:paraId="399CBDCB">
        <w:tblPrEx>
          <w:tblCellMar>
            <w:top w:w="0" w:type="dxa"/>
            <w:left w:w="108" w:type="dxa"/>
            <w:bottom w:w="0" w:type="dxa"/>
            <w:right w:w="108" w:type="dxa"/>
          </w:tblCellMar>
        </w:tblPrEx>
        <w:trPr>
          <w:trHeight w:val="855" w:hRule="atLeast"/>
        </w:trPr>
        <w:tc>
          <w:tcPr>
            <w:tcW w:w="1080" w:type="dxa"/>
            <w:vMerge w:val="continue"/>
            <w:tcBorders>
              <w:top w:val="single" w:color="000000" w:sz="4" w:space="0"/>
              <w:left w:val="single" w:color="000000" w:sz="4" w:space="0"/>
              <w:bottom w:val="single" w:color="000000" w:sz="4" w:space="0"/>
              <w:right w:val="single" w:color="000000" w:sz="4" w:space="0"/>
            </w:tcBorders>
            <w:vAlign w:val="center"/>
          </w:tcPr>
          <w:p w14:paraId="38C08EE4">
            <w:pPr>
              <w:spacing w:line="340" w:lineRule="exact"/>
              <w:jc w:val="center"/>
              <w:rPr>
                <w:rFonts w:hint="eastAsia" w:ascii="宋体" w:hAnsi="宋体" w:cs="宋体"/>
                <w:color w:val="auto"/>
                <w:sz w:val="24"/>
              </w:rPr>
            </w:pPr>
          </w:p>
        </w:tc>
        <w:tc>
          <w:tcPr>
            <w:tcW w:w="2880" w:type="dxa"/>
            <w:vMerge w:val="continue"/>
            <w:tcBorders>
              <w:top w:val="single" w:color="000000" w:sz="4" w:space="0"/>
              <w:left w:val="single" w:color="000000" w:sz="4" w:space="0"/>
              <w:bottom w:val="single" w:color="000000" w:sz="4" w:space="0"/>
              <w:right w:val="single" w:color="000000" w:sz="4" w:space="0"/>
            </w:tcBorders>
            <w:vAlign w:val="center"/>
          </w:tcPr>
          <w:p w14:paraId="3A55BCDD">
            <w:pPr>
              <w:spacing w:line="340" w:lineRule="exact"/>
              <w:jc w:val="center"/>
              <w:rPr>
                <w:rFonts w:hint="eastAsia" w:ascii="宋体" w:hAnsi="宋体" w:cs="宋体"/>
                <w:color w:val="auto"/>
                <w:sz w:val="24"/>
              </w:rPr>
            </w:pPr>
          </w:p>
        </w:tc>
        <w:tc>
          <w:tcPr>
            <w:tcW w:w="1080" w:type="dxa"/>
            <w:vMerge w:val="continue"/>
            <w:tcBorders>
              <w:top w:val="single" w:color="000000" w:sz="4" w:space="0"/>
              <w:left w:val="single" w:color="000000" w:sz="4" w:space="0"/>
              <w:bottom w:val="single" w:color="000000" w:sz="4" w:space="0"/>
              <w:right w:val="single" w:color="000000" w:sz="4" w:space="0"/>
            </w:tcBorders>
            <w:vAlign w:val="center"/>
          </w:tcPr>
          <w:p w14:paraId="0474678A">
            <w:pPr>
              <w:spacing w:line="340" w:lineRule="exact"/>
              <w:jc w:val="center"/>
              <w:rPr>
                <w:rFonts w:hint="eastAsia" w:ascii="宋体" w:hAnsi="宋体" w:cs="宋体"/>
                <w:color w:val="auto"/>
                <w:sz w:val="24"/>
              </w:rPr>
            </w:pPr>
          </w:p>
        </w:tc>
        <w:tc>
          <w:tcPr>
            <w:tcW w:w="4718" w:type="dxa"/>
            <w:tcBorders>
              <w:top w:val="single" w:color="000000" w:sz="4" w:space="0"/>
              <w:left w:val="single" w:color="000000" w:sz="4" w:space="0"/>
              <w:bottom w:val="single" w:color="000000" w:sz="4" w:space="0"/>
              <w:right w:val="single" w:color="000000" w:sz="4" w:space="0"/>
            </w:tcBorders>
            <w:vAlign w:val="center"/>
          </w:tcPr>
          <w:p w14:paraId="1C3942F5">
            <w:pPr>
              <w:widowControl/>
              <w:spacing w:line="340" w:lineRule="exact"/>
              <w:textAlignment w:val="center"/>
              <w:rPr>
                <w:rFonts w:hint="eastAsia" w:ascii="宋体" w:hAnsi="宋体" w:cs="宋体"/>
                <w:color w:val="auto"/>
                <w:sz w:val="24"/>
              </w:rPr>
            </w:pPr>
            <w:r>
              <w:rPr>
                <w:rFonts w:hint="eastAsia" w:ascii="宋体" w:hAnsi="宋体" w:cs="宋体"/>
                <w:color w:val="auto"/>
                <w:kern w:val="0"/>
                <w:sz w:val="24"/>
              </w:rPr>
              <w:t>3、安装进度计划安排科学合理，有完善的工期管理措施。方案细致全面、合理，针对性强，技术可行性强，得5分；方案基本响应需求，得3分；方案内容表述不清，得1分；不提供不得分。</w:t>
            </w:r>
          </w:p>
        </w:tc>
      </w:tr>
      <w:tr w14:paraId="7B06DB9B">
        <w:tblPrEx>
          <w:tblCellMar>
            <w:top w:w="0" w:type="dxa"/>
            <w:left w:w="108" w:type="dxa"/>
            <w:bottom w:w="0" w:type="dxa"/>
            <w:right w:w="108" w:type="dxa"/>
          </w:tblCellMar>
        </w:tblPrEx>
        <w:trPr>
          <w:trHeight w:val="855" w:hRule="atLeast"/>
        </w:trPr>
        <w:tc>
          <w:tcPr>
            <w:tcW w:w="1080" w:type="dxa"/>
            <w:vMerge w:val="continue"/>
            <w:tcBorders>
              <w:top w:val="single" w:color="000000" w:sz="4" w:space="0"/>
              <w:left w:val="single" w:color="000000" w:sz="4" w:space="0"/>
              <w:bottom w:val="single" w:color="000000" w:sz="4" w:space="0"/>
              <w:right w:val="single" w:color="000000" w:sz="4" w:space="0"/>
            </w:tcBorders>
            <w:vAlign w:val="center"/>
          </w:tcPr>
          <w:p w14:paraId="6976EC13">
            <w:pPr>
              <w:spacing w:line="340" w:lineRule="exact"/>
              <w:jc w:val="center"/>
              <w:rPr>
                <w:rFonts w:hint="eastAsia" w:ascii="宋体" w:hAnsi="宋体" w:cs="宋体"/>
                <w:color w:val="auto"/>
                <w:sz w:val="24"/>
              </w:rPr>
            </w:pPr>
          </w:p>
        </w:tc>
        <w:tc>
          <w:tcPr>
            <w:tcW w:w="2880" w:type="dxa"/>
            <w:vMerge w:val="continue"/>
            <w:tcBorders>
              <w:top w:val="single" w:color="000000" w:sz="4" w:space="0"/>
              <w:left w:val="single" w:color="000000" w:sz="4" w:space="0"/>
              <w:bottom w:val="single" w:color="000000" w:sz="4" w:space="0"/>
              <w:right w:val="single" w:color="000000" w:sz="4" w:space="0"/>
            </w:tcBorders>
            <w:vAlign w:val="center"/>
          </w:tcPr>
          <w:p w14:paraId="5C5F2465">
            <w:pPr>
              <w:spacing w:line="340" w:lineRule="exact"/>
              <w:jc w:val="center"/>
              <w:rPr>
                <w:rFonts w:hint="eastAsia" w:ascii="宋体" w:hAnsi="宋体" w:cs="宋体"/>
                <w:color w:val="auto"/>
                <w:sz w:val="24"/>
              </w:rPr>
            </w:pPr>
          </w:p>
        </w:tc>
        <w:tc>
          <w:tcPr>
            <w:tcW w:w="1080" w:type="dxa"/>
            <w:vMerge w:val="continue"/>
            <w:tcBorders>
              <w:top w:val="single" w:color="000000" w:sz="4" w:space="0"/>
              <w:left w:val="single" w:color="000000" w:sz="4" w:space="0"/>
              <w:bottom w:val="single" w:color="000000" w:sz="4" w:space="0"/>
              <w:right w:val="single" w:color="000000" w:sz="4" w:space="0"/>
            </w:tcBorders>
            <w:vAlign w:val="center"/>
          </w:tcPr>
          <w:p w14:paraId="188F1C14">
            <w:pPr>
              <w:spacing w:line="340" w:lineRule="exact"/>
              <w:jc w:val="center"/>
              <w:rPr>
                <w:rFonts w:hint="eastAsia" w:ascii="宋体" w:hAnsi="宋体" w:cs="宋体"/>
                <w:color w:val="auto"/>
                <w:sz w:val="24"/>
              </w:rPr>
            </w:pPr>
          </w:p>
        </w:tc>
        <w:tc>
          <w:tcPr>
            <w:tcW w:w="4718" w:type="dxa"/>
            <w:tcBorders>
              <w:top w:val="single" w:color="000000" w:sz="4" w:space="0"/>
              <w:left w:val="single" w:color="000000" w:sz="4" w:space="0"/>
              <w:bottom w:val="single" w:color="000000" w:sz="4" w:space="0"/>
              <w:right w:val="single" w:color="000000" w:sz="4" w:space="0"/>
            </w:tcBorders>
            <w:vAlign w:val="center"/>
          </w:tcPr>
          <w:p w14:paraId="75E16EBB">
            <w:pPr>
              <w:widowControl/>
              <w:spacing w:line="340" w:lineRule="exact"/>
              <w:textAlignment w:val="center"/>
              <w:rPr>
                <w:rFonts w:hint="eastAsia" w:ascii="宋体" w:hAnsi="宋体" w:cs="宋体"/>
                <w:color w:val="auto"/>
                <w:sz w:val="24"/>
              </w:rPr>
            </w:pPr>
            <w:r>
              <w:rPr>
                <w:rFonts w:hint="eastAsia" w:ascii="宋体" w:hAnsi="宋体" w:cs="宋体"/>
                <w:color w:val="auto"/>
                <w:kern w:val="0"/>
                <w:sz w:val="24"/>
              </w:rPr>
              <w:t>4、所投设备应支持与学校已建综合安防平台无缝对接，提供无缝对接承诺函加盖投标单位公章（格式自拟），得3分；不提供不得分。中标后签合同前需提供厂家盖章的承诺函。</w:t>
            </w:r>
          </w:p>
        </w:tc>
      </w:tr>
      <w:tr w14:paraId="33B52BF5">
        <w:tblPrEx>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vAlign w:val="center"/>
          </w:tcPr>
          <w:p w14:paraId="78AF413D">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5</w:t>
            </w:r>
          </w:p>
        </w:tc>
        <w:tc>
          <w:tcPr>
            <w:tcW w:w="2880" w:type="dxa"/>
            <w:tcBorders>
              <w:top w:val="single" w:color="000000" w:sz="4" w:space="0"/>
              <w:left w:val="single" w:color="000000" w:sz="4" w:space="0"/>
              <w:bottom w:val="single" w:color="000000" w:sz="4" w:space="0"/>
              <w:right w:val="single" w:color="000000" w:sz="4" w:space="0"/>
            </w:tcBorders>
            <w:vAlign w:val="center"/>
          </w:tcPr>
          <w:p w14:paraId="49B8C9F6">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售后及服务方案</w:t>
            </w:r>
          </w:p>
        </w:tc>
        <w:tc>
          <w:tcPr>
            <w:tcW w:w="1080" w:type="dxa"/>
            <w:tcBorders>
              <w:top w:val="single" w:color="000000" w:sz="4" w:space="0"/>
              <w:left w:val="single" w:color="000000" w:sz="4" w:space="0"/>
              <w:bottom w:val="single" w:color="000000" w:sz="4" w:space="0"/>
              <w:right w:val="single" w:color="000000" w:sz="4" w:space="0"/>
            </w:tcBorders>
            <w:vAlign w:val="center"/>
          </w:tcPr>
          <w:p w14:paraId="586C29E3">
            <w:pPr>
              <w:widowControl/>
              <w:spacing w:line="340" w:lineRule="exact"/>
              <w:jc w:val="center"/>
              <w:textAlignment w:val="center"/>
              <w:rPr>
                <w:rFonts w:hint="eastAsia" w:ascii="宋体" w:hAnsi="宋体" w:cs="宋体"/>
                <w:b/>
                <w:bCs/>
                <w:color w:val="auto"/>
                <w:sz w:val="24"/>
              </w:rPr>
            </w:pPr>
            <w:r>
              <w:rPr>
                <w:rFonts w:hint="eastAsia" w:ascii="宋体" w:hAnsi="宋体" w:cs="宋体"/>
                <w:b/>
                <w:bCs/>
                <w:color w:val="auto"/>
                <w:kern w:val="0"/>
                <w:sz w:val="24"/>
              </w:rPr>
              <w:t>7</w:t>
            </w:r>
          </w:p>
        </w:tc>
        <w:tc>
          <w:tcPr>
            <w:tcW w:w="4718" w:type="dxa"/>
            <w:tcBorders>
              <w:top w:val="single" w:color="000000" w:sz="4" w:space="0"/>
              <w:left w:val="single" w:color="000000" w:sz="4" w:space="0"/>
              <w:bottom w:val="single" w:color="000000" w:sz="4" w:space="0"/>
              <w:right w:val="single" w:color="000000" w:sz="4" w:space="0"/>
            </w:tcBorders>
            <w:vAlign w:val="center"/>
          </w:tcPr>
          <w:p w14:paraId="1C17753F">
            <w:pPr>
              <w:widowControl/>
              <w:spacing w:line="340" w:lineRule="exact"/>
              <w:textAlignment w:val="center"/>
              <w:rPr>
                <w:rFonts w:hint="eastAsia" w:ascii="宋体" w:hAnsi="宋体" w:cs="宋体"/>
                <w:b/>
                <w:bCs/>
                <w:color w:val="auto"/>
                <w:sz w:val="24"/>
              </w:rPr>
            </w:pPr>
            <w:r>
              <w:rPr>
                <w:rFonts w:hint="eastAsia" w:ascii="宋体" w:hAnsi="宋体" w:cs="宋体"/>
                <w:b/>
                <w:bCs/>
                <w:color w:val="auto"/>
                <w:kern w:val="0"/>
                <w:sz w:val="24"/>
              </w:rPr>
              <w:t>售后及服务方案</w:t>
            </w:r>
          </w:p>
        </w:tc>
      </w:tr>
      <w:tr w14:paraId="07978AD8">
        <w:tblPrEx>
          <w:tblCellMar>
            <w:top w:w="0" w:type="dxa"/>
            <w:left w:w="108" w:type="dxa"/>
            <w:bottom w:w="0" w:type="dxa"/>
            <w:right w:w="108" w:type="dxa"/>
          </w:tblCellMar>
        </w:tblPrEx>
        <w:trPr>
          <w:trHeight w:val="3380" w:hRule="atLeast"/>
        </w:trPr>
        <w:tc>
          <w:tcPr>
            <w:tcW w:w="1080" w:type="dxa"/>
            <w:vMerge w:val="restart"/>
            <w:tcBorders>
              <w:top w:val="single" w:color="000000" w:sz="4" w:space="0"/>
              <w:left w:val="single" w:color="000000" w:sz="4" w:space="0"/>
              <w:bottom w:val="single" w:color="000000" w:sz="4" w:space="0"/>
              <w:right w:val="single" w:color="000000" w:sz="4" w:space="0"/>
            </w:tcBorders>
            <w:vAlign w:val="center"/>
          </w:tcPr>
          <w:p w14:paraId="364CA5F0">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5.1</w:t>
            </w:r>
          </w:p>
        </w:tc>
        <w:tc>
          <w:tcPr>
            <w:tcW w:w="2880" w:type="dxa"/>
            <w:vMerge w:val="restart"/>
            <w:tcBorders>
              <w:top w:val="single" w:color="000000" w:sz="4" w:space="0"/>
              <w:left w:val="single" w:color="000000" w:sz="4" w:space="0"/>
              <w:bottom w:val="single" w:color="000000" w:sz="4" w:space="0"/>
              <w:right w:val="single" w:color="000000" w:sz="4" w:space="0"/>
            </w:tcBorders>
            <w:vAlign w:val="center"/>
          </w:tcPr>
          <w:p w14:paraId="3B31B977">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售后服务方案</w:t>
            </w:r>
          </w:p>
        </w:tc>
        <w:tc>
          <w:tcPr>
            <w:tcW w:w="1080" w:type="dxa"/>
            <w:vMerge w:val="restart"/>
            <w:tcBorders>
              <w:top w:val="single" w:color="000000" w:sz="4" w:space="0"/>
              <w:left w:val="single" w:color="000000" w:sz="4" w:space="0"/>
              <w:bottom w:val="single" w:color="000000" w:sz="4" w:space="0"/>
              <w:right w:val="single" w:color="000000" w:sz="4" w:space="0"/>
            </w:tcBorders>
            <w:vAlign w:val="center"/>
          </w:tcPr>
          <w:p w14:paraId="449D7167">
            <w:pPr>
              <w:widowControl/>
              <w:spacing w:line="340" w:lineRule="exact"/>
              <w:jc w:val="center"/>
              <w:textAlignment w:val="center"/>
              <w:rPr>
                <w:rFonts w:hint="eastAsia" w:ascii="宋体" w:hAnsi="宋体" w:cs="宋体"/>
                <w:color w:val="auto"/>
                <w:sz w:val="24"/>
              </w:rPr>
            </w:pPr>
            <w:r>
              <w:rPr>
                <w:rFonts w:hint="eastAsia" w:ascii="宋体" w:hAnsi="宋体" w:cs="宋体"/>
                <w:color w:val="auto"/>
                <w:kern w:val="0"/>
                <w:sz w:val="24"/>
              </w:rPr>
              <w:t>7</w:t>
            </w:r>
          </w:p>
        </w:tc>
        <w:tc>
          <w:tcPr>
            <w:tcW w:w="4718" w:type="dxa"/>
            <w:tcBorders>
              <w:top w:val="single" w:color="000000" w:sz="4" w:space="0"/>
              <w:left w:val="single" w:color="000000" w:sz="4" w:space="0"/>
              <w:bottom w:val="single" w:color="000000" w:sz="4" w:space="0"/>
              <w:right w:val="single" w:color="000000" w:sz="4" w:space="0"/>
            </w:tcBorders>
            <w:vAlign w:val="center"/>
          </w:tcPr>
          <w:p w14:paraId="60BF5997">
            <w:pPr>
              <w:widowControl/>
              <w:spacing w:line="340" w:lineRule="exact"/>
              <w:textAlignment w:val="center"/>
              <w:rPr>
                <w:rFonts w:hint="eastAsia" w:ascii="宋体" w:hAnsi="宋体" w:cs="宋体"/>
                <w:color w:val="auto"/>
                <w:kern w:val="0"/>
                <w:sz w:val="24"/>
              </w:rPr>
            </w:pPr>
            <w:r>
              <w:rPr>
                <w:rFonts w:hint="eastAsia" w:ascii="宋体" w:hAnsi="宋体" w:cs="宋体"/>
                <w:color w:val="auto"/>
                <w:kern w:val="0"/>
                <w:sz w:val="24"/>
              </w:rPr>
              <w:t>1.投标时提供完整的售后服务及系统维护方案，针对售后服务方案提供备品备件清单，包括售后服务的具体内容、排除故障的响应时间，免费维修期的范围和方式，免费维保期的范围和方式。</w:t>
            </w:r>
          </w:p>
          <w:p w14:paraId="2F8647C0">
            <w:pPr>
              <w:widowControl/>
              <w:spacing w:line="340" w:lineRule="exact"/>
              <w:textAlignment w:val="center"/>
              <w:rPr>
                <w:rFonts w:hint="eastAsia" w:ascii="宋体" w:hAnsi="宋体" w:cs="宋体"/>
                <w:color w:val="auto"/>
                <w:sz w:val="24"/>
              </w:rPr>
            </w:pPr>
            <w:r>
              <w:rPr>
                <w:rFonts w:hint="eastAsia" w:ascii="宋体" w:hAnsi="宋体" w:cs="宋体"/>
                <w:color w:val="auto"/>
                <w:kern w:val="0"/>
                <w:sz w:val="24"/>
              </w:rPr>
              <w:t>以上内容完整科学、完全满足采购需求、针对性强、具有可操作性的得5分；以上内容条理性一般的，针对性一般、可操作性一般的得3分；以上内容条理性差的，针对性一般、可操作性差的得1分。不提供的不得分。</w:t>
            </w:r>
          </w:p>
        </w:tc>
      </w:tr>
      <w:tr w14:paraId="6D624075">
        <w:tblPrEx>
          <w:tblCellMar>
            <w:top w:w="0" w:type="dxa"/>
            <w:left w:w="108" w:type="dxa"/>
            <w:bottom w:w="0" w:type="dxa"/>
            <w:right w:w="108" w:type="dxa"/>
          </w:tblCellMar>
        </w:tblPrEx>
        <w:trPr>
          <w:trHeight w:val="570" w:hRule="atLeast"/>
        </w:trPr>
        <w:tc>
          <w:tcPr>
            <w:tcW w:w="1080" w:type="dxa"/>
            <w:vMerge w:val="continue"/>
            <w:tcBorders>
              <w:top w:val="single" w:color="000000" w:sz="4" w:space="0"/>
              <w:left w:val="single" w:color="000000" w:sz="4" w:space="0"/>
              <w:bottom w:val="single" w:color="000000" w:sz="4" w:space="0"/>
              <w:right w:val="single" w:color="000000" w:sz="4" w:space="0"/>
            </w:tcBorders>
            <w:vAlign w:val="center"/>
          </w:tcPr>
          <w:p w14:paraId="39B205D9">
            <w:pPr>
              <w:spacing w:line="340" w:lineRule="exact"/>
              <w:jc w:val="center"/>
              <w:rPr>
                <w:rFonts w:hint="eastAsia" w:ascii="宋体" w:hAnsi="宋体" w:cs="宋体"/>
                <w:color w:val="auto"/>
                <w:sz w:val="24"/>
              </w:rPr>
            </w:pPr>
          </w:p>
        </w:tc>
        <w:tc>
          <w:tcPr>
            <w:tcW w:w="2880" w:type="dxa"/>
            <w:vMerge w:val="continue"/>
            <w:tcBorders>
              <w:top w:val="single" w:color="000000" w:sz="4" w:space="0"/>
              <w:left w:val="single" w:color="000000" w:sz="4" w:space="0"/>
              <w:bottom w:val="single" w:color="000000" w:sz="4" w:space="0"/>
              <w:right w:val="single" w:color="000000" w:sz="4" w:space="0"/>
            </w:tcBorders>
            <w:vAlign w:val="center"/>
          </w:tcPr>
          <w:p w14:paraId="43985D6E">
            <w:pPr>
              <w:spacing w:line="340" w:lineRule="exact"/>
              <w:jc w:val="center"/>
              <w:rPr>
                <w:rFonts w:hint="eastAsia" w:ascii="宋体" w:hAnsi="宋体" w:cs="宋体"/>
                <w:color w:val="auto"/>
                <w:sz w:val="24"/>
              </w:rPr>
            </w:pPr>
          </w:p>
        </w:tc>
        <w:tc>
          <w:tcPr>
            <w:tcW w:w="1080" w:type="dxa"/>
            <w:vMerge w:val="continue"/>
            <w:tcBorders>
              <w:top w:val="single" w:color="000000" w:sz="4" w:space="0"/>
              <w:left w:val="single" w:color="000000" w:sz="4" w:space="0"/>
              <w:bottom w:val="single" w:color="000000" w:sz="4" w:space="0"/>
              <w:right w:val="single" w:color="000000" w:sz="4" w:space="0"/>
            </w:tcBorders>
            <w:vAlign w:val="center"/>
          </w:tcPr>
          <w:p w14:paraId="2D7D7307">
            <w:pPr>
              <w:spacing w:line="340" w:lineRule="exact"/>
              <w:jc w:val="center"/>
              <w:rPr>
                <w:rFonts w:hint="eastAsia" w:ascii="宋体" w:hAnsi="宋体" w:cs="宋体"/>
                <w:color w:val="auto"/>
                <w:sz w:val="24"/>
              </w:rPr>
            </w:pPr>
          </w:p>
        </w:tc>
        <w:tc>
          <w:tcPr>
            <w:tcW w:w="4718" w:type="dxa"/>
            <w:tcBorders>
              <w:top w:val="single" w:color="000000" w:sz="4" w:space="0"/>
              <w:left w:val="single" w:color="000000" w:sz="4" w:space="0"/>
              <w:bottom w:val="single" w:color="000000" w:sz="4" w:space="0"/>
              <w:right w:val="single" w:color="000000" w:sz="4" w:space="0"/>
            </w:tcBorders>
            <w:vAlign w:val="center"/>
          </w:tcPr>
          <w:p w14:paraId="7EA5B6A3">
            <w:pPr>
              <w:widowControl/>
              <w:spacing w:line="340" w:lineRule="exact"/>
              <w:textAlignment w:val="center"/>
              <w:rPr>
                <w:rFonts w:hint="eastAsia" w:ascii="宋体" w:hAnsi="宋体" w:cs="宋体"/>
                <w:color w:val="auto"/>
                <w:sz w:val="24"/>
              </w:rPr>
            </w:pPr>
            <w:r>
              <w:rPr>
                <w:rFonts w:hint="eastAsia" w:ascii="宋体" w:hAnsi="宋体" w:cs="宋体"/>
                <w:color w:val="auto"/>
                <w:kern w:val="0"/>
                <w:sz w:val="24"/>
              </w:rPr>
              <w:t>2.投标人承诺接到采购人报修电话后：1小时内到现场的得2分，1小时至2小时内到现场的得1分，到达现场时间超过2小时的不得分，满分2分。提供承诺书（格式自拟）。</w:t>
            </w:r>
          </w:p>
        </w:tc>
      </w:tr>
    </w:tbl>
    <w:p w14:paraId="4FCE20ED">
      <w:pPr>
        <w:snapToGrid w:val="0"/>
        <w:spacing w:line="480" w:lineRule="exact"/>
        <w:ind w:firstLine="570"/>
        <w:rPr>
          <w:rFonts w:hint="eastAsia" w:ascii="宋体" w:hAnsi="宋体" w:cs="宋体"/>
          <w:b/>
          <w:color w:val="auto"/>
          <w:kern w:val="0"/>
          <w:sz w:val="24"/>
        </w:rPr>
      </w:pPr>
      <w:r>
        <w:rPr>
          <w:rFonts w:hint="eastAsia" w:ascii="宋体" w:hAnsi="宋体" w:cs="宋体"/>
          <w:b/>
          <w:color w:val="auto"/>
          <w:kern w:val="0"/>
          <w:sz w:val="24"/>
        </w:rPr>
        <w:t>注：</w:t>
      </w:r>
    </w:p>
    <w:p w14:paraId="18DD9337">
      <w:pPr>
        <w:snapToGrid w:val="0"/>
        <w:spacing w:line="480" w:lineRule="exact"/>
        <w:ind w:firstLine="570"/>
        <w:rPr>
          <w:rFonts w:hint="eastAsia" w:ascii="宋体" w:hAnsi="宋体" w:cs="宋体"/>
          <w:b/>
          <w:color w:val="auto"/>
          <w:kern w:val="0"/>
          <w:sz w:val="24"/>
        </w:rPr>
      </w:pPr>
      <w:r>
        <w:rPr>
          <w:rFonts w:hint="eastAsia" w:ascii="宋体" w:hAnsi="宋体" w:cs="宋体"/>
          <w:b/>
          <w:color w:val="auto"/>
          <w:kern w:val="0"/>
          <w:sz w:val="24"/>
        </w:rPr>
        <w:t>投标人的商务技术部分得分不得低于项目商务技术标总分的50%，否则视为未实质性响应，按无效投标处理。</w:t>
      </w:r>
    </w:p>
    <w:p w14:paraId="3DB84B80">
      <w:pPr>
        <w:adjustRightInd w:val="0"/>
        <w:snapToGrid w:val="0"/>
        <w:spacing w:line="460" w:lineRule="exact"/>
        <w:ind w:firstLine="482" w:firstLineChars="200"/>
        <w:rPr>
          <w:rFonts w:hint="eastAsia" w:ascii="宋体" w:hAnsi="宋体" w:cs="宋体"/>
          <w:b/>
          <w:color w:val="auto"/>
          <w:sz w:val="24"/>
        </w:rPr>
      </w:pPr>
      <w:r>
        <w:rPr>
          <w:rFonts w:hint="eastAsia" w:ascii="宋体" w:hAnsi="宋体" w:cs="宋体"/>
          <w:b/>
          <w:color w:val="auto"/>
          <w:sz w:val="24"/>
        </w:rPr>
        <w:t>4.价格</w:t>
      </w:r>
      <w:r>
        <w:rPr>
          <w:rFonts w:hint="eastAsia" w:ascii="宋体" w:hAnsi="宋体" w:cs="宋体"/>
          <w:b/>
          <w:color w:val="auto"/>
          <w:sz w:val="24"/>
          <w:lang w:val="zh-CN"/>
        </w:rPr>
        <w:t>分</w:t>
      </w:r>
      <w:r>
        <w:rPr>
          <w:rFonts w:hint="eastAsia" w:ascii="宋体" w:hAnsi="宋体" w:cs="宋体"/>
          <w:b/>
          <w:color w:val="auto"/>
          <w:sz w:val="24"/>
        </w:rPr>
        <w:t>：（30分）</w:t>
      </w:r>
    </w:p>
    <w:p w14:paraId="316EB414">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价格分统一采用低价优先法计算，即满足招标文件要求且投标价格最低的投标报价为评标基准价，其价格分为满分。其他投标人的价格分统一按照下列公式计算：</w:t>
      </w:r>
    </w:p>
    <w:p w14:paraId="12D22A7E">
      <w:pPr>
        <w:adjustRightInd w:val="0"/>
        <w:snapToGrid w:val="0"/>
        <w:spacing w:line="460" w:lineRule="exact"/>
        <w:ind w:firstLine="480" w:firstLineChars="200"/>
        <w:rPr>
          <w:rFonts w:hint="eastAsia" w:ascii="宋体" w:hAnsi="宋体" w:cs="宋体"/>
          <w:bCs/>
          <w:color w:val="auto"/>
          <w:sz w:val="24"/>
          <w:highlight w:val="yellow"/>
        </w:rPr>
      </w:pPr>
      <w:r>
        <w:rPr>
          <w:rFonts w:hint="eastAsia" w:ascii="宋体" w:hAnsi="宋体" w:cs="宋体"/>
          <w:bCs/>
          <w:color w:val="auto"/>
          <w:sz w:val="24"/>
        </w:rPr>
        <w:t>投标报价得分=（评标基准价/投标报价）×30</w:t>
      </w:r>
    </w:p>
    <w:p w14:paraId="37029172">
      <w:pPr>
        <w:adjustRightInd w:val="0"/>
        <w:snapToGrid w:val="0"/>
        <w:spacing w:line="460" w:lineRule="exact"/>
        <w:ind w:firstLine="482" w:firstLineChars="200"/>
        <w:rPr>
          <w:rFonts w:hint="eastAsia" w:ascii="宋体" w:hAnsi="宋体" w:cs="宋体"/>
          <w:bCs/>
          <w:color w:val="auto"/>
          <w:sz w:val="24"/>
        </w:rPr>
      </w:pPr>
      <w:r>
        <w:rPr>
          <w:rFonts w:hint="eastAsia" w:ascii="宋体" w:hAnsi="宋体" w:cs="宋体"/>
          <w:b/>
          <w:color w:val="auto"/>
          <w:sz w:val="24"/>
        </w:rPr>
        <w:t>5.中标人的确定</w:t>
      </w:r>
    </w:p>
    <w:p w14:paraId="7D237138">
      <w:pPr>
        <w:adjustRightInd w:val="0"/>
        <w:snapToGrid w:val="0"/>
        <w:spacing w:line="460" w:lineRule="exact"/>
        <w:ind w:firstLine="480" w:firstLineChars="200"/>
        <w:rPr>
          <w:rFonts w:hint="eastAsia" w:ascii="宋体" w:hAnsi="宋体" w:cs="宋体"/>
          <w:bCs/>
          <w:color w:val="auto"/>
          <w:sz w:val="24"/>
        </w:rPr>
      </w:pPr>
      <w:r>
        <w:rPr>
          <w:rFonts w:hint="eastAsia" w:ascii="宋体" w:hAnsi="宋体" w:cs="宋体"/>
          <w:bCs/>
          <w:color w:val="auto"/>
          <w:sz w:val="24"/>
        </w:rPr>
        <w:t>评委会汇总各评委评分后，按照得分从高到低的顺序推荐三名中标候选人，并编写评标报告。</w:t>
      </w:r>
    </w:p>
    <w:p w14:paraId="622FDFE7">
      <w:pPr>
        <w:adjustRightInd w:val="0"/>
        <w:snapToGrid w:val="0"/>
        <w:spacing w:line="460" w:lineRule="exact"/>
        <w:ind w:firstLine="480" w:firstLineChars="200"/>
        <w:rPr>
          <w:rFonts w:hint="eastAsia" w:ascii="宋体" w:hAnsi="宋体" w:cs="宋体"/>
          <w:bCs/>
          <w:color w:val="auto"/>
          <w:sz w:val="24"/>
        </w:rPr>
      </w:pPr>
      <w:r>
        <w:rPr>
          <w:rFonts w:hint="eastAsia" w:ascii="宋体" w:hAnsi="宋体" w:cs="宋体"/>
          <w:bCs/>
          <w:color w:val="auto"/>
          <w:sz w:val="24"/>
        </w:rPr>
        <w:t>招标人委托评标委员会直接确定排名第一的中标候选人为中标人。</w:t>
      </w:r>
    </w:p>
    <w:p w14:paraId="789FB91B">
      <w:pPr>
        <w:adjustRightInd w:val="0"/>
        <w:snapToGrid w:val="0"/>
        <w:spacing w:line="460" w:lineRule="exact"/>
        <w:ind w:firstLine="482" w:firstLineChars="200"/>
        <w:rPr>
          <w:rFonts w:hint="eastAsia" w:ascii="宋体" w:hAnsi="宋体" w:cs="宋体"/>
          <w:b/>
          <w:color w:val="auto"/>
          <w:sz w:val="24"/>
        </w:rPr>
      </w:pPr>
      <w:r>
        <w:rPr>
          <w:rFonts w:hint="eastAsia" w:ascii="宋体" w:hAnsi="宋体" w:cs="宋体"/>
          <w:b/>
          <w:color w:val="auto"/>
          <w:sz w:val="24"/>
        </w:rPr>
        <w:t>6.公告中标结果</w:t>
      </w:r>
    </w:p>
    <w:p w14:paraId="6159580D">
      <w:pPr>
        <w:adjustRightInd w:val="0"/>
        <w:snapToGrid w:val="0"/>
        <w:spacing w:line="460" w:lineRule="exact"/>
        <w:ind w:firstLine="480" w:firstLineChars="200"/>
        <w:jc w:val="left"/>
        <w:rPr>
          <w:rFonts w:hint="eastAsia" w:ascii="宋体" w:hAnsi="宋体" w:cs="宋体"/>
          <w:color w:val="auto"/>
          <w:sz w:val="24"/>
        </w:rPr>
      </w:pPr>
      <w:r>
        <w:rPr>
          <w:rFonts w:hint="eastAsia" w:ascii="宋体" w:hAnsi="宋体" w:cs="宋体"/>
          <w:color w:val="auto"/>
          <w:sz w:val="24"/>
        </w:rPr>
        <w:t>自确定中标人之日起2个工作日内，在江苏商贸职业学院网（http://www.jsbc.edu.cn/）公告中标结果，公告期限为1个工作日。</w:t>
      </w:r>
    </w:p>
    <w:p w14:paraId="44B7C7D8">
      <w:pPr>
        <w:adjustRightInd w:val="0"/>
        <w:snapToGrid w:val="0"/>
        <w:spacing w:line="460" w:lineRule="exact"/>
        <w:ind w:firstLine="482" w:firstLineChars="200"/>
        <w:rPr>
          <w:rFonts w:hint="eastAsia" w:ascii="宋体" w:hAnsi="宋体" w:cs="宋体"/>
          <w:b/>
          <w:bCs/>
          <w:color w:val="auto"/>
          <w:sz w:val="24"/>
        </w:rPr>
      </w:pPr>
      <w:r>
        <w:rPr>
          <w:rFonts w:hint="eastAsia" w:ascii="宋体" w:hAnsi="宋体" w:cs="宋体"/>
          <w:b/>
          <w:color w:val="auto"/>
          <w:sz w:val="24"/>
        </w:rPr>
        <w:t>7.</w:t>
      </w:r>
      <w:r>
        <w:rPr>
          <w:rFonts w:hint="eastAsia" w:ascii="宋体" w:hAnsi="宋体" w:cs="宋体"/>
          <w:b/>
          <w:bCs/>
          <w:color w:val="auto"/>
          <w:sz w:val="24"/>
        </w:rPr>
        <w:t>发放中标通知书</w:t>
      </w:r>
    </w:p>
    <w:p w14:paraId="0B65765B">
      <w:pPr>
        <w:adjustRightInd w:val="0"/>
        <w:snapToGrid w:val="0"/>
        <w:spacing w:line="460" w:lineRule="exact"/>
        <w:ind w:firstLine="480" w:firstLineChars="200"/>
        <w:rPr>
          <w:rFonts w:hint="eastAsia" w:ascii="宋体" w:hAnsi="宋体" w:cs="宋体"/>
          <w:bCs/>
          <w:color w:val="auto"/>
          <w:sz w:val="24"/>
        </w:rPr>
      </w:pPr>
      <w:r>
        <w:rPr>
          <w:rFonts w:hint="eastAsia" w:ascii="宋体" w:hAnsi="宋体" w:cs="宋体"/>
          <w:color w:val="auto"/>
          <w:sz w:val="24"/>
        </w:rPr>
        <w:t>公告中标结果的同时，招标人</w:t>
      </w:r>
      <w:r>
        <w:rPr>
          <w:rFonts w:hint="eastAsia" w:ascii="宋体" w:hAnsi="宋体" w:cs="宋体"/>
          <w:bCs/>
          <w:color w:val="auto"/>
          <w:sz w:val="24"/>
        </w:rPr>
        <w:t>向中标供应商发放中标通知书。</w:t>
      </w:r>
    </w:p>
    <w:p w14:paraId="587DB1F5">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中标通知书发出后，招标人不得违法改变中标结果，中标供应商无正当理由不得放弃中标。</w:t>
      </w:r>
    </w:p>
    <w:p w14:paraId="343BE8B9">
      <w:pPr>
        <w:adjustRightInd w:val="0"/>
        <w:snapToGrid w:val="0"/>
        <w:spacing w:line="460" w:lineRule="exact"/>
        <w:ind w:firstLine="482" w:firstLineChars="200"/>
        <w:rPr>
          <w:rFonts w:hint="eastAsia" w:ascii="宋体" w:hAnsi="宋体" w:cs="宋体"/>
          <w:b/>
          <w:color w:val="auto"/>
          <w:sz w:val="24"/>
        </w:rPr>
      </w:pPr>
      <w:r>
        <w:rPr>
          <w:rFonts w:hint="eastAsia" w:ascii="宋体" w:hAnsi="宋体" w:cs="宋体"/>
          <w:b/>
          <w:color w:val="auto"/>
          <w:sz w:val="24"/>
        </w:rPr>
        <w:t>8.其他</w:t>
      </w:r>
    </w:p>
    <w:p w14:paraId="3BDBCDF9">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当排名第一的中标候选人无正当理由放弃中标，被查实存在影响中标结果的违法行为等情形，采购人有权按照采购相关法律法规的规定对其采取惩戒措施，包含但不限于列入采购失信人黑名单等措施。</w:t>
      </w:r>
    </w:p>
    <w:p w14:paraId="434A45AE">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当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14:paraId="75188F3A">
      <w:pPr>
        <w:spacing w:after="60" w:line="440" w:lineRule="exact"/>
        <w:rPr>
          <w:color w:val="auto"/>
        </w:rPr>
        <w:sectPr>
          <w:headerReference r:id="rId3" w:type="default"/>
          <w:footerReference r:id="rId4" w:type="default"/>
          <w:pgSz w:w="11906" w:h="16838"/>
          <w:pgMar w:top="1440" w:right="1080" w:bottom="1440" w:left="1080" w:header="851" w:footer="992" w:gutter="0"/>
          <w:cols w:space="720" w:num="1"/>
          <w:docGrid w:type="lines" w:linePitch="312" w:charSpace="0"/>
        </w:sectPr>
      </w:pPr>
      <w:r>
        <w:rPr>
          <w:rFonts w:hint="eastAsia" w:ascii="宋体" w:hAnsi="宋体" w:cs="宋体"/>
          <w:bCs/>
          <w:color w:val="auto"/>
          <w:sz w:val="32"/>
          <w:szCs w:val="32"/>
        </w:rPr>
        <w:br w:type="page"/>
      </w:r>
    </w:p>
    <w:p w14:paraId="3A8C1F0E">
      <w:pPr>
        <w:adjustRightInd w:val="0"/>
        <w:snapToGrid w:val="0"/>
        <w:spacing w:line="460" w:lineRule="exact"/>
        <w:jc w:val="center"/>
        <w:textAlignment w:val="baseline"/>
        <w:outlineLvl w:val="0"/>
        <w:rPr>
          <w:rFonts w:hint="eastAsia" w:ascii="宋体" w:hAnsi="宋体" w:cs="宋体"/>
          <w:bCs/>
          <w:color w:val="auto"/>
          <w:sz w:val="32"/>
          <w:szCs w:val="32"/>
        </w:rPr>
      </w:pPr>
      <w:r>
        <w:rPr>
          <w:rFonts w:hint="eastAsia" w:ascii="宋体" w:hAnsi="宋体" w:cs="宋体"/>
          <w:bCs/>
          <w:color w:val="auto"/>
          <w:sz w:val="32"/>
          <w:szCs w:val="32"/>
        </w:rPr>
        <w:t>第五部分 合同主要条款</w:t>
      </w:r>
    </w:p>
    <w:p w14:paraId="5A4AA9A2">
      <w:pPr>
        <w:spacing w:line="460" w:lineRule="exact"/>
        <w:rPr>
          <w:rFonts w:hint="eastAsia" w:ascii="宋体" w:hAnsi="宋体" w:cs="宋体"/>
          <w:color w:val="auto"/>
          <w:sz w:val="22"/>
          <w:szCs w:val="22"/>
        </w:rPr>
      </w:pPr>
    </w:p>
    <w:p w14:paraId="4ABB4EE8">
      <w:pPr>
        <w:snapToGrid w:val="0"/>
        <w:spacing w:line="460" w:lineRule="exact"/>
        <w:ind w:firstLine="480" w:firstLineChars="200"/>
        <w:rPr>
          <w:rFonts w:hint="eastAsia" w:ascii="宋体" w:hAnsi="宋体" w:cs="宋体"/>
          <w:color w:val="auto"/>
          <w:sz w:val="24"/>
          <w:lang w:val="zh-CN"/>
        </w:rPr>
      </w:pPr>
      <w:r>
        <w:rPr>
          <w:rFonts w:hint="eastAsia" w:ascii="宋体" w:hAnsi="宋体" w:cs="宋体"/>
          <w:color w:val="auto"/>
          <w:sz w:val="24"/>
          <w:lang w:val="zh-CN"/>
        </w:rPr>
        <w:t>一、</w:t>
      </w:r>
      <w:r>
        <w:rPr>
          <w:rFonts w:hint="eastAsia" w:ascii="宋体" w:hAnsi="宋体" w:cs="宋体"/>
          <w:color w:val="auto"/>
          <w:sz w:val="24"/>
        </w:rPr>
        <w:t>中标人</w:t>
      </w:r>
      <w:r>
        <w:rPr>
          <w:rFonts w:hint="eastAsia" w:ascii="宋体" w:hAnsi="宋体" w:cs="宋体"/>
          <w:color w:val="auto"/>
          <w:sz w:val="24"/>
          <w:lang w:val="zh-CN"/>
        </w:rPr>
        <w:t>在接到《</w:t>
      </w:r>
      <w:r>
        <w:rPr>
          <w:rFonts w:hint="eastAsia" w:ascii="宋体" w:hAnsi="宋体" w:cs="宋体"/>
          <w:color w:val="auto"/>
          <w:sz w:val="24"/>
        </w:rPr>
        <w:t>中标</w:t>
      </w:r>
      <w:r>
        <w:rPr>
          <w:rFonts w:hint="eastAsia" w:ascii="宋体" w:hAnsi="宋体" w:cs="宋体"/>
          <w:color w:val="auto"/>
          <w:sz w:val="24"/>
          <w:lang w:val="zh-CN"/>
        </w:rPr>
        <w:t>通知书》后</w:t>
      </w:r>
      <w:r>
        <w:rPr>
          <w:rFonts w:hint="eastAsia" w:ascii="宋体" w:hAnsi="宋体" w:cs="宋体"/>
          <w:color w:val="auto"/>
          <w:sz w:val="24"/>
        </w:rPr>
        <w:t>30日内</w:t>
      </w:r>
      <w:r>
        <w:rPr>
          <w:rFonts w:hint="eastAsia" w:ascii="宋体" w:hAnsi="宋体" w:cs="宋体"/>
          <w:color w:val="auto"/>
          <w:sz w:val="24"/>
          <w:lang w:val="zh-CN"/>
        </w:rPr>
        <w:t>和</w:t>
      </w:r>
      <w:r>
        <w:rPr>
          <w:rFonts w:hint="eastAsia" w:ascii="宋体" w:hAnsi="宋体" w:cs="宋体"/>
          <w:color w:val="auto"/>
          <w:sz w:val="24"/>
        </w:rPr>
        <w:t>招标人</w:t>
      </w:r>
      <w:r>
        <w:rPr>
          <w:rFonts w:hint="eastAsia" w:ascii="宋体" w:hAnsi="宋体" w:cs="宋体"/>
          <w:color w:val="auto"/>
          <w:sz w:val="24"/>
          <w:lang w:val="zh-CN"/>
        </w:rPr>
        <w:t>签订合同。合同签订后</w:t>
      </w:r>
      <w:r>
        <w:rPr>
          <w:rFonts w:hint="eastAsia" w:ascii="宋体" w:hAnsi="宋体" w:cs="宋体"/>
          <w:color w:val="auto"/>
          <w:sz w:val="24"/>
        </w:rPr>
        <w:t>中标人</w:t>
      </w:r>
      <w:r>
        <w:rPr>
          <w:rFonts w:hint="eastAsia" w:ascii="宋体" w:hAnsi="宋体" w:cs="宋体"/>
          <w:color w:val="auto"/>
          <w:sz w:val="24"/>
          <w:lang w:val="zh-CN"/>
        </w:rPr>
        <w:t>方可履约，否则引起的一切后果由</w:t>
      </w:r>
      <w:r>
        <w:rPr>
          <w:rFonts w:hint="eastAsia" w:ascii="宋体" w:hAnsi="宋体" w:cs="宋体"/>
          <w:color w:val="auto"/>
          <w:sz w:val="24"/>
        </w:rPr>
        <w:t>中标人</w:t>
      </w:r>
      <w:r>
        <w:rPr>
          <w:rFonts w:hint="eastAsia" w:ascii="宋体" w:hAnsi="宋体" w:cs="宋体"/>
          <w:color w:val="auto"/>
          <w:sz w:val="24"/>
          <w:lang w:val="zh-CN"/>
        </w:rPr>
        <w:t>自行承担。纸质合同一式</w:t>
      </w:r>
      <w:r>
        <w:rPr>
          <w:rFonts w:hint="eastAsia" w:ascii="宋体" w:hAnsi="宋体" w:cs="宋体"/>
          <w:color w:val="auto"/>
          <w:sz w:val="24"/>
        </w:rPr>
        <w:t>陆</w:t>
      </w:r>
      <w:r>
        <w:rPr>
          <w:rFonts w:hint="eastAsia" w:ascii="宋体" w:hAnsi="宋体" w:cs="宋体"/>
          <w:color w:val="auto"/>
          <w:sz w:val="24"/>
          <w:lang w:val="zh-CN"/>
        </w:rPr>
        <w:t>份，</w:t>
      </w:r>
      <w:r>
        <w:rPr>
          <w:rFonts w:hint="eastAsia" w:ascii="宋体" w:hAnsi="宋体" w:cs="宋体"/>
          <w:color w:val="auto"/>
          <w:sz w:val="24"/>
        </w:rPr>
        <w:t>招标人</w:t>
      </w:r>
      <w:r>
        <w:rPr>
          <w:rFonts w:hint="eastAsia" w:ascii="宋体" w:hAnsi="宋体" w:cs="宋体"/>
          <w:color w:val="auto"/>
          <w:sz w:val="24"/>
          <w:lang w:val="zh-CN"/>
        </w:rPr>
        <w:t>、</w:t>
      </w:r>
      <w:r>
        <w:rPr>
          <w:rFonts w:hint="eastAsia" w:ascii="宋体" w:hAnsi="宋体" w:cs="宋体"/>
          <w:color w:val="auto"/>
          <w:sz w:val="24"/>
        </w:rPr>
        <w:t>中标人</w:t>
      </w:r>
      <w:r>
        <w:rPr>
          <w:rFonts w:hint="eastAsia" w:ascii="宋体" w:hAnsi="宋体" w:cs="宋体"/>
          <w:color w:val="auto"/>
          <w:sz w:val="24"/>
          <w:lang w:val="zh-CN"/>
        </w:rPr>
        <w:t>各</w:t>
      </w:r>
      <w:r>
        <w:rPr>
          <w:rFonts w:hint="eastAsia" w:ascii="宋体" w:hAnsi="宋体" w:cs="宋体"/>
          <w:color w:val="auto"/>
          <w:sz w:val="24"/>
        </w:rPr>
        <w:t>叁</w:t>
      </w:r>
      <w:r>
        <w:rPr>
          <w:rFonts w:hint="eastAsia" w:ascii="宋体" w:hAnsi="宋体" w:cs="宋体"/>
          <w:color w:val="auto"/>
          <w:sz w:val="24"/>
          <w:lang w:val="zh-CN"/>
        </w:rPr>
        <w:t>份。所签合同不得对</w:t>
      </w:r>
      <w:r>
        <w:rPr>
          <w:rFonts w:hint="eastAsia" w:ascii="宋体" w:hAnsi="宋体" w:cs="宋体"/>
          <w:color w:val="auto"/>
          <w:sz w:val="24"/>
        </w:rPr>
        <w:t>招标</w:t>
      </w:r>
      <w:r>
        <w:rPr>
          <w:rFonts w:hint="eastAsia" w:ascii="宋体" w:hAnsi="宋体" w:cs="宋体"/>
          <w:color w:val="auto"/>
          <w:sz w:val="24"/>
          <w:lang w:val="zh-CN"/>
        </w:rPr>
        <w:t>文件作实质性修改。招标人不得向中标人提出不合理的要求作为签订合同的条件，不得与中标人私下订立背离招标文件实质性内容的协议。</w:t>
      </w:r>
    </w:p>
    <w:p w14:paraId="3ED371F3">
      <w:pPr>
        <w:snapToGrid w:val="0"/>
        <w:spacing w:line="460" w:lineRule="exact"/>
        <w:ind w:firstLine="480" w:firstLineChars="200"/>
        <w:rPr>
          <w:rFonts w:hint="eastAsia" w:ascii="宋体" w:hAnsi="宋体" w:cs="宋体"/>
          <w:color w:val="auto"/>
          <w:sz w:val="24"/>
          <w:lang w:val="zh-CN"/>
        </w:rPr>
      </w:pPr>
      <w:r>
        <w:rPr>
          <w:rFonts w:hint="eastAsia" w:ascii="宋体" w:hAnsi="宋体" w:cs="宋体"/>
          <w:color w:val="auto"/>
          <w:sz w:val="24"/>
          <w:lang w:val="zh-CN"/>
        </w:rPr>
        <w:t>二、中标人切实履行投标响应和承诺</w:t>
      </w:r>
      <w:r>
        <w:rPr>
          <w:rFonts w:hint="eastAsia" w:ascii="宋体" w:hAnsi="宋体" w:cs="宋体"/>
          <w:color w:val="auto"/>
          <w:sz w:val="24"/>
        </w:rPr>
        <w:t>内容</w:t>
      </w:r>
      <w:r>
        <w:rPr>
          <w:rFonts w:hint="eastAsia" w:ascii="宋体" w:hAnsi="宋体" w:cs="宋体"/>
          <w:color w:val="auto"/>
          <w:sz w:val="24"/>
          <w:lang w:val="zh-CN"/>
        </w:rPr>
        <w:t>。</w:t>
      </w:r>
    </w:p>
    <w:p w14:paraId="1FC38B2D">
      <w:pPr>
        <w:snapToGrid w:val="0"/>
        <w:spacing w:line="460" w:lineRule="exact"/>
        <w:ind w:firstLine="480" w:firstLineChars="200"/>
        <w:rPr>
          <w:rFonts w:hint="eastAsia" w:ascii="宋体" w:hAnsi="宋体" w:cs="宋体"/>
          <w:color w:val="auto"/>
          <w:sz w:val="24"/>
          <w:lang w:val="zh-CN"/>
        </w:rPr>
      </w:pPr>
      <w:r>
        <w:rPr>
          <w:rFonts w:hint="eastAsia" w:ascii="宋体" w:hAnsi="宋体" w:cs="宋体"/>
          <w:color w:val="auto"/>
          <w:sz w:val="24"/>
          <w:lang w:val="zh-CN"/>
        </w:rPr>
        <w:t>三、中标人出现违约情形，应当及时纠正或补偿；造成损失的，按合同约定追究违约责任；发现有商业贿赂等违法情形的，应由招标人移交与投标人相关的政府执法部门依法查处。</w:t>
      </w:r>
    </w:p>
    <w:p w14:paraId="3AC680D9">
      <w:pPr>
        <w:snapToGrid w:val="0"/>
        <w:spacing w:line="460" w:lineRule="exact"/>
        <w:ind w:firstLine="480" w:firstLineChars="200"/>
        <w:rPr>
          <w:rFonts w:hint="eastAsia" w:ascii="宋体" w:hAnsi="宋体" w:cs="宋体"/>
          <w:color w:val="auto"/>
          <w:sz w:val="24"/>
        </w:rPr>
        <w:sectPr>
          <w:headerReference r:id="rId5" w:type="default"/>
          <w:pgSz w:w="11906" w:h="16838"/>
          <w:pgMar w:top="1440" w:right="1080" w:bottom="1440" w:left="1080" w:header="851" w:footer="992" w:gutter="0"/>
          <w:cols w:space="720" w:num="1"/>
          <w:docGrid w:type="lines" w:linePitch="312" w:charSpace="0"/>
        </w:sectPr>
      </w:pPr>
      <w:r>
        <w:rPr>
          <w:rFonts w:hint="eastAsia" w:ascii="宋体" w:hAnsi="宋体" w:cs="宋体"/>
          <w:color w:val="auto"/>
          <w:sz w:val="24"/>
        </w:rPr>
        <w:t>四、合同模板</w:t>
      </w:r>
    </w:p>
    <w:p w14:paraId="0118E345">
      <w:pPr>
        <w:spacing w:line="440" w:lineRule="exact"/>
        <w:rPr>
          <w:rFonts w:hint="eastAsia" w:ascii="宋体" w:hAnsi="宋体" w:cs="宋体"/>
          <w:b/>
          <w:color w:val="auto"/>
          <w:sz w:val="24"/>
        </w:rPr>
      </w:pPr>
      <w:r>
        <w:rPr>
          <w:rFonts w:hint="eastAsia" w:ascii="宋体" w:hAnsi="宋体" w:cs="宋体"/>
          <w:b/>
          <w:color w:val="auto"/>
          <w:sz w:val="24"/>
        </w:rPr>
        <w:t>（本合同格式仅为招标文件提供之范本，部分条款可在实际签订时根据项目情况由甲乙双方另行协商约定。）</w:t>
      </w:r>
    </w:p>
    <w:p w14:paraId="5D7BB611">
      <w:pPr>
        <w:pStyle w:val="8"/>
        <w:kinsoku w:val="0"/>
        <w:topLinePunct/>
        <w:autoSpaceDE w:val="0"/>
        <w:autoSpaceDN w:val="0"/>
        <w:snapToGrid w:val="0"/>
        <w:spacing w:line="360" w:lineRule="auto"/>
        <w:ind w:right="210" w:firstLine="859" w:firstLineChars="214"/>
        <w:contextualSpacing/>
        <w:jc w:val="center"/>
        <w:rPr>
          <w:rFonts w:hint="eastAsia" w:ascii="宋体" w:hAnsi="宋体" w:cs="宋体"/>
          <w:snapToGrid w:val="0"/>
          <w:color w:val="auto"/>
          <w:sz w:val="40"/>
          <w:szCs w:val="40"/>
        </w:rPr>
      </w:pPr>
      <w:r>
        <w:rPr>
          <w:rFonts w:hint="eastAsia" w:ascii="宋体" w:hAnsi="宋体" w:cs="宋体"/>
          <w:b/>
          <w:color w:val="auto"/>
          <w:sz w:val="40"/>
          <w:szCs w:val="40"/>
        </w:rPr>
        <w:t>合  同</w:t>
      </w:r>
    </w:p>
    <w:p w14:paraId="350832E3">
      <w:pPr>
        <w:pStyle w:val="8"/>
        <w:kinsoku w:val="0"/>
        <w:topLinePunct/>
        <w:autoSpaceDE w:val="0"/>
        <w:autoSpaceDN w:val="0"/>
        <w:snapToGrid w:val="0"/>
        <w:spacing w:line="360" w:lineRule="auto"/>
        <w:ind w:right="210" w:firstLine="513" w:firstLineChars="214"/>
        <w:contextualSpacing/>
        <w:rPr>
          <w:rFonts w:hint="eastAsia" w:ascii="宋体" w:hAnsi="宋体" w:cs="宋体"/>
          <w:snapToGrid w:val="0"/>
          <w:color w:val="auto"/>
          <w:sz w:val="24"/>
          <w:szCs w:val="24"/>
        </w:rPr>
      </w:pPr>
      <w:r>
        <w:rPr>
          <w:rFonts w:hint="eastAsia" w:ascii="宋体" w:hAnsi="宋体" w:cs="宋体"/>
          <w:snapToGrid w:val="0"/>
          <w:color w:val="auto"/>
          <w:sz w:val="24"/>
          <w:szCs w:val="24"/>
        </w:rPr>
        <w:t>合同编号</w:t>
      </w:r>
    </w:p>
    <w:p w14:paraId="2B81FF77">
      <w:pPr>
        <w:pStyle w:val="8"/>
        <w:kinsoku w:val="0"/>
        <w:topLinePunct/>
        <w:autoSpaceDE w:val="0"/>
        <w:autoSpaceDN w:val="0"/>
        <w:snapToGrid w:val="0"/>
        <w:spacing w:line="360" w:lineRule="auto"/>
        <w:ind w:right="210" w:firstLine="513" w:firstLineChars="214"/>
        <w:contextualSpacing/>
        <w:rPr>
          <w:rFonts w:hint="eastAsia" w:ascii="宋体" w:hAnsi="宋体" w:cs="宋体"/>
          <w:snapToGrid w:val="0"/>
          <w:color w:val="auto"/>
          <w:sz w:val="24"/>
          <w:szCs w:val="24"/>
        </w:rPr>
      </w:pPr>
      <w:r>
        <w:rPr>
          <w:rFonts w:hint="eastAsia" w:ascii="宋体" w:hAnsi="宋体" w:cs="宋体"/>
          <w:snapToGrid w:val="0"/>
          <w:color w:val="auto"/>
          <w:sz w:val="24"/>
          <w:szCs w:val="24"/>
        </w:rPr>
        <w:t>甲方（需方）：</w:t>
      </w:r>
      <w:r>
        <w:rPr>
          <w:rFonts w:hint="eastAsia" w:ascii="宋体" w:hAnsi="宋体" w:cs="宋体"/>
          <w:bCs/>
          <w:color w:val="auto"/>
          <w:sz w:val="24"/>
          <w:szCs w:val="24"/>
        </w:rPr>
        <w:t>江苏商贸职业学院</w:t>
      </w:r>
    </w:p>
    <w:p w14:paraId="5B177445">
      <w:pPr>
        <w:pStyle w:val="8"/>
        <w:kinsoku w:val="0"/>
        <w:topLinePunct/>
        <w:autoSpaceDE w:val="0"/>
        <w:autoSpaceDN w:val="0"/>
        <w:snapToGrid w:val="0"/>
        <w:spacing w:line="360" w:lineRule="auto"/>
        <w:ind w:right="210" w:firstLine="513" w:firstLineChars="214"/>
        <w:contextualSpacing/>
        <w:rPr>
          <w:rFonts w:hint="eastAsia" w:ascii="宋体" w:hAnsi="宋体" w:cs="宋体"/>
          <w:snapToGrid w:val="0"/>
          <w:color w:val="auto"/>
          <w:sz w:val="24"/>
          <w:szCs w:val="24"/>
        </w:rPr>
      </w:pPr>
      <w:r>
        <w:rPr>
          <w:rFonts w:hint="eastAsia" w:ascii="宋体" w:hAnsi="宋体" w:cs="宋体"/>
          <w:snapToGrid w:val="0"/>
          <w:color w:val="auto"/>
          <w:sz w:val="24"/>
          <w:szCs w:val="24"/>
        </w:rPr>
        <w:t>乙方（供方）：</w:t>
      </w:r>
    </w:p>
    <w:p w14:paraId="35197838">
      <w:pPr>
        <w:pStyle w:val="8"/>
        <w:kinsoku w:val="0"/>
        <w:topLinePunct/>
        <w:autoSpaceDE w:val="0"/>
        <w:autoSpaceDN w:val="0"/>
        <w:snapToGrid w:val="0"/>
        <w:spacing w:line="360" w:lineRule="auto"/>
        <w:ind w:right="210" w:firstLine="513" w:firstLineChars="214"/>
        <w:contextualSpacing/>
        <w:rPr>
          <w:rFonts w:hint="eastAsia" w:ascii="宋体" w:hAnsi="宋体" w:cs="宋体"/>
          <w:snapToGrid w:val="0"/>
          <w:color w:val="auto"/>
          <w:sz w:val="24"/>
          <w:szCs w:val="24"/>
        </w:rPr>
      </w:pPr>
      <w:r>
        <w:rPr>
          <w:rFonts w:hint="eastAsia" w:ascii="宋体" w:hAnsi="宋体" w:cs="宋体"/>
          <w:snapToGrid w:val="0"/>
          <w:color w:val="auto"/>
          <w:sz w:val="24"/>
          <w:szCs w:val="24"/>
        </w:rPr>
        <w:t>签订时间：</w:t>
      </w:r>
    </w:p>
    <w:p w14:paraId="76BF3E54">
      <w:pPr>
        <w:pStyle w:val="8"/>
        <w:kinsoku w:val="0"/>
        <w:topLinePunct/>
        <w:autoSpaceDE w:val="0"/>
        <w:autoSpaceDN w:val="0"/>
        <w:snapToGrid w:val="0"/>
        <w:spacing w:line="360" w:lineRule="auto"/>
        <w:ind w:right="210" w:firstLine="513" w:firstLineChars="214"/>
        <w:contextualSpacing/>
        <w:rPr>
          <w:rFonts w:hint="eastAsia" w:ascii="宋体" w:hAnsi="宋体" w:cs="宋体"/>
          <w:snapToGrid w:val="0"/>
          <w:color w:val="auto"/>
          <w:sz w:val="24"/>
          <w:szCs w:val="24"/>
        </w:rPr>
      </w:pPr>
      <w:r>
        <w:rPr>
          <w:rFonts w:hint="eastAsia" w:ascii="宋体" w:hAnsi="宋体" w:cs="宋体"/>
          <w:snapToGrid w:val="0"/>
          <w:color w:val="auto"/>
          <w:sz w:val="24"/>
          <w:szCs w:val="24"/>
        </w:rPr>
        <w:t>甲乙双方根据《中华人民共和国民法典》及有关规定和江苏商贸职业学院关于</w:t>
      </w:r>
      <w:r>
        <w:rPr>
          <w:rFonts w:hint="eastAsia" w:ascii="宋体" w:hAnsi="宋体" w:cs="宋体"/>
          <w:b/>
          <w:bCs/>
          <w:color w:val="auto"/>
          <w:sz w:val="24"/>
          <w:szCs w:val="24"/>
          <w:u w:val="single"/>
        </w:rPr>
        <w:t>江苏商贸职业学院校园主干道测速系统项目</w:t>
      </w:r>
      <w:r>
        <w:rPr>
          <w:rFonts w:hint="eastAsia" w:ascii="宋体" w:hAnsi="宋体" w:cs="宋体"/>
          <w:snapToGrid w:val="0"/>
          <w:color w:val="auto"/>
          <w:sz w:val="24"/>
          <w:szCs w:val="24"/>
        </w:rPr>
        <w:t>采购的结果，并依照本项目的具体情况，本着平等合作、友好互利的原则，同意按下述条款和条件签订本合同（以下简称：“合同”），双方共同遵守。条款如下：</w:t>
      </w:r>
    </w:p>
    <w:p w14:paraId="208D2F98">
      <w:pPr>
        <w:spacing w:line="460" w:lineRule="exact"/>
        <w:rPr>
          <w:rFonts w:hint="eastAsia" w:ascii="宋体" w:hAnsi="宋体" w:cs="宋体"/>
          <w:b/>
          <w:bCs/>
          <w:snapToGrid w:val="0"/>
          <w:color w:val="auto"/>
          <w:kern w:val="0"/>
          <w:sz w:val="24"/>
        </w:rPr>
      </w:pPr>
      <w:bookmarkStart w:id="109" w:name="_Toc492542736"/>
      <w:bookmarkStart w:id="110" w:name="_Toc23180071"/>
      <w:bookmarkStart w:id="111" w:name="_Toc517291449"/>
      <w:bookmarkStart w:id="112" w:name="_Toc459732742"/>
      <w:bookmarkStart w:id="113" w:name="_Toc109026582"/>
      <w:bookmarkStart w:id="114" w:name="_Toc482704119"/>
      <w:bookmarkStart w:id="115" w:name="_Toc458668245"/>
      <w:bookmarkStart w:id="116" w:name="_Toc492552628"/>
      <w:bookmarkStart w:id="117" w:name="_Toc485926821"/>
      <w:bookmarkStart w:id="118" w:name="_Toc485837704"/>
      <w:bookmarkStart w:id="119" w:name="_Toc492503589"/>
      <w:bookmarkStart w:id="120" w:name="_Toc513736848"/>
      <w:r>
        <w:rPr>
          <w:rFonts w:hint="eastAsia" w:ascii="宋体" w:hAnsi="宋体" w:cs="宋体"/>
          <w:b/>
          <w:bCs/>
          <w:snapToGrid w:val="0"/>
          <w:color w:val="auto"/>
          <w:kern w:val="0"/>
          <w:sz w:val="24"/>
        </w:rPr>
        <w:t>一、项目概况</w:t>
      </w:r>
      <w:bookmarkEnd w:id="109"/>
      <w:bookmarkEnd w:id="110"/>
      <w:bookmarkEnd w:id="111"/>
      <w:bookmarkEnd w:id="112"/>
      <w:bookmarkEnd w:id="113"/>
      <w:bookmarkEnd w:id="114"/>
      <w:bookmarkEnd w:id="115"/>
      <w:bookmarkEnd w:id="116"/>
      <w:bookmarkEnd w:id="117"/>
      <w:bookmarkEnd w:id="118"/>
      <w:bookmarkEnd w:id="119"/>
      <w:bookmarkEnd w:id="120"/>
    </w:p>
    <w:p w14:paraId="78C0B963">
      <w:pPr>
        <w:adjustRightInd w:val="0"/>
        <w:snapToGrid w:val="0"/>
        <w:spacing w:line="460" w:lineRule="exact"/>
        <w:ind w:firstLine="480" w:firstLineChars="200"/>
        <w:rPr>
          <w:rFonts w:hint="eastAsia" w:ascii="宋体" w:hAnsi="宋体" w:cs="宋体"/>
          <w:bCs/>
          <w:color w:val="auto"/>
          <w:sz w:val="24"/>
        </w:rPr>
      </w:pPr>
      <w:r>
        <w:rPr>
          <w:rFonts w:hint="eastAsia" w:ascii="宋体" w:hAnsi="宋体" w:cs="宋体"/>
          <w:bCs/>
          <w:color w:val="auto"/>
          <w:sz w:val="24"/>
        </w:rPr>
        <w:t>（一）项目定义：</w:t>
      </w:r>
    </w:p>
    <w:p w14:paraId="330E2DB1">
      <w:pPr>
        <w:adjustRightInd w:val="0"/>
        <w:snapToGrid w:val="0"/>
        <w:spacing w:line="460" w:lineRule="exact"/>
        <w:ind w:firstLine="480" w:firstLineChars="200"/>
        <w:rPr>
          <w:rFonts w:hint="eastAsia" w:ascii="宋体" w:hAnsi="宋体" w:cs="宋体"/>
          <w:bCs/>
          <w:color w:val="auto"/>
          <w:sz w:val="24"/>
        </w:rPr>
      </w:pPr>
      <w:r>
        <w:rPr>
          <w:rFonts w:hint="eastAsia" w:ascii="宋体" w:hAnsi="宋体" w:cs="宋体"/>
          <w:bCs/>
          <w:color w:val="auto"/>
          <w:sz w:val="24"/>
        </w:rPr>
        <w:t>1.本合同中的下列术语应解释为：</w:t>
      </w:r>
    </w:p>
    <w:p w14:paraId="7C6770D5">
      <w:pPr>
        <w:adjustRightInd w:val="0"/>
        <w:snapToGrid w:val="0"/>
        <w:spacing w:line="460" w:lineRule="exact"/>
        <w:ind w:firstLine="480" w:firstLineChars="200"/>
        <w:rPr>
          <w:rFonts w:hint="eastAsia" w:ascii="宋体" w:hAnsi="宋体" w:cs="宋体"/>
          <w:bCs/>
          <w:color w:val="auto"/>
          <w:sz w:val="24"/>
        </w:rPr>
      </w:pPr>
      <w:r>
        <w:rPr>
          <w:rFonts w:hint="eastAsia" w:ascii="宋体" w:hAnsi="宋体" w:cs="宋体"/>
          <w:bCs/>
          <w:color w:val="auto"/>
          <w:sz w:val="24"/>
        </w:rPr>
        <w:t>(1)“合同”系指甲方与乙方签署的、合同格式中载明的甲方与乙方所达成的协议，包括所有的附件、附录和构成合同的所有文件。</w:t>
      </w:r>
    </w:p>
    <w:p w14:paraId="4CBD43CD">
      <w:pPr>
        <w:adjustRightInd w:val="0"/>
        <w:snapToGrid w:val="0"/>
        <w:spacing w:line="460" w:lineRule="exact"/>
        <w:ind w:firstLine="480" w:firstLineChars="200"/>
        <w:rPr>
          <w:rFonts w:hint="eastAsia" w:ascii="宋体" w:hAnsi="宋体" w:cs="宋体"/>
          <w:bCs/>
          <w:color w:val="auto"/>
          <w:sz w:val="24"/>
        </w:rPr>
      </w:pPr>
      <w:r>
        <w:rPr>
          <w:rFonts w:hint="eastAsia" w:ascii="宋体" w:hAnsi="宋体" w:cs="宋体"/>
          <w:bCs/>
          <w:color w:val="auto"/>
          <w:sz w:val="24"/>
        </w:rPr>
        <w:t>(2)“甲方”系指江苏商贸职业学院。</w:t>
      </w:r>
    </w:p>
    <w:p w14:paraId="3070AADF">
      <w:pPr>
        <w:adjustRightInd w:val="0"/>
        <w:snapToGrid w:val="0"/>
        <w:spacing w:line="460" w:lineRule="exact"/>
        <w:ind w:firstLine="480" w:firstLineChars="200"/>
        <w:rPr>
          <w:rFonts w:hint="eastAsia" w:ascii="宋体" w:hAnsi="宋体" w:cs="宋体"/>
          <w:bCs/>
          <w:color w:val="auto"/>
          <w:sz w:val="24"/>
        </w:rPr>
      </w:pPr>
      <w:r>
        <w:rPr>
          <w:rFonts w:hint="eastAsia" w:ascii="宋体" w:hAnsi="宋体" w:cs="宋体"/>
          <w:bCs/>
          <w:color w:val="auto"/>
          <w:sz w:val="24"/>
        </w:rPr>
        <w:t>(3)“乙方”系指            （提供货物或者服务的单位）</w:t>
      </w:r>
    </w:p>
    <w:p w14:paraId="1902761F">
      <w:pPr>
        <w:adjustRightInd w:val="0"/>
        <w:snapToGrid w:val="0"/>
        <w:spacing w:line="460" w:lineRule="exact"/>
        <w:ind w:firstLine="480" w:firstLineChars="200"/>
        <w:rPr>
          <w:rFonts w:hint="eastAsia" w:ascii="宋体" w:hAnsi="宋体" w:cs="宋体"/>
          <w:bCs/>
          <w:color w:val="auto"/>
          <w:sz w:val="24"/>
        </w:rPr>
      </w:pPr>
      <w:r>
        <w:rPr>
          <w:rFonts w:hint="eastAsia" w:ascii="宋体" w:hAnsi="宋体" w:cs="宋体"/>
          <w:bCs/>
          <w:color w:val="auto"/>
          <w:sz w:val="24"/>
        </w:rPr>
        <w:t>（4）本合同特指:</w:t>
      </w:r>
      <w:r>
        <w:rPr>
          <w:rFonts w:hint="eastAsia" w:ascii="宋体" w:hAnsi="宋体" w:cs="宋体"/>
          <w:bCs/>
          <w:snapToGrid w:val="0"/>
          <w:color w:val="auto"/>
          <w:kern w:val="0"/>
          <w:sz w:val="24"/>
          <w:u w:val="single"/>
        </w:rPr>
        <w:t xml:space="preserve">            </w:t>
      </w:r>
      <w:r>
        <w:rPr>
          <w:rFonts w:hint="eastAsia" w:ascii="宋体" w:hAnsi="宋体" w:cs="宋体"/>
          <w:color w:val="auto"/>
          <w:sz w:val="24"/>
          <w:u w:val="single"/>
        </w:rPr>
        <w:t>合同</w:t>
      </w:r>
      <w:r>
        <w:rPr>
          <w:rFonts w:hint="eastAsia" w:ascii="宋体" w:hAnsi="宋体" w:cs="宋体"/>
          <w:bCs/>
          <w:color w:val="auto"/>
          <w:sz w:val="24"/>
        </w:rPr>
        <w:t>。</w:t>
      </w:r>
    </w:p>
    <w:p w14:paraId="64ECC0FA">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color w:val="auto"/>
          <w:sz w:val="24"/>
        </w:rPr>
        <w:t>（二）项目名称：</w:t>
      </w:r>
      <w:r>
        <w:rPr>
          <w:rFonts w:hint="eastAsia" w:ascii="宋体" w:hAnsi="宋体" w:cs="宋体"/>
          <w:bCs/>
          <w:snapToGrid w:val="0"/>
          <w:color w:val="auto"/>
          <w:kern w:val="0"/>
          <w:sz w:val="24"/>
          <w:u w:val="single"/>
        </w:rPr>
        <w:t xml:space="preserve">                           </w:t>
      </w:r>
      <w:r>
        <w:rPr>
          <w:rFonts w:hint="eastAsia" w:ascii="宋体" w:hAnsi="宋体" w:cs="宋体"/>
          <w:snapToGrid w:val="0"/>
          <w:color w:val="auto"/>
          <w:kern w:val="0"/>
          <w:sz w:val="24"/>
          <w:u w:val="single"/>
        </w:rPr>
        <w:t>项目</w:t>
      </w:r>
      <w:r>
        <w:rPr>
          <w:rFonts w:hint="eastAsia" w:ascii="宋体" w:hAnsi="宋体" w:cs="宋体"/>
          <w:snapToGrid w:val="0"/>
          <w:color w:val="auto"/>
          <w:kern w:val="0"/>
          <w:sz w:val="24"/>
        </w:rPr>
        <w:t>。</w:t>
      </w:r>
    </w:p>
    <w:p w14:paraId="24A6A3AA">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（三）项目地点：</w:t>
      </w:r>
      <w:r>
        <w:rPr>
          <w:rFonts w:hint="eastAsia" w:ascii="宋体" w:hAnsi="宋体" w:cs="宋体"/>
          <w:bCs/>
          <w:snapToGrid w:val="0"/>
          <w:color w:val="auto"/>
          <w:kern w:val="0"/>
          <w:sz w:val="24"/>
          <w:u w:val="single"/>
        </w:rPr>
        <w:t>江苏商贸职业学院</w:t>
      </w:r>
    </w:p>
    <w:p w14:paraId="7FFC6791">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（四）项目内容：</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8"/>
        <w:gridCol w:w="1281"/>
        <w:gridCol w:w="1445"/>
        <w:gridCol w:w="1446"/>
      </w:tblGrid>
      <w:tr w14:paraId="329C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2098" w:type="dxa"/>
            <w:vAlign w:val="center"/>
          </w:tcPr>
          <w:p w14:paraId="683999F9">
            <w:pPr>
              <w:widowControl/>
              <w:adjustRightInd w:val="0"/>
              <w:snapToGrid w:val="0"/>
              <w:spacing w:line="460" w:lineRule="exact"/>
              <w:jc w:val="center"/>
              <w:rPr>
                <w:rFonts w:hint="eastAsia" w:ascii="宋体" w:hAnsi="宋体" w:cs="宋体"/>
                <w:snapToGrid w:val="0"/>
                <w:color w:val="auto"/>
                <w:kern w:val="0"/>
                <w:sz w:val="24"/>
              </w:rPr>
            </w:pPr>
            <w:r>
              <w:rPr>
                <w:rFonts w:hint="eastAsia" w:ascii="宋体" w:hAnsi="宋体" w:cs="宋体"/>
                <w:snapToGrid w:val="0"/>
                <w:color w:val="auto"/>
                <w:kern w:val="0"/>
                <w:sz w:val="24"/>
              </w:rPr>
              <w:t>项目内容</w:t>
            </w:r>
          </w:p>
        </w:tc>
        <w:tc>
          <w:tcPr>
            <w:tcW w:w="1281" w:type="dxa"/>
            <w:vAlign w:val="center"/>
          </w:tcPr>
          <w:p w14:paraId="30CC5573">
            <w:pPr>
              <w:widowControl/>
              <w:adjustRightInd w:val="0"/>
              <w:snapToGrid w:val="0"/>
              <w:spacing w:line="460" w:lineRule="exact"/>
              <w:jc w:val="center"/>
              <w:rPr>
                <w:rFonts w:hint="eastAsia" w:ascii="宋体" w:hAnsi="宋体" w:cs="宋体"/>
                <w:snapToGrid w:val="0"/>
                <w:color w:val="auto"/>
                <w:kern w:val="0"/>
                <w:sz w:val="24"/>
              </w:rPr>
            </w:pPr>
            <w:r>
              <w:rPr>
                <w:rFonts w:hint="eastAsia" w:ascii="宋体" w:hAnsi="宋体" w:cs="宋体"/>
                <w:snapToGrid w:val="0"/>
                <w:color w:val="auto"/>
                <w:kern w:val="0"/>
                <w:sz w:val="24"/>
              </w:rPr>
              <w:t>数量</w:t>
            </w:r>
          </w:p>
        </w:tc>
        <w:tc>
          <w:tcPr>
            <w:tcW w:w="1445" w:type="dxa"/>
            <w:vAlign w:val="center"/>
          </w:tcPr>
          <w:p w14:paraId="617B9E5C">
            <w:pPr>
              <w:widowControl/>
              <w:adjustRightInd w:val="0"/>
              <w:snapToGrid w:val="0"/>
              <w:spacing w:line="460" w:lineRule="exact"/>
              <w:jc w:val="center"/>
              <w:rPr>
                <w:rFonts w:hint="eastAsia" w:ascii="宋体" w:hAnsi="宋体" w:cs="宋体"/>
                <w:snapToGrid w:val="0"/>
                <w:color w:val="auto"/>
                <w:kern w:val="0"/>
                <w:sz w:val="24"/>
              </w:rPr>
            </w:pPr>
            <w:r>
              <w:rPr>
                <w:rFonts w:hint="eastAsia" w:ascii="宋体" w:hAnsi="宋体" w:cs="宋体"/>
                <w:snapToGrid w:val="0"/>
                <w:color w:val="auto"/>
                <w:kern w:val="0"/>
                <w:sz w:val="24"/>
              </w:rPr>
              <w:t>单价（元）</w:t>
            </w:r>
          </w:p>
        </w:tc>
        <w:tc>
          <w:tcPr>
            <w:tcW w:w="1446" w:type="dxa"/>
            <w:vAlign w:val="center"/>
          </w:tcPr>
          <w:p w14:paraId="1D22881D">
            <w:pPr>
              <w:widowControl/>
              <w:adjustRightInd w:val="0"/>
              <w:snapToGrid w:val="0"/>
              <w:spacing w:line="460" w:lineRule="exact"/>
              <w:jc w:val="center"/>
              <w:rPr>
                <w:rFonts w:hint="eastAsia" w:ascii="宋体" w:hAnsi="宋体" w:cs="宋体"/>
                <w:snapToGrid w:val="0"/>
                <w:color w:val="auto"/>
                <w:kern w:val="0"/>
                <w:sz w:val="24"/>
              </w:rPr>
            </w:pPr>
            <w:r>
              <w:rPr>
                <w:rFonts w:hint="eastAsia" w:ascii="宋体" w:hAnsi="宋体" w:cs="宋体"/>
                <w:snapToGrid w:val="0"/>
                <w:color w:val="auto"/>
                <w:kern w:val="0"/>
                <w:sz w:val="24"/>
              </w:rPr>
              <w:t>总价（元）</w:t>
            </w:r>
          </w:p>
        </w:tc>
      </w:tr>
      <w:tr w14:paraId="229A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2098" w:type="dxa"/>
            <w:vAlign w:val="center"/>
          </w:tcPr>
          <w:p w14:paraId="41FDBA21">
            <w:pPr>
              <w:widowControl/>
              <w:adjustRightInd w:val="0"/>
              <w:snapToGrid w:val="0"/>
              <w:spacing w:line="460" w:lineRule="exact"/>
              <w:jc w:val="center"/>
              <w:rPr>
                <w:rFonts w:hint="eastAsia" w:ascii="宋体" w:hAnsi="宋体" w:cs="宋体"/>
                <w:snapToGrid w:val="0"/>
                <w:color w:val="auto"/>
                <w:kern w:val="0"/>
                <w:sz w:val="24"/>
              </w:rPr>
            </w:pPr>
          </w:p>
        </w:tc>
        <w:tc>
          <w:tcPr>
            <w:tcW w:w="1281" w:type="dxa"/>
            <w:vAlign w:val="center"/>
          </w:tcPr>
          <w:p w14:paraId="7CC9A363">
            <w:pPr>
              <w:widowControl/>
              <w:adjustRightInd w:val="0"/>
              <w:snapToGrid w:val="0"/>
              <w:spacing w:line="460" w:lineRule="exact"/>
              <w:jc w:val="center"/>
              <w:rPr>
                <w:rFonts w:hint="eastAsia" w:ascii="宋体" w:hAnsi="宋体" w:cs="宋体"/>
                <w:snapToGrid w:val="0"/>
                <w:color w:val="auto"/>
                <w:kern w:val="0"/>
                <w:sz w:val="24"/>
              </w:rPr>
            </w:pPr>
          </w:p>
        </w:tc>
        <w:tc>
          <w:tcPr>
            <w:tcW w:w="1445" w:type="dxa"/>
            <w:vAlign w:val="center"/>
          </w:tcPr>
          <w:p w14:paraId="5563C414">
            <w:pPr>
              <w:widowControl/>
              <w:adjustRightInd w:val="0"/>
              <w:snapToGrid w:val="0"/>
              <w:spacing w:line="460" w:lineRule="exact"/>
              <w:jc w:val="center"/>
              <w:rPr>
                <w:rFonts w:hint="eastAsia" w:ascii="宋体" w:hAnsi="宋体" w:cs="宋体"/>
                <w:snapToGrid w:val="0"/>
                <w:color w:val="auto"/>
                <w:kern w:val="0"/>
                <w:sz w:val="24"/>
              </w:rPr>
            </w:pPr>
          </w:p>
        </w:tc>
        <w:tc>
          <w:tcPr>
            <w:tcW w:w="1446" w:type="dxa"/>
            <w:vAlign w:val="center"/>
          </w:tcPr>
          <w:p w14:paraId="005352F5">
            <w:pPr>
              <w:widowControl/>
              <w:adjustRightInd w:val="0"/>
              <w:snapToGrid w:val="0"/>
              <w:spacing w:line="460" w:lineRule="exact"/>
              <w:jc w:val="center"/>
              <w:rPr>
                <w:rFonts w:hint="eastAsia" w:ascii="宋体" w:hAnsi="宋体" w:cs="宋体"/>
                <w:snapToGrid w:val="0"/>
                <w:color w:val="auto"/>
                <w:kern w:val="0"/>
                <w:sz w:val="24"/>
              </w:rPr>
            </w:pPr>
          </w:p>
        </w:tc>
      </w:tr>
      <w:tr w14:paraId="5F15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2098" w:type="dxa"/>
            <w:vAlign w:val="center"/>
          </w:tcPr>
          <w:p w14:paraId="08AEE3F6">
            <w:pPr>
              <w:widowControl/>
              <w:adjustRightInd w:val="0"/>
              <w:snapToGrid w:val="0"/>
              <w:spacing w:line="460" w:lineRule="exact"/>
              <w:jc w:val="center"/>
              <w:rPr>
                <w:rFonts w:hint="eastAsia" w:ascii="宋体" w:hAnsi="宋体" w:cs="宋体"/>
                <w:snapToGrid w:val="0"/>
                <w:color w:val="auto"/>
                <w:kern w:val="0"/>
                <w:sz w:val="24"/>
              </w:rPr>
            </w:pPr>
          </w:p>
        </w:tc>
        <w:tc>
          <w:tcPr>
            <w:tcW w:w="1281" w:type="dxa"/>
            <w:vAlign w:val="center"/>
          </w:tcPr>
          <w:p w14:paraId="03F414FE">
            <w:pPr>
              <w:widowControl/>
              <w:adjustRightInd w:val="0"/>
              <w:snapToGrid w:val="0"/>
              <w:spacing w:line="460" w:lineRule="exact"/>
              <w:jc w:val="center"/>
              <w:rPr>
                <w:rFonts w:hint="eastAsia" w:ascii="宋体" w:hAnsi="宋体" w:cs="宋体"/>
                <w:snapToGrid w:val="0"/>
                <w:color w:val="auto"/>
                <w:kern w:val="0"/>
                <w:sz w:val="24"/>
              </w:rPr>
            </w:pPr>
          </w:p>
        </w:tc>
        <w:tc>
          <w:tcPr>
            <w:tcW w:w="1445" w:type="dxa"/>
            <w:vAlign w:val="center"/>
          </w:tcPr>
          <w:p w14:paraId="11B0429F">
            <w:pPr>
              <w:widowControl/>
              <w:adjustRightInd w:val="0"/>
              <w:snapToGrid w:val="0"/>
              <w:spacing w:line="460" w:lineRule="exact"/>
              <w:jc w:val="center"/>
              <w:rPr>
                <w:rFonts w:hint="eastAsia" w:ascii="宋体" w:hAnsi="宋体" w:cs="宋体"/>
                <w:snapToGrid w:val="0"/>
                <w:color w:val="auto"/>
                <w:kern w:val="0"/>
                <w:sz w:val="24"/>
              </w:rPr>
            </w:pPr>
          </w:p>
        </w:tc>
        <w:tc>
          <w:tcPr>
            <w:tcW w:w="1446" w:type="dxa"/>
            <w:vAlign w:val="center"/>
          </w:tcPr>
          <w:p w14:paraId="72C6F1B1">
            <w:pPr>
              <w:widowControl/>
              <w:adjustRightInd w:val="0"/>
              <w:snapToGrid w:val="0"/>
              <w:spacing w:line="460" w:lineRule="exact"/>
              <w:jc w:val="center"/>
              <w:rPr>
                <w:rFonts w:hint="eastAsia" w:ascii="宋体" w:hAnsi="宋体" w:cs="宋体"/>
                <w:snapToGrid w:val="0"/>
                <w:color w:val="auto"/>
                <w:kern w:val="0"/>
                <w:sz w:val="24"/>
              </w:rPr>
            </w:pPr>
          </w:p>
        </w:tc>
      </w:tr>
      <w:tr w14:paraId="4ADF4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2098" w:type="dxa"/>
            <w:vAlign w:val="center"/>
          </w:tcPr>
          <w:p w14:paraId="1618E5DA">
            <w:pPr>
              <w:widowControl/>
              <w:adjustRightInd w:val="0"/>
              <w:snapToGrid w:val="0"/>
              <w:spacing w:line="460" w:lineRule="exact"/>
              <w:jc w:val="center"/>
              <w:rPr>
                <w:rFonts w:hint="eastAsia" w:ascii="宋体" w:hAnsi="宋体" w:cs="宋体"/>
                <w:snapToGrid w:val="0"/>
                <w:color w:val="auto"/>
                <w:kern w:val="0"/>
                <w:sz w:val="24"/>
              </w:rPr>
            </w:pPr>
          </w:p>
        </w:tc>
        <w:tc>
          <w:tcPr>
            <w:tcW w:w="1281" w:type="dxa"/>
            <w:vAlign w:val="center"/>
          </w:tcPr>
          <w:p w14:paraId="1C785DA5">
            <w:pPr>
              <w:widowControl/>
              <w:adjustRightInd w:val="0"/>
              <w:snapToGrid w:val="0"/>
              <w:spacing w:line="460" w:lineRule="exact"/>
              <w:jc w:val="center"/>
              <w:rPr>
                <w:rFonts w:hint="eastAsia" w:ascii="宋体" w:hAnsi="宋体" w:cs="宋体"/>
                <w:snapToGrid w:val="0"/>
                <w:color w:val="auto"/>
                <w:kern w:val="0"/>
                <w:sz w:val="24"/>
              </w:rPr>
            </w:pPr>
          </w:p>
        </w:tc>
        <w:tc>
          <w:tcPr>
            <w:tcW w:w="1445" w:type="dxa"/>
            <w:vAlign w:val="center"/>
          </w:tcPr>
          <w:p w14:paraId="029AD840">
            <w:pPr>
              <w:widowControl/>
              <w:adjustRightInd w:val="0"/>
              <w:snapToGrid w:val="0"/>
              <w:spacing w:line="460" w:lineRule="exact"/>
              <w:jc w:val="center"/>
              <w:rPr>
                <w:rFonts w:hint="eastAsia" w:ascii="宋体" w:hAnsi="宋体" w:cs="宋体"/>
                <w:snapToGrid w:val="0"/>
                <w:color w:val="auto"/>
                <w:kern w:val="0"/>
                <w:sz w:val="24"/>
              </w:rPr>
            </w:pPr>
          </w:p>
        </w:tc>
        <w:tc>
          <w:tcPr>
            <w:tcW w:w="1446" w:type="dxa"/>
            <w:vAlign w:val="center"/>
          </w:tcPr>
          <w:p w14:paraId="2875214B">
            <w:pPr>
              <w:widowControl/>
              <w:adjustRightInd w:val="0"/>
              <w:snapToGrid w:val="0"/>
              <w:spacing w:line="460" w:lineRule="exact"/>
              <w:jc w:val="center"/>
              <w:rPr>
                <w:rFonts w:hint="eastAsia" w:ascii="宋体" w:hAnsi="宋体" w:cs="宋体"/>
                <w:snapToGrid w:val="0"/>
                <w:color w:val="auto"/>
                <w:kern w:val="0"/>
                <w:sz w:val="24"/>
              </w:rPr>
            </w:pPr>
          </w:p>
        </w:tc>
      </w:tr>
      <w:tr w14:paraId="622F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2098" w:type="dxa"/>
            <w:vAlign w:val="center"/>
          </w:tcPr>
          <w:p w14:paraId="22025F6D">
            <w:pPr>
              <w:widowControl/>
              <w:adjustRightInd w:val="0"/>
              <w:snapToGrid w:val="0"/>
              <w:spacing w:line="460" w:lineRule="exact"/>
              <w:jc w:val="center"/>
              <w:rPr>
                <w:rFonts w:hint="eastAsia" w:ascii="宋体" w:hAnsi="宋体" w:cs="宋体"/>
                <w:snapToGrid w:val="0"/>
                <w:color w:val="auto"/>
                <w:kern w:val="0"/>
                <w:sz w:val="24"/>
              </w:rPr>
            </w:pPr>
            <w:r>
              <w:rPr>
                <w:rFonts w:hint="eastAsia" w:ascii="宋体" w:hAnsi="宋体" w:cs="宋体"/>
                <w:snapToGrid w:val="0"/>
                <w:color w:val="auto"/>
                <w:kern w:val="0"/>
                <w:sz w:val="24"/>
              </w:rPr>
              <w:t>合计</w:t>
            </w:r>
          </w:p>
        </w:tc>
        <w:tc>
          <w:tcPr>
            <w:tcW w:w="4172" w:type="dxa"/>
            <w:gridSpan w:val="3"/>
            <w:vAlign w:val="center"/>
          </w:tcPr>
          <w:p w14:paraId="0DAAFA4A">
            <w:pPr>
              <w:widowControl/>
              <w:adjustRightInd w:val="0"/>
              <w:snapToGrid w:val="0"/>
              <w:spacing w:line="460" w:lineRule="exact"/>
              <w:jc w:val="center"/>
              <w:rPr>
                <w:rFonts w:hint="eastAsia" w:ascii="宋体" w:hAnsi="宋体" w:cs="宋体"/>
                <w:snapToGrid w:val="0"/>
                <w:color w:val="auto"/>
                <w:kern w:val="0"/>
                <w:sz w:val="24"/>
              </w:rPr>
            </w:pPr>
          </w:p>
        </w:tc>
      </w:tr>
    </w:tbl>
    <w:p w14:paraId="5E0C5749">
      <w:pPr>
        <w:pStyle w:val="146"/>
        <w:adjustRightInd w:val="0"/>
        <w:snapToGrid w:val="0"/>
        <w:spacing w:line="460" w:lineRule="exact"/>
        <w:ind w:firstLine="200"/>
        <w:rPr>
          <w:rFonts w:hint="eastAsia" w:ascii="宋体" w:hAnsi="宋体" w:cs="宋体"/>
          <w:snapToGrid w:val="0"/>
          <w:color w:val="auto"/>
        </w:rPr>
      </w:pPr>
      <w:bookmarkStart w:id="121" w:name="_Toc458668246"/>
      <w:bookmarkStart w:id="122" w:name="_Toc459732743"/>
    </w:p>
    <w:p w14:paraId="06A9C32D">
      <w:pPr>
        <w:adjustRightInd w:val="0"/>
        <w:snapToGrid w:val="0"/>
        <w:spacing w:line="460" w:lineRule="exact"/>
        <w:rPr>
          <w:rFonts w:hint="eastAsia" w:ascii="宋体" w:hAnsi="宋体" w:cs="宋体"/>
          <w:b/>
          <w:bCs/>
          <w:snapToGrid w:val="0"/>
          <w:color w:val="auto"/>
          <w:kern w:val="0"/>
          <w:sz w:val="24"/>
        </w:rPr>
      </w:pPr>
      <w:bookmarkStart w:id="123" w:name="_Toc517291450"/>
      <w:bookmarkStart w:id="124" w:name="_Toc513736849"/>
      <w:bookmarkStart w:id="125" w:name="_Toc23180072"/>
      <w:bookmarkStart w:id="126" w:name="_Toc485837705"/>
      <w:bookmarkStart w:id="127" w:name="_Toc482704120"/>
      <w:bookmarkStart w:id="128" w:name="_Toc492552629"/>
      <w:bookmarkStart w:id="129" w:name="_Toc492503590"/>
      <w:bookmarkStart w:id="130" w:name="_Toc492542737"/>
      <w:bookmarkStart w:id="131" w:name="_Toc109026583"/>
      <w:bookmarkStart w:id="132" w:name="_Toc485926822"/>
      <w:r>
        <w:rPr>
          <w:rFonts w:hint="eastAsia" w:ascii="宋体" w:hAnsi="宋体" w:cs="宋体"/>
          <w:b/>
          <w:bCs/>
          <w:snapToGrid w:val="0"/>
          <w:color w:val="auto"/>
          <w:kern w:val="0"/>
          <w:sz w:val="24"/>
        </w:rPr>
        <w:t>二、合同价格</w:t>
      </w:r>
      <w:bookmarkEnd w:id="121"/>
      <w:bookmarkEnd w:id="122"/>
      <w:bookmarkEnd w:id="123"/>
      <w:bookmarkEnd w:id="124"/>
      <w:bookmarkEnd w:id="125"/>
      <w:bookmarkEnd w:id="126"/>
      <w:bookmarkEnd w:id="127"/>
      <w:bookmarkEnd w:id="128"/>
      <w:bookmarkEnd w:id="129"/>
      <w:bookmarkEnd w:id="130"/>
      <w:bookmarkEnd w:id="131"/>
      <w:bookmarkEnd w:id="132"/>
    </w:p>
    <w:p w14:paraId="6877FF1D">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（一）合同总价为人民币</w:t>
      </w:r>
      <w:r>
        <w:rPr>
          <w:rFonts w:hint="eastAsia" w:ascii="宋体" w:hAnsi="宋体" w:cs="宋体"/>
          <w:snapToGrid w:val="0"/>
          <w:color w:val="auto"/>
          <w:kern w:val="0"/>
          <w:sz w:val="24"/>
          <w:u w:val="single"/>
        </w:rPr>
        <w:t xml:space="preserve">    </w:t>
      </w:r>
      <w:r>
        <w:rPr>
          <w:rFonts w:hint="eastAsia" w:ascii="宋体" w:hAnsi="宋体" w:cs="宋体"/>
          <w:snapToGrid w:val="0"/>
          <w:color w:val="auto"/>
          <w:kern w:val="0"/>
          <w:sz w:val="24"/>
        </w:rPr>
        <w:t>万元（大写：</w:t>
      </w:r>
      <w:r>
        <w:rPr>
          <w:rFonts w:hint="eastAsia" w:ascii="宋体" w:hAnsi="宋体" w:cs="宋体"/>
          <w:snapToGrid w:val="0"/>
          <w:color w:val="auto"/>
          <w:kern w:val="0"/>
          <w:sz w:val="24"/>
          <w:u w:val="single"/>
        </w:rPr>
        <w:t xml:space="preserve">     </w:t>
      </w:r>
      <w:r>
        <w:rPr>
          <w:rFonts w:hint="eastAsia" w:ascii="宋体" w:hAnsi="宋体" w:cs="宋体"/>
          <w:snapToGrid w:val="0"/>
          <w:color w:val="auto"/>
          <w:kern w:val="0"/>
          <w:sz w:val="24"/>
        </w:rPr>
        <w:t>整），报价为一次性报价方式，投标人应充分考虑服务实施期间各类市场价格和政策性价格调整因素，确定价格风险计入总报价，今后不作调整。响应报价应包括完成本项目所需的一切费用，不限于人工费、材料费、专业设备费、差旅费、食宿费、劳务费、检测费、税费等完成项目所需的全部费用。同时，报价也应包含合同履行过程中可能发生的一切风险等。</w:t>
      </w:r>
    </w:p>
    <w:p w14:paraId="67524DE5">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（二）在本招标文件“格式 分项报价表”中未列出而乙方认为要单独列出的报价项目，乙方可增加列出，并计入“价格合计”中。乙方确认，除非双方另有书面认可导致本合同总金额发生变化，否则甲方无须再为实现本合同目的而另行支付任何费用。</w:t>
      </w:r>
    </w:p>
    <w:p w14:paraId="2F28EE04">
      <w:pPr>
        <w:adjustRightInd w:val="0"/>
        <w:snapToGrid w:val="0"/>
        <w:spacing w:line="460" w:lineRule="exact"/>
        <w:rPr>
          <w:rFonts w:hint="eastAsia" w:ascii="宋体" w:hAnsi="宋体" w:cs="宋体"/>
          <w:b/>
          <w:bCs/>
          <w:snapToGrid w:val="0"/>
          <w:color w:val="auto"/>
          <w:kern w:val="0"/>
          <w:sz w:val="24"/>
        </w:rPr>
      </w:pPr>
      <w:bookmarkStart w:id="133" w:name="_Toc459732744"/>
      <w:bookmarkStart w:id="134" w:name="_Toc492552630"/>
      <w:bookmarkStart w:id="135" w:name="_Toc492503591"/>
      <w:bookmarkStart w:id="136" w:name="_Toc492542738"/>
      <w:bookmarkStart w:id="137" w:name="_Toc23180073"/>
      <w:bookmarkStart w:id="138" w:name="_Toc485837706"/>
      <w:bookmarkStart w:id="139" w:name="_Toc109026584"/>
      <w:bookmarkStart w:id="140" w:name="_Toc458668247"/>
      <w:bookmarkStart w:id="141" w:name="_Toc485926823"/>
      <w:bookmarkStart w:id="142" w:name="_Toc517291451"/>
      <w:bookmarkStart w:id="143" w:name="_Toc513736850"/>
      <w:bookmarkStart w:id="144" w:name="_Toc482704121"/>
      <w:r>
        <w:rPr>
          <w:rFonts w:hint="eastAsia" w:ascii="宋体" w:hAnsi="宋体" w:cs="宋体"/>
          <w:b/>
          <w:bCs/>
          <w:snapToGrid w:val="0"/>
          <w:color w:val="auto"/>
          <w:kern w:val="0"/>
          <w:sz w:val="24"/>
        </w:rPr>
        <w:t>三、服务要求</w:t>
      </w:r>
    </w:p>
    <w:p w14:paraId="7A17AB09">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1.</w:t>
      </w:r>
      <w:r>
        <w:rPr>
          <w:rFonts w:hint="eastAsia"/>
          <w:color w:val="auto"/>
        </w:rPr>
        <w:t xml:space="preserve"> </w:t>
      </w:r>
      <w:r>
        <w:rPr>
          <w:rFonts w:hint="eastAsia" w:ascii="宋体" w:hAnsi="宋体" w:cs="宋体"/>
          <w:snapToGrid w:val="0"/>
          <w:color w:val="auto"/>
          <w:kern w:val="0"/>
          <w:sz w:val="24"/>
        </w:rPr>
        <w:t>整体项目需提供三年质保，其中定制对接开发软件需提供终身质保。质保期内提供免费维护和技术支持。</w:t>
      </w:r>
      <w:r>
        <w:rPr>
          <w:rFonts w:ascii="宋体" w:hAnsi="宋体" w:cs="宋体"/>
          <w:color w:val="auto"/>
          <w:sz w:val="24"/>
        </w:rPr>
        <w:t>定制对接开发软件终身质保</w:t>
      </w:r>
      <w:r>
        <w:rPr>
          <w:rFonts w:hint="eastAsia" w:ascii="宋体" w:hAnsi="宋体" w:cs="宋体"/>
          <w:color w:val="auto"/>
          <w:sz w:val="24"/>
        </w:rPr>
        <w:t>。</w:t>
      </w:r>
    </w:p>
    <w:p w14:paraId="3F2AF295">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2.专为江苏商贸职业学院本项目量身定制开发的对接软件程序、业务代码、配套文档等全部知识产权、软件著作权归属江苏商贸职业学院所有；乙方不得将为本项目编写的专属代码、定制化逻辑应用于其他第三方项目；乙方对该定制软件提供终身免费维护、版本优化、故障处置及技术支持服务；</w:t>
      </w:r>
    </w:p>
    <w:p w14:paraId="2224F308">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3.质保期内所有硬件、配套软件、定制软件产生的故障问题，均由乙方免费进行维护。</w:t>
      </w:r>
    </w:p>
    <w:p w14:paraId="33F853AD">
      <w:pPr>
        <w:adjustRightInd w:val="0"/>
        <w:snapToGrid w:val="0"/>
        <w:spacing w:line="460" w:lineRule="exact"/>
        <w:ind w:firstLine="482" w:firstLineChars="200"/>
        <w:rPr>
          <w:rFonts w:hint="eastAsia" w:ascii="宋体" w:hAnsi="宋体" w:cs="宋体"/>
          <w:b/>
          <w:bCs/>
          <w:snapToGrid w:val="0"/>
          <w:color w:val="auto"/>
          <w:kern w:val="0"/>
          <w:sz w:val="24"/>
        </w:rPr>
      </w:pPr>
      <w:r>
        <w:rPr>
          <w:rFonts w:hint="eastAsia" w:ascii="宋体" w:hAnsi="宋体" w:cs="宋体"/>
          <w:b/>
          <w:bCs/>
          <w:snapToGrid w:val="0"/>
          <w:color w:val="auto"/>
          <w:kern w:val="0"/>
          <w:sz w:val="24"/>
        </w:rPr>
        <w:t>四、实施时间</w:t>
      </w:r>
      <w:bookmarkEnd w:id="133"/>
      <w:bookmarkEnd w:id="134"/>
      <w:bookmarkEnd w:id="135"/>
      <w:bookmarkEnd w:id="136"/>
      <w:bookmarkEnd w:id="137"/>
      <w:bookmarkEnd w:id="138"/>
      <w:bookmarkEnd w:id="139"/>
      <w:bookmarkEnd w:id="140"/>
      <w:bookmarkEnd w:id="141"/>
      <w:bookmarkEnd w:id="142"/>
      <w:bookmarkEnd w:id="143"/>
      <w:bookmarkEnd w:id="144"/>
    </w:p>
    <w:p w14:paraId="445382F8">
      <w:pPr>
        <w:adjustRightInd w:val="0"/>
        <w:snapToGrid w:val="0"/>
        <w:spacing w:line="460" w:lineRule="exact"/>
        <w:ind w:firstLine="508" w:firstLineChars="200"/>
        <w:rPr>
          <w:rFonts w:hint="eastAsia" w:ascii="宋体" w:hAnsi="宋体" w:cs="宋体"/>
          <w:color w:val="auto"/>
          <w:spacing w:val="7"/>
          <w:kern w:val="0"/>
          <w:sz w:val="24"/>
          <w:shd w:val="clear" w:color="auto" w:fill="FFFFFF"/>
        </w:rPr>
      </w:pPr>
      <w:bookmarkStart w:id="145" w:name="_Toc492542739"/>
      <w:bookmarkStart w:id="146" w:name="_Toc109026585"/>
      <w:bookmarkStart w:id="147" w:name="_Toc513736851"/>
      <w:bookmarkStart w:id="148" w:name="_Toc458668248"/>
      <w:bookmarkStart w:id="149" w:name="_Toc23180074"/>
      <w:bookmarkStart w:id="150" w:name="_Toc485926824"/>
      <w:bookmarkStart w:id="151" w:name="_Toc485837707"/>
      <w:bookmarkStart w:id="152" w:name="_Toc492503592"/>
      <w:bookmarkStart w:id="153" w:name="_Toc492552631"/>
      <w:bookmarkStart w:id="154" w:name="_Toc459732745"/>
      <w:bookmarkStart w:id="155" w:name="_Toc482704122"/>
      <w:bookmarkStart w:id="156" w:name="_Toc517291452"/>
      <w:r>
        <w:rPr>
          <w:rFonts w:hint="eastAsia" w:ascii="宋体" w:hAnsi="宋体" w:cs="宋体"/>
          <w:color w:val="auto"/>
          <w:spacing w:val="7"/>
          <w:kern w:val="0"/>
          <w:sz w:val="24"/>
          <w:shd w:val="clear" w:color="auto" w:fill="FFFFFF"/>
        </w:rPr>
        <w:t>自合同签订之日起30天内完成。</w:t>
      </w:r>
    </w:p>
    <w:p w14:paraId="7C7EF7F2">
      <w:pPr>
        <w:adjustRightInd w:val="0"/>
        <w:snapToGrid w:val="0"/>
        <w:spacing w:line="460" w:lineRule="exact"/>
        <w:rPr>
          <w:rFonts w:hint="eastAsia" w:ascii="宋体" w:hAnsi="宋体" w:cs="宋体"/>
          <w:b/>
          <w:bCs/>
          <w:snapToGrid w:val="0"/>
          <w:color w:val="auto"/>
          <w:kern w:val="0"/>
          <w:sz w:val="24"/>
        </w:rPr>
      </w:pPr>
      <w:r>
        <w:rPr>
          <w:rFonts w:hint="eastAsia" w:ascii="宋体" w:hAnsi="宋体" w:cs="宋体"/>
          <w:b/>
          <w:bCs/>
          <w:snapToGrid w:val="0"/>
          <w:color w:val="auto"/>
          <w:kern w:val="0"/>
          <w:sz w:val="24"/>
        </w:rPr>
        <w:t>五、付款方式</w:t>
      </w:r>
      <w:bookmarkEnd w:id="145"/>
      <w:bookmarkEnd w:id="146"/>
      <w:bookmarkEnd w:id="147"/>
      <w:bookmarkEnd w:id="148"/>
      <w:bookmarkEnd w:id="149"/>
      <w:bookmarkEnd w:id="150"/>
      <w:bookmarkEnd w:id="151"/>
      <w:bookmarkEnd w:id="152"/>
      <w:bookmarkEnd w:id="153"/>
      <w:bookmarkEnd w:id="154"/>
      <w:bookmarkEnd w:id="155"/>
      <w:bookmarkEnd w:id="156"/>
    </w:p>
    <w:p w14:paraId="4C96E32B">
      <w:pPr>
        <w:pStyle w:val="32"/>
        <w:shd w:val="clear" w:color="auto" w:fill="FFFFFF"/>
        <w:spacing w:line="460" w:lineRule="exact"/>
        <w:ind w:firstLine="480" w:firstLineChars="200"/>
        <w:rPr>
          <w:rFonts w:hint="eastAsia"/>
          <w:color w:val="auto"/>
          <w:kern w:val="2"/>
        </w:rPr>
      </w:pPr>
      <w:bookmarkStart w:id="157" w:name="_Toc485837708"/>
      <w:bookmarkStart w:id="158" w:name="_Toc485926825"/>
      <w:bookmarkStart w:id="159" w:name="_Toc492503593"/>
      <w:bookmarkStart w:id="160" w:name="_Toc458668249"/>
      <w:bookmarkStart w:id="161" w:name="_Toc459732746"/>
      <w:bookmarkStart w:id="162" w:name="_Toc23180075"/>
      <w:bookmarkStart w:id="163" w:name="_Toc492542740"/>
      <w:bookmarkStart w:id="164" w:name="_Toc513736852"/>
      <w:bookmarkStart w:id="165" w:name="_Toc482704123"/>
      <w:bookmarkStart w:id="166" w:name="_Toc492552632"/>
      <w:bookmarkStart w:id="167" w:name="_Toc109026586"/>
      <w:bookmarkStart w:id="168" w:name="_Toc517291453"/>
      <w:r>
        <w:rPr>
          <w:color w:val="auto"/>
          <w:kern w:val="2"/>
        </w:rPr>
        <w:t>安装</w:t>
      </w:r>
      <w:r>
        <w:rPr>
          <w:rFonts w:hint="eastAsia"/>
          <w:color w:val="auto"/>
          <w:kern w:val="2"/>
        </w:rPr>
        <w:t>调试</w:t>
      </w:r>
      <w:r>
        <w:rPr>
          <w:color w:val="auto"/>
          <w:kern w:val="2"/>
        </w:rPr>
        <w:t>完成并验收通过后15个工作日内支付至合同总额的95％，剩余5％尾款待试运行满1个月后付清。</w:t>
      </w:r>
    </w:p>
    <w:bookmarkEnd w:id="157"/>
    <w:bookmarkEnd w:id="158"/>
    <w:bookmarkEnd w:id="159"/>
    <w:bookmarkEnd w:id="160"/>
    <w:bookmarkEnd w:id="161"/>
    <w:bookmarkEnd w:id="162"/>
    <w:bookmarkEnd w:id="163"/>
    <w:bookmarkEnd w:id="164"/>
    <w:bookmarkEnd w:id="165"/>
    <w:bookmarkEnd w:id="166"/>
    <w:bookmarkEnd w:id="167"/>
    <w:bookmarkEnd w:id="168"/>
    <w:p w14:paraId="1BEB066B">
      <w:pPr>
        <w:adjustRightInd w:val="0"/>
        <w:snapToGrid w:val="0"/>
        <w:spacing w:line="460" w:lineRule="exact"/>
        <w:rPr>
          <w:rFonts w:hint="eastAsia" w:ascii="宋体" w:hAnsi="宋体" w:cs="宋体"/>
          <w:b/>
          <w:bCs/>
          <w:snapToGrid w:val="0"/>
          <w:color w:val="auto"/>
          <w:kern w:val="0"/>
          <w:sz w:val="24"/>
        </w:rPr>
      </w:pPr>
      <w:bookmarkStart w:id="169" w:name="_Toc485926826"/>
      <w:bookmarkStart w:id="170" w:name="_Toc492542741"/>
      <w:bookmarkStart w:id="171" w:name="_Toc109026587"/>
      <w:bookmarkStart w:id="172" w:name="_Toc517291454"/>
      <w:bookmarkStart w:id="173" w:name="_Toc482704124"/>
      <w:bookmarkStart w:id="174" w:name="_Toc513736853"/>
      <w:bookmarkStart w:id="175" w:name="_Toc485837709"/>
      <w:bookmarkStart w:id="176" w:name="_Toc492552633"/>
      <w:bookmarkStart w:id="177" w:name="_Toc23180076"/>
      <w:bookmarkStart w:id="178" w:name="_Toc459732747"/>
      <w:bookmarkStart w:id="179" w:name="_Toc492503594"/>
      <w:bookmarkStart w:id="180" w:name="_Toc458668250"/>
      <w:r>
        <w:rPr>
          <w:rFonts w:hint="eastAsia" w:ascii="宋体" w:hAnsi="宋体" w:cs="宋体"/>
          <w:b/>
          <w:bCs/>
          <w:snapToGrid w:val="0"/>
          <w:color w:val="auto"/>
          <w:kern w:val="0"/>
          <w:sz w:val="24"/>
        </w:rPr>
        <w:t>六、产权担保</w:t>
      </w:r>
      <w:bookmarkEnd w:id="169"/>
      <w:bookmarkEnd w:id="170"/>
      <w:bookmarkEnd w:id="171"/>
      <w:bookmarkEnd w:id="172"/>
      <w:bookmarkEnd w:id="173"/>
      <w:bookmarkEnd w:id="174"/>
      <w:bookmarkEnd w:id="175"/>
      <w:bookmarkEnd w:id="176"/>
      <w:bookmarkEnd w:id="177"/>
      <w:bookmarkEnd w:id="178"/>
      <w:bookmarkEnd w:id="179"/>
      <w:bookmarkEnd w:id="180"/>
    </w:p>
    <w:p w14:paraId="7835B3AB">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乙方保证所交付货物的所有权完全属于乙方所有，无任何抵押、查封等产权瑕疵。</w:t>
      </w:r>
    </w:p>
    <w:p w14:paraId="07FB6407">
      <w:pPr>
        <w:adjustRightInd w:val="0"/>
        <w:snapToGrid w:val="0"/>
        <w:spacing w:line="460" w:lineRule="exact"/>
        <w:rPr>
          <w:rFonts w:hint="eastAsia" w:ascii="宋体" w:hAnsi="宋体" w:cs="宋体"/>
          <w:b/>
          <w:bCs/>
          <w:snapToGrid w:val="0"/>
          <w:color w:val="auto"/>
          <w:kern w:val="0"/>
          <w:sz w:val="24"/>
        </w:rPr>
      </w:pPr>
      <w:bookmarkStart w:id="181" w:name="_Toc458668251"/>
      <w:bookmarkStart w:id="182" w:name="_Toc492542742"/>
      <w:bookmarkStart w:id="183" w:name="_Toc485926827"/>
      <w:bookmarkStart w:id="184" w:name="_Toc482704125"/>
      <w:bookmarkStart w:id="185" w:name="_Toc517291455"/>
      <w:bookmarkStart w:id="186" w:name="_Toc513736854"/>
      <w:bookmarkStart w:id="187" w:name="_Toc492503595"/>
      <w:bookmarkStart w:id="188" w:name="_Toc109026588"/>
      <w:bookmarkStart w:id="189" w:name="_Toc23180077"/>
      <w:bookmarkStart w:id="190" w:name="_Toc459732748"/>
      <w:bookmarkStart w:id="191" w:name="_Toc492552634"/>
      <w:bookmarkStart w:id="192" w:name="_Toc485837710"/>
      <w:r>
        <w:rPr>
          <w:rFonts w:hint="eastAsia" w:ascii="宋体" w:hAnsi="宋体" w:cs="宋体"/>
          <w:b/>
          <w:bCs/>
          <w:snapToGrid w:val="0"/>
          <w:color w:val="auto"/>
          <w:kern w:val="0"/>
          <w:sz w:val="24"/>
        </w:rPr>
        <w:t>七、知识产权</w:t>
      </w:r>
      <w:bookmarkEnd w:id="181"/>
      <w:bookmarkEnd w:id="182"/>
      <w:bookmarkEnd w:id="183"/>
      <w:bookmarkEnd w:id="184"/>
      <w:bookmarkEnd w:id="185"/>
      <w:bookmarkEnd w:id="186"/>
      <w:bookmarkEnd w:id="187"/>
      <w:bookmarkEnd w:id="188"/>
      <w:bookmarkEnd w:id="189"/>
      <w:bookmarkEnd w:id="190"/>
      <w:bookmarkEnd w:id="191"/>
      <w:bookmarkEnd w:id="192"/>
    </w:p>
    <w:p w14:paraId="5663F76F">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乙方应保证供应产品均为正品，确保甲方在使用、接受本合同标的物和服务或其任何一部分时不受第三方提出侵犯其专利权、版权、商标权和工业设计权等知识产权的起诉，且一旦出现侵权纠纷，由乙方负全部责任。</w:t>
      </w:r>
    </w:p>
    <w:p w14:paraId="27217481">
      <w:pPr>
        <w:adjustRightInd w:val="0"/>
        <w:snapToGrid w:val="0"/>
        <w:spacing w:line="460" w:lineRule="exact"/>
        <w:rPr>
          <w:rFonts w:hint="eastAsia" w:ascii="宋体" w:hAnsi="宋体" w:cs="宋体"/>
          <w:b/>
          <w:bCs/>
          <w:snapToGrid w:val="0"/>
          <w:color w:val="auto"/>
          <w:kern w:val="0"/>
          <w:sz w:val="24"/>
        </w:rPr>
      </w:pPr>
      <w:bookmarkStart w:id="193" w:name="_Toc458668252"/>
      <w:bookmarkStart w:id="194" w:name="_Toc482704126"/>
      <w:bookmarkStart w:id="195" w:name="_Toc492503596"/>
      <w:bookmarkStart w:id="196" w:name="_Toc23180078"/>
      <w:bookmarkStart w:id="197" w:name="_Toc492552635"/>
      <w:bookmarkStart w:id="198" w:name="_Toc517291456"/>
      <w:bookmarkStart w:id="199" w:name="_Toc492542743"/>
      <w:bookmarkStart w:id="200" w:name="_Toc459732749"/>
      <w:bookmarkStart w:id="201" w:name="_Toc513736855"/>
      <w:bookmarkStart w:id="202" w:name="_Toc485837711"/>
      <w:bookmarkStart w:id="203" w:name="_Toc485926828"/>
      <w:bookmarkStart w:id="204" w:name="_Toc109026589"/>
      <w:r>
        <w:rPr>
          <w:rFonts w:hint="eastAsia" w:ascii="宋体" w:hAnsi="宋体" w:cs="宋体"/>
          <w:b/>
          <w:bCs/>
          <w:snapToGrid w:val="0"/>
          <w:color w:val="auto"/>
          <w:kern w:val="0"/>
          <w:sz w:val="24"/>
        </w:rPr>
        <w:t>八、双方的权利和义务</w:t>
      </w:r>
      <w:bookmarkEnd w:id="193"/>
      <w:bookmarkEnd w:id="194"/>
      <w:bookmarkEnd w:id="195"/>
      <w:bookmarkEnd w:id="196"/>
      <w:bookmarkEnd w:id="197"/>
      <w:bookmarkEnd w:id="198"/>
      <w:bookmarkEnd w:id="199"/>
      <w:bookmarkEnd w:id="200"/>
      <w:bookmarkEnd w:id="201"/>
      <w:bookmarkEnd w:id="202"/>
      <w:bookmarkEnd w:id="203"/>
      <w:bookmarkEnd w:id="204"/>
    </w:p>
    <w:p w14:paraId="2B94C512">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（一）甲方的权利和义务</w:t>
      </w:r>
    </w:p>
    <w:p w14:paraId="671A6C3F">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1.负责协调乙方合同履行过程中与现场各工种的关系，配合乙方做好成品保护工作；</w:t>
      </w:r>
    </w:p>
    <w:p w14:paraId="2C0B9BB4">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2.负责协调乙方处理合同履行过程中遇到的与甲方有关问题，并尽可能为乙方的实施工作提供便利；</w:t>
      </w:r>
    </w:p>
    <w:p w14:paraId="0855223D">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3.及时回应乙方现场人员对甲方有关于合同方面问题的咨询；</w:t>
      </w:r>
    </w:p>
    <w:p w14:paraId="48F1F023">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 xml:space="preserve">4.严格按照乙方所提供的说明书对货物进行安装、操作及维护保养；  </w:t>
      </w:r>
    </w:p>
    <w:p w14:paraId="2C4EC3D6">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5.有权利对乙方的资质及产品情况进行考察和了解、对乙方履行合同的情况进行监督；</w:t>
      </w:r>
    </w:p>
    <w:p w14:paraId="6DA2B2A6">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6.负责对乙方提供产品安装调试后的验收；</w:t>
      </w:r>
    </w:p>
    <w:p w14:paraId="601E3666">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7.按合同约定支付相关款项。</w:t>
      </w:r>
    </w:p>
    <w:p w14:paraId="1359DA42">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8.其他：</w:t>
      </w:r>
    </w:p>
    <w:p w14:paraId="17788D7F">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（二）乙方的权利和义务</w:t>
      </w:r>
    </w:p>
    <w:p w14:paraId="651F4D96">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1.乙方确保承接项目符合国家标准。若没有国家标准，应确保符合相关行业标准。</w:t>
      </w:r>
    </w:p>
    <w:p w14:paraId="1180811F">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2.负责保证项目现场的安全，做好成品保护工作。</w:t>
      </w:r>
    </w:p>
    <w:p w14:paraId="00D4EE24">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3.对于甲方的通知、变更、调整等事项的答复均采用书面形式，并由专人送达甲方。</w:t>
      </w:r>
    </w:p>
    <w:p w14:paraId="07D06E7A">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4.保证按质、按量提供合同约定的产品，并确保所提供的系统附着任何第三方权利，受国家法律保护，是全新的、未使用的、正宗合格正品，附件和文件资料完整、数量齐全，并完全达到甲方的使用需求。</w:t>
      </w:r>
    </w:p>
    <w:p w14:paraId="370CA3EF">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5.负责对所有产品或设备提供免费安装、调试和技术培训等工作，对所售产品随时提供免费的技术指导、咨询、问题解答以及产品使用情况跟踪等服务和支持。</w:t>
      </w:r>
    </w:p>
    <w:p w14:paraId="22AAF674">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6.所有产品送货上门，在甲方指定地点完成安装、调试及培训工作，直至该产品完全符合甲方需求；</w:t>
      </w:r>
    </w:p>
    <w:p w14:paraId="63E822A8">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7.所提供的产品版权受国家法律保护，且有权向甲方了解产品的使用、维护、保养情况。</w:t>
      </w:r>
    </w:p>
    <w:p w14:paraId="1AA4186F">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8.所提供的产品在运输、纳税和销售等过程中的所有手续均为合法，且承担所有关联责任。</w:t>
      </w:r>
    </w:p>
    <w:p w14:paraId="79DA904B">
      <w:pPr>
        <w:widowControl/>
        <w:adjustRightInd w:val="0"/>
        <w:snapToGrid w:val="0"/>
        <w:spacing w:line="460" w:lineRule="exact"/>
        <w:ind w:firstLine="480" w:firstLineChars="200"/>
        <w:jc w:val="left"/>
        <w:rPr>
          <w:rFonts w:hint="eastAsia" w:ascii="宋体" w:hAnsi="宋体" w:cs="宋体"/>
          <w:snapToGrid w:val="0"/>
          <w:color w:val="auto"/>
          <w:kern w:val="0"/>
          <w:sz w:val="24"/>
        </w:rPr>
      </w:pPr>
      <w:r>
        <w:rPr>
          <w:rFonts w:hint="eastAsia" w:ascii="宋体" w:hAnsi="宋体" w:cs="宋体"/>
          <w:snapToGrid w:val="0"/>
          <w:color w:val="auto"/>
          <w:kern w:val="0"/>
          <w:sz w:val="24"/>
        </w:rPr>
        <w:t>9.有权要求甲方按合同规定时间支付合同货款。</w:t>
      </w:r>
    </w:p>
    <w:p w14:paraId="06A176CF">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 xml:space="preserve">10.保证按合同规定时间完工，提交完整的技术文档和用户手册，并积极配合甲方对工程项目的验收。 </w:t>
      </w:r>
    </w:p>
    <w:p w14:paraId="165B3538">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11.未经甲方书面同意及授权，乙方不得以任何方式将项目转交给其他单位开发、建设或由其他单位提供相关服务。</w:t>
      </w:r>
    </w:p>
    <w:p w14:paraId="21DCC521">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12.按照《投标文件》中所制定的质量及工期，安排甲方所需项目的实施和培训。对于甲方所提供的信息和资源保守秘密，不得对外泄露甲方的数据机密。</w:t>
      </w:r>
    </w:p>
    <w:p w14:paraId="12198854">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13.负责对甲方的设备维修管理人员进行培训并做好保修的服务工作、安装调试，提供安装必要的工具。</w:t>
      </w:r>
    </w:p>
    <w:p w14:paraId="7F33572D">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14.项目施工参与人员的保险、安全等一切责任由乙方自行承担。</w:t>
      </w:r>
    </w:p>
    <w:p w14:paraId="4F18020A">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15.乙方因实施本项目中运输、安装、调试等而对第三人造成损害的，由乙方自行承担一切责任。</w:t>
      </w:r>
    </w:p>
    <w:p w14:paraId="2B3BD2BD">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16.其他：</w:t>
      </w:r>
    </w:p>
    <w:p w14:paraId="1D64FFA2">
      <w:pPr>
        <w:adjustRightInd w:val="0"/>
        <w:snapToGrid w:val="0"/>
        <w:spacing w:line="460" w:lineRule="exact"/>
        <w:rPr>
          <w:rFonts w:hint="eastAsia" w:ascii="宋体" w:hAnsi="宋体" w:cs="宋体"/>
          <w:b/>
          <w:bCs/>
          <w:snapToGrid w:val="0"/>
          <w:color w:val="auto"/>
          <w:kern w:val="0"/>
          <w:sz w:val="24"/>
        </w:rPr>
      </w:pPr>
      <w:bookmarkStart w:id="205" w:name="_Toc459732754"/>
      <w:bookmarkStart w:id="206" w:name="_Toc492552640"/>
      <w:bookmarkStart w:id="207" w:name="_Toc492542748"/>
      <w:bookmarkStart w:id="208" w:name="_Toc513736860"/>
      <w:bookmarkStart w:id="209" w:name="_Toc109026594"/>
      <w:bookmarkStart w:id="210" w:name="_Toc517291461"/>
      <w:bookmarkStart w:id="211" w:name="_Toc482704131"/>
      <w:bookmarkStart w:id="212" w:name="_Toc485837716"/>
      <w:bookmarkStart w:id="213" w:name="_Toc23180083"/>
      <w:bookmarkStart w:id="214" w:name="_Toc492503601"/>
      <w:bookmarkStart w:id="215" w:name="_Toc458668257"/>
      <w:bookmarkStart w:id="216" w:name="_Toc485926833"/>
      <w:r>
        <w:rPr>
          <w:rFonts w:hint="eastAsia" w:ascii="宋体" w:hAnsi="宋体" w:cs="宋体"/>
          <w:b/>
          <w:bCs/>
          <w:snapToGrid w:val="0"/>
          <w:color w:val="auto"/>
          <w:kern w:val="0"/>
          <w:sz w:val="24"/>
        </w:rPr>
        <w:t>九、通知与送达</w:t>
      </w:r>
      <w:bookmarkEnd w:id="205"/>
      <w:bookmarkEnd w:id="206"/>
      <w:bookmarkEnd w:id="207"/>
      <w:bookmarkEnd w:id="208"/>
      <w:bookmarkEnd w:id="209"/>
      <w:bookmarkEnd w:id="210"/>
      <w:bookmarkEnd w:id="211"/>
      <w:bookmarkEnd w:id="212"/>
      <w:bookmarkEnd w:id="213"/>
      <w:bookmarkEnd w:id="214"/>
      <w:bookmarkEnd w:id="215"/>
      <w:bookmarkEnd w:id="216"/>
    </w:p>
    <w:p w14:paraId="22177504">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本合同中的任何通知或意见必须通过书面形式予以传递。</w:t>
      </w:r>
    </w:p>
    <w:p w14:paraId="0B04D37B">
      <w:pPr>
        <w:adjustRightInd w:val="0"/>
        <w:snapToGrid w:val="0"/>
        <w:spacing w:line="460" w:lineRule="exact"/>
        <w:rPr>
          <w:rFonts w:hint="eastAsia" w:ascii="宋体" w:hAnsi="宋体" w:cs="宋体"/>
          <w:b/>
          <w:bCs/>
          <w:snapToGrid w:val="0"/>
          <w:color w:val="auto"/>
          <w:kern w:val="0"/>
          <w:sz w:val="24"/>
        </w:rPr>
      </w:pPr>
      <w:bookmarkStart w:id="217" w:name="_Toc492552641"/>
      <w:bookmarkStart w:id="218" w:name="_Toc23180084"/>
      <w:bookmarkStart w:id="219" w:name="_Toc458668258"/>
      <w:bookmarkStart w:id="220" w:name="_Toc517291462"/>
      <w:bookmarkStart w:id="221" w:name="_Toc482704132"/>
      <w:bookmarkStart w:id="222" w:name="_Toc109026595"/>
      <w:bookmarkStart w:id="223" w:name="_Toc485926834"/>
      <w:bookmarkStart w:id="224" w:name="_Toc513736861"/>
      <w:bookmarkStart w:id="225" w:name="_Toc492542749"/>
      <w:bookmarkStart w:id="226" w:name="_Toc492503602"/>
      <w:bookmarkStart w:id="227" w:name="_Toc485837717"/>
      <w:bookmarkStart w:id="228" w:name="_Toc459732755"/>
      <w:r>
        <w:rPr>
          <w:rFonts w:hint="eastAsia" w:ascii="宋体" w:hAnsi="宋体" w:cs="宋体"/>
          <w:b/>
          <w:bCs/>
          <w:snapToGrid w:val="0"/>
          <w:color w:val="auto"/>
          <w:kern w:val="0"/>
          <w:sz w:val="24"/>
        </w:rPr>
        <w:t>十、转包或分包</w:t>
      </w:r>
      <w:bookmarkEnd w:id="217"/>
      <w:bookmarkEnd w:id="218"/>
      <w:bookmarkEnd w:id="219"/>
      <w:bookmarkEnd w:id="220"/>
      <w:bookmarkEnd w:id="221"/>
      <w:bookmarkEnd w:id="222"/>
      <w:bookmarkEnd w:id="223"/>
      <w:bookmarkEnd w:id="224"/>
      <w:bookmarkEnd w:id="225"/>
      <w:bookmarkEnd w:id="226"/>
      <w:bookmarkEnd w:id="227"/>
      <w:bookmarkEnd w:id="228"/>
    </w:p>
    <w:p w14:paraId="69D029C5">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（一）本合同范围的货物，应由乙方直接提供。</w:t>
      </w:r>
    </w:p>
    <w:p w14:paraId="363A5963">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（二）除非得到甲方的书面同意，乙方不得将合同标的分包给他人。</w:t>
      </w:r>
    </w:p>
    <w:p w14:paraId="5FDE2E05">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（三）如有转让和未经甲方同意的分包行为，甲方有权终止合同，并由乙方承担违约责任，解除合同的效力自甲方的解除通知到达乙方时生效。</w:t>
      </w:r>
    </w:p>
    <w:p w14:paraId="1F6057AB">
      <w:pPr>
        <w:adjustRightInd w:val="0"/>
        <w:snapToGrid w:val="0"/>
        <w:spacing w:line="460" w:lineRule="exact"/>
        <w:rPr>
          <w:rFonts w:hint="eastAsia" w:ascii="宋体" w:hAnsi="宋体" w:cs="宋体"/>
          <w:b/>
          <w:bCs/>
          <w:snapToGrid w:val="0"/>
          <w:color w:val="auto"/>
          <w:kern w:val="0"/>
          <w:sz w:val="24"/>
        </w:rPr>
      </w:pPr>
      <w:bookmarkStart w:id="229" w:name="_Toc492542750"/>
      <w:bookmarkStart w:id="230" w:name="_Toc482704133"/>
      <w:bookmarkStart w:id="231" w:name="_Toc492503603"/>
      <w:bookmarkStart w:id="232" w:name="_Toc458668259"/>
      <w:bookmarkStart w:id="233" w:name="_Toc513736862"/>
      <w:bookmarkStart w:id="234" w:name="_Toc485837718"/>
      <w:bookmarkStart w:id="235" w:name="_Toc517291463"/>
      <w:bookmarkStart w:id="236" w:name="_Toc492552642"/>
      <w:bookmarkStart w:id="237" w:name="_Toc485926835"/>
      <w:bookmarkStart w:id="238" w:name="_Toc109026596"/>
      <w:bookmarkStart w:id="239" w:name="_Toc459732756"/>
      <w:bookmarkStart w:id="240" w:name="_Toc23180085"/>
      <w:r>
        <w:rPr>
          <w:rFonts w:hint="eastAsia" w:ascii="宋体" w:hAnsi="宋体" w:cs="宋体"/>
          <w:b/>
          <w:bCs/>
          <w:snapToGrid w:val="0"/>
          <w:color w:val="auto"/>
          <w:kern w:val="0"/>
          <w:sz w:val="24"/>
        </w:rPr>
        <w:t>十一、违约责任</w:t>
      </w:r>
      <w:bookmarkEnd w:id="229"/>
      <w:bookmarkEnd w:id="230"/>
      <w:bookmarkEnd w:id="231"/>
      <w:bookmarkEnd w:id="232"/>
      <w:bookmarkEnd w:id="233"/>
      <w:bookmarkEnd w:id="234"/>
      <w:bookmarkEnd w:id="235"/>
      <w:bookmarkEnd w:id="236"/>
      <w:bookmarkEnd w:id="237"/>
      <w:bookmarkEnd w:id="238"/>
      <w:bookmarkEnd w:id="239"/>
      <w:bookmarkEnd w:id="240"/>
    </w:p>
    <w:p w14:paraId="725CCD76">
      <w:pPr>
        <w:widowControl/>
        <w:adjustRightInd w:val="0"/>
        <w:snapToGrid w:val="0"/>
        <w:spacing w:line="460" w:lineRule="exact"/>
        <w:ind w:firstLine="420"/>
        <w:jc w:val="left"/>
        <w:rPr>
          <w:rFonts w:hint="eastAsia" w:ascii="宋体" w:hAnsi="宋体" w:cs="宋体"/>
          <w:snapToGrid w:val="0"/>
          <w:color w:val="auto"/>
          <w:kern w:val="0"/>
          <w:sz w:val="24"/>
        </w:rPr>
      </w:pPr>
      <w:r>
        <w:rPr>
          <w:rFonts w:hint="eastAsia" w:ascii="宋体" w:hAnsi="宋体" w:cs="宋体"/>
          <w:snapToGrid w:val="0"/>
          <w:color w:val="auto"/>
          <w:kern w:val="0"/>
          <w:sz w:val="24"/>
        </w:rPr>
        <w:t>本合同双方必须严格遵守；如有违反，违约一方必须承担违约责任并赔偿因其违约行为给另一方造成的经济损失：</w:t>
      </w:r>
    </w:p>
    <w:p w14:paraId="4F037F94">
      <w:pPr>
        <w:widowControl/>
        <w:adjustRightInd w:val="0"/>
        <w:snapToGrid w:val="0"/>
        <w:spacing w:line="460" w:lineRule="exact"/>
        <w:ind w:firstLine="420"/>
        <w:jc w:val="left"/>
        <w:rPr>
          <w:rFonts w:hint="eastAsia" w:ascii="宋体" w:hAnsi="宋体" w:cs="宋体"/>
          <w:snapToGrid w:val="0"/>
          <w:color w:val="auto"/>
          <w:kern w:val="0"/>
          <w:sz w:val="24"/>
        </w:rPr>
      </w:pPr>
      <w:r>
        <w:rPr>
          <w:rFonts w:hint="eastAsia" w:ascii="宋体" w:hAnsi="宋体" w:cs="宋体"/>
          <w:snapToGrid w:val="0"/>
          <w:color w:val="auto"/>
          <w:kern w:val="0"/>
          <w:sz w:val="24"/>
        </w:rPr>
        <w:t>（一）甲方无正当理由拒绝履行合同、拒付合同款的，由甲方向乙方偿付合同总价的5%违约金。</w:t>
      </w:r>
    </w:p>
    <w:p w14:paraId="01228DFD">
      <w:pPr>
        <w:widowControl/>
        <w:adjustRightInd w:val="0"/>
        <w:snapToGrid w:val="0"/>
        <w:spacing w:line="460" w:lineRule="exact"/>
        <w:ind w:firstLine="420"/>
        <w:jc w:val="left"/>
        <w:rPr>
          <w:rFonts w:hint="eastAsia" w:ascii="宋体" w:hAnsi="宋体" w:cs="宋体"/>
          <w:snapToGrid w:val="0"/>
          <w:color w:val="auto"/>
          <w:kern w:val="0"/>
          <w:sz w:val="24"/>
        </w:rPr>
      </w:pPr>
      <w:r>
        <w:rPr>
          <w:rFonts w:hint="eastAsia" w:ascii="宋体" w:hAnsi="宋体" w:cs="宋体"/>
          <w:snapToGrid w:val="0"/>
          <w:color w:val="auto"/>
          <w:kern w:val="0"/>
          <w:sz w:val="24"/>
        </w:rPr>
        <w:t>（二）甲方未按合同规定的期限向乙方支付货款的，每逾期1天甲方向乙方偿付欠款总额的1‰违约金，但累计违约金总额不超过欠款总额的5%。</w:t>
      </w:r>
    </w:p>
    <w:p w14:paraId="1C463A72">
      <w:pPr>
        <w:widowControl/>
        <w:adjustRightInd w:val="0"/>
        <w:snapToGrid w:val="0"/>
        <w:spacing w:line="460" w:lineRule="exact"/>
        <w:ind w:firstLine="420"/>
        <w:jc w:val="left"/>
        <w:rPr>
          <w:rFonts w:hint="eastAsia" w:ascii="宋体" w:hAnsi="宋体" w:cs="宋体"/>
          <w:snapToGrid w:val="0"/>
          <w:color w:val="auto"/>
          <w:kern w:val="0"/>
          <w:sz w:val="24"/>
        </w:rPr>
      </w:pPr>
      <w:r>
        <w:rPr>
          <w:rFonts w:hint="eastAsia" w:ascii="宋体" w:hAnsi="宋体" w:cs="宋体"/>
          <w:snapToGrid w:val="0"/>
          <w:color w:val="auto"/>
          <w:kern w:val="0"/>
          <w:sz w:val="24"/>
        </w:rPr>
        <w:t>（三）如乙方不能如期履行合同，甲方有权扣留全部保证金，同时乙方应向甲方支付合同总价5%的违约金。如乙方逾期完成合同内容达10天，甲方有权解除合同，解除合同的通知自到达乙方时生效，同时，乙方应向甲方承担合同总价20%的违约金及其他相关损失。</w:t>
      </w:r>
    </w:p>
    <w:p w14:paraId="0217501A">
      <w:pPr>
        <w:widowControl/>
        <w:adjustRightInd w:val="0"/>
        <w:snapToGrid w:val="0"/>
        <w:spacing w:line="460" w:lineRule="exact"/>
        <w:ind w:firstLine="420"/>
        <w:jc w:val="left"/>
        <w:rPr>
          <w:rFonts w:hint="eastAsia" w:ascii="宋体" w:hAnsi="宋体" w:cs="宋体"/>
          <w:snapToGrid w:val="0"/>
          <w:color w:val="auto"/>
          <w:kern w:val="0"/>
          <w:sz w:val="24"/>
        </w:rPr>
      </w:pPr>
      <w:r>
        <w:rPr>
          <w:rFonts w:hint="eastAsia" w:ascii="宋体" w:hAnsi="宋体" w:cs="宋体"/>
          <w:snapToGrid w:val="0"/>
          <w:color w:val="auto"/>
          <w:kern w:val="0"/>
          <w:sz w:val="24"/>
        </w:rPr>
        <w:t>（四）乙方所交付的产品不符合合同规定的，甲方有权拒收。乙方愿意更换产品但逾期交货的，按本条前款规定的乙方逾期交货情形处理。乙方拒绝更换货物的，甲方有权解除合同，解除合同的通知自到达乙方时生效，同时，乙方应向甲方承担合同总价20%的违约金及其他相关损失。</w:t>
      </w:r>
    </w:p>
    <w:p w14:paraId="12824826">
      <w:pPr>
        <w:widowControl/>
        <w:adjustRightInd w:val="0"/>
        <w:snapToGrid w:val="0"/>
        <w:spacing w:line="460" w:lineRule="exact"/>
        <w:ind w:firstLine="420"/>
        <w:jc w:val="left"/>
        <w:rPr>
          <w:rFonts w:hint="eastAsia" w:ascii="宋体" w:hAnsi="宋体" w:cs="宋体"/>
          <w:snapToGrid w:val="0"/>
          <w:color w:val="auto"/>
          <w:kern w:val="0"/>
          <w:sz w:val="24"/>
        </w:rPr>
      </w:pPr>
      <w:r>
        <w:rPr>
          <w:rFonts w:hint="eastAsia" w:ascii="宋体" w:hAnsi="宋体" w:cs="宋体"/>
          <w:snapToGrid w:val="0"/>
          <w:color w:val="auto"/>
          <w:kern w:val="0"/>
          <w:sz w:val="24"/>
        </w:rPr>
        <w:t>（五）在乙方承诺的或国家规定的质量保证期内（取两者中最长的期限），如经乙方两次维修或更换，产品仍不能达到合同约定的质量标准，甲方有权退货和解除合同，同时，乙方应无条件退回全部货款，并应向甲方承担合同总价10%的违约金及其他相关损失。</w:t>
      </w:r>
    </w:p>
    <w:p w14:paraId="5CAF98A7">
      <w:pPr>
        <w:widowControl/>
        <w:adjustRightInd w:val="0"/>
        <w:snapToGrid w:val="0"/>
        <w:spacing w:line="460" w:lineRule="exact"/>
        <w:ind w:firstLine="420"/>
        <w:jc w:val="left"/>
        <w:rPr>
          <w:rFonts w:hint="eastAsia" w:ascii="宋体" w:hAnsi="宋体" w:cs="宋体"/>
          <w:snapToGrid w:val="0"/>
          <w:color w:val="auto"/>
          <w:kern w:val="0"/>
          <w:sz w:val="24"/>
        </w:rPr>
      </w:pPr>
      <w:r>
        <w:rPr>
          <w:rFonts w:hint="eastAsia" w:ascii="宋体" w:hAnsi="宋体" w:cs="宋体"/>
          <w:snapToGrid w:val="0"/>
          <w:color w:val="auto"/>
          <w:kern w:val="0"/>
          <w:sz w:val="24"/>
        </w:rPr>
        <w:t>（六）乙方未按本合同的规定和“服务承诺”提供伴随服务/售后服务的，按合同总价的5%向甲方承担违约责任。</w:t>
      </w:r>
    </w:p>
    <w:p w14:paraId="26E46920">
      <w:pPr>
        <w:widowControl/>
        <w:adjustRightInd w:val="0"/>
        <w:snapToGrid w:val="0"/>
        <w:spacing w:line="460" w:lineRule="exact"/>
        <w:ind w:firstLine="420"/>
        <w:jc w:val="left"/>
        <w:rPr>
          <w:rFonts w:hint="eastAsia" w:ascii="宋体" w:hAnsi="宋体" w:cs="宋体"/>
          <w:snapToGrid w:val="0"/>
          <w:color w:val="auto"/>
          <w:kern w:val="0"/>
          <w:sz w:val="24"/>
        </w:rPr>
      </w:pPr>
      <w:r>
        <w:rPr>
          <w:rFonts w:hint="eastAsia" w:ascii="宋体" w:hAnsi="宋体" w:cs="宋体"/>
          <w:snapToGrid w:val="0"/>
          <w:color w:val="auto"/>
          <w:kern w:val="0"/>
          <w:sz w:val="24"/>
        </w:rPr>
        <w:t>（七）如有转让和未经甲方同意的分包行为，甲方有权终止合同，并由乙方承担合同总价20%违约责任，解除合同的效力自甲方的解除通知到达乙方时生效。</w:t>
      </w:r>
    </w:p>
    <w:p w14:paraId="0DEDD2B0">
      <w:pPr>
        <w:adjustRightInd w:val="0"/>
        <w:snapToGrid w:val="0"/>
        <w:spacing w:line="460" w:lineRule="exact"/>
        <w:rPr>
          <w:rFonts w:hint="eastAsia" w:ascii="宋体" w:hAnsi="宋体" w:cs="宋体"/>
          <w:b/>
          <w:bCs/>
          <w:snapToGrid w:val="0"/>
          <w:color w:val="auto"/>
          <w:kern w:val="0"/>
          <w:sz w:val="24"/>
        </w:rPr>
      </w:pPr>
      <w:bookmarkStart w:id="241" w:name="_Toc492552643"/>
      <w:bookmarkStart w:id="242" w:name="_Toc459732757"/>
      <w:bookmarkStart w:id="243" w:name="_Toc517291464"/>
      <w:bookmarkStart w:id="244" w:name="_Toc492542751"/>
      <w:bookmarkStart w:id="245" w:name="_Toc23180086"/>
      <w:bookmarkStart w:id="246" w:name="_Toc485837719"/>
      <w:bookmarkStart w:id="247" w:name="_Toc482704134"/>
      <w:bookmarkStart w:id="248" w:name="_Toc513736863"/>
      <w:bookmarkStart w:id="249" w:name="_Toc109026597"/>
      <w:bookmarkStart w:id="250" w:name="_Toc458668260"/>
      <w:bookmarkStart w:id="251" w:name="_Toc485926836"/>
      <w:bookmarkStart w:id="252" w:name="_Toc492503604"/>
      <w:r>
        <w:rPr>
          <w:rFonts w:hint="eastAsia" w:ascii="宋体" w:hAnsi="宋体" w:cs="宋体"/>
          <w:b/>
          <w:bCs/>
          <w:snapToGrid w:val="0"/>
          <w:color w:val="auto"/>
          <w:kern w:val="0"/>
          <w:sz w:val="24"/>
        </w:rPr>
        <w:t>十二、不可抗力</w:t>
      </w:r>
      <w:bookmarkEnd w:id="241"/>
      <w:bookmarkEnd w:id="242"/>
      <w:bookmarkEnd w:id="243"/>
      <w:bookmarkEnd w:id="244"/>
      <w:bookmarkEnd w:id="245"/>
      <w:bookmarkEnd w:id="246"/>
      <w:bookmarkEnd w:id="247"/>
      <w:bookmarkEnd w:id="248"/>
      <w:bookmarkEnd w:id="249"/>
      <w:bookmarkEnd w:id="250"/>
      <w:bookmarkEnd w:id="251"/>
      <w:bookmarkEnd w:id="252"/>
    </w:p>
    <w:p w14:paraId="3D751F67">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一）合同任何一方如因不可抗力事件导致无法履行或迟延履行本合同，不承担违约责任，但受影响的一方必须在不可抗力事件发生后三天内及时以书面方式通知另一方，并在十五天内提供有关政府或主管机关签发的相关证明，以证实不可抗力事件的发生，随之，受影响的一方可在不可抗力事件持续期间内暂停履行其义务，并被允许可以相应延期履行，其中延迟的时间等于不可抗力发生作用的时间。</w:t>
      </w:r>
    </w:p>
    <w:p w14:paraId="05ABF31D">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不可抗力事件指天灾、水灾、风灾、地震、及其他极端恶劣的自然因素，战争、非暴力反抗、政府行为、签订协议时未生效的法令、政府或任何其他权力机构的限制、及其他不能预见、不能避免，且不能克服的情况。</w:t>
      </w:r>
    </w:p>
    <w:p w14:paraId="508DFBEA">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（二）如因不可抗力事件造成合同目的根本无法得到履行或迟延履行协议将超过三个月，则任何一方都可以终止本合同，但必须书面通知另一方。任何一方因不可抗力事件而提出终止合同，均不承担违约责任。</w:t>
      </w:r>
    </w:p>
    <w:p w14:paraId="7F68B52C">
      <w:pPr>
        <w:adjustRightInd w:val="0"/>
        <w:snapToGrid w:val="0"/>
        <w:spacing w:line="460" w:lineRule="exact"/>
        <w:rPr>
          <w:rFonts w:hint="eastAsia" w:ascii="宋体" w:hAnsi="宋体" w:cs="宋体"/>
          <w:b/>
          <w:bCs/>
          <w:snapToGrid w:val="0"/>
          <w:color w:val="auto"/>
          <w:kern w:val="0"/>
          <w:sz w:val="24"/>
        </w:rPr>
      </w:pPr>
      <w:bookmarkStart w:id="253" w:name="_Toc492503605"/>
      <w:bookmarkStart w:id="254" w:name="_Toc482704135"/>
      <w:bookmarkStart w:id="255" w:name="_Toc517291465"/>
      <w:bookmarkStart w:id="256" w:name="_Toc513736864"/>
      <w:bookmarkStart w:id="257" w:name="_Toc492552644"/>
      <w:bookmarkStart w:id="258" w:name="_Toc492542752"/>
      <w:bookmarkStart w:id="259" w:name="_Toc109026598"/>
      <w:bookmarkStart w:id="260" w:name="_Toc458668261"/>
      <w:bookmarkStart w:id="261" w:name="_Toc485837720"/>
      <w:bookmarkStart w:id="262" w:name="_Toc23180087"/>
      <w:bookmarkStart w:id="263" w:name="_Toc459732758"/>
      <w:bookmarkStart w:id="264" w:name="_Toc485926837"/>
      <w:r>
        <w:rPr>
          <w:rFonts w:hint="eastAsia" w:ascii="宋体" w:hAnsi="宋体" w:cs="宋体"/>
          <w:b/>
          <w:bCs/>
          <w:snapToGrid w:val="0"/>
          <w:color w:val="auto"/>
          <w:kern w:val="0"/>
          <w:sz w:val="24"/>
        </w:rPr>
        <w:t>十三、合同的变更、解除与终止</w:t>
      </w:r>
      <w:bookmarkEnd w:id="253"/>
      <w:bookmarkEnd w:id="254"/>
      <w:bookmarkEnd w:id="255"/>
      <w:bookmarkEnd w:id="256"/>
      <w:bookmarkEnd w:id="257"/>
      <w:bookmarkEnd w:id="258"/>
      <w:bookmarkEnd w:id="259"/>
      <w:bookmarkEnd w:id="260"/>
      <w:bookmarkEnd w:id="261"/>
      <w:bookmarkEnd w:id="262"/>
      <w:bookmarkEnd w:id="263"/>
      <w:bookmarkEnd w:id="264"/>
    </w:p>
    <w:p w14:paraId="16EBC039">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（一）合同生效后当双方人事发生变动时，本合同规定的权利和义务继续执行。</w:t>
      </w:r>
    </w:p>
    <w:p w14:paraId="1A5FDE75">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（二）合同生效后，除不可抗力外，一般不得解除。若因设计变更确需解除或变更合同时，要求解除或变更的一方应提前10天通知对方，在符合规范的前提下经双方协商后进行书面解除或变更。</w:t>
      </w:r>
    </w:p>
    <w:p w14:paraId="114561AE">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（三）因变更所产生的增减费用应参照本合同中相同部分的价格，如无相同部分的价格则参照相近部分的价格作为依据调整。</w:t>
      </w:r>
    </w:p>
    <w:p w14:paraId="15A939A7">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（四）所有经双方确认的变更内容将作为乙方提供的实际服务和甲方最终付款的依据。</w:t>
      </w:r>
    </w:p>
    <w:p w14:paraId="715181B1">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（五）一旦合同任意一方出现根本性违约行为，另一方有权解除合同，但应提前10天通知对方。</w:t>
      </w:r>
    </w:p>
    <w:p w14:paraId="21707DFE">
      <w:pPr>
        <w:adjustRightInd w:val="0"/>
        <w:snapToGrid w:val="0"/>
        <w:spacing w:line="460" w:lineRule="exact"/>
        <w:rPr>
          <w:rFonts w:hint="eastAsia" w:ascii="宋体" w:hAnsi="宋体" w:cs="宋体"/>
          <w:b/>
          <w:bCs/>
          <w:snapToGrid w:val="0"/>
          <w:color w:val="auto"/>
          <w:kern w:val="0"/>
          <w:sz w:val="24"/>
        </w:rPr>
      </w:pPr>
      <w:bookmarkStart w:id="265" w:name="_Toc517291466"/>
      <w:bookmarkStart w:id="266" w:name="_Toc492503606"/>
      <w:bookmarkStart w:id="267" w:name="_Toc109026599"/>
      <w:bookmarkStart w:id="268" w:name="_Toc23180088"/>
      <w:bookmarkStart w:id="269" w:name="_Toc459732759"/>
      <w:bookmarkStart w:id="270" w:name="_Toc485926838"/>
      <w:bookmarkStart w:id="271" w:name="_Toc485837721"/>
      <w:bookmarkStart w:id="272" w:name="_Toc513736865"/>
      <w:bookmarkStart w:id="273" w:name="_Toc482704136"/>
      <w:bookmarkStart w:id="274" w:name="_Toc458668262"/>
      <w:bookmarkStart w:id="275" w:name="_Toc492542753"/>
      <w:bookmarkStart w:id="276" w:name="_Toc492552645"/>
      <w:r>
        <w:rPr>
          <w:rFonts w:hint="eastAsia" w:ascii="宋体" w:hAnsi="宋体" w:cs="宋体"/>
          <w:b/>
          <w:bCs/>
          <w:snapToGrid w:val="0"/>
          <w:color w:val="auto"/>
          <w:kern w:val="0"/>
          <w:sz w:val="24"/>
        </w:rPr>
        <w:t>十四、合同纠纷的解决</w:t>
      </w:r>
      <w:bookmarkEnd w:id="265"/>
      <w:bookmarkEnd w:id="266"/>
      <w:bookmarkEnd w:id="267"/>
      <w:bookmarkEnd w:id="268"/>
      <w:bookmarkEnd w:id="269"/>
      <w:bookmarkEnd w:id="270"/>
      <w:bookmarkEnd w:id="271"/>
      <w:bookmarkEnd w:id="272"/>
      <w:bookmarkEnd w:id="273"/>
      <w:bookmarkEnd w:id="274"/>
      <w:bookmarkEnd w:id="275"/>
      <w:bookmarkEnd w:id="276"/>
    </w:p>
    <w:p w14:paraId="078F54E2">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如甲、乙双方因合同而发生纠纷，可互相协商，协商不成，可向甲方所在地人民法院起诉。</w:t>
      </w:r>
    </w:p>
    <w:p w14:paraId="047EB5A5">
      <w:pPr>
        <w:adjustRightInd w:val="0"/>
        <w:snapToGrid w:val="0"/>
        <w:spacing w:line="460" w:lineRule="exact"/>
        <w:rPr>
          <w:rFonts w:hint="eastAsia" w:ascii="宋体" w:hAnsi="宋体" w:cs="宋体"/>
          <w:b/>
          <w:bCs/>
          <w:snapToGrid w:val="0"/>
          <w:color w:val="auto"/>
          <w:kern w:val="0"/>
          <w:sz w:val="24"/>
        </w:rPr>
      </w:pPr>
      <w:bookmarkStart w:id="277" w:name="_Toc492552646"/>
      <w:bookmarkStart w:id="278" w:name="_Toc492503607"/>
      <w:bookmarkStart w:id="279" w:name="_Toc485837722"/>
      <w:bookmarkStart w:id="280" w:name="_Toc482704137"/>
      <w:bookmarkStart w:id="281" w:name="_Toc492542754"/>
      <w:bookmarkStart w:id="282" w:name="_Toc458668263"/>
      <w:bookmarkStart w:id="283" w:name="_Toc23180089"/>
      <w:bookmarkStart w:id="284" w:name="_Toc109026600"/>
      <w:bookmarkStart w:id="285" w:name="_Toc513736866"/>
      <w:bookmarkStart w:id="286" w:name="_Toc517291467"/>
      <w:bookmarkStart w:id="287" w:name="_Toc485926839"/>
      <w:bookmarkStart w:id="288" w:name="_Toc459732760"/>
      <w:r>
        <w:rPr>
          <w:rFonts w:hint="eastAsia" w:ascii="宋体" w:hAnsi="宋体" w:cs="宋体"/>
          <w:b/>
          <w:bCs/>
          <w:snapToGrid w:val="0"/>
          <w:color w:val="auto"/>
          <w:kern w:val="0"/>
          <w:sz w:val="24"/>
        </w:rPr>
        <w:t>十五、组成本合同的文件包括</w:t>
      </w:r>
      <w:bookmarkEnd w:id="277"/>
      <w:bookmarkEnd w:id="278"/>
      <w:bookmarkEnd w:id="279"/>
      <w:bookmarkEnd w:id="280"/>
      <w:bookmarkEnd w:id="281"/>
      <w:bookmarkEnd w:id="282"/>
      <w:bookmarkEnd w:id="283"/>
      <w:bookmarkEnd w:id="284"/>
      <w:bookmarkEnd w:id="285"/>
      <w:bookmarkEnd w:id="286"/>
      <w:bookmarkEnd w:id="287"/>
      <w:bookmarkEnd w:id="288"/>
    </w:p>
    <w:p w14:paraId="4B6A81B1">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本合同书、采购文件、采购文件澄清与修改文件、投标文件、授予合同通知书、双方有关该采购项目的洽商、变更等书面协议或文件、纪要文件。</w:t>
      </w:r>
    </w:p>
    <w:p w14:paraId="3FADEDDF">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以上文件是构成合同书不可分割的部分，均作为本合同的附件，与合同具备同等法律效力。</w:t>
      </w:r>
    </w:p>
    <w:p w14:paraId="15CE2026">
      <w:pPr>
        <w:adjustRightInd w:val="0"/>
        <w:snapToGrid w:val="0"/>
        <w:spacing w:line="460" w:lineRule="exact"/>
        <w:rPr>
          <w:rFonts w:hint="eastAsia" w:ascii="宋体" w:hAnsi="宋体" w:cs="宋体"/>
          <w:b/>
          <w:bCs/>
          <w:snapToGrid w:val="0"/>
          <w:color w:val="auto"/>
          <w:kern w:val="0"/>
          <w:sz w:val="24"/>
        </w:rPr>
      </w:pPr>
      <w:bookmarkStart w:id="289" w:name="_Toc459732761"/>
      <w:bookmarkStart w:id="290" w:name="_Toc485837723"/>
      <w:bookmarkStart w:id="291" w:name="_Toc485926840"/>
      <w:bookmarkStart w:id="292" w:name="_Toc458668264"/>
      <w:bookmarkStart w:id="293" w:name="_Toc513736867"/>
      <w:bookmarkStart w:id="294" w:name="_Toc517291468"/>
      <w:bookmarkStart w:id="295" w:name="_Toc109026601"/>
      <w:bookmarkStart w:id="296" w:name="_Toc492542755"/>
      <w:bookmarkStart w:id="297" w:name="_Toc482704138"/>
      <w:bookmarkStart w:id="298" w:name="_Toc492503608"/>
      <w:bookmarkStart w:id="299" w:name="_Toc492552647"/>
      <w:bookmarkStart w:id="300" w:name="_Toc23180090"/>
      <w:r>
        <w:rPr>
          <w:rFonts w:hint="eastAsia" w:ascii="宋体" w:hAnsi="宋体" w:cs="宋体"/>
          <w:b/>
          <w:bCs/>
          <w:snapToGrid w:val="0"/>
          <w:color w:val="auto"/>
          <w:kern w:val="0"/>
          <w:sz w:val="24"/>
        </w:rPr>
        <w:t>十六、其他条款</w:t>
      </w:r>
      <w:bookmarkEnd w:id="289"/>
      <w:bookmarkEnd w:id="290"/>
      <w:bookmarkEnd w:id="291"/>
      <w:bookmarkEnd w:id="292"/>
      <w:bookmarkEnd w:id="293"/>
      <w:bookmarkEnd w:id="294"/>
      <w:bookmarkEnd w:id="295"/>
      <w:bookmarkEnd w:id="296"/>
      <w:bookmarkEnd w:id="297"/>
      <w:bookmarkEnd w:id="298"/>
      <w:bookmarkEnd w:id="299"/>
      <w:bookmarkEnd w:id="300"/>
    </w:p>
    <w:p w14:paraId="4BDD9771">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（一）甲、乙双方对本合同的条款已充分阅读，完全理解每一条款的真实意思表示，愿意签订并遵守本合同的全部约定。</w:t>
      </w:r>
    </w:p>
    <w:p w14:paraId="626D5D13">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（二）本合同所涉及的专利费等知识产权方面的问题、费用由乙方负责。因知识产权引起的法律纠纷，一律由乙方负责解决。</w:t>
      </w:r>
    </w:p>
    <w:p w14:paraId="6EA41986">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（三）乙方法定代表人或联系人在履行合同过程中对甲方所作的任何承诺、通知等，都对乙方具有约束力，具有不可撤销性。</w:t>
      </w:r>
    </w:p>
    <w:p w14:paraId="6C68AC5F">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（四）乙方联系地址、电话等发生变化的，应当及时通知到甲方，在乙方通知到甲方前，甲方按本合同列明的联系方式无法与乙方联系的，由乙方承担相应的责任。</w:t>
      </w:r>
    </w:p>
    <w:p w14:paraId="22C0F43E">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（五）乙方应当在签订合同时向甲方提供其合法经营的证明文件，并作为本合同的附件。</w:t>
      </w:r>
    </w:p>
    <w:p w14:paraId="74060A9B">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（六）本合同一式陆份，甲方执叁份，乙方执叁份。</w:t>
      </w:r>
    </w:p>
    <w:p w14:paraId="7F2BB6E2">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（七）本合同的未尽事宜，以《中华人民共和国民法典》和其它有关法律、法规规定为准，无相关规定的，双方协商解决，经双方协商可签订补充协议，所签订的补充协议与本合同具有同等的法律效力。</w:t>
      </w:r>
    </w:p>
    <w:p w14:paraId="3BC4D754">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（以下无正文）</w:t>
      </w:r>
    </w:p>
    <w:p w14:paraId="75E22E3A">
      <w:pPr>
        <w:pStyle w:val="25"/>
        <w:rPr>
          <w:rFonts w:hint="eastAsia" w:ascii="宋体" w:hAnsi="宋体" w:cs="宋体"/>
          <w:snapToGrid w:val="0"/>
          <w:color w:val="auto"/>
          <w:sz w:val="24"/>
        </w:rPr>
      </w:pPr>
    </w:p>
    <w:tbl>
      <w:tblPr>
        <w:tblStyle w:val="37"/>
        <w:tblW w:w="0" w:type="auto"/>
        <w:tblInd w:w="0" w:type="dxa"/>
        <w:tblLayout w:type="fixed"/>
        <w:tblCellMar>
          <w:top w:w="0" w:type="dxa"/>
          <w:left w:w="108" w:type="dxa"/>
          <w:bottom w:w="0" w:type="dxa"/>
          <w:right w:w="108" w:type="dxa"/>
        </w:tblCellMar>
      </w:tblPr>
      <w:tblGrid>
        <w:gridCol w:w="2091"/>
        <w:gridCol w:w="2157"/>
        <w:gridCol w:w="2158"/>
        <w:gridCol w:w="2343"/>
      </w:tblGrid>
      <w:tr w14:paraId="4D340AAD">
        <w:tblPrEx>
          <w:tblCellMar>
            <w:top w:w="0" w:type="dxa"/>
            <w:left w:w="108" w:type="dxa"/>
            <w:bottom w:w="0" w:type="dxa"/>
            <w:right w:w="108" w:type="dxa"/>
          </w:tblCellMar>
        </w:tblPrEx>
        <w:trPr>
          <w:trHeight w:val="363" w:hRule="atLeast"/>
        </w:trPr>
        <w:tc>
          <w:tcPr>
            <w:tcW w:w="2091" w:type="dxa"/>
            <w:vAlign w:val="center"/>
          </w:tcPr>
          <w:p w14:paraId="2F14A95D">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甲 方：</w:t>
            </w:r>
          </w:p>
        </w:tc>
        <w:tc>
          <w:tcPr>
            <w:tcW w:w="2157" w:type="dxa"/>
            <w:vAlign w:val="center"/>
          </w:tcPr>
          <w:p w14:paraId="64F3C7D5">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（公章）</w:t>
            </w:r>
          </w:p>
        </w:tc>
        <w:tc>
          <w:tcPr>
            <w:tcW w:w="2158" w:type="dxa"/>
            <w:vAlign w:val="center"/>
          </w:tcPr>
          <w:p w14:paraId="2F631D8E">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乙 方：</w:t>
            </w:r>
          </w:p>
        </w:tc>
        <w:tc>
          <w:tcPr>
            <w:tcW w:w="2343" w:type="dxa"/>
            <w:vAlign w:val="center"/>
          </w:tcPr>
          <w:p w14:paraId="26EC7D4C">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（公章）</w:t>
            </w:r>
          </w:p>
        </w:tc>
      </w:tr>
      <w:tr w14:paraId="5AA7ED60">
        <w:tblPrEx>
          <w:tblCellMar>
            <w:top w:w="0" w:type="dxa"/>
            <w:left w:w="108" w:type="dxa"/>
            <w:bottom w:w="0" w:type="dxa"/>
            <w:right w:w="108" w:type="dxa"/>
          </w:tblCellMar>
        </w:tblPrEx>
        <w:trPr>
          <w:trHeight w:val="313" w:hRule="atLeast"/>
        </w:trPr>
        <w:tc>
          <w:tcPr>
            <w:tcW w:w="2091" w:type="dxa"/>
            <w:vAlign w:val="center"/>
          </w:tcPr>
          <w:p w14:paraId="4A463EBE">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住 所：</w:t>
            </w:r>
          </w:p>
        </w:tc>
        <w:tc>
          <w:tcPr>
            <w:tcW w:w="2157" w:type="dxa"/>
            <w:vAlign w:val="center"/>
          </w:tcPr>
          <w:p w14:paraId="1E32CC1D">
            <w:pPr>
              <w:adjustRightInd w:val="0"/>
              <w:snapToGrid w:val="0"/>
              <w:spacing w:line="460" w:lineRule="exact"/>
              <w:rPr>
                <w:rFonts w:hint="eastAsia" w:ascii="宋体" w:hAnsi="宋体" w:cs="宋体"/>
                <w:snapToGrid w:val="0"/>
                <w:color w:val="auto"/>
                <w:kern w:val="0"/>
                <w:sz w:val="24"/>
              </w:rPr>
            </w:pPr>
          </w:p>
        </w:tc>
        <w:tc>
          <w:tcPr>
            <w:tcW w:w="2158" w:type="dxa"/>
            <w:vAlign w:val="center"/>
          </w:tcPr>
          <w:p w14:paraId="260A3611">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住 所：</w:t>
            </w:r>
          </w:p>
        </w:tc>
        <w:tc>
          <w:tcPr>
            <w:tcW w:w="2343" w:type="dxa"/>
            <w:vAlign w:val="center"/>
          </w:tcPr>
          <w:p w14:paraId="04CCD34F">
            <w:pPr>
              <w:adjustRightInd w:val="0"/>
              <w:snapToGrid w:val="0"/>
              <w:spacing w:line="460" w:lineRule="exact"/>
              <w:rPr>
                <w:rFonts w:hint="eastAsia" w:ascii="宋体" w:hAnsi="宋体" w:cs="宋体"/>
                <w:snapToGrid w:val="0"/>
                <w:color w:val="auto"/>
                <w:kern w:val="0"/>
                <w:sz w:val="24"/>
              </w:rPr>
            </w:pPr>
          </w:p>
        </w:tc>
      </w:tr>
      <w:tr w14:paraId="67E816BA">
        <w:trPr>
          <w:trHeight w:val="477" w:hRule="atLeast"/>
        </w:trPr>
        <w:tc>
          <w:tcPr>
            <w:tcW w:w="2091" w:type="dxa"/>
            <w:vAlign w:val="center"/>
          </w:tcPr>
          <w:p w14:paraId="19994200">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法定代表人：</w:t>
            </w:r>
          </w:p>
        </w:tc>
        <w:tc>
          <w:tcPr>
            <w:tcW w:w="2157" w:type="dxa"/>
            <w:vAlign w:val="center"/>
          </w:tcPr>
          <w:p w14:paraId="7741FF32">
            <w:pPr>
              <w:adjustRightInd w:val="0"/>
              <w:snapToGrid w:val="0"/>
              <w:spacing w:line="460" w:lineRule="exact"/>
              <w:rPr>
                <w:rFonts w:hint="eastAsia" w:ascii="宋体" w:hAnsi="宋体" w:cs="宋体"/>
                <w:snapToGrid w:val="0"/>
                <w:color w:val="auto"/>
                <w:kern w:val="0"/>
                <w:sz w:val="24"/>
              </w:rPr>
            </w:pPr>
          </w:p>
        </w:tc>
        <w:tc>
          <w:tcPr>
            <w:tcW w:w="2158" w:type="dxa"/>
            <w:vAlign w:val="center"/>
          </w:tcPr>
          <w:p w14:paraId="73C6ABE8">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法定代表人：</w:t>
            </w:r>
          </w:p>
        </w:tc>
        <w:tc>
          <w:tcPr>
            <w:tcW w:w="2343" w:type="dxa"/>
            <w:vAlign w:val="center"/>
          </w:tcPr>
          <w:p w14:paraId="11345B81">
            <w:pPr>
              <w:adjustRightInd w:val="0"/>
              <w:snapToGrid w:val="0"/>
              <w:spacing w:line="460" w:lineRule="exact"/>
              <w:rPr>
                <w:rFonts w:hint="eastAsia" w:ascii="宋体" w:hAnsi="宋体" w:cs="宋体"/>
                <w:snapToGrid w:val="0"/>
                <w:color w:val="auto"/>
                <w:kern w:val="0"/>
                <w:sz w:val="24"/>
              </w:rPr>
            </w:pPr>
          </w:p>
        </w:tc>
      </w:tr>
      <w:tr w14:paraId="55F7785F">
        <w:tblPrEx>
          <w:tblCellMar>
            <w:top w:w="0" w:type="dxa"/>
            <w:left w:w="108" w:type="dxa"/>
            <w:bottom w:w="0" w:type="dxa"/>
            <w:right w:w="108" w:type="dxa"/>
          </w:tblCellMar>
        </w:tblPrEx>
        <w:trPr>
          <w:trHeight w:val="471" w:hRule="atLeast"/>
        </w:trPr>
        <w:tc>
          <w:tcPr>
            <w:tcW w:w="2091" w:type="dxa"/>
            <w:vAlign w:val="center"/>
          </w:tcPr>
          <w:p w14:paraId="1398A473">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委托代理人：</w:t>
            </w:r>
          </w:p>
        </w:tc>
        <w:tc>
          <w:tcPr>
            <w:tcW w:w="2157" w:type="dxa"/>
            <w:vAlign w:val="center"/>
          </w:tcPr>
          <w:p w14:paraId="28FD0979">
            <w:pPr>
              <w:adjustRightInd w:val="0"/>
              <w:snapToGrid w:val="0"/>
              <w:spacing w:line="460" w:lineRule="exact"/>
              <w:rPr>
                <w:rFonts w:hint="eastAsia" w:ascii="宋体" w:hAnsi="宋体" w:cs="宋体"/>
                <w:snapToGrid w:val="0"/>
                <w:color w:val="auto"/>
                <w:kern w:val="0"/>
                <w:sz w:val="24"/>
              </w:rPr>
            </w:pPr>
          </w:p>
        </w:tc>
        <w:tc>
          <w:tcPr>
            <w:tcW w:w="2158" w:type="dxa"/>
            <w:vAlign w:val="center"/>
          </w:tcPr>
          <w:p w14:paraId="6FE9A58A">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委托代理人：</w:t>
            </w:r>
          </w:p>
        </w:tc>
        <w:tc>
          <w:tcPr>
            <w:tcW w:w="2343" w:type="dxa"/>
            <w:vAlign w:val="center"/>
          </w:tcPr>
          <w:p w14:paraId="551B56CD">
            <w:pPr>
              <w:adjustRightInd w:val="0"/>
              <w:snapToGrid w:val="0"/>
              <w:spacing w:line="460" w:lineRule="exact"/>
              <w:rPr>
                <w:rFonts w:hint="eastAsia" w:ascii="宋体" w:hAnsi="宋体" w:cs="宋体"/>
                <w:snapToGrid w:val="0"/>
                <w:color w:val="auto"/>
                <w:kern w:val="0"/>
                <w:sz w:val="24"/>
              </w:rPr>
            </w:pPr>
          </w:p>
        </w:tc>
      </w:tr>
      <w:tr w14:paraId="65E635CE">
        <w:tblPrEx>
          <w:tblCellMar>
            <w:top w:w="0" w:type="dxa"/>
            <w:left w:w="108" w:type="dxa"/>
            <w:bottom w:w="0" w:type="dxa"/>
            <w:right w:w="108" w:type="dxa"/>
          </w:tblCellMar>
        </w:tblPrEx>
        <w:trPr>
          <w:trHeight w:val="501" w:hRule="atLeast"/>
        </w:trPr>
        <w:tc>
          <w:tcPr>
            <w:tcW w:w="2091" w:type="dxa"/>
            <w:vAlign w:val="center"/>
          </w:tcPr>
          <w:p w14:paraId="6FFD5540">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使用部门联系人：</w:t>
            </w:r>
          </w:p>
        </w:tc>
        <w:tc>
          <w:tcPr>
            <w:tcW w:w="2157" w:type="dxa"/>
            <w:vAlign w:val="center"/>
          </w:tcPr>
          <w:p w14:paraId="15B0EAC7">
            <w:pPr>
              <w:adjustRightInd w:val="0"/>
              <w:snapToGrid w:val="0"/>
              <w:spacing w:line="460" w:lineRule="exact"/>
              <w:rPr>
                <w:rFonts w:hint="eastAsia" w:ascii="宋体" w:hAnsi="宋体" w:cs="宋体"/>
                <w:snapToGrid w:val="0"/>
                <w:color w:val="auto"/>
                <w:kern w:val="0"/>
                <w:sz w:val="24"/>
              </w:rPr>
            </w:pPr>
          </w:p>
        </w:tc>
        <w:tc>
          <w:tcPr>
            <w:tcW w:w="2158" w:type="dxa"/>
            <w:vAlign w:val="center"/>
          </w:tcPr>
          <w:p w14:paraId="4919CEB5">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联系人：</w:t>
            </w:r>
          </w:p>
        </w:tc>
        <w:tc>
          <w:tcPr>
            <w:tcW w:w="2343" w:type="dxa"/>
            <w:vAlign w:val="center"/>
          </w:tcPr>
          <w:p w14:paraId="1ED4E501">
            <w:pPr>
              <w:adjustRightInd w:val="0"/>
              <w:snapToGrid w:val="0"/>
              <w:spacing w:line="460" w:lineRule="exact"/>
              <w:rPr>
                <w:rFonts w:hint="eastAsia" w:ascii="宋体" w:hAnsi="宋体" w:cs="宋体"/>
                <w:snapToGrid w:val="0"/>
                <w:color w:val="auto"/>
                <w:kern w:val="0"/>
                <w:sz w:val="24"/>
              </w:rPr>
            </w:pPr>
          </w:p>
        </w:tc>
      </w:tr>
      <w:tr w14:paraId="611707D3">
        <w:tblPrEx>
          <w:tblCellMar>
            <w:top w:w="0" w:type="dxa"/>
            <w:left w:w="108" w:type="dxa"/>
            <w:bottom w:w="0" w:type="dxa"/>
            <w:right w:w="108" w:type="dxa"/>
          </w:tblCellMar>
        </w:tblPrEx>
        <w:trPr>
          <w:trHeight w:val="351" w:hRule="atLeast"/>
        </w:trPr>
        <w:tc>
          <w:tcPr>
            <w:tcW w:w="2091" w:type="dxa"/>
            <w:vAlign w:val="center"/>
          </w:tcPr>
          <w:p w14:paraId="170120DB">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电 话/传真：</w:t>
            </w:r>
          </w:p>
        </w:tc>
        <w:tc>
          <w:tcPr>
            <w:tcW w:w="2157" w:type="dxa"/>
            <w:vAlign w:val="center"/>
          </w:tcPr>
          <w:p w14:paraId="4FBEF34D">
            <w:pPr>
              <w:adjustRightInd w:val="0"/>
              <w:snapToGrid w:val="0"/>
              <w:spacing w:line="460" w:lineRule="exact"/>
              <w:rPr>
                <w:rFonts w:hint="eastAsia" w:ascii="宋体" w:hAnsi="宋体" w:cs="宋体"/>
                <w:snapToGrid w:val="0"/>
                <w:color w:val="auto"/>
                <w:kern w:val="0"/>
                <w:sz w:val="24"/>
              </w:rPr>
            </w:pPr>
          </w:p>
        </w:tc>
        <w:tc>
          <w:tcPr>
            <w:tcW w:w="2158" w:type="dxa"/>
            <w:vAlign w:val="center"/>
          </w:tcPr>
          <w:p w14:paraId="71AEC4EB">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电 话/传真</w:t>
            </w:r>
          </w:p>
        </w:tc>
        <w:tc>
          <w:tcPr>
            <w:tcW w:w="2343" w:type="dxa"/>
            <w:vAlign w:val="center"/>
          </w:tcPr>
          <w:p w14:paraId="74D82DDA">
            <w:pPr>
              <w:adjustRightInd w:val="0"/>
              <w:snapToGrid w:val="0"/>
              <w:spacing w:line="460" w:lineRule="exact"/>
              <w:rPr>
                <w:rFonts w:hint="eastAsia" w:ascii="宋体" w:hAnsi="宋体" w:cs="宋体"/>
                <w:snapToGrid w:val="0"/>
                <w:color w:val="auto"/>
                <w:kern w:val="0"/>
                <w:sz w:val="24"/>
              </w:rPr>
            </w:pPr>
          </w:p>
        </w:tc>
      </w:tr>
      <w:tr w14:paraId="4505526D">
        <w:tblPrEx>
          <w:tblCellMar>
            <w:top w:w="0" w:type="dxa"/>
            <w:left w:w="108" w:type="dxa"/>
            <w:bottom w:w="0" w:type="dxa"/>
            <w:right w:w="108" w:type="dxa"/>
          </w:tblCellMar>
        </w:tblPrEx>
        <w:trPr>
          <w:trHeight w:val="363" w:hRule="atLeast"/>
        </w:trPr>
        <w:tc>
          <w:tcPr>
            <w:tcW w:w="2091" w:type="dxa"/>
            <w:vAlign w:val="center"/>
          </w:tcPr>
          <w:p w14:paraId="06342290">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开户银行：</w:t>
            </w:r>
          </w:p>
        </w:tc>
        <w:tc>
          <w:tcPr>
            <w:tcW w:w="2157" w:type="dxa"/>
            <w:vAlign w:val="center"/>
          </w:tcPr>
          <w:p w14:paraId="019D2B07">
            <w:pPr>
              <w:adjustRightInd w:val="0"/>
              <w:snapToGrid w:val="0"/>
              <w:spacing w:line="460" w:lineRule="exact"/>
              <w:rPr>
                <w:rFonts w:hint="eastAsia" w:ascii="宋体" w:hAnsi="宋体" w:cs="宋体"/>
                <w:snapToGrid w:val="0"/>
                <w:color w:val="auto"/>
                <w:kern w:val="0"/>
                <w:sz w:val="24"/>
              </w:rPr>
            </w:pPr>
          </w:p>
        </w:tc>
        <w:tc>
          <w:tcPr>
            <w:tcW w:w="2158" w:type="dxa"/>
            <w:vAlign w:val="center"/>
          </w:tcPr>
          <w:p w14:paraId="26913E50">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开户银行：</w:t>
            </w:r>
          </w:p>
        </w:tc>
        <w:tc>
          <w:tcPr>
            <w:tcW w:w="2343" w:type="dxa"/>
            <w:vAlign w:val="center"/>
          </w:tcPr>
          <w:p w14:paraId="1556AF62">
            <w:pPr>
              <w:adjustRightInd w:val="0"/>
              <w:snapToGrid w:val="0"/>
              <w:spacing w:line="460" w:lineRule="exact"/>
              <w:rPr>
                <w:rFonts w:hint="eastAsia" w:ascii="宋体" w:hAnsi="宋体" w:cs="宋体"/>
                <w:snapToGrid w:val="0"/>
                <w:color w:val="auto"/>
                <w:kern w:val="0"/>
                <w:sz w:val="24"/>
              </w:rPr>
            </w:pPr>
          </w:p>
        </w:tc>
      </w:tr>
      <w:tr w14:paraId="6ABFEB37">
        <w:tblPrEx>
          <w:tblCellMar>
            <w:top w:w="0" w:type="dxa"/>
            <w:left w:w="108" w:type="dxa"/>
            <w:bottom w:w="0" w:type="dxa"/>
            <w:right w:w="108" w:type="dxa"/>
          </w:tblCellMar>
        </w:tblPrEx>
        <w:trPr>
          <w:trHeight w:val="199" w:hRule="atLeast"/>
        </w:trPr>
        <w:tc>
          <w:tcPr>
            <w:tcW w:w="2091" w:type="dxa"/>
            <w:vAlign w:val="center"/>
          </w:tcPr>
          <w:p w14:paraId="20BC698B">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账 号：</w:t>
            </w:r>
          </w:p>
        </w:tc>
        <w:tc>
          <w:tcPr>
            <w:tcW w:w="2157" w:type="dxa"/>
            <w:vAlign w:val="center"/>
          </w:tcPr>
          <w:p w14:paraId="7C0B625C">
            <w:pPr>
              <w:adjustRightInd w:val="0"/>
              <w:snapToGrid w:val="0"/>
              <w:spacing w:line="460" w:lineRule="exact"/>
              <w:rPr>
                <w:rFonts w:hint="eastAsia" w:ascii="宋体" w:hAnsi="宋体" w:cs="宋体"/>
                <w:snapToGrid w:val="0"/>
                <w:color w:val="auto"/>
                <w:kern w:val="0"/>
                <w:sz w:val="24"/>
              </w:rPr>
            </w:pPr>
          </w:p>
        </w:tc>
        <w:tc>
          <w:tcPr>
            <w:tcW w:w="2158" w:type="dxa"/>
            <w:vAlign w:val="center"/>
          </w:tcPr>
          <w:p w14:paraId="1F999EA0">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账 号：</w:t>
            </w:r>
          </w:p>
        </w:tc>
        <w:tc>
          <w:tcPr>
            <w:tcW w:w="2343" w:type="dxa"/>
            <w:vAlign w:val="center"/>
          </w:tcPr>
          <w:p w14:paraId="6251E229">
            <w:pPr>
              <w:adjustRightInd w:val="0"/>
              <w:snapToGrid w:val="0"/>
              <w:spacing w:line="460" w:lineRule="exact"/>
              <w:rPr>
                <w:rFonts w:hint="eastAsia" w:ascii="宋体" w:hAnsi="宋体" w:cs="宋体"/>
                <w:snapToGrid w:val="0"/>
                <w:color w:val="auto"/>
                <w:kern w:val="0"/>
                <w:sz w:val="24"/>
              </w:rPr>
            </w:pPr>
          </w:p>
        </w:tc>
      </w:tr>
      <w:tr w14:paraId="1487D312">
        <w:tblPrEx>
          <w:tblCellMar>
            <w:top w:w="0" w:type="dxa"/>
            <w:left w:w="108" w:type="dxa"/>
            <w:bottom w:w="0" w:type="dxa"/>
            <w:right w:w="108" w:type="dxa"/>
          </w:tblCellMar>
        </w:tblPrEx>
        <w:trPr>
          <w:trHeight w:val="312" w:hRule="atLeast"/>
        </w:trPr>
        <w:tc>
          <w:tcPr>
            <w:tcW w:w="2091" w:type="dxa"/>
            <w:vAlign w:val="center"/>
          </w:tcPr>
          <w:p w14:paraId="039A5369">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邮 编：</w:t>
            </w:r>
          </w:p>
        </w:tc>
        <w:tc>
          <w:tcPr>
            <w:tcW w:w="2157" w:type="dxa"/>
            <w:vAlign w:val="center"/>
          </w:tcPr>
          <w:p w14:paraId="48D8FECA">
            <w:pPr>
              <w:adjustRightInd w:val="0"/>
              <w:snapToGrid w:val="0"/>
              <w:spacing w:line="460" w:lineRule="exact"/>
              <w:rPr>
                <w:rFonts w:hint="eastAsia" w:ascii="宋体" w:hAnsi="宋体" w:cs="宋体"/>
                <w:snapToGrid w:val="0"/>
                <w:color w:val="auto"/>
                <w:kern w:val="0"/>
                <w:sz w:val="24"/>
              </w:rPr>
            </w:pPr>
          </w:p>
        </w:tc>
        <w:tc>
          <w:tcPr>
            <w:tcW w:w="2158" w:type="dxa"/>
            <w:vAlign w:val="center"/>
          </w:tcPr>
          <w:p w14:paraId="27809F10">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邮 编：</w:t>
            </w:r>
          </w:p>
        </w:tc>
        <w:tc>
          <w:tcPr>
            <w:tcW w:w="2343" w:type="dxa"/>
            <w:vAlign w:val="center"/>
          </w:tcPr>
          <w:p w14:paraId="2F39F04B">
            <w:pPr>
              <w:adjustRightInd w:val="0"/>
              <w:snapToGrid w:val="0"/>
              <w:spacing w:line="460" w:lineRule="exact"/>
              <w:rPr>
                <w:rFonts w:hint="eastAsia" w:ascii="宋体" w:hAnsi="宋体" w:cs="宋体"/>
                <w:snapToGrid w:val="0"/>
                <w:color w:val="auto"/>
                <w:kern w:val="0"/>
                <w:sz w:val="24"/>
              </w:rPr>
            </w:pPr>
          </w:p>
        </w:tc>
      </w:tr>
      <w:tr w14:paraId="6B64E6EA">
        <w:tblPrEx>
          <w:tblCellMar>
            <w:top w:w="0" w:type="dxa"/>
            <w:left w:w="108" w:type="dxa"/>
            <w:bottom w:w="0" w:type="dxa"/>
            <w:right w:w="108" w:type="dxa"/>
          </w:tblCellMar>
        </w:tblPrEx>
        <w:trPr>
          <w:trHeight w:val="318" w:hRule="atLeast"/>
        </w:trPr>
        <w:tc>
          <w:tcPr>
            <w:tcW w:w="2091" w:type="dxa"/>
            <w:vAlign w:val="center"/>
          </w:tcPr>
          <w:p w14:paraId="1E10EF4B">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签订日期</w:t>
            </w:r>
          </w:p>
        </w:tc>
        <w:tc>
          <w:tcPr>
            <w:tcW w:w="2157" w:type="dxa"/>
            <w:vAlign w:val="center"/>
          </w:tcPr>
          <w:p w14:paraId="0A6F8883">
            <w:pPr>
              <w:adjustRightInd w:val="0"/>
              <w:snapToGrid w:val="0"/>
              <w:spacing w:line="460" w:lineRule="exact"/>
              <w:ind w:firstLine="360" w:firstLineChars="150"/>
              <w:rPr>
                <w:rFonts w:hint="eastAsia" w:ascii="宋体" w:hAnsi="宋体" w:cs="宋体"/>
                <w:snapToGrid w:val="0"/>
                <w:color w:val="auto"/>
                <w:kern w:val="0"/>
                <w:sz w:val="24"/>
              </w:rPr>
            </w:pPr>
            <w:r>
              <w:rPr>
                <w:rFonts w:hint="eastAsia" w:ascii="宋体" w:hAnsi="宋体" w:cs="宋体"/>
                <w:snapToGrid w:val="0"/>
                <w:color w:val="auto"/>
                <w:kern w:val="0"/>
                <w:sz w:val="24"/>
              </w:rPr>
              <w:t>年  月   日</w:t>
            </w:r>
          </w:p>
        </w:tc>
        <w:tc>
          <w:tcPr>
            <w:tcW w:w="2158" w:type="dxa"/>
            <w:vAlign w:val="center"/>
          </w:tcPr>
          <w:p w14:paraId="47A04BC0">
            <w:pPr>
              <w:adjustRightInd w:val="0"/>
              <w:snapToGrid w:val="0"/>
              <w:spacing w:line="460" w:lineRule="exact"/>
              <w:rPr>
                <w:rFonts w:hint="eastAsia" w:ascii="宋体" w:hAnsi="宋体" w:cs="宋体"/>
                <w:snapToGrid w:val="0"/>
                <w:color w:val="auto"/>
                <w:kern w:val="0"/>
                <w:sz w:val="24"/>
              </w:rPr>
            </w:pPr>
            <w:r>
              <w:rPr>
                <w:rFonts w:hint="eastAsia" w:ascii="宋体" w:hAnsi="宋体" w:cs="宋体"/>
                <w:snapToGrid w:val="0"/>
                <w:color w:val="auto"/>
                <w:kern w:val="0"/>
                <w:sz w:val="24"/>
              </w:rPr>
              <w:t>签订日期</w:t>
            </w:r>
          </w:p>
        </w:tc>
        <w:tc>
          <w:tcPr>
            <w:tcW w:w="2343" w:type="dxa"/>
            <w:vAlign w:val="center"/>
          </w:tcPr>
          <w:p w14:paraId="26CEA2AB">
            <w:pPr>
              <w:adjustRightInd w:val="0"/>
              <w:snapToGrid w:val="0"/>
              <w:spacing w:line="460" w:lineRule="exact"/>
              <w:ind w:firstLine="480" w:firstLineChars="200"/>
              <w:rPr>
                <w:rFonts w:hint="eastAsia" w:ascii="宋体" w:hAnsi="宋体" w:cs="宋体"/>
                <w:snapToGrid w:val="0"/>
                <w:color w:val="auto"/>
                <w:kern w:val="0"/>
                <w:sz w:val="24"/>
              </w:rPr>
            </w:pPr>
            <w:r>
              <w:rPr>
                <w:rFonts w:hint="eastAsia" w:ascii="宋体" w:hAnsi="宋体" w:cs="宋体"/>
                <w:snapToGrid w:val="0"/>
                <w:color w:val="auto"/>
                <w:kern w:val="0"/>
                <w:sz w:val="24"/>
              </w:rPr>
              <w:t>年  月  日</w:t>
            </w:r>
          </w:p>
        </w:tc>
      </w:tr>
    </w:tbl>
    <w:p w14:paraId="0E3D0D78">
      <w:pPr>
        <w:adjustRightInd w:val="0"/>
        <w:snapToGrid w:val="0"/>
        <w:spacing w:line="460" w:lineRule="exact"/>
        <w:jc w:val="center"/>
        <w:textAlignment w:val="baseline"/>
        <w:outlineLvl w:val="0"/>
        <w:rPr>
          <w:rFonts w:hint="eastAsia" w:ascii="宋体" w:hAnsi="宋体" w:cs="黑体"/>
          <w:b/>
          <w:bCs/>
          <w:color w:val="auto"/>
          <w:sz w:val="32"/>
          <w:szCs w:val="32"/>
        </w:rPr>
      </w:pPr>
    </w:p>
    <w:p w14:paraId="6DFC576D">
      <w:pPr>
        <w:adjustRightInd w:val="0"/>
        <w:snapToGrid w:val="0"/>
        <w:spacing w:line="460" w:lineRule="exact"/>
        <w:jc w:val="center"/>
        <w:textAlignment w:val="baseline"/>
        <w:outlineLvl w:val="0"/>
        <w:rPr>
          <w:rFonts w:hint="eastAsia" w:ascii="宋体" w:hAnsi="宋体" w:cs="宋体"/>
          <w:bCs/>
          <w:color w:val="auto"/>
          <w:sz w:val="32"/>
          <w:szCs w:val="32"/>
        </w:rPr>
        <w:sectPr>
          <w:pgSz w:w="11906" w:h="16838"/>
          <w:pgMar w:top="1440" w:right="1080" w:bottom="1440" w:left="1080" w:header="851" w:footer="992" w:gutter="0"/>
          <w:cols w:space="720" w:num="1"/>
          <w:docGrid w:type="lines" w:linePitch="312" w:charSpace="0"/>
        </w:sectPr>
      </w:pPr>
    </w:p>
    <w:p w14:paraId="12AD5423">
      <w:pPr>
        <w:adjustRightInd w:val="0"/>
        <w:snapToGrid w:val="0"/>
        <w:spacing w:line="460" w:lineRule="exact"/>
        <w:jc w:val="center"/>
        <w:textAlignment w:val="baseline"/>
        <w:outlineLvl w:val="0"/>
        <w:rPr>
          <w:rFonts w:hint="eastAsia" w:ascii="宋体" w:hAnsi="宋体" w:cs="宋体"/>
          <w:bCs/>
          <w:color w:val="auto"/>
          <w:sz w:val="32"/>
          <w:szCs w:val="32"/>
        </w:rPr>
      </w:pPr>
      <w:r>
        <w:rPr>
          <w:rFonts w:hint="eastAsia" w:ascii="宋体" w:hAnsi="宋体" w:cs="宋体"/>
          <w:bCs/>
          <w:color w:val="auto"/>
          <w:sz w:val="32"/>
          <w:szCs w:val="32"/>
        </w:rPr>
        <w:t>第六部分 质疑与投诉</w:t>
      </w:r>
    </w:p>
    <w:p w14:paraId="6F27ECC1">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一、质疑的提出</w:t>
      </w:r>
    </w:p>
    <w:p w14:paraId="1F23DE29">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1.质疑人必须是直接参加本次投标活动的当事人。</w:t>
      </w:r>
    </w:p>
    <w:p w14:paraId="5BCD46D1">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2.下载招标文件的投标人应根据第二章“投标人须知”中第一条第4款的约定提出；响应文件接收截止后，投标人未进行投标登记的，不能就响应文件接收截止后的招投标过程、中标结果提出质疑；在投标过程中，凡主持人或评标小组明确提出须由投标人确认的事项，投标人当场无异议的，事后不得提出质疑。</w:t>
      </w:r>
    </w:p>
    <w:p w14:paraId="09D7C184">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3.提出质疑时，必须坚持“谁主张，谁举证”、“实事求是”的原则，不能臆测。属于须由法定部门调查、侦查或先行作出相关认定的事项，质疑人应当依法申请具有法定职权的部门查清、认定，并将相关结果提供给招标单位或代理机构。招标单位或代理机构不具有法定调查、认定权限。</w:t>
      </w:r>
    </w:p>
    <w:p w14:paraId="222CD625">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4.对本次招标有质疑的，实行实名制，不得进行虚假、恶意质疑。质疑人应在质疑有效期内以书面形式提出《质疑函》（格式请下载），《质疑函》内容应包括质疑事项、主要内容、事实依据、适应法规条款、佐证材料等。同时，质疑人应保证其提出的质疑内容及相关佐证材料的真实性及来源的合法性，并承担相应的法律责任。</w:t>
      </w:r>
    </w:p>
    <w:p w14:paraId="328BDCEC">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对不能提供相关佐证材料的、涉及商业秘密的、非书面形式的、非送达的、匿名的《质疑函》将不予受理。</w:t>
      </w:r>
    </w:p>
    <w:p w14:paraId="2D3658E2">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相关佐证材料要具备客观性、关联性、合法性，无法查实的（如宣传册、媒体报道、猜测、推理等）不能作为佐证材料。</w:t>
      </w:r>
    </w:p>
    <w:p w14:paraId="6DEC48C0">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招标单位或代理机构不负责搜集相关佐证材料等工作。</w:t>
      </w:r>
    </w:p>
    <w:p w14:paraId="263813C1">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二、《质疑函》的受理和回复</w:t>
      </w:r>
    </w:p>
    <w:p w14:paraId="28D03F54">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1.《质疑函》须由质疑人的法定代表人或参加本次投标授权人送达招标单位和代理机构。</w:t>
      </w:r>
    </w:p>
    <w:p w14:paraId="4C40E974">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2.对符合提出质疑要求的，招标单位、代理机构签收并出具《质疑受理通知书》。在处理过程中，发现需要质疑人进一步补充相关佐证材料的，请质疑人在规定的时间内提供，质疑回复时间相应顺延。质疑人不能按时提供相关佐证材料的，视同放弃质疑。</w:t>
      </w:r>
    </w:p>
    <w:p w14:paraId="07E48A80">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3.对不符合提出质疑要求的，出具《质疑退回通知书》并提出相关补充材料要求，质疑人未在规定的时间内提供补充佐证材料的，视同放弃质疑。</w:t>
      </w:r>
    </w:p>
    <w:p w14:paraId="29015A20">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4.招标单位、代理机构负责将质疑人提出的质疑相关材料提供给相关专家或评标小组审核，并将审核意见回复质疑人。</w:t>
      </w:r>
    </w:p>
    <w:p w14:paraId="69AE74D6">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必要时，可向被质疑人转发《质疑函》及相关佐证材料。被质疑人应当在要求的时间日内，以书面形式作出说明，并提交相关证据。被质疑人在规定时间内，无正当理由未提交相关证据的，视同放弃说明权利，认可被质疑事项。</w:t>
      </w:r>
    </w:p>
    <w:p w14:paraId="383162D3">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5.因质疑情况复杂，组织论证或审查时间较长的，招标人、代理机构以书面形式通知质疑人，可适当延长质疑回复处理时间。</w:t>
      </w:r>
    </w:p>
    <w:p w14:paraId="7C5DDB3E">
      <w:pPr>
        <w:adjustRightInd w:val="0"/>
        <w:snapToGrid w:val="0"/>
        <w:spacing w:line="460" w:lineRule="exact"/>
        <w:ind w:firstLine="480" w:firstLineChars="200"/>
        <w:contextualSpacing/>
        <w:rPr>
          <w:rFonts w:hint="eastAsia" w:ascii="宋体" w:hAnsi="宋体" w:cs="宋体"/>
          <w:color w:val="auto"/>
          <w:sz w:val="24"/>
        </w:rPr>
      </w:pPr>
      <w:r>
        <w:rPr>
          <w:rFonts w:hint="eastAsia" w:ascii="宋体" w:hAnsi="宋体" w:cs="宋体"/>
          <w:color w:val="auto"/>
          <w:sz w:val="24"/>
        </w:rPr>
        <w:t>三、质疑处理</w:t>
      </w:r>
    </w:p>
    <w:p w14:paraId="2CC427BB">
      <w:pPr>
        <w:adjustRightInd w:val="0"/>
        <w:snapToGrid w:val="0"/>
        <w:spacing w:line="460" w:lineRule="exact"/>
        <w:ind w:firstLine="480" w:firstLineChars="200"/>
        <w:contextualSpacing/>
        <w:rPr>
          <w:rFonts w:hint="eastAsia" w:ascii="宋体" w:hAnsi="宋体" w:cs="宋体"/>
          <w:color w:val="auto"/>
          <w:sz w:val="24"/>
        </w:rPr>
      </w:pPr>
      <w:r>
        <w:rPr>
          <w:rFonts w:hint="eastAsia" w:ascii="宋体" w:hAnsi="宋体" w:cs="宋体"/>
          <w:color w:val="auto"/>
          <w:sz w:val="24"/>
        </w:rPr>
        <w:t>1.质疑成立的处理。招标人或代理机构终止招标，并建议有关部门给相关当事人予以处理。</w:t>
      </w:r>
    </w:p>
    <w:p w14:paraId="5620495F">
      <w:pPr>
        <w:adjustRightInd w:val="0"/>
        <w:snapToGrid w:val="0"/>
        <w:spacing w:line="460" w:lineRule="exact"/>
        <w:ind w:firstLine="480" w:firstLineChars="200"/>
        <w:contextualSpacing/>
        <w:rPr>
          <w:rFonts w:hint="eastAsia" w:ascii="宋体" w:hAnsi="宋体" w:cs="宋体"/>
          <w:color w:val="auto"/>
          <w:sz w:val="24"/>
        </w:rPr>
      </w:pPr>
      <w:r>
        <w:rPr>
          <w:rFonts w:hint="eastAsia" w:ascii="宋体" w:hAnsi="宋体" w:cs="宋体"/>
          <w:color w:val="auto"/>
          <w:sz w:val="24"/>
        </w:rPr>
        <w:t>2.质疑不成立的处理。</w:t>
      </w:r>
    </w:p>
    <w:p w14:paraId="1DA2C958">
      <w:pPr>
        <w:adjustRightInd w:val="0"/>
        <w:snapToGrid w:val="0"/>
        <w:spacing w:line="460" w:lineRule="exact"/>
        <w:ind w:firstLine="480" w:firstLineChars="200"/>
        <w:contextualSpacing/>
        <w:rPr>
          <w:rFonts w:hint="eastAsia" w:ascii="宋体" w:hAnsi="宋体" w:cs="宋体"/>
          <w:color w:val="auto"/>
          <w:sz w:val="24"/>
        </w:rPr>
      </w:pPr>
      <w:r>
        <w:rPr>
          <w:rFonts w:hint="eastAsia" w:ascii="宋体" w:hAnsi="宋体" w:cs="宋体"/>
          <w:color w:val="auto"/>
          <w:sz w:val="24"/>
        </w:rPr>
        <w:t>1）质疑人书面《申请撤回质疑函》的，不作违约处理。</w:t>
      </w:r>
    </w:p>
    <w:p w14:paraId="1DCE7F41">
      <w:pPr>
        <w:adjustRightInd w:val="0"/>
        <w:snapToGrid w:val="0"/>
        <w:spacing w:line="460" w:lineRule="exact"/>
        <w:ind w:firstLine="480" w:firstLineChars="200"/>
        <w:contextualSpacing/>
        <w:rPr>
          <w:rFonts w:hint="eastAsia" w:ascii="宋体" w:hAnsi="宋体" w:cs="宋体"/>
          <w:color w:val="auto"/>
          <w:sz w:val="24"/>
        </w:rPr>
      </w:pPr>
      <w:r>
        <w:rPr>
          <w:rFonts w:hint="eastAsia" w:ascii="宋体" w:hAnsi="宋体" w:cs="宋体"/>
          <w:color w:val="auto"/>
          <w:sz w:val="24"/>
        </w:rPr>
        <w:t>2）质疑人在规定的时间内不配合进行质疑调查处理的，按自动撤回《质疑函》处理。</w:t>
      </w:r>
    </w:p>
    <w:p w14:paraId="000AFF5E">
      <w:pPr>
        <w:adjustRightInd w:val="0"/>
        <w:snapToGrid w:val="0"/>
        <w:spacing w:line="460" w:lineRule="exact"/>
        <w:ind w:firstLine="480" w:firstLineChars="200"/>
        <w:contextualSpacing/>
        <w:rPr>
          <w:rFonts w:hint="eastAsia" w:ascii="宋体" w:hAnsi="宋体" w:cs="宋体"/>
          <w:color w:val="auto"/>
          <w:sz w:val="24"/>
        </w:rPr>
      </w:pPr>
      <w:r>
        <w:rPr>
          <w:rFonts w:hint="eastAsia" w:ascii="宋体" w:hAnsi="宋体" w:cs="宋体"/>
          <w:color w:val="auto"/>
          <w:sz w:val="24"/>
        </w:rPr>
        <w:t>3）质疑人不按《质疑函》格式就提出质疑的，作违约处理。同时，视情列入不良投标人名单。</w:t>
      </w:r>
    </w:p>
    <w:p w14:paraId="442EDED4">
      <w:pPr>
        <w:adjustRightInd w:val="0"/>
        <w:snapToGrid w:val="0"/>
        <w:spacing w:line="460" w:lineRule="exact"/>
        <w:ind w:firstLine="480" w:firstLineChars="200"/>
        <w:contextualSpacing/>
        <w:rPr>
          <w:rFonts w:hint="eastAsia" w:ascii="宋体" w:hAnsi="宋体" w:cs="宋体"/>
          <w:color w:val="auto"/>
          <w:sz w:val="24"/>
        </w:rPr>
      </w:pPr>
      <w:r>
        <w:rPr>
          <w:rFonts w:hint="eastAsia" w:ascii="宋体" w:hAnsi="宋体" w:cs="宋体"/>
          <w:color w:val="auto"/>
          <w:sz w:val="24"/>
        </w:rPr>
        <w:t>4）质疑人虽提供了相关佐证材料，但不能证明其质疑成立的，招标人或代理机构请质疑人补充相关佐证材料，仍不能证明其质疑成立的，作违约处理。</w:t>
      </w:r>
    </w:p>
    <w:p w14:paraId="4FC7BAC0">
      <w:pPr>
        <w:adjustRightInd w:val="0"/>
        <w:snapToGrid w:val="0"/>
        <w:spacing w:line="460" w:lineRule="exact"/>
        <w:ind w:firstLine="480" w:firstLineChars="200"/>
        <w:contextualSpacing/>
        <w:rPr>
          <w:rFonts w:hint="eastAsia" w:ascii="宋体" w:hAnsi="宋体" w:cs="宋体"/>
          <w:color w:val="auto"/>
          <w:sz w:val="24"/>
        </w:rPr>
      </w:pPr>
      <w:r>
        <w:rPr>
          <w:rFonts w:hint="eastAsia" w:ascii="宋体" w:hAnsi="宋体" w:cs="宋体"/>
          <w:color w:val="auto"/>
          <w:sz w:val="24"/>
        </w:rPr>
        <w:t>5）质疑人不能提供相关佐证材料的，招标人、代理机构已指出，质疑人仍然坚持提出质疑的，作违约处理。</w:t>
      </w:r>
    </w:p>
    <w:p w14:paraId="6C9C789A">
      <w:pPr>
        <w:adjustRightInd w:val="0"/>
        <w:snapToGrid w:val="0"/>
        <w:spacing w:line="460" w:lineRule="exact"/>
        <w:ind w:firstLine="480" w:firstLineChars="200"/>
        <w:contextualSpacing/>
        <w:rPr>
          <w:rFonts w:hint="eastAsia" w:ascii="宋体" w:hAnsi="宋体" w:cs="宋体"/>
          <w:color w:val="auto"/>
          <w:sz w:val="24"/>
        </w:rPr>
      </w:pPr>
      <w:r>
        <w:rPr>
          <w:rFonts w:hint="eastAsia" w:ascii="宋体" w:hAnsi="宋体" w:cs="宋体"/>
          <w:color w:val="auto"/>
          <w:sz w:val="24"/>
        </w:rPr>
        <w:t>6）对明显有违事实的、经相关专家或评标小组认定无依据的、经其他投标人举证无依据的质疑，作违约处理，视情在招标人官网媒体予以披露。</w:t>
      </w:r>
    </w:p>
    <w:p w14:paraId="2F3FCEAD">
      <w:pPr>
        <w:adjustRightInd w:val="0"/>
        <w:snapToGrid w:val="0"/>
        <w:spacing w:line="460" w:lineRule="exact"/>
        <w:ind w:firstLine="480" w:firstLineChars="200"/>
        <w:contextualSpacing/>
        <w:rPr>
          <w:rFonts w:hint="eastAsia" w:ascii="宋体" w:hAnsi="宋体" w:cs="宋体"/>
          <w:color w:val="auto"/>
          <w:sz w:val="24"/>
        </w:rPr>
      </w:pPr>
      <w:r>
        <w:rPr>
          <w:rFonts w:hint="eastAsia" w:ascii="宋体" w:hAnsi="宋体" w:cs="宋体"/>
          <w:color w:val="auto"/>
          <w:sz w:val="24"/>
        </w:rPr>
        <w:t>7）质疑人承担使用虚假材料或恶意方式质疑的法律责任。</w:t>
      </w:r>
    </w:p>
    <w:p w14:paraId="4A402178">
      <w:pPr>
        <w:adjustRightInd w:val="0"/>
        <w:snapToGrid w:val="0"/>
        <w:spacing w:line="460" w:lineRule="exact"/>
        <w:ind w:firstLine="480" w:firstLineChars="200"/>
        <w:contextualSpacing/>
        <w:rPr>
          <w:rFonts w:hint="eastAsia" w:ascii="宋体" w:hAnsi="宋体" w:cs="宋体"/>
          <w:color w:val="auto"/>
          <w:sz w:val="24"/>
        </w:rPr>
      </w:pPr>
      <w:r>
        <w:rPr>
          <w:rFonts w:hint="eastAsia" w:ascii="宋体" w:hAnsi="宋体" w:cs="宋体"/>
          <w:color w:val="auto"/>
          <w:sz w:val="24"/>
        </w:rPr>
        <w:t>四、无佐证材料的举报作违约处理。投标人不得进行不提供相关佐证材料（含无法查实的如宣传册、媒体报道、猜测、推理等）向有关部门的举报，否则作违约处理。</w:t>
      </w:r>
    </w:p>
    <w:p w14:paraId="29A869CE">
      <w:pPr>
        <w:adjustRightInd w:val="0"/>
        <w:snapToGrid w:val="0"/>
        <w:spacing w:line="460" w:lineRule="exact"/>
        <w:ind w:firstLine="480" w:firstLineChars="200"/>
        <w:contextualSpacing/>
        <w:rPr>
          <w:rFonts w:hint="eastAsia" w:ascii="宋体" w:hAnsi="宋体" w:cs="宋体"/>
          <w:color w:val="auto"/>
          <w:sz w:val="24"/>
        </w:rPr>
      </w:pPr>
      <w:r>
        <w:rPr>
          <w:rFonts w:hint="eastAsia" w:ascii="宋体" w:hAnsi="宋体" w:cs="宋体"/>
          <w:color w:val="auto"/>
          <w:sz w:val="24"/>
        </w:rPr>
        <w:t>五、投诉不成立的作违约处理。投标人进行质疑后，招标人回复质疑不成立，投标人仍进行投诉的，并最终投诉不成立的，作违约处理。</w:t>
      </w:r>
    </w:p>
    <w:p w14:paraId="0FB3055B">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六、《质疑函》、《质疑回复函》，质疑、举报、投诉不成立的等相关情况，视情在招标人官网等相关媒体予以披露。</w:t>
      </w:r>
    </w:p>
    <w:p w14:paraId="63BAB470">
      <w:pPr>
        <w:adjustRightInd w:val="0"/>
        <w:snapToGrid w:val="0"/>
        <w:spacing w:line="460" w:lineRule="exact"/>
        <w:ind w:firstLine="480" w:firstLineChars="200"/>
        <w:jc w:val="left"/>
        <w:rPr>
          <w:rFonts w:hint="eastAsia" w:ascii="宋体" w:hAnsi="宋体" w:cs="宋体"/>
          <w:color w:val="auto"/>
          <w:sz w:val="24"/>
        </w:rPr>
      </w:pPr>
      <w:r>
        <w:rPr>
          <w:rFonts w:hint="eastAsia" w:ascii="宋体" w:hAnsi="宋体" w:cs="宋体"/>
          <w:color w:val="auto"/>
          <w:sz w:val="24"/>
        </w:rPr>
        <w:t>七、质疑人对招标人或代理机构的答复不满意或者招标人、代理机构未在规定的时间内作出答复的，可以在答复期满后15个工作日内向相关监督管理部门投诉。</w:t>
      </w:r>
    </w:p>
    <w:p w14:paraId="5E1E637B">
      <w:pPr>
        <w:adjustRightInd w:val="0"/>
        <w:snapToGrid w:val="0"/>
        <w:spacing w:line="460" w:lineRule="exact"/>
        <w:ind w:firstLine="482" w:firstLineChars="200"/>
        <w:jc w:val="center"/>
        <w:rPr>
          <w:rFonts w:hint="eastAsia" w:ascii="宋体" w:hAnsi="宋体" w:cs="宋体"/>
          <w:b/>
          <w:color w:val="auto"/>
          <w:sz w:val="24"/>
        </w:rPr>
        <w:sectPr>
          <w:pgSz w:w="11906" w:h="16838"/>
          <w:pgMar w:top="1440" w:right="1080" w:bottom="1440" w:left="1080" w:header="851" w:footer="992" w:gutter="0"/>
          <w:cols w:space="720" w:num="1"/>
          <w:docGrid w:type="lines" w:linePitch="312" w:charSpace="0"/>
        </w:sectPr>
      </w:pPr>
      <w:r>
        <w:rPr>
          <w:rFonts w:hint="eastAsia" w:ascii="宋体" w:hAnsi="宋体" w:cs="宋体"/>
          <w:b/>
          <w:color w:val="auto"/>
          <w:sz w:val="24"/>
        </w:rPr>
        <w:br w:type="page"/>
      </w:r>
    </w:p>
    <w:p w14:paraId="6BFAE9C5">
      <w:pPr>
        <w:adjustRightInd w:val="0"/>
        <w:snapToGrid w:val="0"/>
        <w:spacing w:line="460" w:lineRule="exact"/>
        <w:ind w:firstLine="720" w:firstLineChars="200"/>
        <w:jc w:val="center"/>
        <w:rPr>
          <w:rFonts w:hint="eastAsia" w:ascii="宋体" w:hAnsi="宋体" w:cs="宋体"/>
          <w:bCs/>
          <w:color w:val="auto"/>
          <w:sz w:val="36"/>
          <w:szCs w:val="36"/>
        </w:rPr>
      </w:pPr>
      <w:r>
        <w:rPr>
          <w:rFonts w:hint="eastAsia" w:ascii="宋体" w:hAnsi="宋体" w:cs="宋体"/>
          <w:bCs/>
          <w:color w:val="auto"/>
          <w:sz w:val="36"/>
          <w:szCs w:val="36"/>
        </w:rPr>
        <w:t>第七部分  投标文件组成</w:t>
      </w:r>
    </w:p>
    <w:p w14:paraId="235A19D0">
      <w:pPr>
        <w:adjustRightInd w:val="0"/>
        <w:snapToGrid w:val="0"/>
        <w:spacing w:line="420" w:lineRule="exact"/>
        <w:ind w:firstLine="482" w:firstLineChars="200"/>
        <w:jc w:val="left"/>
        <w:rPr>
          <w:rFonts w:hint="eastAsia" w:ascii="宋体" w:hAnsi="宋体" w:cs="宋体"/>
          <w:b/>
          <w:color w:val="auto"/>
          <w:sz w:val="24"/>
        </w:rPr>
      </w:pPr>
      <w:r>
        <w:rPr>
          <w:rFonts w:hint="eastAsia" w:ascii="宋体" w:hAnsi="宋体" w:cs="宋体"/>
          <w:b/>
          <w:color w:val="auto"/>
          <w:sz w:val="24"/>
        </w:rPr>
        <w:t>投标文件由资格审查文件、商务技术标、价格标、电子响应文件四部分组成。</w:t>
      </w:r>
    </w:p>
    <w:p w14:paraId="0A760D13">
      <w:pPr>
        <w:adjustRightInd w:val="0"/>
        <w:snapToGrid w:val="0"/>
        <w:spacing w:line="420" w:lineRule="exact"/>
        <w:ind w:firstLine="482" w:firstLineChars="200"/>
        <w:rPr>
          <w:rFonts w:hint="eastAsia" w:ascii="宋体" w:hAnsi="宋体" w:cs="宋体"/>
          <w:b/>
          <w:bCs/>
          <w:color w:val="auto"/>
          <w:kern w:val="0"/>
          <w:sz w:val="24"/>
          <w:lang w:val="zh-CN"/>
        </w:rPr>
      </w:pPr>
      <w:r>
        <w:rPr>
          <w:rFonts w:hint="eastAsia" w:ascii="宋体" w:hAnsi="宋体" w:cs="宋体"/>
          <w:b/>
          <w:bCs/>
          <w:color w:val="auto"/>
          <w:kern w:val="0"/>
          <w:sz w:val="24"/>
          <w:lang w:val="zh-CN"/>
        </w:rPr>
        <w:t>一、资格审查文件（不能出现商务技术标、价格标）</w:t>
      </w:r>
    </w:p>
    <w:p w14:paraId="655ADB9A">
      <w:pPr>
        <w:pStyle w:val="79"/>
        <w:widowControl/>
        <w:spacing w:line="420" w:lineRule="exact"/>
        <w:ind w:firstLine="480"/>
        <w:outlineLvl w:val="0"/>
        <w:rPr>
          <w:rFonts w:hint="eastAsia" w:ascii="宋体" w:hAnsi="宋体" w:cs="宋体"/>
          <w:color w:val="auto"/>
          <w:sz w:val="24"/>
        </w:rPr>
      </w:pPr>
      <w:r>
        <w:rPr>
          <w:rFonts w:hint="eastAsia" w:ascii="宋体" w:hAnsi="宋体" w:cs="宋体"/>
          <w:color w:val="auto"/>
          <w:sz w:val="24"/>
        </w:rPr>
        <w:t>1.资格审查材料</w:t>
      </w:r>
    </w:p>
    <w:p w14:paraId="25674E47">
      <w:pPr>
        <w:adjustRightInd w:val="0"/>
        <w:snapToGrid w:val="0"/>
        <w:spacing w:line="420" w:lineRule="exact"/>
        <w:ind w:firstLine="480" w:firstLineChars="200"/>
        <w:rPr>
          <w:rFonts w:hint="eastAsia" w:ascii="宋体" w:hAnsi="宋体" w:cs="宋体"/>
          <w:color w:val="auto"/>
          <w:kern w:val="0"/>
          <w:sz w:val="24"/>
          <w:lang w:val="zh-CN"/>
        </w:rPr>
      </w:pPr>
      <w:r>
        <w:rPr>
          <w:rFonts w:ascii="Calibri" w:hAnsi="Calibri" w:cs="Calibri"/>
          <w:color w:val="auto"/>
          <w:kern w:val="0"/>
          <w:sz w:val="24"/>
          <w:lang w:val="zh-CN"/>
        </w:rPr>
        <w:t>①</w:t>
      </w:r>
      <w:r>
        <w:rPr>
          <w:rFonts w:hint="eastAsia" w:ascii="宋体" w:hAnsi="宋体" w:cs="宋体"/>
          <w:color w:val="auto"/>
          <w:kern w:val="0"/>
          <w:sz w:val="24"/>
        </w:rPr>
        <w:t>符合投标人资格要求的承诺函（格式见附件1）</w:t>
      </w:r>
      <w:r>
        <w:rPr>
          <w:rFonts w:hint="eastAsia" w:ascii="宋体" w:hAnsi="宋体" w:cs="宋体"/>
          <w:color w:val="auto"/>
          <w:kern w:val="0"/>
          <w:sz w:val="24"/>
          <w:lang w:val="zh-CN"/>
        </w:rPr>
        <w:t>；</w:t>
      </w:r>
    </w:p>
    <w:p w14:paraId="503A2CA5">
      <w:pPr>
        <w:adjustRightInd w:val="0"/>
        <w:snapToGrid w:val="0"/>
        <w:spacing w:line="420" w:lineRule="exact"/>
        <w:ind w:firstLine="480" w:firstLineChars="200"/>
        <w:rPr>
          <w:rFonts w:hint="eastAsia" w:ascii="宋体" w:hAnsi="宋体" w:cs="宋体"/>
          <w:color w:val="auto"/>
          <w:kern w:val="0"/>
          <w:sz w:val="24"/>
          <w:lang w:val="zh-CN"/>
        </w:rPr>
      </w:pPr>
      <w:r>
        <w:rPr>
          <w:rFonts w:ascii="Calibri" w:hAnsi="Calibri" w:cs="Calibri"/>
          <w:color w:val="auto"/>
          <w:kern w:val="0"/>
          <w:sz w:val="24"/>
          <w:lang w:val="zh-CN"/>
        </w:rPr>
        <w:t>②</w:t>
      </w:r>
      <w:r>
        <w:rPr>
          <w:rFonts w:hint="eastAsia" w:ascii="宋体" w:hAnsi="宋体" w:cs="宋体"/>
          <w:color w:val="auto"/>
          <w:kern w:val="0"/>
          <w:sz w:val="24"/>
          <w:lang w:val="zh-CN"/>
        </w:rPr>
        <w:t>法定代表人参加投标的，必须提供法定代表人身份证明及法定代表人本人身份证复印件（格式见附件2）；非法定代表人参加投标的，必须提供法定代表人身份证明、法定代表人签名或盖章的授权委托书及法定代表人和委托代理人（以下称被授权人）两个人的身份证复印件（格式见附件3），被授权人为投标供应商正式人员证明材料【提供①与投标供应商签订的有效劳动合同复印件；②社保机构出具并盖章的投标供应商为其缴纳2026年1月- 2026年</w:t>
      </w:r>
      <w:r>
        <w:rPr>
          <w:rFonts w:hint="eastAsia" w:ascii="宋体" w:hAnsi="宋体" w:cs="宋体"/>
          <w:color w:val="auto"/>
          <w:kern w:val="0"/>
          <w:sz w:val="24"/>
        </w:rPr>
        <w:t>6</w:t>
      </w:r>
      <w:r>
        <w:rPr>
          <w:rFonts w:hint="eastAsia" w:ascii="宋体" w:hAnsi="宋体" w:cs="宋体"/>
          <w:color w:val="auto"/>
          <w:kern w:val="0"/>
          <w:sz w:val="24"/>
          <w:lang w:val="zh-CN"/>
        </w:rPr>
        <w:t>月连任意一个月的养老保险缴费清单复印件】。</w:t>
      </w:r>
    </w:p>
    <w:p w14:paraId="2D5A8761">
      <w:pPr>
        <w:adjustRightInd w:val="0"/>
        <w:snapToGrid w:val="0"/>
        <w:spacing w:line="420" w:lineRule="exact"/>
        <w:ind w:firstLine="480" w:firstLineChars="200"/>
        <w:rPr>
          <w:rFonts w:hint="eastAsia" w:ascii="宋体" w:hAnsi="宋体" w:cs="宋体"/>
          <w:color w:val="auto"/>
          <w:kern w:val="0"/>
          <w:sz w:val="24"/>
          <w:lang w:val="zh-CN"/>
        </w:rPr>
      </w:pPr>
      <w:r>
        <w:rPr>
          <w:rFonts w:ascii="Calibri" w:hAnsi="Calibri" w:cs="Calibri"/>
          <w:color w:val="auto"/>
          <w:kern w:val="0"/>
          <w:sz w:val="24"/>
          <w:lang w:val="zh-CN"/>
        </w:rPr>
        <w:t>③</w:t>
      </w:r>
      <w:r>
        <w:rPr>
          <w:rFonts w:hint="eastAsia" w:ascii="宋体" w:hAnsi="宋体" w:cs="宋体"/>
          <w:color w:val="auto"/>
          <w:kern w:val="0"/>
          <w:sz w:val="24"/>
          <w:lang w:val="zh-CN"/>
        </w:rPr>
        <w:t>具备履行合同所必需的设备和专业技术能力的书面声明</w:t>
      </w:r>
      <w:r>
        <w:rPr>
          <w:rFonts w:hint="eastAsia" w:ascii="宋体" w:hAnsi="宋体" w:cs="宋体"/>
          <w:color w:val="auto"/>
          <w:kern w:val="0"/>
          <w:sz w:val="24"/>
        </w:rPr>
        <w:t>（</w:t>
      </w:r>
      <w:r>
        <w:rPr>
          <w:rFonts w:hint="eastAsia" w:ascii="宋体" w:hAnsi="宋体" w:cs="宋体"/>
          <w:color w:val="auto"/>
          <w:kern w:val="0"/>
          <w:sz w:val="24"/>
          <w:lang w:val="zh-CN"/>
        </w:rPr>
        <w:t>格式见附件</w:t>
      </w:r>
      <w:r>
        <w:rPr>
          <w:rFonts w:hint="eastAsia" w:ascii="宋体" w:hAnsi="宋体" w:cs="宋体"/>
          <w:color w:val="auto"/>
          <w:kern w:val="0"/>
          <w:sz w:val="24"/>
        </w:rPr>
        <w:t>4）</w:t>
      </w:r>
      <w:r>
        <w:rPr>
          <w:rFonts w:hint="eastAsia" w:ascii="宋体" w:hAnsi="宋体" w:cs="宋体"/>
          <w:color w:val="auto"/>
          <w:kern w:val="0"/>
          <w:sz w:val="24"/>
          <w:lang w:val="zh-CN"/>
        </w:rPr>
        <w:t>；</w:t>
      </w:r>
    </w:p>
    <w:p w14:paraId="170673F5">
      <w:pPr>
        <w:adjustRightInd w:val="0"/>
        <w:snapToGrid w:val="0"/>
        <w:spacing w:line="420" w:lineRule="exact"/>
        <w:ind w:firstLine="480" w:firstLineChars="200"/>
        <w:rPr>
          <w:rFonts w:hint="eastAsia" w:ascii="宋体" w:hAnsi="宋体" w:cs="宋体"/>
          <w:color w:val="auto"/>
          <w:kern w:val="0"/>
          <w:sz w:val="24"/>
          <w:lang w:val="zh-CN"/>
        </w:rPr>
      </w:pPr>
      <w:r>
        <w:rPr>
          <w:rFonts w:hint="eastAsia" w:ascii="宋体" w:hAnsi="宋体" w:cs="宋体"/>
          <w:color w:val="auto"/>
          <w:kern w:val="0"/>
          <w:sz w:val="24"/>
        </w:rPr>
        <w:t>④</w:t>
      </w:r>
      <w:r>
        <w:rPr>
          <w:rFonts w:hint="eastAsia" w:ascii="宋体" w:hAnsi="宋体" w:cs="宋体"/>
          <w:color w:val="auto"/>
          <w:kern w:val="0"/>
          <w:sz w:val="24"/>
          <w:lang w:val="zh-CN"/>
        </w:rPr>
        <w:t>有效的营业执照副本复印件并加盖投标单位公章；</w:t>
      </w:r>
    </w:p>
    <w:p w14:paraId="4D4522FF">
      <w:pPr>
        <w:adjustRightInd w:val="0"/>
        <w:snapToGrid w:val="0"/>
        <w:spacing w:line="420" w:lineRule="exact"/>
        <w:ind w:firstLine="480" w:firstLineChars="200"/>
        <w:rPr>
          <w:rFonts w:hint="eastAsia" w:ascii="仿宋" w:hAnsi="仿宋" w:cs="仿宋"/>
          <w:color w:val="auto"/>
          <w:sz w:val="28"/>
          <w:szCs w:val="28"/>
        </w:rPr>
      </w:pPr>
      <w:r>
        <w:rPr>
          <w:rFonts w:hint="eastAsia" w:ascii="宋体" w:hAnsi="宋体" w:cs="宋体"/>
          <w:color w:val="auto"/>
          <w:kern w:val="0"/>
          <w:sz w:val="24"/>
        </w:rPr>
        <w:t>⑤未被“信用中国”、“中国政府采购网”网站列入失信被执行人、重大税收违法案件当事人名单、政府采购严重违法失信行为记录名单，提供无重大违法记录声明（</w:t>
      </w:r>
      <w:r>
        <w:rPr>
          <w:rFonts w:hint="eastAsia" w:ascii="宋体" w:hAnsi="宋体" w:cs="宋体"/>
          <w:color w:val="auto"/>
          <w:kern w:val="0"/>
          <w:sz w:val="24"/>
          <w:lang w:val="zh-CN"/>
        </w:rPr>
        <w:t>格式见附件</w:t>
      </w:r>
      <w:r>
        <w:rPr>
          <w:rFonts w:hint="eastAsia" w:ascii="宋体" w:hAnsi="宋体" w:cs="宋体"/>
          <w:color w:val="auto"/>
          <w:kern w:val="0"/>
          <w:sz w:val="24"/>
        </w:rPr>
        <w:t>5）。</w:t>
      </w:r>
    </w:p>
    <w:p w14:paraId="7590F84B">
      <w:pPr>
        <w:adjustRightInd w:val="0"/>
        <w:snapToGrid w:val="0"/>
        <w:spacing w:line="420" w:lineRule="exact"/>
        <w:ind w:firstLine="480" w:firstLineChars="200"/>
        <w:rPr>
          <w:rFonts w:hint="eastAsia" w:ascii="宋体" w:hAnsi="宋体" w:cs="宋体"/>
          <w:color w:val="auto"/>
          <w:kern w:val="0"/>
          <w:sz w:val="24"/>
        </w:rPr>
      </w:pPr>
      <w:r>
        <w:rPr>
          <w:rFonts w:hint="eastAsia" w:ascii="宋体" w:hAnsi="宋体" w:cs="宋体"/>
          <w:color w:val="auto"/>
          <w:kern w:val="0"/>
          <w:sz w:val="24"/>
        </w:rPr>
        <w:t>2.符合性审查材料</w:t>
      </w:r>
    </w:p>
    <w:p w14:paraId="207E2C7F">
      <w:pPr>
        <w:adjustRightInd w:val="0"/>
        <w:snapToGrid w:val="0"/>
        <w:spacing w:line="420" w:lineRule="exact"/>
        <w:ind w:firstLine="480" w:firstLineChars="200"/>
        <w:rPr>
          <w:rFonts w:hint="eastAsia" w:ascii="宋体" w:hAnsi="宋体" w:cs="宋体"/>
          <w:color w:val="auto"/>
          <w:kern w:val="0"/>
          <w:sz w:val="24"/>
        </w:rPr>
      </w:pPr>
      <w:r>
        <w:rPr>
          <w:rFonts w:hint="eastAsia" w:ascii="宋体" w:hAnsi="宋体" w:cs="宋体"/>
          <w:color w:val="auto"/>
          <w:kern w:val="0"/>
          <w:sz w:val="24"/>
          <w:lang w:val="zh-CN"/>
        </w:rPr>
        <w:t>按项目需求“</w:t>
      </w:r>
      <w:r>
        <w:rPr>
          <w:rFonts w:hint="eastAsia" w:ascii="宋体" w:hAnsi="宋体" w:cs="宋体"/>
          <w:color w:val="auto"/>
          <w:kern w:val="0"/>
          <w:sz w:val="24"/>
          <w:lang w:eastAsia="zh-CN"/>
        </w:rPr>
        <w:t>八</w:t>
      </w:r>
      <w:r>
        <w:rPr>
          <w:rFonts w:hint="eastAsia" w:ascii="宋体" w:hAnsi="宋体" w:cs="宋体"/>
          <w:color w:val="auto"/>
          <w:kern w:val="0"/>
          <w:sz w:val="24"/>
        </w:rPr>
        <w:t>、采购需求中必须满足的实质性要求”提供承诺函（格式见附件6）</w:t>
      </w:r>
    </w:p>
    <w:p w14:paraId="21204BC3">
      <w:pPr>
        <w:adjustRightInd w:val="0"/>
        <w:snapToGrid w:val="0"/>
        <w:spacing w:line="420" w:lineRule="exact"/>
        <w:ind w:firstLine="482" w:firstLineChars="200"/>
        <w:rPr>
          <w:rFonts w:hint="eastAsia" w:ascii="宋体" w:hAnsi="宋体" w:cs="宋体"/>
          <w:b/>
          <w:bCs/>
          <w:color w:val="auto"/>
          <w:kern w:val="0"/>
          <w:sz w:val="24"/>
          <w:lang w:val="zh-CN"/>
        </w:rPr>
      </w:pPr>
      <w:r>
        <w:rPr>
          <w:rFonts w:hint="eastAsia" w:ascii="宋体" w:hAnsi="宋体" w:cs="宋体"/>
          <w:b/>
          <w:bCs/>
          <w:color w:val="auto"/>
          <w:kern w:val="0"/>
          <w:sz w:val="24"/>
          <w:lang w:val="zh-CN"/>
        </w:rPr>
        <w:t>二、商务技术标（不能出现价格标）</w:t>
      </w:r>
    </w:p>
    <w:p w14:paraId="199E3DA1">
      <w:pPr>
        <w:adjustRightInd w:val="0"/>
        <w:snapToGrid w:val="0"/>
        <w:spacing w:line="420" w:lineRule="exact"/>
        <w:ind w:firstLine="480" w:firstLineChars="200"/>
        <w:rPr>
          <w:rFonts w:hint="eastAsia" w:ascii="宋体" w:hAnsi="宋体" w:cs="宋体"/>
          <w:color w:val="auto"/>
          <w:kern w:val="0"/>
          <w:sz w:val="24"/>
          <w:lang w:val="zh-CN"/>
        </w:rPr>
      </w:pPr>
      <w:r>
        <w:rPr>
          <w:rFonts w:hint="eastAsia" w:ascii="宋体" w:hAnsi="宋体" w:cs="宋体"/>
          <w:color w:val="auto"/>
          <w:kern w:val="0"/>
          <w:sz w:val="24"/>
          <w:lang w:val="zh-CN"/>
        </w:rPr>
        <w:t>1.</w:t>
      </w:r>
      <w:r>
        <w:rPr>
          <w:rFonts w:hint="eastAsia" w:ascii="宋体" w:hAnsi="宋体" w:cs="宋体"/>
          <w:color w:val="auto"/>
          <w:sz w:val="24"/>
        </w:rPr>
        <w:t>投标响应函</w:t>
      </w:r>
      <w:r>
        <w:rPr>
          <w:rFonts w:hint="eastAsia" w:ascii="宋体" w:hAnsi="宋体" w:cs="宋体"/>
          <w:color w:val="auto"/>
          <w:kern w:val="0"/>
          <w:sz w:val="24"/>
          <w:lang w:val="zh-CN"/>
        </w:rPr>
        <w:t>（格式见附件</w:t>
      </w:r>
      <w:r>
        <w:rPr>
          <w:rFonts w:hint="eastAsia" w:ascii="宋体" w:hAnsi="宋体" w:cs="宋体"/>
          <w:color w:val="auto"/>
          <w:kern w:val="0"/>
          <w:sz w:val="24"/>
        </w:rPr>
        <w:t>7</w:t>
      </w:r>
      <w:r>
        <w:rPr>
          <w:rFonts w:hint="eastAsia" w:ascii="宋体" w:hAnsi="宋体" w:cs="宋体"/>
          <w:color w:val="auto"/>
          <w:kern w:val="0"/>
          <w:sz w:val="24"/>
          <w:lang w:val="zh-CN"/>
        </w:rPr>
        <w:t>）；</w:t>
      </w:r>
    </w:p>
    <w:p w14:paraId="1E9B1DE1">
      <w:pPr>
        <w:adjustRightInd w:val="0"/>
        <w:snapToGrid w:val="0"/>
        <w:spacing w:line="420" w:lineRule="exact"/>
        <w:ind w:firstLine="480" w:firstLineChars="200"/>
        <w:rPr>
          <w:rFonts w:hint="eastAsia" w:ascii="宋体" w:hAnsi="宋体" w:cs="宋体"/>
          <w:color w:val="auto"/>
          <w:kern w:val="0"/>
          <w:sz w:val="24"/>
        </w:rPr>
      </w:pPr>
      <w:r>
        <w:rPr>
          <w:rFonts w:hint="eastAsia" w:ascii="宋体" w:hAnsi="宋体" w:cs="宋体"/>
          <w:color w:val="auto"/>
          <w:kern w:val="0"/>
          <w:sz w:val="24"/>
        </w:rPr>
        <w:t>2.商务部分正负偏离表</w:t>
      </w:r>
      <w:r>
        <w:rPr>
          <w:rFonts w:hint="eastAsia" w:ascii="宋体" w:hAnsi="宋体" w:cs="宋体"/>
          <w:color w:val="auto"/>
          <w:kern w:val="0"/>
          <w:sz w:val="24"/>
          <w:lang w:val="zh-CN"/>
        </w:rPr>
        <w:t>（格式见附件</w:t>
      </w:r>
      <w:r>
        <w:rPr>
          <w:rFonts w:hint="eastAsia" w:ascii="宋体" w:hAnsi="宋体" w:cs="宋体"/>
          <w:color w:val="auto"/>
          <w:kern w:val="0"/>
          <w:sz w:val="24"/>
        </w:rPr>
        <w:t>8</w:t>
      </w:r>
      <w:r>
        <w:rPr>
          <w:rFonts w:hint="eastAsia" w:ascii="宋体" w:hAnsi="宋体" w:cs="宋体"/>
          <w:color w:val="auto"/>
          <w:kern w:val="0"/>
          <w:sz w:val="24"/>
          <w:lang w:val="zh-CN"/>
        </w:rPr>
        <w:t>）</w:t>
      </w:r>
      <w:r>
        <w:rPr>
          <w:rFonts w:hint="eastAsia" w:ascii="宋体" w:hAnsi="宋体" w:cs="宋体"/>
          <w:color w:val="auto"/>
          <w:kern w:val="0"/>
          <w:sz w:val="24"/>
        </w:rPr>
        <w:t>；</w:t>
      </w:r>
    </w:p>
    <w:p w14:paraId="07DE2491">
      <w:pPr>
        <w:adjustRightInd w:val="0"/>
        <w:snapToGrid w:val="0"/>
        <w:spacing w:line="42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3.技术部分正负偏离表</w:t>
      </w:r>
      <w:r>
        <w:rPr>
          <w:rFonts w:hint="eastAsia" w:ascii="宋体" w:hAnsi="宋体" w:cs="宋体"/>
          <w:color w:val="auto"/>
          <w:kern w:val="0"/>
          <w:sz w:val="24"/>
          <w:lang w:val="zh-CN"/>
        </w:rPr>
        <w:t>（格式见附件</w:t>
      </w:r>
      <w:r>
        <w:rPr>
          <w:rFonts w:hint="eastAsia" w:ascii="宋体" w:hAnsi="宋体" w:cs="宋体"/>
          <w:color w:val="auto"/>
          <w:kern w:val="0"/>
          <w:sz w:val="24"/>
        </w:rPr>
        <w:t>9</w:t>
      </w:r>
      <w:r>
        <w:rPr>
          <w:rFonts w:hint="eastAsia" w:ascii="宋体" w:hAnsi="宋体" w:cs="宋体"/>
          <w:color w:val="auto"/>
          <w:kern w:val="0"/>
          <w:sz w:val="24"/>
          <w:lang w:val="zh-CN"/>
        </w:rPr>
        <w:t>）</w:t>
      </w:r>
      <w:r>
        <w:rPr>
          <w:rFonts w:hint="eastAsia" w:ascii="宋体" w:hAnsi="宋体" w:cs="宋体"/>
          <w:color w:val="auto"/>
          <w:kern w:val="0"/>
          <w:sz w:val="24"/>
        </w:rPr>
        <w:t>；</w:t>
      </w:r>
    </w:p>
    <w:p w14:paraId="25722802">
      <w:pPr>
        <w:adjustRightInd w:val="0"/>
        <w:snapToGrid w:val="0"/>
        <w:spacing w:line="420" w:lineRule="exact"/>
        <w:ind w:firstLine="480" w:firstLineChars="200"/>
        <w:rPr>
          <w:rFonts w:hint="eastAsia" w:ascii="宋体" w:hAnsi="宋体" w:cs="宋体"/>
          <w:color w:val="auto"/>
          <w:kern w:val="0"/>
          <w:sz w:val="24"/>
          <w:lang w:val="zh-CN"/>
        </w:rPr>
      </w:pPr>
      <w:r>
        <w:rPr>
          <w:rFonts w:hint="eastAsia" w:ascii="宋体" w:hAnsi="宋体" w:cs="宋体"/>
          <w:color w:val="auto"/>
          <w:kern w:val="0"/>
          <w:sz w:val="24"/>
        </w:rPr>
        <w:t>4.</w:t>
      </w:r>
      <w:r>
        <w:rPr>
          <w:rFonts w:hint="eastAsia" w:ascii="宋体" w:hAnsi="宋体" w:cs="宋体"/>
          <w:color w:val="auto"/>
          <w:kern w:val="0"/>
          <w:sz w:val="24"/>
          <w:lang w:val="zh-CN"/>
        </w:rPr>
        <w:t>商务技术评分标准中须提供的相关得分佐证材料；</w:t>
      </w:r>
    </w:p>
    <w:p w14:paraId="55B3A338">
      <w:pPr>
        <w:adjustRightInd w:val="0"/>
        <w:snapToGrid w:val="0"/>
        <w:spacing w:line="420" w:lineRule="exact"/>
        <w:ind w:firstLine="480" w:firstLineChars="200"/>
        <w:rPr>
          <w:rFonts w:hint="eastAsia" w:ascii="宋体" w:hAnsi="宋体" w:cs="宋体"/>
          <w:color w:val="auto"/>
          <w:kern w:val="0"/>
          <w:sz w:val="24"/>
          <w:lang w:val="zh-CN"/>
        </w:rPr>
      </w:pPr>
      <w:r>
        <w:rPr>
          <w:rFonts w:hint="eastAsia" w:ascii="宋体" w:hAnsi="宋体" w:cs="宋体"/>
          <w:color w:val="auto"/>
          <w:kern w:val="0"/>
          <w:sz w:val="24"/>
        </w:rPr>
        <w:t>5.</w:t>
      </w:r>
      <w:r>
        <w:rPr>
          <w:rFonts w:hint="eastAsia" w:ascii="宋体" w:hAnsi="宋体" w:cs="宋体"/>
          <w:color w:val="auto"/>
          <w:kern w:val="0"/>
          <w:sz w:val="24"/>
          <w:lang w:val="zh-CN"/>
        </w:rPr>
        <w:t>投标人认为需要提交的其他商务技术材料。</w:t>
      </w:r>
    </w:p>
    <w:p w14:paraId="19F25A3B">
      <w:pPr>
        <w:adjustRightInd w:val="0"/>
        <w:snapToGrid w:val="0"/>
        <w:spacing w:line="420" w:lineRule="exact"/>
        <w:ind w:firstLine="482" w:firstLineChars="200"/>
        <w:rPr>
          <w:rFonts w:hint="eastAsia" w:ascii="宋体" w:hAnsi="宋体" w:cs="宋体"/>
          <w:b/>
          <w:bCs/>
          <w:color w:val="auto"/>
          <w:kern w:val="0"/>
          <w:sz w:val="24"/>
          <w:lang w:val="zh-CN"/>
        </w:rPr>
      </w:pPr>
      <w:r>
        <w:rPr>
          <w:rFonts w:hint="eastAsia" w:ascii="宋体" w:hAnsi="宋体" w:cs="宋体"/>
          <w:b/>
          <w:bCs/>
          <w:color w:val="auto"/>
          <w:kern w:val="0"/>
          <w:sz w:val="24"/>
          <w:lang w:val="zh-CN"/>
        </w:rPr>
        <w:t>三、价格标</w:t>
      </w:r>
    </w:p>
    <w:p w14:paraId="0B9D56FD">
      <w:pPr>
        <w:adjustRightInd w:val="0"/>
        <w:snapToGrid w:val="0"/>
        <w:spacing w:line="420" w:lineRule="exact"/>
        <w:ind w:firstLine="480" w:firstLineChars="200"/>
        <w:rPr>
          <w:rFonts w:hint="eastAsia" w:ascii="宋体" w:hAnsi="宋体" w:cs="宋体"/>
          <w:color w:val="auto"/>
          <w:kern w:val="0"/>
          <w:sz w:val="24"/>
          <w:lang w:val="zh-CN"/>
        </w:rPr>
      </w:pPr>
      <w:r>
        <w:rPr>
          <w:rFonts w:hint="eastAsia" w:ascii="宋体" w:hAnsi="宋体" w:cs="宋体"/>
          <w:color w:val="auto"/>
          <w:kern w:val="0"/>
          <w:sz w:val="24"/>
          <w:lang w:val="zh-CN"/>
        </w:rPr>
        <w:t>1.报价总表（格式见附件</w:t>
      </w:r>
      <w:r>
        <w:rPr>
          <w:rFonts w:hint="eastAsia" w:ascii="宋体" w:hAnsi="宋体" w:cs="宋体"/>
          <w:color w:val="auto"/>
          <w:kern w:val="0"/>
          <w:sz w:val="24"/>
        </w:rPr>
        <w:t>10</w:t>
      </w:r>
      <w:r>
        <w:rPr>
          <w:rFonts w:hint="eastAsia" w:ascii="宋体" w:hAnsi="宋体" w:cs="宋体"/>
          <w:color w:val="auto"/>
          <w:kern w:val="0"/>
          <w:sz w:val="24"/>
          <w:lang w:val="zh-CN"/>
        </w:rPr>
        <w:t>）；</w:t>
      </w:r>
    </w:p>
    <w:p w14:paraId="07F76180">
      <w:pPr>
        <w:adjustRightInd w:val="0"/>
        <w:snapToGrid w:val="0"/>
        <w:spacing w:line="420" w:lineRule="exact"/>
        <w:ind w:firstLine="480" w:firstLineChars="200"/>
        <w:rPr>
          <w:rFonts w:hint="eastAsia" w:ascii="宋体" w:hAnsi="宋体" w:cs="宋体"/>
          <w:color w:val="auto"/>
          <w:kern w:val="0"/>
          <w:sz w:val="24"/>
        </w:rPr>
      </w:pPr>
      <w:r>
        <w:rPr>
          <w:rFonts w:hint="eastAsia" w:ascii="宋体" w:hAnsi="宋体" w:cs="宋体"/>
          <w:color w:val="auto"/>
          <w:kern w:val="0"/>
          <w:sz w:val="24"/>
        </w:rPr>
        <w:t>2.分项报价表</w:t>
      </w:r>
      <w:r>
        <w:rPr>
          <w:rFonts w:hint="eastAsia" w:ascii="宋体" w:hAnsi="宋体" w:cs="宋体"/>
          <w:color w:val="auto"/>
          <w:kern w:val="0"/>
          <w:sz w:val="24"/>
          <w:lang w:val="zh-CN"/>
        </w:rPr>
        <w:t>（格式见附件</w:t>
      </w:r>
      <w:r>
        <w:rPr>
          <w:rFonts w:hint="eastAsia" w:ascii="宋体" w:hAnsi="宋体" w:cs="宋体"/>
          <w:color w:val="auto"/>
          <w:kern w:val="0"/>
          <w:sz w:val="24"/>
        </w:rPr>
        <w:t>11</w:t>
      </w:r>
      <w:r>
        <w:rPr>
          <w:rFonts w:hint="eastAsia" w:ascii="宋体" w:hAnsi="宋体" w:cs="宋体"/>
          <w:color w:val="auto"/>
          <w:kern w:val="0"/>
          <w:sz w:val="24"/>
          <w:lang w:val="zh-CN"/>
        </w:rPr>
        <w:t>）</w:t>
      </w:r>
      <w:r>
        <w:rPr>
          <w:rFonts w:hint="eastAsia" w:ascii="宋体" w:hAnsi="宋体" w:cs="宋体"/>
          <w:color w:val="auto"/>
          <w:kern w:val="0"/>
          <w:sz w:val="24"/>
        </w:rPr>
        <w:t>。</w:t>
      </w:r>
    </w:p>
    <w:p w14:paraId="0B0EECE3">
      <w:pPr>
        <w:adjustRightInd w:val="0"/>
        <w:snapToGrid w:val="0"/>
        <w:spacing w:line="420" w:lineRule="exact"/>
        <w:ind w:firstLine="482" w:firstLineChars="200"/>
        <w:rPr>
          <w:rFonts w:hint="eastAsia" w:ascii="宋体" w:hAnsi="宋体" w:cs="宋体"/>
          <w:b/>
          <w:bCs/>
          <w:color w:val="auto"/>
          <w:kern w:val="0"/>
          <w:sz w:val="24"/>
        </w:rPr>
      </w:pPr>
      <w:r>
        <w:rPr>
          <w:rFonts w:hint="eastAsia" w:ascii="宋体" w:hAnsi="宋体" w:cs="宋体"/>
          <w:b/>
          <w:bCs/>
          <w:color w:val="auto"/>
          <w:kern w:val="0"/>
          <w:sz w:val="24"/>
        </w:rPr>
        <w:t>四、电子响应文件（一份、单独密封提交）</w:t>
      </w:r>
    </w:p>
    <w:p w14:paraId="32257AA7">
      <w:pPr>
        <w:adjustRightInd w:val="0"/>
        <w:snapToGrid w:val="0"/>
        <w:spacing w:line="420" w:lineRule="exact"/>
        <w:ind w:firstLine="480" w:firstLineChars="200"/>
        <w:rPr>
          <w:rFonts w:hint="eastAsia" w:ascii="宋体" w:hAnsi="宋体" w:cs="宋体"/>
          <w:color w:val="auto"/>
          <w:kern w:val="0"/>
          <w:sz w:val="24"/>
        </w:rPr>
      </w:pPr>
      <w:r>
        <w:rPr>
          <w:rFonts w:hint="eastAsia" w:ascii="宋体" w:hAnsi="宋体" w:cs="宋体"/>
          <w:color w:val="auto"/>
          <w:kern w:val="0"/>
          <w:sz w:val="24"/>
        </w:rPr>
        <w:t>电子响应文件的内容为“资格审查文件、商务技术标、价格标”的打印盖章（或电子签章）后的响应文件的扫描件（资格审查文件、商务技术标、价格标需分别逐页连续扫描为三个独立的PDF文件）。</w:t>
      </w:r>
    </w:p>
    <w:p w14:paraId="083EB059">
      <w:pPr>
        <w:snapToGrid w:val="0"/>
        <w:spacing w:line="460" w:lineRule="exact"/>
        <w:contextualSpacing/>
        <w:rPr>
          <w:rFonts w:hint="eastAsia" w:ascii="宋体" w:hAnsi="宋体" w:cs="宋体"/>
          <w:color w:val="auto"/>
          <w:kern w:val="0"/>
          <w:sz w:val="32"/>
          <w:szCs w:val="32"/>
          <w:lang w:val="zh-CN"/>
        </w:rPr>
      </w:pPr>
      <w:r>
        <w:rPr>
          <w:rFonts w:hint="eastAsia" w:ascii="宋体" w:hAnsi="宋体" w:cs="宋体"/>
          <w:color w:val="auto"/>
          <w:kern w:val="0"/>
          <w:sz w:val="32"/>
          <w:szCs w:val="32"/>
          <w:lang w:val="zh-CN"/>
        </w:rPr>
        <w:br w:type="page"/>
      </w:r>
      <w:r>
        <w:rPr>
          <w:rFonts w:hint="eastAsia" w:ascii="宋体" w:hAnsi="宋体" w:cs="宋体"/>
          <w:color w:val="auto"/>
          <w:kern w:val="0"/>
          <w:sz w:val="32"/>
          <w:szCs w:val="32"/>
          <w:lang w:val="zh-CN"/>
        </w:rPr>
        <w:t>附件1</w:t>
      </w:r>
    </w:p>
    <w:p w14:paraId="48724970">
      <w:pPr>
        <w:spacing w:line="460" w:lineRule="exact"/>
        <w:jc w:val="center"/>
        <w:rPr>
          <w:rFonts w:hint="eastAsia" w:ascii="宋体" w:hAnsi="宋体" w:cs="宋体"/>
          <w:b/>
          <w:color w:val="auto"/>
          <w:sz w:val="30"/>
          <w:szCs w:val="30"/>
        </w:rPr>
      </w:pPr>
    </w:p>
    <w:p w14:paraId="585FE316">
      <w:pPr>
        <w:spacing w:line="460" w:lineRule="exact"/>
        <w:jc w:val="center"/>
        <w:rPr>
          <w:rFonts w:hint="eastAsia" w:ascii="宋体" w:hAnsi="宋体" w:cs="宋体"/>
          <w:b/>
          <w:color w:val="auto"/>
          <w:sz w:val="30"/>
          <w:szCs w:val="30"/>
        </w:rPr>
      </w:pPr>
      <w:r>
        <w:rPr>
          <w:rFonts w:hint="eastAsia" w:ascii="宋体" w:hAnsi="宋体" w:cs="宋体"/>
          <w:b/>
          <w:color w:val="auto"/>
          <w:sz w:val="30"/>
          <w:szCs w:val="30"/>
        </w:rPr>
        <w:t>符合投标人资格要求的承诺函</w:t>
      </w:r>
    </w:p>
    <w:p w14:paraId="16C1856B">
      <w:pPr>
        <w:spacing w:line="460" w:lineRule="exact"/>
        <w:rPr>
          <w:rFonts w:hint="eastAsia" w:ascii="宋体" w:hAnsi="宋体" w:cs="宋体"/>
          <w:b/>
          <w:bCs/>
          <w:color w:val="auto"/>
          <w:sz w:val="44"/>
          <w:szCs w:val="44"/>
        </w:rPr>
      </w:pPr>
    </w:p>
    <w:p w14:paraId="43B970B0">
      <w:pPr>
        <w:spacing w:line="460" w:lineRule="exact"/>
        <w:ind w:firstLine="480" w:firstLineChars="200"/>
        <w:rPr>
          <w:rFonts w:hint="eastAsia" w:ascii="宋体" w:hAnsi="宋体" w:cs="宋体"/>
          <w:b/>
          <w:bCs/>
          <w:color w:val="auto"/>
          <w:sz w:val="24"/>
        </w:rPr>
      </w:pPr>
      <w:r>
        <w:rPr>
          <w:rFonts w:hint="eastAsia" w:ascii="宋体" w:hAnsi="宋体" w:cs="宋体"/>
          <w:bCs/>
          <w:color w:val="auto"/>
          <w:sz w:val="24"/>
        </w:rPr>
        <w:t>我单位参加</w:t>
      </w:r>
      <w:r>
        <w:rPr>
          <w:rFonts w:hint="eastAsia" w:ascii="宋体" w:hAnsi="宋体" w:cs="宋体"/>
          <w:bCs/>
          <w:color w:val="auto"/>
          <w:sz w:val="24"/>
          <w:szCs w:val="21"/>
          <w:u w:val="single"/>
        </w:rPr>
        <w:t>________________ _</w:t>
      </w:r>
      <w:r>
        <w:rPr>
          <w:rFonts w:hint="eastAsia" w:ascii="宋体" w:hAnsi="宋体" w:cs="宋体"/>
          <w:bCs/>
          <w:color w:val="auto"/>
          <w:sz w:val="24"/>
          <w:szCs w:val="21"/>
        </w:rPr>
        <w:t>（项目名称），</w:t>
      </w:r>
      <w:r>
        <w:rPr>
          <w:rFonts w:hint="eastAsia" w:ascii="宋体" w:hAnsi="宋体" w:cs="宋体"/>
          <w:bCs/>
          <w:color w:val="auto"/>
          <w:sz w:val="24"/>
          <w:szCs w:val="21"/>
          <w:u w:val="single"/>
        </w:rPr>
        <w:t>_______ __________</w:t>
      </w:r>
      <w:r>
        <w:rPr>
          <w:rFonts w:hint="eastAsia" w:ascii="宋体" w:hAnsi="宋体" w:cs="宋体"/>
          <w:bCs/>
          <w:color w:val="auto"/>
          <w:sz w:val="24"/>
          <w:szCs w:val="21"/>
        </w:rPr>
        <w:t>（项目编号）投标活动。现做出如下承诺：</w:t>
      </w:r>
    </w:p>
    <w:p w14:paraId="4BE28009">
      <w:pPr>
        <w:spacing w:line="460" w:lineRule="exact"/>
        <w:ind w:firstLine="480" w:firstLineChars="200"/>
        <w:rPr>
          <w:rFonts w:hint="eastAsia" w:ascii="宋体" w:hAnsi="宋体" w:cs="宋体"/>
          <w:color w:val="auto"/>
          <w:sz w:val="24"/>
        </w:rPr>
      </w:pPr>
      <w:r>
        <w:rPr>
          <w:rFonts w:hint="eastAsia" w:ascii="宋体" w:hAnsi="宋体" w:cs="宋体"/>
          <w:bCs/>
          <w:color w:val="auto"/>
          <w:sz w:val="24"/>
          <w:szCs w:val="21"/>
        </w:rPr>
        <w:t>1.我单位具有独立承担民事责任的能力；</w:t>
      </w:r>
    </w:p>
    <w:p w14:paraId="6B09DD3C">
      <w:pPr>
        <w:spacing w:line="460" w:lineRule="exact"/>
        <w:ind w:firstLine="480" w:firstLineChars="200"/>
        <w:rPr>
          <w:rFonts w:hint="eastAsia" w:ascii="宋体" w:hAnsi="宋体" w:cs="宋体"/>
          <w:color w:val="auto"/>
          <w:sz w:val="24"/>
        </w:rPr>
      </w:pPr>
      <w:r>
        <w:rPr>
          <w:rFonts w:hint="eastAsia" w:ascii="宋体" w:hAnsi="宋体" w:cs="宋体"/>
          <w:color w:val="auto"/>
          <w:sz w:val="24"/>
        </w:rPr>
        <w:t>2.我单位具有良好的商业信誉和健全的财务会计制度；</w:t>
      </w:r>
    </w:p>
    <w:p w14:paraId="133F8DDA">
      <w:pPr>
        <w:spacing w:line="460" w:lineRule="exact"/>
        <w:ind w:firstLine="480" w:firstLineChars="200"/>
        <w:rPr>
          <w:rFonts w:hint="eastAsia" w:ascii="宋体" w:hAnsi="宋体" w:cs="宋体"/>
          <w:color w:val="auto"/>
          <w:sz w:val="24"/>
        </w:rPr>
      </w:pPr>
      <w:r>
        <w:rPr>
          <w:rFonts w:hint="eastAsia" w:ascii="宋体" w:hAnsi="宋体" w:cs="宋体"/>
          <w:color w:val="auto"/>
          <w:sz w:val="24"/>
        </w:rPr>
        <w:t>3.我单位具有履行合同所必需的设备和专业技术能力；</w:t>
      </w:r>
    </w:p>
    <w:p w14:paraId="3ABB304A">
      <w:pPr>
        <w:spacing w:line="460" w:lineRule="exact"/>
        <w:ind w:firstLine="480" w:firstLineChars="200"/>
        <w:rPr>
          <w:rFonts w:hint="eastAsia" w:ascii="宋体" w:hAnsi="宋体" w:cs="宋体"/>
          <w:color w:val="auto"/>
          <w:sz w:val="24"/>
        </w:rPr>
      </w:pPr>
      <w:r>
        <w:rPr>
          <w:rFonts w:hint="eastAsia" w:ascii="宋体" w:hAnsi="宋体" w:cs="宋体"/>
          <w:color w:val="auto"/>
          <w:sz w:val="24"/>
        </w:rPr>
        <w:t>4.我单位有依法缴纳税收和社会保障资金的良好记录；</w:t>
      </w:r>
    </w:p>
    <w:p w14:paraId="36715AF6">
      <w:pPr>
        <w:spacing w:line="360" w:lineRule="auto"/>
        <w:ind w:firstLine="480" w:firstLineChars="200"/>
        <w:rPr>
          <w:rFonts w:hint="eastAsia" w:ascii="宋体" w:hAnsi="宋体" w:cs="宋体"/>
          <w:color w:val="auto"/>
          <w:sz w:val="24"/>
        </w:rPr>
      </w:pPr>
      <w:r>
        <w:rPr>
          <w:rFonts w:hint="eastAsia" w:ascii="宋体" w:hAnsi="宋体" w:cs="宋体"/>
          <w:color w:val="auto"/>
          <w:sz w:val="24"/>
        </w:rPr>
        <w:t>5.我单位参加采购活动前三年内，在经营活动中没有重大违法记录；（“较大数额罚款”认定为200万元以上的罚款，法律、行政法规以及国务院有关部门明确规定相关领域“较大数额罚款”标准高于200万元的，从其规定。）</w:t>
      </w:r>
    </w:p>
    <w:p w14:paraId="4E6BF421">
      <w:pPr>
        <w:spacing w:line="460" w:lineRule="exact"/>
        <w:ind w:firstLine="480" w:firstLineChars="200"/>
        <w:rPr>
          <w:rFonts w:hint="eastAsia" w:ascii="宋体" w:hAnsi="宋体" w:cs="宋体"/>
          <w:color w:val="auto"/>
          <w:sz w:val="24"/>
        </w:rPr>
      </w:pPr>
      <w:r>
        <w:rPr>
          <w:rFonts w:hint="eastAsia" w:ascii="宋体" w:hAnsi="宋体" w:cs="宋体"/>
          <w:color w:val="auto"/>
          <w:sz w:val="24"/>
        </w:rPr>
        <w:t>6.我单位满足法律、行政法规规定的其他条件。</w:t>
      </w:r>
    </w:p>
    <w:p w14:paraId="43353D2C">
      <w:pPr>
        <w:spacing w:line="460" w:lineRule="exact"/>
        <w:ind w:firstLine="480" w:firstLineChars="200"/>
        <w:rPr>
          <w:rFonts w:hint="eastAsia" w:ascii="宋体" w:hAnsi="宋体" w:cs="宋体"/>
          <w:color w:val="auto"/>
          <w:sz w:val="24"/>
        </w:rPr>
      </w:pPr>
    </w:p>
    <w:p w14:paraId="368E6075">
      <w:pPr>
        <w:spacing w:line="460" w:lineRule="exact"/>
        <w:ind w:firstLine="480" w:firstLineChars="200"/>
        <w:rPr>
          <w:rFonts w:hint="eastAsia" w:ascii="宋体" w:hAnsi="宋体" w:cs="宋体"/>
          <w:color w:val="auto"/>
          <w:sz w:val="24"/>
        </w:rPr>
      </w:pPr>
    </w:p>
    <w:p w14:paraId="172E60DF">
      <w:pPr>
        <w:spacing w:line="460" w:lineRule="exact"/>
        <w:ind w:firstLine="480" w:firstLineChars="200"/>
        <w:rPr>
          <w:rFonts w:hint="eastAsia" w:ascii="宋体" w:hAnsi="宋体" w:cs="宋体"/>
          <w:bCs/>
          <w:color w:val="auto"/>
          <w:sz w:val="24"/>
          <w:szCs w:val="21"/>
        </w:rPr>
      </w:pPr>
    </w:p>
    <w:p w14:paraId="01FE5690">
      <w:pPr>
        <w:spacing w:line="460" w:lineRule="exact"/>
        <w:ind w:firstLine="480" w:firstLineChars="200"/>
        <w:rPr>
          <w:rFonts w:hint="eastAsia" w:ascii="宋体" w:hAnsi="宋体" w:cs="宋体"/>
          <w:bCs/>
          <w:color w:val="auto"/>
          <w:sz w:val="24"/>
          <w:szCs w:val="21"/>
        </w:rPr>
      </w:pPr>
    </w:p>
    <w:p w14:paraId="662E73D3">
      <w:pPr>
        <w:spacing w:line="460" w:lineRule="exact"/>
        <w:ind w:firstLine="480" w:firstLineChars="200"/>
        <w:rPr>
          <w:rFonts w:hint="eastAsia" w:ascii="宋体" w:hAnsi="宋体" w:cs="宋体"/>
          <w:bCs/>
          <w:color w:val="auto"/>
          <w:sz w:val="24"/>
          <w:szCs w:val="21"/>
        </w:rPr>
      </w:pPr>
    </w:p>
    <w:p w14:paraId="06353542">
      <w:pPr>
        <w:spacing w:line="460" w:lineRule="exact"/>
        <w:ind w:firstLine="480" w:firstLineChars="200"/>
        <w:jc w:val="center"/>
        <w:rPr>
          <w:rFonts w:hint="eastAsia" w:ascii="宋体" w:hAnsi="宋体" w:cs="宋体"/>
          <w:bCs/>
          <w:color w:val="auto"/>
          <w:sz w:val="24"/>
          <w:szCs w:val="21"/>
        </w:rPr>
      </w:pPr>
      <w:r>
        <w:rPr>
          <w:rFonts w:hint="eastAsia" w:ascii="宋体" w:hAnsi="宋体" w:cs="宋体"/>
          <w:bCs/>
          <w:color w:val="auto"/>
          <w:sz w:val="24"/>
          <w:szCs w:val="21"/>
        </w:rPr>
        <w:t xml:space="preserve">                                             承诺人名称（公章）：</w:t>
      </w:r>
    </w:p>
    <w:p w14:paraId="130E353C">
      <w:pPr>
        <w:spacing w:line="460" w:lineRule="exact"/>
        <w:ind w:firstLine="480" w:firstLineChars="200"/>
        <w:jc w:val="right"/>
        <w:rPr>
          <w:rFonts w:hint="eastAsia" w:ascii="宋体" w:hAnsi="宋体" w:cs="宋体"/>
          <w:bCs/>
          <w:color w:val="auto"/>
          <w:sz w:val="24"/>
          <w:szCs w:val="21"/>
        </w:rPr>
      </w:pPr>
    </w:p>
    <w:p w14:paraId="7910211F">
      <w:pPr>
        <w:spacing w:line="460" w:lineRule="exact"/>
        <w:ind w:firstLine="480" w:firstLineChars="200"/>
        <w:jc w:val="right"/>
        <w:rPr>
          <w:rFonts w:hint="eastAsia" w:ascii="宋体" w:hAnsi="宋体" w:cs="宋体"/>
          <w:bCs/>
          <w:color w:val="auto"/>
          <w:sz w:val="24"/>
          <w:szCs w:val="21"/>
        </w:rPr>
      </w:pPr>
      <w:r>
        <w:rPr>
          <w:rFonts w:hint="eastAsia" w:ascii="宋体" w:hAnsi="宋体" w:cs="宋体"/>
          <w:bCs/>
          <w:color w:val="auto"/>
          <w:sz w:val="24"/>
          <w:szCs w:val="21"/>
        </w:rPr>
        <w:t xml:space="preserve">                                 日期： 年 月 日</w:t>
      </w:r>
    </w:p>
    <w:p w14:paraId="0051285D">
      <w:pPr>
        <w:snapToGrid w:val="0"/>
        <w:spacing w:line="400" w:lineRule="exact"/>
        <w:contextualSpacing/>
        <w:rPr>
          <w:rFonts w:hint="eastAsia" w:ascii="宋体" w:hAnsi="宋体" w:cs="宋体"/>
          <w:b/>
          <w:color w:val="auto"/>
          <w:kern w:val="0"/>
          <w:sz w:val="28"/>
          <w:szCs w:val="28"/>
          <w:lang w:val="zh-CN"/>
        </w:rPr>
      </w:pPr>
    </w:p>
    <w:p w14:paraId="68C99527">
      <w:pPr>
        <w:pStyle w:val="12"/>
        <w:rPr>
          <w:rFonts w:hint="eastAsia" w:ascii="宋体" w:hAnsi="宋体" w:cs="宋体"/>
          <w:b/>
          <w:color w:val="auto"/>
          <w:kern w:val="0"/>
          <w:sz w:val="28"/>
          <w:szCs w:val="28"/>
          <w:lang w:val="zh-CN"/>
        </w:rPr>
      </w:pPr>
    </w:p>
    <w:p w14:paraId="0247B385">
      <w:pPr>
        <w:rPr>
          <w:rFonts w:hint="eastAsia" w:ascii="宋体" w:hAnsi="宋体" w:cs="宋体"/>
          <w:b/>
          <w:color w:val="auto"/>
          <w:kern w:val="0"/>
          <w:sz w:val="28"/>
          <w:szCs w:val="28"/>
          <w:lang w:val="zh-CN"/>
        </w:rPr>
      </w:pPr>
    </w:p>
    <w:p w14:paraId="6EDD06A4">
      <w:pPr>
        <w:snapToGrid w:val="0"/>
        <w:spacing w:line="400" w:lineRule="exact"/>
        <w:contextualSpacing/>
        <w:rPr>
          <w:rFonts w:hint="eastAsia" w:ascii="宋体" w:hAnsi="宋体" w:cs="宋体"/>
          <w:b/>
          <w:color w:val="auto"/>
          <w:kern w:val="0"/>
          <w:sz w:val="28"/>
          <w:szCs w:val="28"/>
          <w:lang w:val="zh-CN"/>
        </w:rPr>
      </w:pPr>
    </w:p>
    <w:p w14:paraId="5D1D87B7">
      <w:pPr>
        <w:snapToGrid w:val="0"/>
        <w:spacing w:line="300" w:lineRule="auto"/>
        <w:outlineLvl w:val="0"/>
        <w:rPr>
          <w:rFonts w:hint="eastAsia" w:ascii="宋体" w:hAnsi="宋体" w:cs="宋体"/>
          <w:color w:val="auto"/>
          <w:sz w:val="32"/>
          <w:szCs w:val="32"/>
          <w:lang w:val="zh-CN"/>
        </w:rPr>
      </w:pPr>
      <w:r>
        <w:rPr>
          <w:rFonts w:hint="eastAsia" w:ascii="宋体" w:hAnsi="宋体" w:cs="宋体"/>
          <w:color w:val="auto"/>
          <w:sz w:val="32"/>
          <w:szCs w:val="32"/>
          <w:lang w:val="zh-CN"/>
        </w:rPr>
        <w:br w:type="column"/>
      </w:r>
      <w:r>
        <w:rPr>
          <w:rFonts w:hint="eastAsia" w:ascii="宋体" w:hAnsi="宋体" w:cs="宋体"/>
          <w:color w:val="auto"/>
          <w:sz w:val="32"/>
          <w:szCs w:val="32"/>
          <w:lang w:val="zh-CN"/>
        </w:rPr>
        <w:t>附件2</w:t>
      </w:r>
    </w:p>
    <w:p w14:paraId="3E374A30">
      <w:pPr>
        <w:spacing w:line="360" w:lineRule="auto"/>
        <w:jc w:val="center"/>
        <w:rPr>
          <w:rFonts w:hint="eastAsia" w:ascii="宋体" w:hAnsi="宋体" w:cs="宋体"/>
          <w:b/>
          <w:bCs/>
          <w:color w:val="auto"/>
          <w:sz w:val="32"/>
          <w:szCs w:val="32"/>
        </w:rPr>
      </w:pPr>
      <w:r>
        <w:rPr>
          <w:rFonts w:hint="eastAsia" w:ascii="宋体" w:hAnsi="宋体" w:cs="宋体"/>
          <w:b/>
          <w:bCs/>
          <w:color w:val="auto"/>
          <w:sz w:val="32"/>
          <w:szCs w:val="32"/>
        </w:rPr>
        <w:t>法定代表人身份证明</w:t>
      </w:r>
    </w:p>
    <w:p w14:paraId="53C70C3E">
      <w:pPr>
        <w:spacing w:line="360" w:lineRule="auto"/>
        <w:jc w:val="center"/>
        <w:rPr>
          <w:rFonts w:hint="eastAsia" w:ascii="宋体" w:hAnsi="宋体" w:cs="宋体"/>
          <w:color w:val="auto"/>
          <w:sz w:val="24"/>
        </w:rPr>
      </w:pPr>
    </w:p>
    <w:p w14:paraId="41260C92">
      <w:pPr>
        <w:spacing w:line="360" w:lineRule="auto"/>
        <w:rPr>
          <w:rFonts w:hint="eastAsia" w:ascii="宋体" w:hAnsi="宋体" w:cs="宋体"/>
          <w:color w:val="auto"/>
          <w:sz w:val="24"/>
        </w:rPr>
      </w:pPr>
      <w:r>
        <w:rPr>
          <w:rFonts w:hint="eastAsia" w:ascii="宋体" w:hAnsi="宋体" w:cs="宋体"/>
          <w:color w:val="auto"/>
          <w:sz w:val="24"/>
        </w:rPr>
        <w:t>江苏商贸职业学院：</w:t>
      </w:r>
    </w:p>
    <w:p w14:paraId="7EB4313D">
      <w:pPr>
        <w:spacing w:line="360" w:lineRule="auto"/>
        <w:ind w:firstLine="480" w:firstLineChars="200"/>
        <w:rPr>
          <w:rFonts w:hint="eastAsia" w:ascii="宋体" w:hAnsi="宋体" w:cs="宋体"/>
          <w:color w:val="auto"/>
          <w:sz w:val="24"/>
        </w:rPr>
      </w:pPr>
      <w:r>
        <w:rPr>
          <w:rFonts w:hint="eastAsia" w:ascii="宋体" w:hAnsi="宋体" w:cs="宋体"/>
          <w:color w:val="auto"/>
          <w:sz w:val="24"/>
        </w:rPr>
        <w:t>我公司法定代表人参加贵单位组织的</w:t>
      </w:r>
      <w:r>
        <w:rPr>
          <w:rFonts w:ascii="宋体" w:hAnsi="宋体" w:cs="宋体"/>
          <w:color w:val="auto"/>
          <w:sz w:val="24"/>
          <w:u w:val="single"/>
        </w:rPr>
        <w:t xml:space="preserve">        </w:t>
      </w:r>
      <w:r>
        <w:rPr>
          <w:rFonts w:hint="eastAsia" w:ascii="宋体" w:hAnsi="宋体" w:cs="宋体"/>
          <w:color w:val="auto"/>
          <w:sz w:val="24"/>
        </w:rPr>
        <w:t>项目（ 项目编号：</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ascii="宋体" w:hAnsi="宋体" w:cs="宋体"/>
          <w:color w:val="auto"/>
          <w:sz w:val="24"/>
        </w:rPr>
        <w:t xml:space="preserve"> </w:t>
      </w:r>
      <w:r>
        <w:rPr>
          <w:rFonts w:hint="eastAsia" w:ascii="宋体" w:hAnsi="宋体" w:cs="宋体"/>
          <w:color w:val="auto"/>
          <w:sz w:val="24"/>
        </w:rPr>
        <w:t>)公开招标采购活动，全权代表我公司处理投标的有关事宜。</w:t>
      </w:r>
    </w:p>
    <w:p w14:paraId="1FEBA9AD">
      <w:pPr>
        <w:spacing w:line="360" w:lineRule="auto"/>
        <w:ind w:firstLine="480" w:firstLineChars="200"/>
        <w:rPr>
          <w:rFonts w:hint="eastAsia" w:ascii="宋体" w:hAnsi="宋体" w:cs="宋体"/>
          <w:color w:val="auto"/>
          <w:sz w:val="24"/>
        </w:rPr>
      </w:pPr>
    </w:p>
    <w:p w14:paraId="5C327F6E">
      <w:pPr>
        <w:spacing w:line="360" w:lineRule="auto"/>
        <w:rPr>
          <w:rFonts w:hint="eastAsia" w:ascii="宋体" w:hAnsi="宋体" w:cs="宋体"/>
          <w:color w:val="auto"/>
          <w:sz w:val="24"/>
        </w:rPr>
      </w:pPr>
      <w:r>
        <w:rPr>
          <w:rFonts w:hint="eastAsia" w:ascii="宋体" w:hAnsi="宋体" w:cs="宋体"/>
          <w:color w:val="auto"/>
          <w:sz w:val="24"/>
        </w:rPr>
        <w:t>附：法定代表人情况：</w:t>
      </w:r>
    </w:p>
    <w:p w14:paraId="14B08A69">
      <w:pPr>
        <w:spacing w:line="360" w:lineRule="auto"/>
        <w:rPr>
          <w:rFonts w:hint="eastAsia" w:ascii="宋体" w:hAnsi="宋体" w:cs="宋体"/>
          <w:color w:val="auto"/>
          <w:sz w:val="24"/>
          <w:u w:val="single"/>
        </w:rPr>
      </w:pPr>
      <w:r>
        <w:rPr>
          <w:rFonts w:hint="eastAsia" w:ascii="宋体" w:hAnsi="宋体" w:cs="宋体"/>
          <w:color w:val="auto"/>
          <w:sz w:val="24"/>
        </w:rPr>
        <w:t>姓名： 性别： 年龄：  职务：</w:t>
      </w:r>
    </w:p>
    <w:p w14:paraId="2570F15B">
      <w:pPr>
        <w:spacing w:line="360" w:lineRule="auto"/>
        <w:rPr>
          <w:rFonts w:hint="eastAsia" w:ascii="宋体" w:hAnsi="宋体" w:cs="宋体"/>
          <w:color w:val="auto"/>
          <w:sz w:val="24"/>
        </w:rPr>
      </w:pPr>
      <w:r>
        <w:rPr>
          <w:rFonts w:hint="eastAsia" w:ascii="宋体" w:hAnsi="宋体" w:cs="宋体"/>
          <w:color w:val="auto"/>
          <w:sz w:val="24"/>
        </w:rPr>
        <w:t>身份证号码：</w:t>
      </w:r>
    </w:p>
    <w:p w14:paraId="088ACDA4">
      <w:pPr>
        <w:spacing w:line="360" w:lineRule="auto"/>
        <w:rPr>
          <w:rFonts w:hint="eastAsia" w:ascii="宋体" w:hAnsi="宋体" w:cs="宋体"/>
          <w:color w:val="auto"/>
          <w:sz w:val="24"/>
        </w:rPr>
      </w:pPr>
      <w:r>
        <w:rPr>
          <w:rFonts w:hint="eastAsia" w:ascii="宋体" w:hAnsi="宋体" w:cs="宋体"/>
          <w:color w:val="auto"/>
          <w:sz w:val="24"/>
        </w:rPr>
        <w:t>手机：   传真：</w:t>
      </w:r>
    </w:p>
    <w:p w14:paraId="6DA25F81">
      <w:pPr>
        <w:spacing w:line="360" w:lineRule="auto"/>
        <w:rPr>
          <w:rFonts w:hint="eastAsia" w:ascii="宋体" w:hAnsi="宋体" w:cs="宋体"/>
          <w:color w:val="auto"/>
          <w:sz w:val="24"/>
        </w:rPr>
      </w:pPr>
      <w:r>
        <w:rPr>
          <w:rFonts w:hint="eastAsia" w:ascii="宋体" w:hAnsi="宋体" w:cs="宋体"/>
          <w:color w:val="auto"/>
          <w:sz w:val="24"/>
        </w:rPr>
        <w:t>单位名称（公章）             法定代表人（签字或盖章）</w:t>
      </w:r>
    </w:p>
    <w:p w14:paraId="50A4E237">
      <w:pPr>
        <w:spacing w:line="360" w:lineRule="auto"/>
        <w:ind w:firstLine="1200" w:firstLineChars="500"/>
        <w:rPr>
          <w:rFonts w:hint="eastAsia" w:ascii="宋体" w:hAnsi="宋体" w:cs="宋体"/>
          <w:color w:val="auto"/>
          <w:sz w:val="24"/>
        </w:rPr>
      </w:pPr>
      <w:r>
        <w:rPr>
          <w:rFonts w:hint="eastAsia" w:ascii="宋体" w:hAnsi="宋体" w:cs="宋体"/>
          <w:color w:val="auto"/>
          <w:sz w:val="24"/>
        </w:rPr>
        <w:t xml:space="preserve">年   月   日                 年   月    日  </w:t>
      </w:r>
    </w:p>
    <w:p w14:paraId="14750F9E">
      <w:pPr>
        <w:spacing w:line="360" w:lineRule="auto"/>
        <w:rPr>
          <w:rFonts w:hint="eastAsia" w:ascii="宋体" w:hAnsi="宋体" w:cs="宋体"/>
          <w:color w:val="auto"/>
          <w:sz w:val="24"/>
        </w:rPr>
      </w:pPr>
    </w:p>
    <w:p w14:paraId="336CF862">
      <w:pPr>
        <w:spacing w:line="360" w:lineRule="auto"/>
        <w:rPr>
          <w:rFonts w:hint="eastAsia" w:ascii="宋体" w:hAnsi="宋体" w:cs="宋体"/>
          <w:color w:val="auto"/>
          <w:sz w:val="24"/>
        </w:rPr>
      </w:pPr>
    </w:p>
    <w:p w14:paraId="6C2B2986">
      <w:pPr>
        <w:spacing w:line="360" w:lineRule="auto"/>
        <w:rPr>
          <w:rFonts w:hint="eastAsia" w:ascii="宋体" w:hAnsi="宋体" w:cs="宋体"/>
          <w:color w:val="auto"/>
          <w:sz w:val="24"/>
        </w:rPr>
      </w:pPr>
      <w:r>
        <w:rPr>
          <w:rFonts w:hint="eastAsia" w:ascii="宋体" w:hAnsi="宋体" w:cs="宋体"/>
          <w:color w:val="auto"/>
          <w:sz w:val="24"/>
        </w:rPr>
        <w:t>法定代表人身份证复印件</w:t>
      </w:r>
    </w:p>
    <w:p w14:paraId="6523AF5D">
      <w:pPr>
        <w:spacing w:line="360" w:lineRule="auto"/>
        <w:rPr>
          <w:rFonts w:hint="eastAsia" w:ascii="宋体" w:hAnsi="宋体" w:cs="宋体"/>
          <w:color w:val="auto"/>
          <w:sz w:val="24"/>
        </w:rPr>
      </w:pPr>
    </w:p>
    <w:p w14:paraId="6D244AC2">
      <w:pPr>
        <w:spacing w:line="360" w:lineRule="auto"/>
        <w:ind w:firstLine="2280" w:firstLineChars="950"/>
        <w:rPr>
          <w:rFonts w:hint="eastAsia" w:ascii="宋体" w:hAnsi="宋体" w:cs="宋体"/>
          <w:color w:val="auto"/>
          <w:sz w:val="24"/>
        </w:rPr>
      </w:pPr>
      <w:r>
        <w:rPr>
          <w:rFonts w:hint="eastAsia" w:ascii="宋体" w:hAnsi="宋体" w:cs="宋体"/>
          <w:color w:val="auto"/>
          <w:sz w:val="24"/>
        </w:rPr>
        <w:t>（粘贴此处）</w:t>
      </w:r>
    </w:p>
    <w:p w14:paraId="5C735A2D">
      <w:pPr>
        <w:rPr>
          <w:rFonts w:hint="eastAsia" w:ascii="宋体" w:hAnsi="宋体" w:cs="宋体"/>
          <w:color w:val="auto"/>
        </w:rPr>
      </w:pPr>
    </w:p>
    <w:p w14:paraId="38CCFA52">
      <w:pPr>
        <w:snapToGrid w:val="0"/>
        <w:spacing w:line="400" w:lineRule="exact"/>
        <w:ind w:firstLine="540" w:firstLineChars="192"/>
        <w:contextualSpacing/>
        <w:rPr>
          <w:rFonts w:hint="eastAsia" w:ascii="宋体" w:hAnsi="宋体" w:cs="宋体"/>
          <w:b/>
          <w:color w:val="auto"/>
          <w:kern w:val="0"/>
          <w:sz w:val="28"/>
          <w:szCs w:val="28"/>
        </w:rPr>
      </w:pPr>
    </w:p>
    <w:p w14:paraId="24EF0877">
      <w:pPr>
        <w:snapToGrid w:val="0"/>
        <w:spacing w:line="400" w:lineRule="exact"/>
        <w:ind w:firstLine="540" w:firstLineChars="192"/>
        <w:contextualSpacing/>
        <w:rPr>
          <w:rFonts w:hint="eastAsia" w:ascii="宋体" w:hAnsi="宋体" w:cs="宋体"/>
          <w:b/>
          <w:color w:val="auto"/>
          <w:kern w:val="0"/>
          <w:sz w:val="28"/>
          <w:szCs w:val="28"/>
          <w:lang w:val="zh-CN"/>
        </w:rPr>
      </w:pPr>
    </w:p>
    <w:p w14:paraId="33C3B016">
      <w:pPr>
        <w:snapToGrid w:val="0"/>
        <w:spacing w:line="400" w:lineRule="exact"/>
        <w:ind w:firstLine="540" w:firstLineChars="192"/>
        <w:contextualSpacing/>
        <w:rPr>
          <w:rFonts w:hint="eastAsia" w:ascii="宋体" w:hAnsi="宋体" w:cs="宋体"/>
          <w:b/>
          <w:color w:val="auto"/>
          <w:kern w:val="0"/>
          <w:sz w:val="28"/>
          <w:szCs w:val="28"/>
          <w:lang w:val="zh-CN"/>
        </w:rPr>
      </w:pPr>
    </w:p>
    <w:p w14:paraId="35DC1B4F">
      <w:pPr>
        <w:snapToGrid w:val="0"/>
        <w:spacing w:line="400" w:lineRule="exact"/>
        <w:ind w:firstLine="540" w:firstLineChars="192"/>
        <w:contextualSpacing/>
        <w:rPr>
          <w:rFonts w:hint="eastAsia" w:ascii="宋体" w:hAnsi="宋体" w:cs="宋体"/>
          <w:b/>
          <w:color w:val="auto"/>
          <w:kern w:val="0"/>
          <w:sz w:val="28"/>
          <w:szCs w:val="28"/>
          <w:lang w:val="zh-CN"/>
        </w:rPr>
      </w:pPr>
    </w:p>
    <w:p w14:paraId="49918B35">
      <w:pPr>
        <w:snapToGrid w:val="0"/>
        <w:spacing w:line="400" w:lineRule="exact"/>
        <w:ind w:firstLine="540" w:firstLineChars="192"/>
        <w:contextualSpacing/>
        <w:rPr>
          <w:rFonts w:hint="eastAsia" w:ascii="宋体" w:hAnsi="宋体" w:cs="宋体"/>
          <w:b/>
          <w:color w:val="auto"/>
          <w:kern w:val="0"/>
          <w:sz w:val="28"/>
          <w:szCs w:val="28"/>
          <w:lang w:val="zh-CN"/>
        </w:rPr>
      </w:pPr>
    </w:p>
    <w:p w14:paraId="0614E362">
      <w:pPr>
        <w:snapToGrid w:val="0"/>
        <w:spacing w:line="400" w:lineRule="exact"/>
        <w:ind w:firstLine="540" w:firstLineChars="192"/>
        <w:contextualSpacing/>
        <w:rPr>
          <w:rFonts w:hint="eastAsia" w:ascii="宋体" w:hAnsi="宋体" w:cs="宋体"/>
          <w:b/>
          <w:color w:val="auto"/>
          <w:kern w:val="0"/>
          <w:sz w:val="28"/>
          <w:szCs w:val="28"/>
          <w:lang w:val="zh-CN"/>
        </w:rPr>
      </w:pPr>
    </w:p>
    <w:p w14:paraId="3D558AA9">
      <w:pPr>
        <w:snapToGrid w:val="0"/>
        <w:spacing w:line="400" w:lineRule="exact"/>
        <w:contextualSpacing/>
        <w:rPr>
          <w:rFonts w:hint="eastAsia" w:ascii="宋体" w:hAnsi="宋体" w:cs="宋体"/>
          <w:b/>
          <w:color w:val="auto"/>
          <w:kern w:val="0"/>
          <w:sz w:val="28"/>
          <w:szCs w:val="28"/>
          <w:lang w:val="zh-CN"/>
        </w:rPr>
      </w:pPr>
    </w:p>
    <w:p w14:paraId="5780ADBA">
      <w:pPr>
        <w:snapToGrid w:val="0"/>
        <w:spacing w:line="300" w:lineRule="auto"/>
        <w:outlineLvl w:val="0"/>
        <w:rPr>
          <w:rFonts w:hint="eastAsia" w:ascii="宋体" w:hAnsi="宋体" w:cs="宋体"/>
          <w:color w:val="auto"/>
          <w:sz w:val="32"/>
          <w:szCs w:val="32"/>
          <w:lang w:val="zh-CN"/>
        </w:rPr>
      </w:pPr>
      <w:r>
        <w:rPr>
          <w:rFonts w:hint="eastAsia" w:ascii="宋体" w:hAnsi="宋体" w:cs="宋体"/>
          <w:color w:val="auto"/>
          <w:sz w:val="32"/>
          <w:szCs w:val="32"/>
          <w:lang w:val="zh-CN"/>
        </w:rPr>
        <w:br w:type="page"/>
      </w:r>
      <w:r>
        <w:rPr>
          <w:rFonts w:hint="eastAsia" w:ascii="宋体" w:hAnsi="宋体" w:cs="宋体"/>
          <w:color w:val="auto"/>
          <w:sz w:val="32"/>
          <w:szCs w:val="32"/>
          <w:lang w:val="zh-CN"/>
        </w:rPr>
        <w:t>附件3</w:t>
      </w:r>
    </w:p>
    <w:p w14:paraId="3E23D334">
      <w:pPr>
        <w:jc w:val="center"/>
        <w:rPr>
          <w:rFonts w:hint="eastAsia" w:ascii="宋体" w:hAnsi="宋体" w:cs="宋体"/>
          <w:color w:val="auto"/>
          <w:sz w:val="32"/>
          <w:szCs w:val="32"/>
        </w:rPr>
      </w:pPr>
      <w:r>
        <w:rPr>
          <w:rFonts w:hint="eastAsia" w:ascii="宋体" w:hAnsi="宋体" w:cs="宋体"/>
          <w:color w:val="auto"/>
          <w:sz w:val="32"/>
          <w:szCs w:val="32"/>
        </w:rPr>
        <w:t>法定代表人授权委托书</w:t>
      </w:r>
    </w:p>
    <w:p w14:paraId="5251C0A7">
      <w:pPr>
        <w:jc w:val="center"/>
        <w:rPr>
          <w:rFonts w:hint="eastAsia" w:ascii="宋体" w:hAnsi="宋体" w:cs="宋体"/>
          <w:color w:val="auto"/>
          <w:sz w:val="32"/>
          <w:szCs w:val="32"/>
        </w:rPr>
      </w:pPr>
      <w:r>
        <w:rPr>
          <w:rFonts w:hint="eastAsia" w:ascii="宋体" w:hAnsi="宋体" w:cs="宋体"/>
          <w:color w:val="auto"/>
          <w:sz w:val="28"/>
          <w:szCs w:val="28"/>
        </w:rPr>
        <w:t>（如法人参加投标，无需提供）</w:t>
      </w:r>
    </w:p>
    <w:p w14:paraId="24EE15CE">
      <w:pPr>
        <w:snapToGrid w:val="0"/>
        <w:spacing w:line="360" w:lineRule="auto"/>
        <w:rPr>
          <w:rFonts w:hint="eastAsia" w:ascii="宋体" w:hAnsi="宋体" w:cs="宋体"/>
          <w:color w:val="auto"/>
          <w:sz w:val="24"/>
        </w:rPr>
      </w:pPr>
      <w:r>
        <w:rPr>
          <w:rFonts w:hint="eastAsia" w:ascii="宋体" w:hAnsi="宋体" w:cs="宋体"/>
          <w:color w:val="auto"/>
          <w:sz w:val="24"/>
        </w:rPr>
        <w:t>江苏商贸职业学院：</w:t>
      </w:r>
    </w:p>
    <w:p w14:paraId="535E88C7">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兹授权</w:t>
      </w:r>
      <w:r>
        <w:rPr>
          <w:rFonts w:hint="eastAsia" w:ascii="宋体" w:hAnsi="宋体" w:cs="宋体"/>
          <w:color w:val="auto"/>
          <w:sz w:val="24"/>
          <w:u w:val="single"/>
        </w:rPr>
        <w:t xml:space="preserve">               （</w:t>
      </w:r>
      <w:r>
        <w:rPr>
          <w:rFonts w:hint="eastAsia" w:ascii="宋体" w:hAnsi="宋体" w:cs="宋体"/>
          <w:color w:val="auto"/>
          <w:sz w:val="24"/>
        </w:rPr>
        <w:t>被授权人的姓名）代表我公司参加</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项目（项目编号：</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ascii="宋体" w:hAnsi="宋体" w:cs="宋体"/>
          <w:color w:val="auto"/>
          <w:sz w:val="24"/>
        </w:rPr>
        <w:t xml:space="preserve"> </w:t>
      </w:r>
      <w:r>
        <w:rPr>
          <w:rFonts w:hint="eastAsia" w:ascii="宋体" w:hAnsi="宋体" w:cs="宋体"/>
          <w:color w:val="auto"/>
          <w:sz w:val="24"/>
        </w:rPr>
        <w:t>)的 采购活动，全权处理一切与该项目公开招标有关的事务。其在办理上述事宜过程中所签署的所有文件我公司均予以承认。</w:t>
      </w:r>
    </w:p>
    <w:p w14:paraId="4524A6FA">
      <w:pPr>
        <w:pStyle w:val="22"/>
        <w:adjustRightInd w:val="0"/>
        <w:snapToGrid w:val="0"/>
        <w:spacing w:line="360" w:lineRule="auto"/>
        <w:ind w:firstLine="480" w:firstLineChars="200"/>
        <w:jc w:val="left"/>
        <w:rPr>
          <w:rFonts w:hint="eastAsia" w:hAnsi="宋体" w:cs="宋体"/>
          <w:color w:val="auto"/>
          <w:sz w:val="24"/>
          <w:szCs w:val="24"/>
        </w:rPr>
      </w:pPr>
      <w:r>
        <w:rPr>
          <w:rFonts w:hint="eastAsia" w:hAnsi="宋体" w:cs="宋体"/>
          <w:color w:val="auto"/>
          <w:sz w:val="24"/>
          <w:szCs w:val="24"/>
        </w:rPr>
        <w:t>被授权人无转委托权，特此委托。</w:t>
      </w:r>
    </w:p>
    <w:p w14:paraId="020CFF9A">
      <w:pPr>
        <w:pStyle w:val="22"/>
        <w:adjustRightInd w:val="0"/>
        <w:snapToGrid w:val="0"/>
        <w:spacing w:line="360" w:lineRule="auto"/>
        <w:ind w:firstLine="480" w:firstLineChars="200"/>
        <w:jc w:val="left"/>
        <w:rPr>
          <w:rFonts w:hint="eastAsia" w:hAnsi="宋体" w:cs="宋体"/>
          <w:color w:val="auto"/>
          <w:sz w:val="24"/>
          <w:szCs w:val="24"/>
        </w:rPr>
      </w:pPr>
    </w:p>
    <w:p w14:paraId="5AF030B5">
      <w:pPr>
        <w:spacing w:line="360" w:lineRule="auto"/>
        <w:rPr>
          <w:rFonts w:hint="eastAsia" w:ascii="宋体" w:hAnsi="宋体" w:cs="宋体"/>
          <w:color w:val="auto"/>
          <w:sz w:val="24"/>
        </w:rPr>
      </w:pPr>
      <w:r>
        <w:rPr>
          <w:rFonts w:hint="eastAsia" w:ascii="宋体" w:hAnsi="宋体" w:cs="宋体"/>
          <w:color w:val="auto"/>
          <w:sz w:val="24"/>
        </w:rPr>
        <w:t>附：被授权人情况：</w:t>
      </w:r>
    </w:p>
    <w:p w14:paraId="628C2EEA">
      <w:pPr>
        <w:spacing w:line="360" w:lineRule="auto"/>
        <w:rPr>
          <w:rFonts w:hint="eastAsia" w:ascii="宋体" w:hAnsi="宋体" w:cs="宋体"/>
          <w:color w:val="auto"/>
          <w:sz w:val="24"/>
          <w:u w:val="single"/>
        </w:rPr>
      </w:pPr>
      <w:r>
        <w:rPr>
          <w:rFonts w:hint="eastAsia" w:ascii="宋体" w:hAnsi="宋体" w:cs="宋体"/>
          <w:color w:val="auto"/>
          <w:sz w:val="24"/>
        </w:rPr>
        <w:t>姓名： 性别： 年龄： 职务：</w:t>
      </w:r>
    </w:p>
    <w:p w14:paraId="20CA823F">
      <w:pPr>
        <w:spacing w:line="360" w:lineRule="auto"/>
        <w:rPr>
          <w:rFonts w:hint="eastAsia" w:ascii="宋体" w:hAnsi="宋体" w:cs="宋体"/>
          <w:color w:val="auto"/>
          <w:sz w:val="24"/>
        </w:rPr>
      </w:pPr>
      <w:r>
        <w:rPr>
          <w:rFonts w:hint="eastAsia" w:ascii="宋体" w:hAnsi="宋体" w:cs="宋体"/>
          <w:color w:val="auto"/>
          <w:sz w:val="24"/>
        </w:rPr>
        <w:t>身份证号码：</w:t>
      </w:r>
    </w:p>
    <w:p w14:paraId="1713D9C6">
      <w:pPr>
        <w:spacing w:line="360" w:lineRule="auto"/>
        <w:rPr>
          <w:rFonts w:hint="eastAsia" w:ascii="宋体" w:hAnsi="宋体" w:cs="宋体"/>
          <w:color w:val="auto"/>
          <w:sz w:val="24"/>
        </w:rPr>
      </w:pPr>
      <w:r>
        <w:rPr>
          <w:rFonts w:hint="eastAsia" w:ascii="宋体" w:hAnsi="宋体" w:cs="宋体"/>
          <w:color w:val="auto"/>
          <w:sz w:val="24"/>
        </w:rPr>
        <w:t>手机：  传真：</w:t>
      </w:r>
    </w:p>
    <w:p w14:paraId="5A602A1F">
      <w:pPr>
        <w:spacing w:line="360" w:lineRule="auto"/>
        <w:rPr>
          <w:rFonts w:hint="eastAsia" w:ascii="宋体" w:hAnsi="宋体" w:cs="宋体"/>
          <w:color w:val="auto"/>
          <w:sz w:val="24"/>
        </w:rPr>
      </w:pPr>
      <w:r>
        <w:rPr>
          <w:rFonts w:hint="eastAsia" w:ascii="宋体" w:hAnsi="宋体" w:cs="宋体"/>
          <w:color w:val="auto"/>
          <w:sz w:val="24"/>
        </w:rPr>
        <w:t>单位名称（公章）             法定代表人（签字或盖章）</w:t>
      </w:r>
    </w:p>
    <w:p w14:paraId="2FCBA265">
      <w:pPr>
        <w:spacing w:line="360" w:lineRule="auto"/>
        <w:ind w:firstLine="1200" w:firstLineChars="500"/>
        <w:rPr>
          <w:rFonts w:hint="eastAsia" w:ascii="宋体" w:hAnsi="宋体" w:cs="宋体"/>
          <w:color w:val="auto"/>
          <w:sz w:val="24"/>
        </w:rPr>
      </w:pPr>
      <w:r>
        <w:rPr>
          <w:rFonts w:hint="eastAsia" w:ascii="宋体" w:hAnsi="宋体" w:cs="宋体"/>
          <w:color w:val="auto"/>
          <w:sz w:val="24"/>
        </w:rPr>
        <w:t xml:space="preserve">年   月   日                 年   月    日  </w:t>
      </w:r>
    </w:p>
    <w:p w14:paraId="0133175A">
      <w:pPr>
        <w:spacing w:line="360" w:lineRule="auto"/>
        <w:rPr>
          <w:rFonts w:hint="eastAsia" w:ascii="宋体" w:hAnsi="宋体" w:cs="宋体"/>
          <w:color w:val="auto"/>
          <w:sz w:val="24"/>
        </w:rPr>
      </w:pPr>
    </w:p>
    <w:p w14:paraId="3303EC7B">
      <w:pPr>
        <w:spacing w:line="360" w:lineRule="auto"/>
        <w:rPr>
          <w:rFonts w:hint="eastAsia" w:ascii="宋体" w:hAnsi="宋体" w:cs="宋体"/>
          <w:color w:val="auto"/>
          <w:sz w:val="24"/>
        </w:rPr>
      </w:pPr>
    </w:p>
    <w:p w14:paraId="569C654F">
      <w:pPr>
        <w:spacing w:line="360" w:lineRule="auto"/>
        <w:rPr>
          <w:rFonts w:hint="eastAsia" w:ascii="宋体" w:hAnsi="宋体" w:cs="宋体"/>
          <w:color w:val="auto"/>
          <w:sz w:val="24"/>
        </w:rPr>
      </w:pPr>
      <w:r>
        <w:rPr>
          <w:rFonts w:hint="eastAsia" w:ascii="宋体" w:hAnsi="宋体" w:cs="宋体"/>
          <w:color w:val="auto"/>
          <w:sz w:val="24"/>
        </w:rPr>
        <w:t>法定代表人身份证复印件</w:t>
      </w:r>
    </w:p>
    <w:p w14:paraId="7B4AF34F">
      <w:pPr>
        <w:spacing w:line="360" w:lineRule="auto"/>
        <w:rPr>
          <w:rFonts w:hint="eastAsia" w:ascii="宋体" w:hAnsi="宋体" w:cs="宋体"/>
          <w:color w:val="auto"/>
          <w:sz w:val="24"/>
        </w:rPr>
      </w:pPr>
    </w:p>
    <w:p w14:paraId="0AD61D77">
      <w:pPr>
        <w:spacing w:line="360" w:lineRule="auto"/>
        <w:rPr>
          <w:rFonts w:hint="eastAsia" w:ascii="宋体" w:hAnsi="宋体" w:cs="宋体"/>
          <w:color w:val="auto"/>
          <w:sz w:val="24"/>
        </w:rPr>
      </w:pPr>
    </w:p>
    <w:p w14:paraId="5F28B5DD">
      <w:pPr>
        <w:spacing w:line="360" w:lineRule="auto"/>
        <w:rPr>
          <w:rFonts w:hint="eastAsia" w:ascii="宋体" w:hAnsi="宋体" w:cs="宋体"/>
          <w:color w:val="auto"/>
          <w:sz w:val="24"/>
        </w:rPr>
      </w:pPr>
    </w:p>
    <w:p w14:paraId="1351EFAF">
      <w:pPr>
        <w:spacing w:line="360" w:lineRule="auto"/>
        <w:rPr>
          <w:rFonts w:hint="eastAsia" w:ascii="宋体" w:hAnsi="宋体" w:cs="宋体"/>
          <w:color w:val="auto"/>
          <w:sz w:val="24"/>
        </w:rPr>
      </w:pPr>
    </w:p>
    <w:p w14:paraId="29A2F74C">
      <w:pPr>
        <w:spacing w:line="360" w:lineRule="auto"/>
        <w:rPr>
          <w:rFonts w:hint="eastAsia" w:ascii="宋体" w:hAnsi="宋体" w:cs="宋体"/>
          <w:color w:val="auto"/>
          <w:sz w:val="24"/>
        </w:rPr>
      </w:pPr>
      <w:r>
        <w:rPr>
          <w:rFonts w:hint="eastAsia" w:ascii="宋体" w:hAnsi="宋体" w:cs="宋体"/>
          <w:color w:val="auto"/>
          <w:sz w:val="24"/>
        </w:rPr>
        <w:t>被授权人身份证复印件</w:t>
      </w:r>
    </w:p>
    <w:p w14:paraId="5FCBCF22">
      <w:pPr>
        <w:spacing w:line="360" w:lineRule="auto"/>
        <w:rPr>
          <w:rFonts w:hint="eastAsia" w:ascii="宋体" w:hAnsi="宋体" w:cs="宋体"/>
          <w:color w:val="auto"/>
          <w:sz w:val="24"/>
        </w:rPr>
      </w:pPr>
    </w:p>
    <w:p w14:paraId="5DB7E884">
      <w:pPr>
        <w:spacing w:line="360" w:lineRule="auto"/>
        <w:rPr>
          <w:rFonts w:hint="eastAsia" w:ascii="宋体" w:hAnsi="宋体" w:cs="宋体"/>
          <w:color w:val="auto"/>
          <w:sz w:val="24"/>
        </w:rPr>
      </w:pPr>
    </w:p>
    <w:p w14:paraId="2A39E286">
      <w:pPr>
        <w:spacing w:line="360" w:lineRule="auto"/>
        <w:ind w:firstLine="2280" w:firstLineChars="950"/>
        <w:rPr>
          <w:rFonts w:hint="eastAsia" w:ascii="宋体" w:hAnsi="宋体" w:cs="宋体"/>
          <w:color w:val="auto"/>
          <w:sz w:val="24"/>
        </w:rPr>
      </w:pPr>
      <w:r>
        <w:rPr>
          <w:rFonts w:hint="eastAsia" w:ascii="宋体" w:hAnsi="宋体" w:cs="宋体"/>
          <w:color w:val="auto"/>
          <w:sz w:val="24"/>
        </w:rPr>
        <w:t>（粘贴此处）</w:t>
      </w:r>
    </w:p>
    <w:p w14:paraId="44C79490">
      <w:pPr>
        <w:spacing w:line="360" w:lineRule="auto"/>
        <w:ind w:firstLine="2289" w:firstLineChars="950"/>
        <w:rPr>
          <w:rFonts w:hint="eastAsia" w:ascii="宋体" w:hAnsi="宋体" w:cs="宋体"/>
          <w:b/>
          <w:bCs/>
          <w:color w:val="auto"/>
          <w:sz w:val="24"/>
        </w:rPr>
      </w:pPr>
    </w:p>
    <w:p w14:paraId="71EE490E">
      <w:pPr>
        <w:snapToGrid w:val="0"/>
        <w:spacing w:line="400" w:lineRule="exact"/>
        <w:contextualSpacing/>
        <w:rPr>
          <w:rFonts w:hint="eastAsia" w:ascii="宋体" w:hAnsi="宋体" w:cs="宋体"/>
          <w:b/>
          <w:color w:val="auto"/>
          <w:kern w:val="0"/>
          <w:sz w:val="28"/>
          <w:szCs w:val="28"/>
        </w:rPr>
      </w:pPr>
    </w:p>
    <w:p w14:paraId="5A112081">
      <w:pPr>
        <w:snapToGrid w:val="0"/>
        <w:spacing w:line="460" w:lineRule="exact"/>
        <w:jc w:val="left"/>
        <w:outlineLvl w:val="1"/>
        <w:rPr>
          <w:rFonts w:hint="eastAsia" w:ascii="宋体" w:hAnsi="宋体" w:cs="宋体"/>
          <w:color w:val="auto"/>
          <w:sz w:val="32"/>
          <w:szCs w:val="32"/>
        </w:rPr>
      </w:pPr>
    </w:p>
    <w:p w14:paraId="7F0385D0">
      <w:pPr>
        <w:snapToGrid w:val="0"/>
        <w:spacing w:line="460" w:lineRule="exact"/>
        <w:jc w:val="left"/>
        <w:outlineLvl w:val="1"/>
        <w:rPr>
          <w:rFonts w:hint="eastAsia" w:ascii="宋体" w:hAnsi="宋体" w:cs="宋体"/>
          <w:b/>
          <w:color w:val="auto"/>
          <w:kern w:val="0"/>
          <w:sz w:val="28"/>
          <w:szCs w:val="28"/>
        </w:rPr>
      </w:pPr>
      <w:r>
        <w:rPr>
          <w:rFonts w:hint="eastAsia" w:ascii="宋体" w:hAnsi="宋体" w:cs="宋体"/>
          <w:color w:val="auto"/>
          <w:sz w:val="32"/>
          <w:szCs w:val="32"/>
        </w:rPr>
        <w:t>附件4</w:t>
      </w:r>
    </w:p>
    <w:p w14:paraId="3FE9CEED">
      <w:pPr>
        <w:snapToGrid w:val="0"/>
        <w:spacing w:line="460" w:lineRule="exact"/>
        <w:jc w:val="center"/>
        <w:outlineLvl w:val="1"/>
        <w:rPr>
          <w:rFonts w:hint="eastAsia" w:ascii="宋体" w:hAnsi="宋体" w:cs="宋体"/>
          <w:b/>
          <w:color w:val="auto"/>
          <w:sz w:val="28"/>
          <w:szCs w:val="28"/>
        </w:rPr>
      </w:pPr>
      <w:r>
        <w:rPr>
          <w:rFonts w:hint="eastAsia" w:ascii="宋体" w:hAnsi="宋体" w:cs="宋体"/>
          <w:b/>
          <w:bCs/>
          <w:color w:val="auto"/>
          <w:sz w:val="28"/>
          <w:szCs w:val="28"/>
        </w:rPr>
        <w:t>具备履行合同所必需的设备和专业技术能力的书面声明</w:t>
      </w:r>
    </w:p>
    <w:p w14:paraId="5AD44375">
      <w:pPr>
        <w:snapToGrid w:val="0"/>
        <w:spacing w:line="460" w:lineRule="exact"/>
        <w:ind w:firstLine="560" w:firstLineChars="200"/>
        <w:rPr>
          <w:rFonts w:hint="eastAsia" w:ascii="宋体" w:hAnsi="宋体" w:cs="宋体"/>
          <w:color w:val="auto"/>
          <w:sz w:val="28"/>
          <w:szCs w:val="28"/>
        </w:rPr>
      </w:pPr>
    </w:p>
    <w:p w14:paraId="051636D1">
      <w:pPr>
        <w:snapToGrid w:val="0"/>
        <w:spacing w:line="460" w:lineRule="exact"/>
        <w:rPr>
          <w:rFonts w:hint="eastAsia" w:ascii="宋体" w:hAnsi="宋体" w:cs="宋体"/>
          <w:color w:val="auto"/>
          <w:sz w:val="24"/>
        </w:rPr>
      </w:pPr>
      <w:r>
        <w:rPr>
          <w:rFonts w:hint="eastAsia" w:ascii="宋体" w:hAnsi="宋体" w:cs="宋体"/>
          <w:color w:val="auto"/>
          <w:sz w:val="24"/>
        </w:rPr>
        <w:t>江苏商贸职业学院：</w:t>
      </w:r>
    </w:p>
    <w:p w14:paraId="06E44973">
      <w:pPr>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我单位</w:t>
      </w:r>
      <w:r>
        <w:rPr>
          <w:rFonts w:hint="eastAsia" w:ascii="宋体" w:hAnsi="宋体" w:cs="宋体"/>
          <w:color w:val="auto"/>
          <w:sz w:val="24"/>
          <w:u w:val="single"/>
        </w:rPr>
        <w:t xml:space="preserve"> （投标单位名称） </w:t>
      </w:r>
      <w:r>
        <w:rPr>
          <w:rFonts w:hint="eastAsia" w:ascii="宋体" w:hAnsi="宋体" w:cs="宋体"/>
          <w:color w:val="auto"/>
          <w:sz w:val="24"/>
        </w:rPr>
        <w:t>郑重承诺：</w:t>
      </w:r>
    </w:p>
    <w:p w14:paraId="1F9B4DAB">
      <w:pPr>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rPr>
        <w:t>贵方组织的</w:t>
      </w:r>
      <w:r>
        <w:rPr>
          <w:rFonts w:hint="eastAsia" w:ascii="宋体" w:hAnsi="宋体" w:cs="宋体"/>
          <w:color w:val="auto"/>
          <w:sz w:val="24"/>
          <w:u w:val="single"/>
        </w:rPr>
        <w:t xml:space="preserve"> (项目名称） </w:t>
      </w:r>
      <w:r>
        <w:rPr>
          <w:rFonts w:hint="eastAsia" w:ascii="宋体" w:hAnsi="宋体" w:cs="宋体"/>
          <w:color w:val="auto"/>
          <w:sz w:val="24"/>
        </w:rPr>
        <w:t>，我单位</w:t>
      </w:r>
      <w:r>
        <w:rPr>
          <w:rFonts w:hint="eastAsia" w:ascii="宋体" w:hAnsi="宋体" w:cs="宋体"/>
          <w:color w:val="auto"/>
          <w:sz w:val="24"/>
          <w:u w:val="single"/>
        </w:rPr>
        <w:t xml:space="preserve">      有    </w:t>
      </w:r>
      <w:r>
        <w:rPr>
          <w:rFonts w:hint="eastAsia" w:ascii="宋体" w:hAnsi="宋体" w:cs="宋体"/>
          <w:color w:val="auto"/>
          <w:sz w:val="24"/>
        </w:rPr>
        <w:t>履行合同所必需的设备和专业技术能力。</w:t>
      </w:r>
    </w:p>
    <w:p w14:paraId="4E3BEA27">
      <w:pPr>
        <w:spacing w:line="460" w:lineRule="exact"/>
        <w:rPr>
          <w:rFonts w:hint="eastAsia" w:ascii="宋体" w:hAnsi="宋体" w:cs="宋体"/>
          <w:b/>
          <w:bCs/>
          <w:color w:val="auto"/>
          <w:sz w:val="24"/>
        </w:rPr>
      </w:pPr>
    </w:p>
    <w:p w14:paraId="750163A6">
      <w:pPr>
        <w:spacing w:line="460" w:lineRule="exact"/>
        <w:rPr>
          <w:rFonts w:hint="eastAsia" w:ascii="宋体" w:hAnsi="宋体" w:cs="宋体"/>
          <w:b/>
          <w:bCs/>
          <w:color w:val="auto"/>
          <w:sz w:val="24"/>
        </w:rPr>
      </w:pPr>
    </w:p>
    <w:p w14:paraId="1EDF0BD2">
      <w:pPr>
        <w:spacing w:line="460" w:lineRule="exact"/>
        <w:rPr>
          <w:rFonts w:hint="eastAsia" w:ascii="宋体" w:hAnsi="宋体" w:cs="宋体"/>
          <w:b/>
          <w:bCs/>
          <w:color w:val="auto"/>
          <w:sz w:val="24"/>
        </w:rPr>
      </w:pPr>
    </w:p>
    <w:p w14:paraId="3A295D24">
      <w:pPr>
        <w:spacing w:line="460" w:lineRule="exact"/>
        <w:rPr>
          <w:rFonts w:hint="eastAsia" w:ascii="宋体" w:hAnsi="宋体" w:cs="宋体"/>
          <w:b/>
          <w:bCs/>
          <w:color w:val="auto"/>
          <w:sz w:val="24"/>
        </w:rPr>
      </w:pPr>
    </w:p>
    <w:p w14:paraId="17B38FA6">
      <w:pPr>
        <w:spacing w:line="460" w:lineRule="exact"/>
        <w:ind w:firstLine="480" w:firstLineChars="200"/>
        <w:jc w:val="right"/>
        <w:rPr>
          <w:rFonts w:hint="eastAsia" w:ascii="宋体" w:hAnsi="宋体" w:cs="宋体"/>
          <w:color w:val="auto"/>
          <w:sz w:val="24"/>
        </w:rPr>
      </w:pPr>
      <w:r>
        <w:rPr>
          <w:rFonts w:hint="eastAsia" w:ascii="宋体" w:hAnsi="宋体" w:cs="宋体"/>
          <w:color w:val="auto"/>
          <w:sz w:val="24"/>
        </w:rPr>
        <w:t>投标人：（加盖公章）</w:t>
      </w:r>
    </w:p>
    <w:p w14:paraId="5A64E7DB">
      <w:pPr>
        <w:spacing w:line="460" w:lineRule="exact"/>
        <w:ind w:firstLine="480" w:firstLineChars="200"/>
        <w:jc w:val="right"/>
        <w:rPr>
          <w:rFonts w:hint="eastAsia" w:ascii="宋体" w:hAnsi="宋体" w:cs="宋体"/>
          <w:color w:val="auto"/>
          <w:sz w:val="24"/>
        </w:rPr>
      </w:pPr>
      <w:r>
        <w:rPr>
          <w:rFonts w:hint="eastAsia" w:ascii="宋体" w:hAnsi="宋体" w:cs="宋体"/>
          <w:color w:val="auto"/>
          <w:sz w:val="24"/>
        </w:rPr>
        <w:t>法定代表人或被授权人：（签字或盖章）</w:t>
      </w:r>
    </w:p>
    <w:p w14:paraId="2A788B96">
      <w:pPr>
        <w:spacing w:line="360" w:lineRule="auto"/>
        <w:jc w:val="right"/>
        <w:outlineLvl w:val="2"/>
        <w:rPr>
          <w:rFonts w:hint="eastAsia" w:ascii="宋体" w:hAnsi="宋体" w:cs="宋体"/>
          <w:color w:val="auto"/>
          <w:sz w:val="24"/>
        </w:rPr>
      </w:pPr>
      <w:r>
        <w:rPr>
          <w:rFonts w:hint="eastAsia" w:ascii="宋体" w:hAnsi="宋体" w:cs="宋体"/>
          <w:color w:val="auto"/>
          <w:sz w:val="24"/>
        </w:rPr>
        <w:t>年      月     日</w:t>
      </w:r>
    </w:p>
    <w:p w14:paraId="76B4A54B">
      <w:pPr>
        <w:spacing w:line="360" w:lineRule="auto"/>
        <w:jc w:val="left"/>
        <w:outlineLvl w:val="2"/>
        <w:rPr>
          <w:rFonts w:hint="eastAsia" w:ascii="宋体" w:hAnsi="宋体" w:cs="宋体"/>
          <w:b/>
          <w:color w:val="auto"/>
          <w:kern w:val="0"/>
          <w:sz w:val="28"/>
          <w:szCs w:val="28"/>
        </w:rPr>
      </w:pPr>
      <w:r>
        <w:rPr>
          <w:rFonts w:hint="eastAsia" w:ascii="宋体" w:hAnsi="宋体" w:cs="宋体"/>
          <w:b/>
          <w:color w:val="auto"/>
          <w:kern w:val="0"/>
          <w:sz w:val="28"/>
          <w:szCs w:val="28"/>
        </w:rPr>
        <w:br w:type="page"/>
      </w:r>
      <w:r>
        <w:rPr>
          <w:rFonts w:hint="eastAsia" w:ascii="宋体" w:hAnsi="宋体" w:cs="宋体"/>
          <w:color w:val="auto"/>
          <w:sz w:val="32"/>
          <w:szCs w:val="32"/>
        </w:rPr>
        <w:t>附件5</w:t>
      </w:r>
    </w:p>
    <w:p w14:paraId="2C87D256">
      <w:pPr>
        <w:snapToGrid w:val="0"/>
        <w:spacing w:line="360" w:lineRule="auto"/>
        <w:jc w:val="center"/>
        <w:outlineLvl w:val="4"/>
        <w:rPr>
          <w:rFonts w:hint="eastAsia" w:ascii="宋体" w:hAnsi="宋体" w:cs="宋体"/>
          <w:b/>
          <w:bCs/>
          <w:color w:val="auto"/>
          <w:sz w:val="28"/>
          <w:szCs w:val="28"/>
        </w:rPr>
      </w:pPr>
      <w:r>
        <w:rPr>
          <w:rFonts w:hint="eastAsia" w:ascii="宋体" w:hAnsi="宋体" w:cs="宋体"/>
          <w:b/>
          <w:bCs/>
          <w:color w:val="auto"/>
          <w:sz w:val="28"/>
          <w:szCs w:val="28"/>
        </w:rPr>
        <w:t>无重大违法记录声明</w:t>
      </w:r>
    </w:p>
    <w:p w14:paraId="27C2DFBD">
      <w:pPr>
        <w:spacing w:line="360" w:lineRule="auto"/>
        <w:rPr>
          <w:rFonts w:hint="eastAsia" w:ascii="宋体" w:hAnsi="宋体" w:cs="宋体"/>
          <w:color w:val="auto"/>
          <w:sz w:val="24"/>
        </w:rPr>
      </w:pPr>
      <w:r>
        <w:rPr>
          <w:rFonts w:hint="eastAsia" w:ascii="宋体" w:hAnsi="宋体" w:cs="宋体"/>
          <w:color w:val="auto"/>
          <w:sz w:val="24"/>
        </w:rPr>
        <w:t>江苏商贸职业学院：</w:t>
      </w:r>
    </w:p>
    <w:p w14:paraId="7BC4F9F5">
      <w:pPr>
        <w:spacing w:line="360" w:lineRule="auto"/>
        <w:rPr>
          <w:rFonts w:hint="eastAsia" w:ascii="宋体" w:hAnsi="宋体" w:cs="宋体"/>
          <w:color w:val="auto"/>
          <w:sz w:val="24"/>
        </w:rPr>
      </w:pPr>
      <w:r>
        <w:rPr>
          <w:rFonts w:hint="eastAsia" w:ascii="宋体" w:hAnsi="宋体" w:cs="宋体"/>
          <w:color w:val="auto"/>
          <w:sz w:val="24"/>
        </w:rPr>
        <w:t xml:space="preserve">    我单位（投标人名称）郑重声明：</w:t>
      </w:r>
    </w:p>
    <w:p w14:paraId="1F98527D">
      <w:pPr>
        <w:spacing w:line="360" w:lineRule="auto"/>
        <w:rPr>
          <w:rFonts w:hint="eastAsia" w:ascii="宋体" w:hAnsi="宋体" w:cs="宋体"/>
          <w:color w:val="auto"/>
          <w:sz w:val="24"/>
        </w:rPr>
      </w:pPr>
      <w:r>
        <w:rPr>
          <w:rFonts w:hint="eastAsia" w:ascii="宋体" w:hAnsi="宋体" w:cs="宋体"/>
          <w:color w:val="auto"/>
          <w:sz w:val="24"/>
        </w:rPr>
        <w:t xml:space="preserve">    参加政府采购活动前3年内在经营活动中</w:t>
      </w:r>
      <w:r>
        <w:rPr>
          <w:rFonts w:hint="eastAsia" w:ascii="宋体" w:hAnsi="宋体" w:cs="宋体"/>
          <w:color w:val="auto"/>
          <w:sz w:val="24"/>
          <w:u w:val="single"/>
        </w:rPr>
        <w:t xml:space="preserve">  没有  </w:t>
      </w:r>
      <w:r>
        <w:rPr>
          <w:rFonts w:hint="eastAsia" w:ascii="宋体" w:hAnsi="宋体" w:cs="宋体"/>
          <w:color w:val="auto"/>
          <w:sz w:val="24"/>
        </w:rPr>
        <w:t>重大违法记录。</w:t>
      </w:r>
    </w:p>
    <w:p w14:paraId="1CBD7B93">
      <w:pPr>
        <w:spacing w:line="360" w:lineRule="auto"/>
        <w:ind w:firstLine="480"/>
        <w:jc w:val="left"/>
        <w:rPr>
          <w:rFonts w:hint="eastAsia" w:ascii="宋体" w:hAnsi="宋体" w:cs="宋体"/>
          <w:color w:val="auto"/>
          <w:sz w:val="24"/>
        </w:rPr>
      </w:pPr>
      <w:r>
        <w:rPr>
          <w:rFonts w:hint="eastAsia" w:ascii="宋体" w:hAnsi="宋体" w:cs="宋体"/>
          <w:color w:val="auto"/>
          <w:sz w:val="24"/>
        </w:rPr>
        <w:t>在投标截止时间节点，没有被“信用中国”、“中国政府采购网”网站列入失信被执行人、重大税收违法案件当事人名单、政府采购严重违法失信行为记录名单。</w:t>
      </w:r>
    </w:p>
    <w:p w14:paraId="19E7D47F">
      <w:pPr>
        <w:spacing w:line="360" w:lineRule="auto"/>
        <w:ind w:firstLine="480"/>
        <w:rPr>
          <w:rFonts w:hint="eastAsia" w:ascii="宋体" w:hAnsi="宋体" w:cs="宋体"/>
          <w:color w:val="auto"/>
          <w:sz w:val="24"/>
        </w:rPr>
      </w:pPr>
      <w:r>
        <w:rPr>
          <w:rFonts w:hint="eastAsia" w:ascii="宋体" w:hAnsi="宋体" w:cs="宋体"/>
          <w:color w:val="auto"/>
          <w:sz w:val="24"/>
        </w:rPr>
        <w:t>（说明：政府采购法第二十二条第一款第五项所称重大违法记录，是指供应商因违法经营受到刑事处罚或者责令停产停业、吊销许可证或者执照、较大数额罚款等行政处罚。）</w:t>
      </w:r>
    </w:p>
    <w:p w14:paraId="3567F4B7">
      <w:pPr>
        <w:spacing w:line="360" w:lineRule="auto"/>
        <w:ind w:firstLine="480"/>
        <w:rPr>
          <w:rFonts w:hint="eastAsia" w:ascii="宋体" w:hAnsi="宋体" w:cs="宋体"/>
          <w:color w:val="auto"/>
          <w:sz w:val="28"/>
          <w:szCs w:val="28"/>
        </w:rPr>
      </w:pPr>
    </w:p>
    <w:p w14:paraId="3CAE764B">
      <w:pPr>
        <w:spacing w:line="360" w:lineRule="auto"/>
        <w:ind w:firstLine="480"/>
        <w:rPr>
          <w:rFonts w:hint="eastAsia" w:ascii="宋体" w:hAnsi="宋体" w:cs="宋体"/>
          <w:color w:val="auto"/>
          <w:sz w:val="28"/>
          <w:szCs w:val="28"/>
        </w:rPr>
      </w:pPr>
    </w:p>
    <w:p w14:paraId="7A18313A">
      <w:pPr>
        <w:spacing w:line="360" w:lineRule="auto"/>
        <w:ind w:firstLine="560" w:firstLineChars="200"/>
        <w:jc w:val="right"/>
        <w:rPr>
          <w:rFonts w:hint="eastAsia" w:ascii="宋体" w:hAnsi="宋体" w:cs="宋体"/>
          <w:color w:val="auto"/>
          <w:sz w:val="24"/>
        </w:rPr>
      </w:pPr>
      <w:r>
        <w:rPr>
          <w:rFonts w:hint="eastAsia" w:ascii="宋体" w:hAnsi="宋体" w:cs="宋体"/>
          <w:color w:val="auto"/>
          <w:sz w:val="28"/>
          <w:szCs w:val="28"/>
        </w:rPr>
        <w:t xml:space="preserve">                             </w:t>
      </w:r>
      <w:r>
        <w:rPr>
          <w:rFonts w:hint="eastAsia" w:ascii="宋体" w:hAnsi="宋体" w:cs="宋体"/>
          <w:color w:val="auto"/>
          <w:sz w:val="24"/>
        </w:rPr>
        <w:t xml:space="preserve">     投标人：（加盖公章）</w:t>
      </w:r>
    </w:p>
    <w:p w14:paraId="383ECE19">
      <w:pPr>
        <w:spacing w:line="360" w:lineRule="auto"/>
        <w:ind w:firstLine="480" w:firstLineChars="200"/>
        <w:jc w:val="right"/>
        <w:rPr>
          <w:rFonts w:hint="eastAsia" w:ascii="宋体" w:hAnsi="宋体" w:cs="宋体"/>
          <w:color w:val="auto"/>
          <w:sz w:val="24"/>
        </w:rPr>
      </w:pPr>
      <w:r>
        <w:rPr>
          <w:rFonts w:hint="eastAsia" w:ascii="宋体" w:hAnsi="宋体" w:cs="宋体"/>
          <w:color w:val="auto"/>
          <w:sz w:val="24"/>
        </w:rPr>
        <w:t>法定代表人或被授权人：（签字或盖章）</w:t>
      </w:r>
    </w:p>
    <w:p w14:paraId="6E9D2DE9">
      <w:pPr>
        <w:spacing w:line="360" w:lineRule="auto"/>
        <w:ind w:firstLine="1320" w:firstLineChars="550"/>
        <w:jc w:val="right"/>
        <w:rPr>
          <w:rFonts w:hint="eastAsia" w:ascii="宋体" w:hAnsi="宋体" w:cs="宋体"/>
          <w:color w:val="auto"/>
          <w:sz w:val="24"/>
        </w:rPr>
      </w:pPr>
      <w:r>
        <w:rPr>
          <w:rFonts w:hint="eastAsia" w:ascii="宋体" w:hAnsi="宋体" w:cs="宋体"/>
          <w:color w:val="auto"/>
          <w:sz w:val="24"/>
        </w:rPr>
        <w:t>年      月     日</w:t>
      </w:r>
    </w:p>
    <w:p w14:paraId="6C058629">
      <w:pPr>
        <w:rPr>
          <w:rFonts w:hint="eastAsia" w:ascii="宋体" w:hAnsi="宋体" w:cs="宋体"/>
          <w:color w:val="auto"/>
          <w:sz w:val="32"/>
          <w:szCs w:val="32"/>
        </w:rPr>
      </w:pPr>
    </w:p>
    <w:p w14:paraId="00E89066">
      <w:pPr>
        <w:spacing w:line="360" w:lineRule="auto"/>
        <w:jc w:val="left"/>
        <w:rPr>
          <w:rFonts w:hint="eastAsia" w:ascii="宋体" w:hAnsi="宋体" w:cs="宋体"/>
          <w:color w:val="auto"/>
          <w:sz w:val="32"/>
          <w:szCs w:val="32"/>
        </w:rPr>
      </w:pPr>
    </w:p>
    <w:p w14:paraId="2AF05B53">
      <w:pPr>
        <w:spacing w:line="360" w:lineRule="auto"/>
        <w:jc w:val="left"/>
        <w:rPr>
          <w:rFonts w:hint="eastAsia" w:ascii="宋体" w:hAnsi="宋体" w:cs="宋体"/>
          <w:color w:val="auto"/>
          <w:sz w:val="32"/>
          <w:szCs w:val="32"/>
        </w:rPr>
      </w:pPr>
    </w:p>
    <w:p w14:paraId="1F987172">
      <w:pPr>
        <w:pStyle w:val="3"/>
        <w:keepNext w:val="0"/>
        <w:keepLines w:val="0"/>
        <w:widowControl/>
        <w:spacing w:before="0" w:after="0" w:line="360" w:lineRule="atLeast"/>
        <w:jc w:val="left"/>
        <w:rPr>
          <w:rFonts w:hint="eastAsia" w:ascii="宋体" w:hAnsi="宋体" w:cs="宋体"/>
          <w:color w:val="auto"/>
        </w:rPr>
      </w:pPr>
      <w:r>
        <w:rPr>
          <w:rFonts w:hint="eastAsia" w:ascii="宋体" w:hAnsi="宋体" w:cs="宋体"/>
          <w:color w:val="auto"/>
        </w:rPr>
        <w:br w:type="page"/>
      </w:r>
    </w:p>
    <w:p w14:paraId="42283A3E">
      <w:pPr>
        <w:pStyle w:val="3"/>
        <w:keepNext w:val="0"/>
        <w:keepLines w:val="0"/>
        <w:widowControl/>
        <w:spacing w:before="0" w:after="0" w:line="360" w:lineRule="atLeast"/>
        <w:rPr>
          <w:rFonts w:hint="eastAsia" w:ascii="宋体" w:hAnsi="宋体" w:eastAsia="宋体" w:cs="宋体"/>
          <w:color w:val="auto"/>
        </w:rPr>
      </w:pPr>
      <w:r>
        <w:rPr>
          <w:rFonts w:hint="eastAsia" w:ascii="宋体" w:hAnsi="宋体" w:cs="宋体"/>
          <w:color w:val="auto"/>
        </w:rPr>
        <w:t>附件6</w:t>
      </w:r>
    </w:p>
    <w:p w14:paraId="22E9218E">
      <w:pPr>
        <w:pStyle w:val="3"/>
        <w:keepNext w:val="0"/>
        <w:keepLines w:val="0"/>
        <w:widowControl/>
        <w:spacing w:before="0" w:after="0" w:line="360" w:lineRule="atLeast"/>
        <w:jc w:val="center"/>
        <w:rPr>
          <w:rFonts w:hint="eastAsia" w:ascii="宋体" w:hAnsi="宋体" w:eastAsia="宋体" w:cs="宋体"/>
          <w:color w:val="auto"/>
          <w:sz w:val="36"/>
          <w:szCs w:val="36"/>
        </w:rPr>
      </w:pPr>
      <w:r>
        <w:rPr>
          <w:rFonts w:hint="eastAsia" w:ascii="宋体" w:hAnsi="宋体" w:eastAsia="宋体" w:cs="宋体"/>
          <w:color w:val="auto"/>
          <w:sz w:val="36"/>
          <w:szCs w:val="36"/>
        </w:rPr>
        <w:t>承诺函</w:t>
      </w:r>
    </w:p>
    <w:p w14:paraId="15CAE5E9">
      <w:pPr>
        <w:widowControl/>
        <w:spacing w:line="420" w:lineRule="atLeast"/>
        <w:jc w:val="left"/>
        <w:rPr>
          <w:rFonts w:hint="eastAsia" w:ascii="宋体" w:hAnsi="宋体" w:cs="宋体"/>
          <w:color w:val="auto"/>
          <w:kern w:val="0"/>
          <w:sz w:val="24"/>
        </w:rPr>
      </w:pPr>
      <w:r>
        <w:rPr>
          <w:rFonts w:ascii="宋体" w:hAnsi="宋体" w:cs="宋体"/>
          <w:color w:val="auto"/>
          <w:kern w:val="0"/>
          <w:sz w:val="24"/>
        </w:rPr>
        <w:t xml:space="preserve">致：江苏商贸职业学院 </w:t>
      </w:r>
    </w:p>
    <w:p w14:paraId="5327E068">
      <w:pPr>
        <w:widowControl/>
        <w:spacing w:line="420" w:lineRule="atLeast"/>
        <w:ind w:firstLine="480" w:firstLineChars="200"/>
        <w:jc w:val="left"/>
        <w:rPr>
          <w:color w:val="auto"/>
          <w:sz w:val="24"/>
        </w:rPr>
      </w:pPr>
      <w:r>
        <w:rPr>
          <w:rFonts w:ascii="宋体" w:hAnsi="宋体" w:cs="宋体"/>
          <w:color w:val="auto"/>
          <w:kern w:val="0"/>
          <w:sz w:val="24"/>
        </w:rPr>
        <w:t>本单位就</w:t>
      </w:r>
      <w:r>
        <w:rPr>
          <w:rStyle w:val="40"/>
          <w:rFonts w:ascii="宋体" w:hAnsi="宋体" w:cs="宋体"/>
          <w:color w:val="auto"/>
          <w:kern w:val="0"/>
          <w:sz w:val="24"/>
          <w:u w:val="single"/>
        </w:rPr>
        <w:t>江苏商贸职业学院校园主干道测速系统项目</w:t>
      </w:r>
      <w:r>
        <w:rPr>
          <w:rFonts w:ascii="宋体" w:hAnsi="宋体" w:cs="宋体"/>
          <w:color w:val="auto"/>
          <w:kern w:val="0"/>
          <w:sz w:val="24"/>
        </w:rPr>
        <w:t>（项目编号：________）投标，综合作出以下承诺：</w:t>
      </w:r>
    </w:p>
    <w:p w14:paraId="51D47EEC">
      <w:pPr>
        <w:pStyle w:val="4"/>
        <w:keepNext w:val="0"/>
        <w:keepLines w:val="0"/>
        <w:widowControl/>
        <w:numPr>
          <w:ilvl w:val="0"/>
          <w:numId w:val="4"/>
        </w:numPr>
        <w:spacing w:before="0" w:after="0" w:line="420" w:lineRule="atLeast"/>
        <w:ind w:firstLine="482" w:firstLineChars="200"/>
        <w:jc w:val="left"/>
        <w:rPr>
          <w:color w:val="auto"/>
          <w:sz w:val="24"/>
          <w:szCs w:val="24"/>
        </w:rPr>
      </w:pPr>
      <w:r>
        <w:rPr>
          <w:color w:val="auto"/>
          <w:sz w:val="24"/>
          <w:szCs w:val="24"/>
        </w:rPr>
        <w:t>针对★定制对接核心条款承诺</w:t>
      </w:r>
    </w:p>
    <w:p w14:paraId="66785E09">
      <w:pPr>
        <w:pStyle w:val="4"/>
        <w:keepNext w:val="0"/>
        <w:keepLines w:val="0"/>
        <w:widowControl/>
        <w:spacing w:before="0" w:after="0" w:line="420" w:lineRule="atLeast"/>
        <w:ind w:firstLine="480" w:firstLineChars="200"/>
        <w:jc w:val="left"/>
        <w:rPr>
          <w:b w:val="0"/>
          <w:bCs w:val="0"/>
          <w:color w:val="auto"/>
          <w:sz w:val="24"/>
          <w:szCs w:val="24"/>
        </w:rPr>
      </w:pPr>
      <w:r>
        <w:rPr>
          <w:rFonts w:hint="eastAsia"/>
          <w:b w:val="0"/>
          <w:bCs w:val="0"/>
          <w:color w:val="auto"/>
          <w:sz w:val="24"/>
          <w:szCs w:val="24"/>
        </w:rPr>
        <w:t>1.</w:t>
      </w:r>
      <w:r>
        <w:rPr>
          <w:b w:val="0"/>
          <w:bCs w:val="0"/>
          <w:color w:val="auto"/>
          <w:sz w:val="24"/>
          <w:szCs w:val="24"/>
        </w:rPr>
        <w:t>我方对招标文件标注★的定制对接开发全部条款无任何负偏离，完全满足校方多套现有平台无缝对接、车辆违章全流程管控、黑白名单、手机端违停处置等全部软件功能需求，无功能删减、参数降级、对接不兼容等问题。</w:t>
      </w:r>
    </w:p>
    <w:p w14:paraId="6BC3C2B4">
      <w:pPr>
        <w:widowControl/>
        <w:spacing w:line="420" w:lineRule="atLeast"/>
        <w:ind w:firstLine="480" w:firstLineChars="200"/>
        <w:jc w:val="left"/>
        <w:rPr>
          <w:color w:val="auto"/>
          <w:sz w:val="24"/>
        </w:rPr>
      </w:pPr>
      <w:r>
        <w:rPr>
          <w:rFonts w:hint="eastAsia"/>
          <w:color w:val="auto"/>
          <w:sz w:val="24"/>
        </w:rPr>
        <w:t>2.</w:t>
      </w:r>
      <w:r>
        <w:rPr>
          <w:color w:val="auto"/>
          <w:sz w:val="24"/>
        </w:rPr>
        <w:t>若存在负偏离或中标后无法完成对接开发，自愿按无效投标处理；已中标的，采购人可单方解除合同，我方承担合同总价 20% 违约金，赔偿校方全部损失。</w:t>
      </w:r>
    </w:p>
    <w:p w14:paraId="6D6370F4">
      <w:pPr>
        <w:pStyle w:val="4"/>
        <w:keepNext w:val="0"/>
        <w:keepLines w:val="0"/>
        <w:widowControl/>
        <w:spacing w:before="0" w:after="0" w:line="420" w:lineRule="atLeast"/>
        <w:ind w:firstLine="482" w:firstLineChars="200"/>
        <w:jc w:val="left"/>
        <w:rPr>
          <w:color w:val="auto"/>
          <w:sz w:val="24"/>
          <w:szCs w:val="24"/>
        </w:rPr>
      </w:pPr>
      <w:r>
        <w:rPr>
          <w:color w:val="auto"/>
          <w:sz w:val="24"/>
          <w:szCs w:val="24"/>
        </w:rPr>
        <w:t>二、项目质保服务承诺</w:t>
      </w:r>
    </w:p>
    <w:p w14:paraId="0656D77B">
      <w:pPr>
        <w:pStyle w:val="4"/>
        <w:keepNext w:val="0"/>
        <w:keepLines w:val="0"/>
        <w:widowControl/>
        <w:spacing w:before="0" w:after="0" w:line="420" w:lineRule="atLeast"/>
        <w:ind w:firstLine="480" w:firstLineChars="200"/>
        <w:jc w:val="left"/>
        <w:rPr>
          <w:b w:val="0"/>
          <w:bCs w:val="0"/>
          <w:color w:val="auto"/>
          <w:sz w:val="24"/>
          <w:szCs w:val="24"/>
        </w:rPr>
      </w:pPr>
      <w:r>
        <w:rPr>
          <w:rFonts w:hint="eastAsia"/>
          <w:b w:val="0"/>
          <w:bCs w:val="0"/>
          <w:color w:val="auto"/>
          <w:sz w:val="24"/>
          <w:szCs w:val="24"/>
        </w:rPr>
        <w:t>1.</w:t>
      </w:r>
      <w:r>
        <w:rPr>
          <w:rFonts w:hint="eastAsia"/>
          <w:color w:val="auto"/>
        </w:rPr>
        <w:t xml:space="preserve"> </w:t>
      </w:r>
      <w:r>
        <w:rPr>
          <w:rFonts w:hint="eastAsia"/>
          <w:b w:val="0"/>
          <w:bCs w:val="0"/>
          <w:color w:val="auto"/>
          <w:sz w:val="24"/>
          <w:szCs w:val="24"/>
        </w:rPr>
        <w:t>整体项目需提供三年质保，其中定制对接开发软件需提供终身质保</w:t>
      </w:r>
      <w:r>
        <w:rPr>
          <w:b w:val="0"/>
          <w:bCs w:val="0"/>
          <w:color w:val="auto"/>
          <w:sz w:val="24"/>
          <w:szCs w:val="24"/>
        </w:rPr>
        <w:t>，质保期内免费上门维修、更换零部件、系统调试，无任何额外收费。</w:t>
      </w:r>
    </w:p>
    <w:p w14:paraId="5DDA4266">
      <w:pPr>
        <w:widowControl/>
        <w:spacing w:line="420" w:lineRule="atLeast"/>
        <w:ind w:firstLine="480" w:firstLineChars="200"/>
        <w:jc w:val="left"/>
        <w:rPr>
          <w:color w:val="auto"/>
          <w:sz w:val="24"/>
        </w:rPr>
      </w:pPr>
      <w:r>
        <w:rPr>
          <w:rFonts w:hint="eastAsia"/>
          <w:color w:val="auto"/>
          <w:sz w:val="24"/>
        </w:rPr>
        <w:t>2.</w:t>
      </w:r>
      <w:r>
        <w:rPr>
          <w:color w:val="auto"/>
          <w:sz w:val="24"/>
        </w:rPr>
        <w:t>本项目定制对接开发软件提供</w:t>
      </w:r>
      <w:r>
        <w:rPr>
          <w:rStyle w:val="40"/>
          <w:b w:val="0"/>
          <w:bCs w:val="0"/>
          <w:color w:val="auto"/>
          <w:sz w:val="24"/>
        </w:rPr>
        <w:t>终身免费质保</w:t>
      </w:r>
      <w:r>
        <w:rPr>
          <w:color w:val="auto"/>
          <w:sz w:val="24"/>
        </w:rPr>
        <w:t>，终身免费故障修复、平台适配、系统升级、数据运维、技术支持。</w:t>
      </w:r>
    </w:p>
    <w:p w14:paraId="1308B76C">
      <w:pPr>
        <w:widowControl/>
        <w:spacing w:line="420" w:lineRule="atLeast"/>
        <w:ind w:firstLine="480" w:firstLineChars="200"/>
        <w:jc w:val="left"/>
        <w:rPr>
          <w:color w:val="auto"/>
          <w:sz w:val="24"/>
        </w:rPr>
      </w:pPr>
      <w:r>
        <w:rPr>
          <w:rFonts w:hint="eastAsia"/>
          <w:color w:val="auto"/>
          <w:sz w:val="24"/>
        </w:rPr>
        <w:t>3.</w:t>
      </w:r>
      <w:r>
        <w:rPr>
          <w:color w:val="auto"/>
          <w:sz w:val="24"/>
        </w:rPr>
        <w:t>质保期故障响应、上门服务严格按照我方投标售后服务方案执行，保障校园测速系统全年稳定运行。</w:t>
      </w:r>
    </w:p>
    <w:p w14:paraId="563C6659">
      <w:pPr>
        <w:pStyle w:val="4"/>
        <w:keepNext w:val="0"/>
        <w:keepLines w:val="0"/>
        <w:widowControl/>
        <w:spacing w:before="0" w:after="0" w:line="420" w:lineRule="atLeast"/>
        <w:ind w:firstLine="482" w:firstLineChars="200"/>
        <w:jc w:val="left"/>
        <w:rPr>
          <w:color w:val="auto"/>
          <w:sz w:val="24"/>
          <w:szCs w:val="24"/>
        </w:rPr>
      </w:pPr>
      <w:r>
        <w:rPr>
          <w:color w:val="auto"/>
          <w:sz w:val="24"/>
          <w:szCs w:val="24"/>
        </w:rPr>
        <w:t>三、通用承诺</w:t>
      </w:r>
    </w:p>
    <w:p w14:paraId="770E810B">
      <w:pPr>
        <w:widowControl/>
        <w:spacing w:line="420" w:lineRule="atLeast"/>
        <w:ind w:firstLine="480" w:firstLineChars="200"/>
        <w:jc w:val="left"/>
        <w:rPr>
          <w:color w:val="auto"/>
          <w:sz w:val="24"/>
        </w:rPr>
      </w:pPr>
      <w:r>
        <w:rPr>
          <w:rFonts w:ascii="宋体" w:hAnsi="宋体" w:cs="宋体"/>
          <w:color w:val="auto"/>
          <w:kern w:val="0"/>
          <w:sz w:val="24"/>
        </w:rPr>
        <w:t>本函所有内容真实可落地，若存在虚假承诺，我方自愿承担政府采购相关法律法规处罚及全部违约责任。本承诺函为投标文件法定组成部分，效力等同投标文件、采购合同。</w:t>
      </w:r>
    </w:p>
    <w:p w14:paraId="3C6902EA">
      <w:pPr>
        <w:widowControl/>
        <w:spacing w:line="360" w:lineRule="atLeast"/>
        <w:jc w:val="left"/>
        <w:rPr>
          <w:rFonts w:hint="eastAsia" w:ascii="宋体" w:hAnsi="宋体" w:cs="宋体"/>
          <w:color w:val="auto"/>
          <w:kern w:val="0"/>
          <w:sz w:val="24"/>
        </w:rPr>
      </w:pPr>
    </w:p>
    <w:p w14:paraId="2A983845">
      <w:pPr>
        <w:widowControl/>
        <w:spacing w:line="360" w:lineRule="atLeast"/>
        <w:jc w:val="left"/>
        <w:rPr>
          <w:rFonts w:hint="eastAsia" w:ascii="宋体" w:hAnsi="宋体" w:cs="宋体"/>
          <w:color w:val="auto"/>
          <w:kern w:val="0"/>
          <w:sz w:val="24"/>
        </w:rPr>
      </w:pPr>
    </w:p>
    <w:p w14:paraId="307321B1">
      <w:pPr>
        <w:widowControl/>
        <w:spacing w:line="360" w:lineRule="atLeast"/>
        <w:ind w:firstLine="480" w:firstLineChars="200"/>
        <w:jc w:val="left"/>
        <w:rPr>
          <w:rFonts w:hint="eastAsia" w:ascii="宋体" w:hAnsi="宋体" w:cs="宋体"/>
          <w:color w:val="auto"/>
          <w:kern w:val="0"/>
          <w:sz w:val="24"/>
        </w:rPr>
      </w:pPr>
      <w:r>
        <w:rPr>
          <w:rFonts w:ascii="宋体" w:hAnsi="宋体" w:cs="宋体"/>
          <w:color w:val="auto"/>
          <w:kern w:val="0"/>
          <w:sz w:val="24"/>
        </w:rPr>
        <w:t xml:space="preserve">投标人（加盖单位公章）：________________ </w:t>
      </w:r>
    </w:p>
    <w:p w14:paraId="4EBAD8CC">
      <w:pPr>
        <w:widowControl/>
        <w:spacing w:line="360" w:lineRule="atLeast"/>
        <w:ind w:firstLine="480" w:firstLineChars="200"/>
        <w:jc w:val="left"/>
        <w:rPr>
          <w:rFonts w:hint="eastAsia" w:ascii="宋体" w:hAnsi="宋体" w:cs="宋体"/>
          <w:color w:val="auto"/>
          <w:kern w:val="0"/>
          <w:sz w:val="24"/>
        </w:rPr>
      </w:pPr>
    </w:p>
    <w:p w14:paraId="1338CE0A">
      <w:pPr>
        <w:widowControl/>
        <w:spacing w:line="360" w:lineRule="atLeast"/>
        <w:ind w:firstLine="480" w:firstLineChars="200"/>
        <w:jc w:val="left"/>
        <w:rPr>
          <w:rFonts w:hint="eastAsia" w:ascii="宋体" w:hAnsi="宋体" w:cs="宋体"/>
          <w:color w:val="auto"/>
          <w:kern w:val="0"/>
          <w:sz w:val="24"/>
        </w:rPr>
      </w:pPr>
      <w:r>
        <w:rPr>
          <w:rFonts w:ascii="宋体" w:hAnsi="宋体" w:cs="宋体"/>
          <w:color w:val="auto"/>
          <w:kern w:val="0"/>
          <w:sz w:val="24"/>
        </w:rPr>
        <w:t xml:space="preserve">法定代表人/授权委托人（签字或盖章）：________________ </w:t>
      </w:r>
    </w:p>
    <w:p w14:paraId="300796A8">
      <w:pPr>
        <w:widowControl/>
        <w:spacing w:line="360" w:lineRule="atLeast"/>
        <w:jc w:val="left"/>
        <w:rPr>
          <w:rFonts w:hint="eastAsia" w:ascii="宋体" w:hAnsi="宋体" w:cs="宋体"/>
          <w:color w:val="auto"/>
          <w:kern w:val="0"/>
          <w:sz w:val="24"/>
        </w:rPr>
      </w:pPr>
    </w:p>
    <w:p w14:paraId="3BDD29EB">
      <w:pPr>
        <w:widowControl/>
        <w:spacing w:line="360" w:lineRule="atLeast"/>
        <w:ind w:firstLine="480" w:firstLineChars="200"/>
        <w:jc w:val="left"/>
        <w:rPr>
          <w:color w:val="auto"/>
          <w:sz w:val="24"/>
        </w:rPr>
      </w:pPr>
      <w:r>
        <w:rPr>
          <w:rFonts w:ascii="宋体" w:hAnsi="宋体" w:cs="宋体"/>
          <w:color w:val="auto"/>
          <w:kern w:val="0"/>
          <w:sz w:val="24"/>
        </w:rPr>
        <w:t>日期：______年____月____日</w:t>
      </w:r>
    </w:p>
    <w:p w14:paraId="1A10728F">
      <w:pPr>
        <w:rPr>
          <w:rFonts w:hint="eastAsia" w:ascii="宋体" w:hAnsi="宋体" w:cs="宋体"/>
          <w:color w:val="auto"/>
          <w:sz w:val="32"/>
          <w:szCs w:val="32"/>
        </w:rPr>
      </w:pPr>
    </w:p>
    <w:p w14:paraId="43A7911D">
      <w:pPr>
        <w:rPr>
          <w:rFonts w:hint="eastAsia" w:ascii="宋体" w:hAnsi="宋体" w:cs="宋体"/>
          <w:b/>
          <w:bCs/>
          <w:color w:val="auto"/>
          <w:sz w:val="28"/>
          <w:szCs w:val="28"/>
        </w:rPr>
      </w:pPr>
      <w:r>
        <w:rPr>
          <w:rFonts w:hint="eastAsia" w:ascii="宋体" w:hAnsi="宋体" w:cs="宋体"/>
          <w:b/>
          <w:bCs/>
          <w:color w:val="auto"/>
          <w:sz w:val="28"/>
          <w:szCs w:val="28"/>
        </w:rPr>
        <w:br w:type="page"/>
      </w:r>
    </w:p>
    <w:p w14:paraId="28ED0D34">
      <w:pPr>
        <w:spacing w:line="360" w:lineRule="auto"/>
        <w:jc w:val="left"/>
        <w:rPr>
          <w:rFonts w:hint="eastAsia" w:ascii="宋体" w:hAnsi="宋体" w:cs="宋体"/>
          <w:b/>
          <w:bCs/>
          <w:color w:val="auto"/>
          <w:sz w:val="28"/>
          <w:szCs w:val="28"/>
        </w:rPr>
      </w:pPr>
      <w:r>
        <w:rPr>
          <w:rFonts w:hint="eastAsia" w:ascii="宋体" w:hAnsi="宋体" w:cs="宋体"/>
          <w:b/>
          <w:bCs/>
          <w:color w:val="auto"/>
          <w:sz w:val="28"/>
          <w:szCs w:val="28"/>
        </w:rPr>
        <w:t>附件7</w:t>
      </w:r>
    </w:p>
    <w:p w14:paraId="6F8D574E">
      <w:pPr>
        <w:spacing w:line="360" w:lineRule="auto"/>
        <w:jc w:val="center"/>
        <w:rPr>
          <w:rFonts w:hint="eastAsia" w:ascii="宋体" w:hAnsi="宋体" w:cs="宋体"/>
          <w:b/>
          <w:bCs/>
          <w:color w:val="auto"/>
          <w:sz w:val="28"/>
          <w:szCs w:val="28"/>
        </w:rPr>
      </w:pPr>
      <w:r>
        <w:rPr>
          <w:rFonts w:hint="eastAsia" w:ascii="宋体" w:hAnsi="宋体" w:cs="宋体"/>
          <w:b/>
          <w:bCs/>
          <w:color w:val="auto"/>
          <w:sz w:val="28"/>
          <w:szCs w:val="28"/>
        </w:rPr>
        <w:t>投标响应函</w:t>
      </w:r>
    </w:p>
    <w:p w14:paraId="6F058B4E">
      <w:pPr>
        <w:spacing w:line="360" w:lineRule="auto"/>
        <w:rPr>
          <w:rFonts w:hint="eastAsia" w:ascii="宋体" w:hAnsi="宋体" w:cs="宋体"/>
          <w:color w:val="auto"/>
          <w:sz w:val="24"/>
        </w:rPr>
      </w:pPr>
      <w:r>
        <w:rPr>
          <w:rFonts w:hint="eastAsia" w:ascii="宋体" w:hAnsi="宋体" w:cs="宋体"/>
          <w:color w:val="auto"/>
          <w:sz w:val="24"/>
        </w:rPr>
        <w:t>江苏商贸职业学院：</w:t>
      </w:r>
    </w:p>
    <w:p w14:paraId="615C23F2">
      <w:pPr>
        <w:spacing w:line="360" w:lineRule="auto"/>
        <w:ind w:firstLine="480" w:firstLineChars="200"/>
        <w:rPr>
          <w:rFonts w:hint="eastAsia" w:ascii="宋体" w:hAnsi="宋体" w:cs="宋体"/>
          <w:color w:val="auto"/>
          <w:sz w:val="24"/>
        </w:rPr>
      </w:pPr>
      <w:r>
        <w:rPr>
          <w:rFonts w:hint="eastAsia" w:ascii="宋体" w:hAnsi="宋体" w:cs="宋体"/>
          <w:color w:val="auto"/>
          <w:sz w:val="24"/>
        </w:rPr>
        <w:t>依据贵单位</w:t>
      </w:r>
      <w:r>
        <w:rPr>
          <w:rFonts w:hint="eastAsia" w:ascii="宋体" w:hAnsi="宋体" w:cs="宋体"/>
          <w:color w:val="auto"/>
          <w:sz w:val="24"/>
          <w:u w:val="single"/>
        </w:rPr>
        <w:t xml:space="preserve">        </w:t>
      </w:r>
      <w:r>
        <w:rPr>
          <w:rFonts w:hint="eastAsia" w:ascii="宋体" w:hAnsi="宋体" w:cs="宋体"/>
          <w:color w:val="auto"/>
          <w:sz w:val="24"/>
        </w:rPr>
        <w:t>（投标项目名称及项目编号）项目采购的邀请，我方授权</w:t>
      </w:r>
      <w:r>
        <w:rPr>
          <w:rFonts w:hint="eastAsia" w:ascii="宋体" w:hAnsi="宋体" w:cs="宋体"/>
          <w:color w:val="auto"/>
          <w:sz w:val="24"/>
          <w:u w:val="single"/>
        </w:rPr>
        <w:t xml:space="preserve">      </w:t>
      </w:r>
      <w:r>
        <w:rPr>
          <w:rFonts w:hint="eastAsia" w:ascii="宋体" w:hAnsi="宋体" w:cs="宋体"/>
          <w:color w:val="auto"/>
          <w:sz w:val="24"/>
        </w:rPr>
        <w:t>（姓名）</w:t>
      </w:r>
      <w:r>
        <w:rPr>
          <w:rFonts w:hint="eastAsia" w:ascii="宋体" w:hAnsi="宋体" w:cs="宋体"/>
          <w:color w:val="auto"/>
          <w:sz w:val="24"/>
          <w:u w:val="single"/>
        </w:rPr>
        <w:t xml:space="preserve">       </w:t>
      </w:r>
      <w:r>
        <w:rPr>
          <w:rFonts w:hint="eastAsia" w:ascii="宋体" w:hAnsi="宋体" w:cs="宋体"/>
          <w:color w:val="auto"/>
          <w:sz w:val="24"/>
        </w:rPr>
        <w:t>（职务）为全权代表参加该项目的投标工作，全权处理本次采购的有关事宜。同时，我公司声明如下：</w:t>
      </w:r>
    </w:p>
    <w:p w14:paraId="22D46B4C">
      <w:pPr>
        <w:spacing w:line="360" w:lineRule="auto"/>
        <w:ind w:firstLine="480" w:firstLineChars="200"/>
        <w:rPr>
          <w:rFonts w:hint="eastAsia" w:ascii="宋体" w:hAnsi="宋体" w:cs="宋体"/>
          <w:color w:val="auto"/>
          <w:sz w:val="24"/>
        </w:rPr>
      </w:pPr>
      <w:r>
        <w:rPr>
          <w:rFonts w:hint="eastAsia" w:ascii="宋体" w:hAnsi="宋体" w:cs="宋体"/>
          <w:color w:val="auto"/>
          <w:sz w:val="24"/>
        </w:rPr>
        <w:t>1、同意并接受招标文件的各项要求，遵守招标文件中的各项规定，按招标文件的要求提供报价。</w:t>
      </w:r>
    </w:p>
    <w:p w14:paraId="68D95CAF">
      <w:pPr>
        <w:spacing w:line="360" w:lineRule="auto"/>
        <w:ind w:firstLine="480" w:firstLineChars="200"/>
        <w:rPr>
          <w:rFonts w:hint="eastAsia" w:ascii="宋体" w:hAnsi="宋体" w:cs="宋体"/>
          <w:color w:val="auto"/>
          <w:sz w:val="24"/>
        </w:rPr>
      </w:pPr>
      <w:r>
        <w:rPr>
          <w:rFonts w:hint="eastAsia" w:ascii="宋体" w:hAnsi="宋体" w:cs="宋体"/>
          <w:color w:val="auto"/>
          <w:sz w:val="24"/>
        </w:rPr>
        <w:t>2、我方已经详细阅读了全部招标文件及其附件，完全清晰理解招标文件的要求，不存在任何含糊不清和误解之处，同意放弃对这些文件所提出的异议和质疑的权利。</w:t>
      </w:r>
    </w:p>
    <w:p w14:paraId="2B20969C">
      <w:pPr>
        <w:spacing w:line="360" w:lineRule="auto"/>
        <w:ind w:firstLine="480" w:firstLineChars="200"/>
        <w:rPr>
          <w:rFonts w:hint="eastAsia" w:ascii="宋体" w:hAnsi="宋体" w:cs="宋体"/>
          <w:color w:val="auto"/>
          <w:sz w:val="24"/>
        </w:rPr>
      </w:pPr>
      <w:r>
        <w:rPr>
          <w:rFonts w:hint="eastAsia" w:ascii="宋体" w:hAnsi="宋体" w:cs="宋体"/>
          <w:color w:val="auto"/>
          <w:sz w:val="24"/>
        </w:rPr>
        <w:t>3、我方已毫无保留地向贵方提供一切所需的证明材料。</w:t>
      </w:r>
    </w:p>
    <w:p w14:paraId="6A9AEB0E">
      <w:pPr>
        <w:spacing w:line="360" w:lineRule="auto"/>
        <w:ind w:firstLine="480" w:firstLineChars="200"/>
        <w:rPr>
          <w:rFonts w:hint="eastAsia" w:ascii="宋体" w:hAnsi="宋体" w:cs="宋体"/>
          <w:color w:val="auto"/>
          <w:sz w:val="24"/>
        </w:rPr>
      </w:pPr>
      <w:r>
        <w:rPr>
          <w:rFonts w:hint="eastAsia" w:ascii="宋体" w:hAnsi="宋体" w:cs="宋体"/>
          <w:color w:val="auto"/>
          <w:sz w:val="24"/>
        </w:rPr>
        <w:t>4、我公司承诺在本次投标响应中提供的一切文件，无论是原件还是复印件均真实有效，绝无任何虚假、伪造和夸大的成份。否则，愿承担相应的后果和法律责任。</w:t>
      </w:r>
    </w:p>
    <w:p w14:paraId="48895806">
      <w:pPr>
        <w:spacing w:line="360" w:lineRule="auto"/>
        <w:ind w:firstLine="480" w:firstLineChars="200"/>
        <w:rPr>
          <w:rFonts w:hint="eastAsia" w:ascii="宋体" w:hAnsi="宋体" w:cs="宋体"/>
          <w:color w:val="auto"/>
          <w:sz w:val="24"/>
        </w:rPr>
      </w:pPr>
      <w:r>
        <w:rPr>
          <w:rFonts w:hint="eastAsia" w:ascii="宋体" w:hAnsi="宋体" w:cs="宋体"/>
          <w:color w:val="auto"/>
          <w:sz w:val="24"/>
        </w:rPr>
        <w:t>5、我方尊重评标委员会所作的评定结果，同时清楚理解到报价最高并非意味着必定获得成交资格。</w:t>
      </w:r>
    </w:p>
    <w:p w14:paraId="59245741">
      <w:pPr>
        <w:spacing w:line="360" w:lineRule="auto"/>
        <w:ind w:firstLine="480" w:firstLineChars="200"/>
        <w:rPr>
          <w:rFonts w:hint="eastAsia" w:ascii="宋体" w:hAnsi="宋体" w:cs="宋体"/>
          <w:color w:val="auto"/>
          <w:sz w:val="24"/>
        </w:rPr>
      </w:pPr>
      <w:r>
        <w:rPr>
          <w:rFonts w:hint="eastAsia" w:ascii="宋体" w:hAnsi="宋体" w:cs="宋体"/>
          <w:color w:val="auto"/>
          <w:sz w:val="24"/>
        </w:rPr>
        <w:t>6、一旦我方成交,我方将根据招标文件的规定，严格履行合同的责任和义务,并保证按招标文件规定的项目工期时间内完成，交付采购人验收、使用。</w:t>
      </w:r>
    </w:p>
    <w:p w14:paraId="4D441635">
      <w:pPr>
        <w:spacing w:line="360" w:lineRule="auto"/>
        <w:ind w:firstLine="480" w:firstLineChars="200"/>
        <w:jc w:val="right"/>
        <w:rPr>
          <w:rFonts w:hint="eastAsia" w:ascii="宋体" w:hAnsi="宋体" w:cs="宋体"/>
          <w:color w:val="auto"/>
          <w:sz w:val="24"/>
        </w:rPr>
      </w:pPr>
      <w:r>
        <w:rPr>
          <w:rFonts w:hint="eastAsia" w:ascii="宋体" w:hAnsi="宋体" w:cs="宋体"/>
          <w:color w:val="auto"/>
          <w:sz w:val="24"/>
        </w:rPr>
        <w:t>投标人：（加盖公章）</w:t>
      </w:r>
    </w:p>
    <w:p w14:paraId="14BB3E8C">
      <w:pPr>
        <w:spacing w:line="360" w:lineRule="auto"/>
        <w:ind w:firstLine="480" w:firstLineChars="200"/>
        <w:jc w:val="right"/>
        <w:rPr>
          <w:rFonts w:hint="eastAsia" w:ascii="宋体" w:hAnsi="宋体" w:cs="宋体"/>
          <w:color w:val="auto"/>
          <w:sz w:val="24"/>
        </w:rPr>
      </w:pPr>
      <w:r>
        <w:rPr>
          <w:rFonts w:hint="eastAsia" w:ascii="宋体" w:hAnsi="宋体" w:cs="宋体"/>
          <w:color w:val="auto"/>
          <w:sz w:val="24"/>
        </w:rPr>
        <w:t>法定代表人或被授权人：（签字或盖章）</w:t>
      </w:r>
    </w:p>
    <w:p w14:paraId="3844B644">
      <w:pPr>
        <w:spacing w:line="360" w:lineRule="auto"/>
        <w:ind w:firstLine="1320" w:firstLineChars="550"/>
        <w:jc w:val="right"/>
        <w:rPr>
          <w:rFonts w:hint="eastAsia" w:ascii="宋体" w:hAnsi="宋体" w:cs="宋体"/>
          <w:color w:val="auto"/>
          <w:sz w:val="24"/>
        </w:rPr>
      </w:pPr>
      <w:r>
        <w:rPr>
          <w:rFonts w:hint="eastAsia" w:ascii="宋体" w:hAnsi="宋体" w:cs="宋体"/>
          <w:color w:val="auto"/>
          <w:sz w:val="24"/>
        </w:rPr>
        <w:t>年      月     日</w:t>
      </w:r>
    </w:p>
    <w:p w14:paraId="56A774E6">
      <w:pPr>
        <w:snapToGrid w:val="0"/>
        <w:spacing w:line="300" w:lineRule="auto"/>
        <w:outlineLvl w:val="0"/>
        <w:rPr>
          <w:rFonts w:hint="eastAsia" w:ascii="宋体" w:hAnsi="宋体" w:cs="宋体"/>
          <w:color w:val="auto"/>
          <w:sz w:val="32"/>
          <w:szCs w:val="32"/>
        </w:rPr>
      </w:pPr>
    </w:p>
    <w:p w14:paraId="76936537">
      <w:pPr>
        <w:snapToGrid w:val="0"/>
        <w:spacing w:line="300" w:lineRule="auto"/>
        <w:outlineLvl w:val="0"/>
        <w:rPr>
          <w:rFonts w:hint="eastAsia" w:ascii="宋体" w:hAnsi="宋体" w:cs="宋体"/>
          <w:color w:val="auto"/>
          <w:sz w:val="32"/>
          <w:szCs w:val="32"/>
        </w:rPr>
      </w:pPr>
    </w:p>
    <w:p w14:paraId="71A33061">
      <w:pPr>
        <w:snapToGrid w:val="0"/>
        <w:spacing w:line="300" w:lineRule="auto"/>
        <w:outlineLvl w:val="0"/>
        <w:rPr>
          <w:rFonts w:hint="eastAsia" w:ascii="宋体" w:hAnsi="宋体" w:cs="宋体"/>
          <w:color w:val="auto"/>
          <w:sz w:val="32"/>
          <w:szCs w:val="32"/>
        </w:rPr>
      </w:pPr>
    </w:p>
    <w:p w14:paraId="79DE517F">
      <w:pPr>
        <w:snapToGrid w:val="0"/>
        <w:spacing w:line="300" w:lineRule="auto"/>
        <w:outlineLvl w:val="0"/>
        <w:rPr>
          <w:rFonts w:hint="eastAsia" w:ascii="宋体" w:hAnsi="宋体" w:cs="宋体"/>
          <w:color w:val="auto"/>
          <w:sz w:val="32"/>
          <w:szCs w:val="32"/>
        </w:rPr>
      </w:pPr>
    </w:p>
    <w:p w14:paraId="52090348">
      <w:pPr>
        <w:snapToGrid w:val="0"/>
        <w:spacing w:line="300" w:lineRule="auto"/>
        <w:outlineLvl w:val="0"/>
        <w:rPr>
          <w:rFonts w:hint="eastAsia" w:ascii="宋体" w:hAnsi="宋体" w:cs="宋体"/>
          <w:color w:val="auto"/>
          <w:sz w:val="32"/>
          <w:szCs w:val="32"/>
        </w:rPr>
      </w:pPr>
    </w:p>
    <w:p w14:paraId="73394FCC">
      <w:pPr>
        <w:snapToGrid w:val="0"/>
        <w:spacing w:line="300" w:lineRule="auto"/>
        <w:outlineLvl w:val="0"/>
        <w:rPr>
          <w:rFonts w:hint="eastAsia" w:ascii="宋体" w:hAnsi="宋体" w:cs="宋体"/>
          <w:color w:val="auto"/>
          <w:sz w:val="32"/>
          <w:szCs w:val="32"/>
        </w:rPr>
      </w:pPr>
    </w:p>
    <w:p w14:paraId="64677C9E">
      <w:pPr>
        <w:snapToGrid w:val="0"/>
        <w:spacing w:line="300" w:lineRule="auto"/>
        <w:outlineLvl w:val="0"/>
        <w:rPr>
          <w:rFonts w:hint="eastAsia" w:ascii="宋体" w:hAnsi="宋体" w:cs="宋体"/>
          <w:color w:val="auto"/>
          <w:sz w:val="32"/>
          <w:szCs w:val="32"/>
        </w:rPr>
      </w:pPr>
    </w:p>
    <w:p w14:paraId="0CB83A71">
      <w:pPr>
        <w:rPr>
          <w:rFonts w:hint="eastAsia" w:ascii="宋体" w:hAnsi="宋体" w:cs="宋体"/>
          <w:color w:val="auto"/>
          <w:sz w:val="32"/>
          <w:szCs w:val="32"/>
        </w:rPr>
      </w:pPr>
      <w:r>
        <w:rPr>
          <w:rFonts w:hint="eastAsia" w:ascii="宋体" w:hAnsi="宋体" w:cs="宋体"/>
          <w:color w:val="auto"/>
          <w:sz w:val="32"/>
          <w:szCs w:val="32"/>
        </w:rPr>
        <w:br w:type="page"/>
      </w:r>
    </w:p>
    <w:p w14:paraId="4A712025">
      <w:pPr>
        <w:pStyle w:val="75"/>
        <w:ind w:left="0"/>
        <w:rPr>
          <w:rFonts w:hint="eastAsia" w:ascii="宋体" w:hAnsi="宋体" w:cs="宋体"/>
          <w:color w:val="auto"/>
          <w:sz w:val="32"/>
          <w:szCs w:val="32"/>
          <w:lang w:eastAsia="zh-CN"/>
        </w:rPr>
        <w:sectPr>
          <w:headerReference r:id="rId6" w:type="default"/>
          <w:pgSz w:w="11906" w:h="16838"/>
          <w:pgMar w:top="1440" w:right="1080" w:bottom="1440" w:left="1080" w:header="851" w:footer="992" w:gutter="0"/>
          <w:cols w:space="720" w:num="1"/>
          <w:docGrid w:type="lines" w:linePitch="312" w:charSpace="0"/>
        </w:sectPr>
      </w:pPr>
    </w:p>
    <w:p w14:paraId="2E68C4E8">
      <w:pPr>
        <w:spacing w:line="360" w:lineRule="auto"/>
        <w:jc w:val="left"/>
        <w:rPr>
          <w:rFonts w:hint="eastAsia" w:ascii="宋体" w:hAnsi="宋体" w:cs="宋体"/>
          <w:b/>
          <w:bCs/>
          <w:color w:val="auto"/>
          <w:sz w:val="28"/>
          <w:szCs w:val="28"/>
        </w:rPr>
      </w:pPr>
      <w:r>
        <w:rPr>
          <w:rFonts w:hint="eastAsia" w:ascii="宋体" w:hAnsi="宋体" w:cs="宋体"/>
          <w:b/>
          <w:bCs/>
          <w:color w:val="auto"/>
          <w:sz w:val="28"/>
          <w:szCs w:val="28"/>
        </w:rPr>
        <w:t>附件8</w:t>
      </w:r>
    </w:p>
    <w:p w14:paraId="4F2E4C0E">
      <w:pPr>
        <w:pStyle w:val="8"/>
        <w:spacing w:line="360" w:lineRule="auto"/>
        <w:ind w:firstLine="480"/>
        <w:jc w:val="center"/>
        <w:rPr>
          <w:b/>
          <w:color w:val="auto"/>
          <w:sz w:val="24"/>
        </w:rPr>
      </w:pPr>
      <w:r>
        <w:rPr>
          <w:rFonts w:hint="eastAsia"/>
          <w:b/>
          <w:color w:val="auto"/>
          <w:sz w:val="24"/>
        </w:rPr>
        <w:t>商务部分正负偏离表</w:t>
      </w:r>
    </w:p>
    <w:p w14:paraId="37190994">
      <w:pPr>
        <w:spacing w:line="360" w:lineRule="auto"/>
        <w:ind w:firstLine="560"/>
        <w:jc w:val="center"/>
        <w:rPr>
          <w:rFonts w:cs="宋体"/>
          <w:color w:val="auto"/>
          <w:sz w:val="28"/>
          <w:szCs w:val="28"/>
        </w:rPr>
      </w:pPr>
      <w:r>
        <w:rPr>
          <w:rFonts w:hint="eastAsia" w:cs="宋体"/>
          <w:color w:val="auto"/>
          <w:sz w:val="28"/>
          <w:szCs w:val="28"/>
        </w:rPr>
        <w:t>（由供应商据实填写，表格不够自行添加）</w:t>
      </w:r>
    </w:p>
    <w:tbl>
      <w:tblPr>
        <w:tblStyle w:val="37"/>
        <w:tblW w:w="5000"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916"/>
        <w:gridCol w:w="2499"/>
        <w:gridCol w:w="2182"/>
        <w:gridCol w:w="2815"/>
        <w:gridCol w:w="1550"/>
      </w:tblGrid>
      <w:tr w14:paraId="0452117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4" w:hRule="atLeast"/>
        </w:trPr>
        <w:tc>
          <w:tcPr>
            <w:tcW w:w="854" w:type="dxa"/>
            <w:tcBorders>
              <w:top w:val="single" w:color="000000" w:sz="12" w:space="0"/>
              <w:left w:val="single" w:color="000000" w:sz="12" w:space="0"/>
              <w:bottom w:val="single" w:color="000000" w:sz="6" w:space="0"/>
              <w:right w:val="single" w:color="000000" w:sz="6" w:space="0"/>
            </w:tcBorders>
            <w:vAlign w:val="center"/>
          </w:tcPr>
          <w:p w14:paraId="46AC788B">
            <w:pPr>
              <w:spacing w:line="360" w:lineRule="auto"/>
              <w:jc w:val="center"/>
              <w:rPr>
                <w:rFonts w:cs="宋体"/>
                <w:color w:val="auto"/>
                <w:sz w:val="24"/>
              </w:rPr>
            </w:pPr>
            <w:r>
              <w:rPr>
                <w:rFonts w:hint="eastAsia" w:cs="宋体"/>
                <w:color w:val="auto"/>
                <w:sz w:val="24"/>
              </w:rPr>
              <w:t>序号</w:t>
            </w:r>
          </w:p>
        </w:tc>
        <w:tc>
          <w:tcPr>
            <w:tcW w:w="2329" w:type="dxa"/>
            <w:tcBorders>
              <w:top w:val="single" w:color="000000" w:sz="12" w:space="0"/>
              <w:left w:val="single" w:color="000000" w:sz="6" w:space="0"/>
              <w:bottom w:val="single" w:color="000000" w:sz="6" w:space="0"/>
              <w:right w:val="single" w:color="000000" w:sz="6" w:space="0"/>
            </w:tcBorders>
            <w:vAlign w:val="center"/>
          </w:tcPr>
          <w:p w14:paraId="71983D21">
            <w:pPr>
              <w:spacing w:line="360" w:lineRule="auto"/>
              <w:jc w:val="center"/>
              <w:rPr>
                <w:rFonts w:cs="宋体"/>
                <w:color w:val="auto"/>
                <w:sz w:val="24"/>
              </w:rPr>
            </w:pPr>
            <w:r>
              <w:rPr>
                <w:rFonts w:hint="eastAsia" w:cs="宋体"/>
                <w:color w:val="auto"/>
                <w:sz w:val="24"/>
              </w:rPr>
              <w:t>货物或服务名称</w:t>
            </w:r>
          </w:p>
        </w:tc>
        <w:tc>
          <w:tcPr>
            <w:tcW w:w="2034" w:type="dxa"/>
            <w:tcBorders>
              <w:top w:val="single" w:color="000000" w:sz="12" w:space="0"/>
              <w:left w:val="single" w:color="000000" w:sz="6" w:space="0"/>
              <w:bottom w:val="single" w:color="000000" w:sz="6" w:space="0"/>
              <w:right w:val="single" w:color="000000" w:sz="6" w:space="0"/>
            </w:tcBorders>
            <w:vAlign w:val="center"/>
          </w:tcPr>
          <w:p w14:paraId="490A661E">
            <w:pPr>
              <w:spacing w:line="360" w:lineRule="auto"/>
              <w:jc w:val="center"/>
              <w:rPr>
                <w:rFonts w:cs="宋体"/>
                <w:color w:val="auto"/>
                <w:sz w:val="24"/>
              </w:rPr>
            </w:pPr>
            <w:r>
              <w:rPr>
                <w:rFonts w:hint="eastAsia" w:cs="宋体"/>
                <w:color w:val="auto"/>
                <w:sz w:val="24"/>
              </w:rPr>
              <w:t>招标文件要求的商务条款</w:t>
            </w:r>
          </w:p>
        </w:tc>
        <w:tc>
          <w:tcPr>
            <w:tcW w:w="2624" w:type="dxa"/>
            <w:tcBorders>
              <w:top w:val="single" w:color="000000" w:sz="12" w:space="0"/>
              <w:left w:val="single" w:color="000000" w:sz="6" w:space="0"/>
              <w:bottom w:val="single" w:color="000000" w:sz="6" w:space="0"/>
              <w:right w:val="single" w:color="000000" w:sz="6" w:space="0"/>
            </w:tcBorders>
            <w:vAlign w:val="center"/>
          </w:tcPr>
          <w:p w14:paraId="22A53D33">
            <w:pPr>
              <w:spacing w:line="360" w:lineRule="auto"/>
              <w:jc w:val="center"/>
              <w:rPr>
                <w:rFonts w:cs="宋体"/>
                <w:color w:val="auto"/>
                <w:sz w:val="24"/>
              </w:rPr>
            </w:pPr>
            <w:r>
              <w:rPr>
                <w:rFonts w:hint="eastAsia" w:cs="宋体"/>
                <w:color w:val="auto"/>
                <w:sz w:val="24"/>
              </w:rPr>
              <w:t>投标文件响应情况</w:t>
            </w:r>
          </w:p>
        </w:tc>
        <w:tc>
          <w:tcPr>
            <w:tcW w:w="1445" w:type="dxa"/>
            <w:tcBorders>
              <w:top w:val="single" w:color="000000" w:sz="12" w:space="0"/>
              <w:left w:val="single" w:color="000000" w:sz="6" w:space="0"/>
              <w:bottom w:val="single" w:color="000000" w:sz="6" w:space="0"/>
              <w:right w:val="single" w:color="000000" w:sz="12" w:space="0"/>
            </w:tcBorders>
          </w:tcPr>
          <w:p w14:paraId="52000CD3">
            <w:pPr>
              <w:spacing w:line="360" w:lineRule="auto"/>
              <w:jc w:val="center"/>
              <w:rPr>
                <w:rFonts w:cs="宋体"/>
                <w:color w:val="auto"/>
                <w:sz w:val="24"/>
              </w:rPr>
            </w:pPr>
          </w:p>
          <w:p w14:paraId="1DD75042">
            <w:pPr>
              <w:spacing w:line="360" w:lineRule="auto"/>
              <w:jc w:val="center"/>
              <w:rPr>
                <w:rFonts w:cs="宋体"/>
                <w:color w:val="auto"/>
                <w:sz w:val="24"/>
              </w:rPr>
            </w:pPr>
            <w:r>
              <w:rPr>
                <w:rFonts w:hint="eastAsia" w:cs="宋体"/>
                <w:color w:val="auto"/>
                <w:sz w:val="24"/>
              </w:rPr>
              <w:t>偏离说明</w:t>
            </w:r>
          </w:p>
        </w:tc>
      </w:tr>
      <w:tr w14:paraId="333C0C1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854" w:type="dxa"/>
            <w:tcBorders>
              <w:top w:val="single" w:color="000000" w:sz="6" w:space="0"/>
              <w:left w:val="single" w:color="000000" w:sz="12" w:space="0"/>
              <w:bottom w:val="single" w:color="000000" w:sz="6" w:space="0"/>
              <w:right w:val="single" w:color="000000" w:sz="6" w:space="0"/>
            </w:tcBorders>
          </w:tcPr>
          <w:p w14:paraId="0F7DAABA">
            <w:pPr>
              <w:spacing w:line="360" w:lineRule="auto"/>
              <w:jc w:val="center"/>
              <w:rPr>
                <w:rFonts w:cs="宋体"/>
                <w:color w:val="auto"/>
                <w:sz w:val="24"/>
              </w:rPr>
            </w:pPr>
            <w:r>
              <w:rPr>
                <w:rFonts w:hint="eastAsia" w:cs="宋体"/>
                <w:color w:val="auto"/>
                <w:sz w:val="24"/>
              </w:rPr>
              <w:t>1</w:t>
            </w:r>
          </w:p>
        </w:tc>
        <w:tc>
          <w:tcPr>
            <w:tcW w:w="2329" w:type="dxa"/>
            <w:tcBorders>
              <w:top w:val="single" w:color="000000" w:sz="6" w:space="0"/>
              <w:left w:val="single" w:color="000000" w:sz="6" w:space="0"/>
              <w:bottom w:val="single" w:color="000000" w:sz="6" w:space="0"/>
              <w:right w:val="single" w:color="000000" w:sz="6" w:space="0"/>
            </w:tcBorders>
            <w:vAlign w:val="center"/>
          </w:tcPr>
          <w:p w14:paraId="179FD198">
            <w:pPr>
              <w:spacing w:line="360" w:lineRule="auto"/>
              <w:jc w:val="left"/>
              <w:rPr>
                <w:rFonts w:cs="宋体"/>
                <w:color w:val="auto"/>
                <w:sz w:val="24"/>
              </w:rPr>
            </w:pPr>
          </w:p>
        </w:tc>
        <w:tc>
          <w:tcPr>
            <w:tcW w:w="2034" w:type="dxa"/>
            <w:tcBorders>
              <w:top w:val="single" w:color="000000" w:sz="6" w:space="0"/>
              <w:left w:val="single" w:color="000000" w:sz="6" w:space="0"/>
              <w:bottom w:val="single" w:color="000000" w:sz="6" w:space="0"/>
              <w:right w:val="single" w:color="000000" w:sz="6" w:space="0"/>
            </w:tcBorders>
            <w:vAlign w:val="center"/>
          </w:tcPr>
          <w:p w14:paraId="204A6B65">
            <w:pPr>
              <w:spacing w:line="360" w:lineRule="auto"/>
              <w:jc w:val="left"/>
              <w:rPr>
                <w:rFonts w:cs="宋体"/>
                <w:color w:val="auto"/>
                <w:sz w:val="24"/>
              </w:rPr>
            </w:pPr>
          </w:p>
        </w:tc>
        <w:tc>
          <w:tcPr>
            <w:tcW w:w="2624" w:type="dxa"/>
            <w:tcBorders>
              <w:top w:val="single" w:color="000000" w:sz="6" w:space="0"/>
              <w:left w:val="single" w:color="000000" w:sz="6" w:space="0"/>
              <w:bottom w:val="single" w:color="000000" w:sz="6" w:space="0"/>
              <w:right w:val="single" w:color="000000" w:sz="6" w:space="0"/>
            </w:tcBorders>
            <w:vAlign w:val="center"/>
          </w:tcPr>
          <w:p w14:paraId="79CD8048">
            <w:pPr>
              <w:spacing w:line="360" w:lineRule="auto"/>
              <w:jc w:val="left"/>
              <w:rPr>
                <w:rFonts w:cs="宋体"/>
                <w:color w:val="auto"/>
                <w:sz w:val="24"/>
              </w:rPr>
            </w:pPr>
          </w:p>
        </w:tc>
        <w:tc>
          <w:tcPr>
            <w:tcW w:w="1445" w:type="dxa"/>
            <w:tcBorders>
              <w:top w:val="single" w:color="000000" w:sz="6" w:space="0"/>
              <w:left w:val="single" w:color="000000" w:sz="6" w:space="0"/>
              <w:bottom w:val="single" w:color="000000" w:sz="6" w:space="0"/>
              <w:right w:val="single" w:color="000000" w:sz="12" w:space="0"/>
            </w:tcBorders>
          </w:tcPr>
          <w:p w14:paraId="1330DE2F">
            <w:pPr>
              <w:spacing w:line="360" w:lineRule="auto"/>
              <w:jc w:val="left"/>
              <w:rPr>
                <w:rFonts w:cs="宋体"/>
                <w:color w:val="auto"/>
                <w:sz w:val="24"/>
              </w:rPr>
            </w:pPr>
          </w:p>
        </w:tc>
      </w:tr>
      <w:tr w14:paraId="5FDA74B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854" w:type="dxa"/>
            <w:tcBorders>
              <w:top w:val="single" w:color="000000" w:sz="6" w:space="0"/>
              <w:left w:val="single" w:color="000000" w:sz="12" w:space="0"/>
              <w:bottom w:val="single" w:color="000000" w:sz="6" w:space="0"/>
              <w:right w:val="single" w:color="000000" w:sz="6" w:space="0"/>
            </w:tcBorders>
          </w:tcPr>
          <w:p w14:paraId="2816E107">
            <w:pPr>
              <w:spacing w:line="360" w:lineRule="auto"/>
              <w:jc w:val="center"/>
              <w:rPr>
                <w:rFonts w:cs="宋体"/>
                <w:color w:val="auto"/>
                <w:sz w:val="24"/>
              </w:rPr>
            </w:pPr>
            <w:r>
              <w:rPr>
                <w:rFonts w:hint="eastAsia" w:cs="宋体"/>
                <w:color w:val="auto"/>
                <w:sz w:val="24"/>
              </w:rPr>
              <w:t>2</w:t>
            </w:r>
          </w:p>
        </w:tc>
        <w:tc>
          <w:tcPr>
            <w:tcW w:w="2329" w:type="dxa"/>
            <w:tcBorders>
              <w:top w:val="single" w:color="000000" w:sz="6" w:space="0"/>
              <w:left w:val="single" w:color="000000" w:sz="6" w:space="0"/>
              <w:bottom w:val="single" w:color="000000" w:sz="6" w:space="0"/>
              <w:right w:val="single" w:color="000000" w:sz="6" w:space="0"/>
            </w:tcBorders>
            <w:vAlign w:val="center"/>
          </w:tcPr>
          <w:p w14:paraId="3699A2BB">
            <w:pPr>
              <w:spacing w:line="360" w:lineRule="auto"/>
              <w:jc w:val="left"/>
              <w:rPr>
                <w:rFonts w:cs="宋体"/>
                <w:color w:val="auto"/>
                <w:sz w:val="24"/>
              </w:rPr>
            </w:pPr>
          </w:p>
        </w:tc>
        <w:tc>
          <w:tcPr>
            <w:tcW w:w="2034" w:type="dxa"/>
            <w:tcBorders>
              <w:top w:val="single" w:color="000000" w:sz="6" w:space="0"/>
              <w:left w:val="single" w:color="000000" w:sz="6" w:space="0"/>
              <w:bottom w:val="single" w:color="000000" w:sz="6" w:space="0"/>
              <w:right w:val="single" w:color="000000" w:sz="6" w:space="0"/>
            </w:tcBorders>
            <w:vAlign w:val="center"/>
          </w:tcPr>
          <w:p w14:paraId="376F4A16">
            <w:pPr>
              <w:spacing w:line="360" w:lineRule="auto"/>
              <w:jc w:val="left"/>
              <w:rPr>
                <w:rFonts w:cs="宋体"/>
                <w:color w:val="auto"/>
                <w:sz w:val="24"/>
              </w:rPr>
            </w:pPr>
          </w:p>
        </w:tc>
        <w:tc>
          <w:tcPr>
            <w:tcW w:w="2624" w:type="dxa"/>
            <w:tcBorders>
              <w:top w:val="single" w:color="000000" w:sz="6" w:space="0"/>
              <w:left w:val="single" w:color="000000" w:sz="6" w:space="0"/>
              <w:bottom w:val="single" w:color="000000" w:sz="6" w:space="0"/>
              <w:right w:val="single" w:color="000000" w:sz="6" w:space="0"/>
            </w:tcBorders>
            <w:vAlign w:val="center"/>
          </w:tcPr>
          <w:p w14:paraId="0CE098D3">
            <w:pPr>
              <w:spacing w:line="360" w:lineRule="auto"/>
              <w:jc w:val="left"/>
              <w:rPr>
                <w:rFonts w:cs="宋体"/>
                <w:color w:val="auto"/>
                <w:sz w:val="24"/>
              </w:rPr>
            </w:pPr>
          </w:p>
        </w:tc>
        <w:tc>
          <w:tcPr>
            <w:tcW w:w="1445" w:type="dxa"/>
            <w:tcBorders>
              <w:top w:val="single" w:color="000000" w:sz="6" w:space="0"/>
              <w:left w:val="single" w:color="000000" w:sz="6" w:space="0"/>
              <w:bottom w:val="single" w:color="000000" w:sz="6" w:space="0"/>
              <w:right w:val="single" w:color="000000" w:sz="12" w:space="0"/>
            </w:tcBorders>
          </w:tcPr>
          <w:p w14:paraId="6A9A8B60">
            <w:pPr>
              <w:spacing w:line="360" w:lineRule="auto"/>
              <w:jc w:val="left"/>
              <w:rPr>
                <w:rFonts w:cs="宋体"/>
                <w:color w:val="auto"/>
                <w:sz w:val="24"/>
              </w:rPr>
            </w:pPr>
          </w:p>
        </w:tc>
      </w:tr>
      <w:tr w14:paraId="4174764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0" w:hRule="atLeast"/>
        </w:trPr>
        <w:tc>
          <w:tcPr>
            <w:tcW w:w="854" w:type="dxa"/>
            <w:tcBorders>
              <w:top w:val="single" w:color="000000" w:sz="6" w:space="0"/>
              <w:left w:val="single" w:color="000000" w:sz="12" w:space="0"/>
              <w:bottom w:val="single" w:color="000000" w:sz="6" w:space="0"/>
              <w:right w:val="single" w:color="000000" w:sz="6" w:space="0"/>
            </w:tcBorders>
          </w:tcPr>
          <w:p w14:paraId="07F93652">
            <w:pPr>
              <w:spacing w:line="360" w:lineRule="auto"/>
              <w:jc w:val="center"/>
              <w:rPr>
                <w:rFonts w:cs="宋体"/>
                <w:color w:val="auto"/>
                <w:sz w:val="24"/>
              </w:rPr>
            </w:pPr>
            <w:r>
              <w:rPr>
                <w:rFonts w:hint="eastAsia" w:cs="宋体"/>
                <w:color w:val="auto"/>
                <w:sz w:val="24"/>
              </w:rPr>
              <w:t>3</w:t>
            </w:r>
          </w:p>
        </w:tc>
        <w:tc>
          <w:tcPr>
            <w:tcW w:w="2329" w:type="dxa"/>
            <w:tcBorders>
              <w:top w:val="single" w:color="000000" w:sz="6" w:space="0"/>
              <w:left w:val="single" w:color="000000" w:sz="6" w:space="0"/>
              <w:bottom w:val="single" w:color="000000" w:sz="6" w:space="0"/>
              <w:right w:val="single" w:color="000000" w:sz="6" w:space="0"/>
            </w:tcBorders>
            <w:vAlign w:val="center"/>
          </w:tcPr>
          <w:p w14:paraId="5175934A">
            <w:pPr>
              <w:spacing w:line="360" w:lineRule="auto"/>
              <w:jc w:val="left"/>
              <w:rPr>
                <w:rFonts w:cs="宋体"/>
                <w:color w:val="auto"/>
                <w:sz w:val="24"/>
              </w:rPr>
            </w:pPr>
          </w:p>
        </w:tc>
        <w:tc>
          <w:tcPr>
            <w:tcW w:w="2034" w:type="dxa"/>
            <w:tcBorders>
              <w:top w:val="single" w:color="000000" w:sz="6" w:space="0"/>
              <w:left w:val="single" w:color="000000" w:sz="6" w:space="0"/>
              <w:bottom w:val="single" w:color="000000" w:sz="6" w:space="0"/>
              <w:right w:val="single" w:color="000000" w:sz="6" w:space="0"/>
            </w:tcBorders>
            <w:vAlign w:val="center"/>
          </w:tcPr>
          <w:p w14:paraId="18B9E50D">
            <w:pPr>
              <w:spacing w:line="360" w:lineRule="auto"/>
              <w:jc w:val="left"/>
              <w:rPr>
                <w:rFonts w:cs="宋体"/>
                <w:color w:val="auto"/>
                <w:sz w:val="24"/>
              </w:rPr>
            </w:pPr>
          </w:p>
        </w:tc>
        <w:tc>
          <w:tcPr>
            <w:tcW w:w="2624" w:type="dxa"/>
            <w:tcBorders>
              <w:top w:val="single" w:color="000000" w:sz="6" w:space="0"/>
              <w:left w:val="single" w:color="000000" w:sz="6" w:space="0"/>
              <w:bottom w:val="single" w:color="000000" w:sz="6" w:space="0"/>
              <w:right w:val="single" w:color="000000" w:sz="6" w:space="0"/>
            </w:tcBorders>
            <w:vAlign w:val="center"/>
          </w:tcPr>
          <w:p w14:paraId="54712B6D">
            <w:pPr>
              <w:spacing w:line="360" w:lineRule="auto"/>
              <w:jc w:val="left"/>
              <w:rPr>
                <w:rFonts w:cs="宋体"/>
                <w:color w:val="auto"/>
                <w:sz w:val="24"/>
              </w:rPr>
            </w:pPr>
          </w:p>
        </w:tc>
        <w:tc>
          <w:tcPr>
            <w:tcW w:w="1445" w:type="dxa"/>
            <w:tcBorders>
              <w:top w:val="single" w:color="000000" w:sz="6" w:space="0"/>
              <w:left w:val="single" w:color="000000" w:sz="6" w:space="0"/>
              <w:bottom w:val="single" w:color="000000" w:sz="6" w:space="0"/>
              <w:right w:val="single" w:color="000000" w:sz="12" w:space="0"/>
            </w:tcBorders>
          </w:tcPr>
          <w:p w14:paraId="1A84E42F">
            <w:pPr>
              <w:spacing w:line="360" w:lineRule="auto"/>
              <w:jc w:val="left"/>
              <w:rPr>
                <w:rFonts w:cs="宋体"/>
                <w:color w:val="auto"/>
                <w:sz w:val="24"/>
              </w:rPr>
            </w:pPr>
          </w:p>
        </w:tc>
      </w:tr>
      <w:tr w14:paraId="614E5BC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854" w:type="dxa"/>
            <w:tcBorders>
              <w:top w:val="single" w:color="000000" w:sz="6" w:space="0"/>
              <w:left w:val="single" w:color="000000" w:sz="12" w:space="0"/>
              <w:bottom w:val="single" w:color="000000" w:sz="6" w:space="0"/>
              <w:right w:val="single" w:color="000000" w:sz="6" w:space="0"/>
            </w:tcBorders>
          </w:tcPr>
          <w:p w14:paraId="3EE69D17">
            <w:pPr>
              <w:spacing w:line="360" w:lineRule="auto"/>
              <w:jc w:val="center"/>
              <w:rPr>
                <w:rFonts w:cs="宋体"/>
                <w:color w:val="auto"/>
                <w:sz w:val="24"/>
              </w:rPr>
            </w:pPr>
            <w:r>
              <w:rPr>
                <w:rFonts w:hint="eastAsia" w:cs="宋体"/>
                <w:color w:val="auto"/>
                <w:sz w:val="24"/>
              </w:rPr>
              <w:t>4</w:t>
            </w:r>
          </w:p>
        </w:tc>
        <w:tc>
          <w:tcPr>
            <w:tcW w:w="2329" w:type="dxa"/>
            <w:tcBorders>
              <w:top w:val="single" w:color="000000" w:sz="6" w:space="0"/>
              <w:left w:val="single" w:color="000000" w:sz="6" w:space="0"/>
              <w:bottom w:val="single" w:color="000000" w:sz="6" w:space="0"/>
              <w:right w:val="single" w:color="000000" w:sz="6" w:space="0"/>
            </w:tcBorders>
            <w:vAlign w:val="center"/>
          </w:tcPr>
          <w:p w14:paraId="0B2226AD">
            <w:pPr>
              <w:spacing w:line="360" w:lineRule="auto"/>
              <w:jc w:val="left"/>
              <w:rPr>
                <w:rFonts w:cs="宋体"/>
                <w:color w:val="auto"/>
                <w:sz w:val="24"/>
              </w:rPr>
            </w:pPr>
          </w:p>
        </w:tc>
        <w:tc>
          <w:tcPr>
            <w:tcW w:w="2034" w:type="dxa"/>
            <w:tcBorders>
              <w:top w:val="single" w:color="000000" w:sz="6" w:space="0"/>
              <w:left w:val="single" w:color="000000" w:sz="6" w:space="0"/>
              <w:bottom w:val="single" w:color="000000" w:sz="6" w:space="0"/>
              <w:right w:val="single" w:color="000000" w:sz="6" w:space="0"/>
            </w:tcBorders>
            <w:vAlign w:val="center"/>
          </w:tcPr>
          <w:p w14:paraId="051F86C4">
            <w:pPr>
              <w:spacing w:line="360" w:lineRule="auto"/>
              <w:jc w:val="left"/>
              <w:rPr>
                <w:rFonts w:cs="宋体"/>
                <w:color w:val="auto"/>
                <w:sz w:val="24"/>
              </w:rPr>
            </w:pPr>
          </w:p>
        </w:tc>
        <w:tc>
          <w:tcPr>
            <w:tcW w:w="2624" w:type="dxa"/>
            <w:tcBorders>
              <w:top w:val="single" w:color="000000" w:sz="6" w:space="0"/>
              <w:left w:val="single" w:color="000000" w:sz="6" w:space="0"/>
              <w:bottom w:val="single" w:color="000000" w:sz="6" w:space="0"/>
              <w:right w:val="single" w:color="000000" w:sz="6" w:space="0"/>
            </w:tcBorders>
            <w:vAlign w:val="center"/>
          </w:tcPr>
          <w:p w14:paraId="793DF948">
            <w:pPr>
              <w:spacing w:line="360" w:lineRule="auto"/>
              <w:jc w:val="left"/>
              <w:rPr>
                <w:rFonts w:cs="宋体"/>
                <w:color w:val="auto"/>
                <w:sz w:val="24"/>
              </w:rPr>
            </w:pPr>
          </w:p>
        </w:tc>
        <w:tc>
          <w:tcPr>
            <w:tcW w:w="1445" w:type="dxa"/>
            <w:tcBorders>
              <w:top w:val="single" w:color="000000" w:sz="6" w:space="0"/>
              <w:left w:val="single" w:color="000000" w:sz="6" w:space="0"/>
              <w:bottom w:val="single" w:color="000000" w:sz="6" w:space="0"/>
              <w:right w:val="single" w:color="000000" w:sz="12" w:space="0"/>
            </w:tcBorders>
          </w:tcPr>
          <w:p w14:paraId="0C839EAF">
            <w:pPr>
              <w:spacing w:line="360" w:lineRule="auto"/>
              <w:jc w:val="left"/>
              <w:rPr>
                <w:rFonts w:cs="宋体"/>
                <w:color w:val="auto"/>
                <w:sz w:val="24"/>
              </w:rPr>
            </w:pPr>
          </w:p>
        </w:tc>
      </w:tr>
    </w:tbl>
    <w:p w14:paraId="0C41338C">
      <w:pPr>
        <w:spacing w:line="360" w:lineRule="auto"/>
        <w:contextualSpacing/>
        <w:rPr>
          <w:rFonts w:cs="宋体"/>
          <w:b/>
          <w:color w:val="auto"/>
          <w:sz w:val="24"/>
        </w:rPr>
      </w:pPr>
      <w:r>
        <w:rPr>
          <w:rFonts w:hint="eastAsia" w:cs="宋体"/>
          <w:b/>
          <w:color w:val="auto"/>
          <w:sz w:val="24"/>
        </w:rPr>
        <w:t>注：</w:t>
      </w:r>
    </w:p>
    <w:p w14:paraId="110C1611">
      <w:pPr>
        <w:spacing w:line="360" w:lineRule="auto"/>
        <w:ind w:firstLine="480"/>
        <w:contextualSpacing/>
        <w:rPr>
          <w:rFonts w:cs="宋体"/>
          <w:b/>
          <w:bCs/>
          <w:color w:val="auto"/>
          <w:sz w:val="24"/>
        </w:rPr>
      </w:pPr>
      <w:r>
        <w:rPr>
          <w:rFonts w:hint="eastAsia" w:cs="宋体"/>
          <w:color w:val="auto"/>
          <w:sz w:val="24"/>
        </w:rPr>
        <w:t>1.供应商提交的投标文件中与招标文件第三章“项目需求”中的商务部分的要求，应逐条填列在偏离表中。</w:t>
      </w:r>
      <w:r>
        <w:rPr>
          <w:rFonts w:hint="eastAsia" w:cs="宋体"/>
          <w:b/>
          <w:bCs/>
          <w:color w:val="auto"/>
          <w:sz w:val="24"/>
        </w:rPr>
        <w:t>无偏离可提供空白表格加盖公章。</w:t>
      </w:r>
    </w:p>
    <w:p w14:paraId="6DBB9CF3">
      <w:pPr>
        <w:spacing w:line="360" w:lineRule="auto"/>
        <w:ind w:firstLine="480"/>
        <w:contextualSpacing/>
        <w:rPr>
          <w:rFonts w:cs="宋体"/>
          <w:color w:val="auto"/>
          <w:sz w:val="24"/>
        </w:rPr>
      </w:pPr>
      <w:r>
        <w:rPr>
          <w:rFonts w:hint="eastAsia" w:cs="宋体"/>
          <w:color w:val="auto"/>
          <w:sz w:val="24"/>
        </w:rPr>
        <w:t>2.“偏离说明”一栏选择“正偏离”、“负偏离”、“无偏离”进行填写。正偏离、负偏离、无偏离的确认，由评审小组认定。</w:t>
      </w:r>
    </w:p>
    <w:p w14:paraId="2BB5D19E">
      <w:pPr>
        <w:spacing w:line="360" w:lineRule="auto"/>
        <w:ind w:firstLine="480"/>
        <w:contextualSpacing/>
        <w:rPr>
          <w:rFonts w:cs="宋体"/>
          <w:color w:val="auto"/>
          <w:sz w:val="24"/>
        </w:rPr>
      </w:pPr>
      <w:r>
        <w:rPr>
          <w:rFonts w:hint="eastAsia" w:cs="宋体"/>
          <w:color w:val="auto"/>
          <w:sz w:val="24"/>
        </w:rPr>
        <w:t>3.本项目商务条款不接受负偏离，有负偏离的按无效标处理。供应商若提供其他增值服务，可以在表中自行据实填写。</w:t>
      </w:r>
    </w:p>
    <w:p w14:paraId="36EBB3DE">
      <w:pPr>
        <w:spacing w:line="360" w:lineRule="auto"/>
        <w:ind w:firstLine="480"/>
        <w:contextualSpacing/>
        <w:rPr>
          <w:b/>
          <w:bCs/>
          <w:color w:val="auto"/>
          <w:sz w:val="24"/>
          <w:szCs w:val="21"/>
        </w:rPr>
      </w:pPr>
      <w:r>
        <w:rPr>
          <w:rFonts w:hint="eastAsia" w:cs="宋体"/>
          <w:color w:val="auto"/>
          <w:sz w:val="24"/>
        </w:rPr>
        <w:t>4.若完全响应本项目需求且无偏离，投标时本表可空白盖章提供。</w:t>
      </w:r>
    </w:p>
    <w:p w14:paraId="3EEF9406">
      <w:pPr>
        <w:spacing w:line="360" w:lineRule="auto"/>
        <w:jc w:val="left"/>
        <w:rPr>
          <w:rFonts w:hint="eastAsia" w:ascii="宋体" w:hAnsi="宋体" w:cs="宋体"/>
          <w:b/>
          <w:bCs/>
          <w:color w:val="auto"/>
          <w:sz w:val="28"/>
          <w:szCs w:val="28"/>
        </w:rPr>
      </w:pPr>
      <w:r>
        <w:rPr>
          <w:b/>
          <w:bCs/>
          <w:color w:val="auto"/>
          <w:sz w:val="24"/>
          <w:szCs w:val="21"/>
        </w:rPr>
        <w:br w:type="page" w:clear="all"/>
      </w:r>
      <w:r>
        <w:rPr>
          <w:rFonts w:hint="eastAsia" w:ascii="宋体" w:hAnsi="宋体" w:cs="宋体"/>
          <w:b/>
          <w:bCs/>
          <w:color w:val="auto"/>
          <w:sz w:val="28"/>
          <w:szCs w:val="28"/>
        </w:rPr>
        <w:t>附件9</w:t>
      </w:r>
    </w:p>
    <w:p w14:paraId="61377F31">
      <w:pPr>
        <w:spacing w:line="360" w:lineRule="auto"/>
        <w:contextualSpacing/>
        <w:jc w:val="center"/>
        <w:rPr>
          <w:b/>
          <w:color w:val="auto"/>
          <w:sz w:val="24"/>
        </w:rPr>
      </w:pPr>
      <w:r>
        <w:rPr>
          <w:rFonts w:hint="eastAsia"/>
          <w:b/>
          <w:color w:val="auto"/>
          <w:sz w:val="24"/>
        </w:rPr>
        <w:t>技术部分正负偏离表</w:t>
      </w:r>
    </w:p>
    <w:p w14:paraId="5A1FD7FD">
      <w:pPr>
        <w:spacing w:line="360" w:lineRule="auto"/>
        <w:jc w:val="center"/>
        <w:rPr>
          <w:b/>
          <w:bCs/>
          <w:color w:val="auto"/>
          <w:sz w:val="24"/>
        </w:rPr>
      </w:pPr>
      <w:r>
        <w:rPr>
          <w:rFonts w:hint="eastAsia"/>
          <w:b/>
          <w:bCs/>
          <w:color w:val="auto"/>
          <w:sz w:val="24"/>
        </w:rPr>
        <w:t>（由供应商据实填写，表格不够自行添加）</w:t>
      </w:r>
    </w:p>
    <w:tbl>
      <w:tblPr>
        <w:tblStyle w:val="37"/>
        <w:tblW w:w="5000"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914"/>
        <w:gridCol w:w="2501"/>
        <w:gridCol w:w="2182"/>
        <w:gridCol w:w="2815"/>
        <w:gridCol w:w="1550"/>
      </w:tblGrid>
      <w:tr w14:paraId="61E76BF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4" w:hRule="atLeast"/>
        </w:trPr>
        <w:tc>
          <w:tcPr>
            <w:tcW w:w="852" w:type="dxa"/>
            <w:tcBorders>
              <w:top w:val="single" w:color="000000" w:sz="12" w:space="0"/>
              <w:left w:val="single" w:color="000000" w:sz="12" w:space="0"/>
              <w:bottom w:val="single" w:color="000000" w:sz="6" w:space="0"/>
              <w:right w:val="single" w:color="000000" w:sz="6" w:space="0"/>
            </w:tcBorders>
            <w:vAlign w:val="center"/>
          </w:tcPr>
          <w:p w14:paraId="39221856">
            <w:pPr>
              <w:spacing w:line="360" w:lineRule="auto"/>
              <w:jc w:val="center"/>
              <w:rPr>
                <w:b/>
                <w:bCs/>
                <w:color w:val="auto"/>
                <w:sz w:val="24"/>
              </w:rPr>
            </w:pPr>
            <w:r>
              <w:rPr>
                <w:rFonts w:hint="eastAsia"/>
                <w:b/>
                <w:bCs/>
                <w:color w:val="auto"/>
                <w:sz w:val="24"/>
              </w:rPr>
              <w:t>序号</w:t>
            </w:r>
          </w:p>
        </w:tc>
        <w:tc>
          <w:tcPr>
            <w:tcW w:w="2331" w:type="dxa"/>
            <w:tcBorders>
              <w:top w:val="single" w:color="000000" w:sz="12" w:space="0"/>
              <w:left w:val="single" w:color="000000" w:sz="6" w:space="0"/>
              <w:bottom w:val="single" w:color="000000" w:sz="6" w:space="0"/>
              <w:right w:val="single" w:color="000000" w:sz="6" w:space="0"/>
            </w:tcBorders>
            <w:vAlign w:val="center"/>
          </w:tcPr>
          <w:p w14:paraId="4B804510">
            <w:pPr>
              <w:spacing w:line="360" w:lineRule="auto"/>
              <w:jc w:val="center"/>
              <w:rPr>
                <w:b/>
                <w:bCs/>
                <w:color w:val="auto"/>
                <w:sz w:val="24"/>
              </w:rPr>
            </w:pPr>
            <w:r>
              <w:rPr>
                <w:rFonts w:hint="eastAsia"/>
                <w:b/>
                <w:bCs/>
                <w:color w:val="auto"/>
                <w:sz w:val="24"/>
              </w:rPr>
              <w:t>货物或服务名称</w:t>
            </w:r>
          </w:p>
        </w:tc>
        <w:tc>
          <w:tcPr>
            <w:tcW w:w="2034" w:type="dxa"/>
            <w:tcBorders>
              <w:top w:val="single" w:color="000000" w:sz="12" w:space="0"/>
              <w:left w:val="single" w:color="000000" w:sz="6" w:space="0"/>
              <w:bottom w:val="single" w:color="000000" w:sz="6" w:space="0"/>
              <w:right w:val="single" w:color="000000" w:sz="6" w:space="0"/>
            </w:tcBorders>
            <w:vAlign w:val="center"/>
          </w:tcPr>
          <w:p w14:paraId="0C4FB45F">
            <w:pPr>
              <w:spacing w:line="360" w:lineRule="auto"/>
              <w:jc w:val="center"/>
              <w:rPr>
                <w:b/>
                <w:bCs/>
                <w:color w:val="auto"/>
                <w:sz w:val="24"/>
              </w:rPr>
            </w:pPr>
            <w:r>
              <w:rPr>
                <w:rFonts w:hint="eastAsia"/>
                <w:b/>
                <w:bCs/>
                <w:color w:val="auto"/>
                <w:sz w:val="24"/>
              </w:rPr>
              <w:t>招标文件要求的技术要求</w:t>
            </w:r>
          </w:p>
        </w:tc>
        <w:tc>
          <w:tcPr>
            <w:tcW w:w="2624" w:type="dxa"/>
            <w:tcBorders>
              <w:top w:val="single" w:color="000000" w:sz="12" w:space="0"/>
              <w:left w:val="single" w:color="000000" w:sz="6" w:space="0"/>
              <w:bottom w:val="single" w:color="000000" w:sz="6" w:space="0"/>
              <w:right w:val="single" w:color="000000" w:sz="6" w:space="0"/>
            </w:tcBorders>
            <w:vAlign w:val="center"/>
          </w:tcPr>
          <w:p w14:paraId="2E323C53">
            <w:pPr>
              <w:spacing w:line="360" w:lineRule="auto"/>
              <w:jc w:val="center"/>
              <w:rPr>
                <w:b/>
                <w:bCs/>
                <w:color w:val="auto"/>
                <w:sz w:val="24"/>
              </w:rPr>
            </w:pPr>
            <w:r>
              <w:rPr>
                <w:rFonts w:hint="eastAsia"/>
                <w:b/>
                <w:bCs/>
                <w:color w:val="auto"/>
                <w:sz w:val="24"/>
              </w:rPr>
              <w:t>投标文件响应情况</w:t>
            </w:r>
          </w:p>
        </w:tc>
        <w:tc>
          <w:tcPr>
            <w:tcW w:w="1445" w:type="dxa"/>
            <w:tcBorders>
              <w:top w:val="single" w:color="000000" w:sz="12" w:space="0"/>
              <w:left w:val="single" w:color="000000" w:sz="6" w:space="0"/>
              <w:bottom w:val="single" w:color="000000" w:sz="6" w:space="0"/>
              <w:right w:val="single" w:color="000000" w:sz="12" w:space="0"/>
            </w:tcBorders>
          </w:tcPr>
          <w:p w14:paraId="23D96217">
            <w:pPr>
              <w:spacing w:line="360" w:lineRule="auto"/>
              <w:jc w:val="center"/>
              <w:rPr>
                <w:b/>
                <w:bCs/>
                <w:color w:val="auto"/>
                <w:sz w:val="24"/>
              </w:rPr>
            </w:pPr>
          </w:p>
          <w:p w14:paraId="267456EB">
            <w:pPr>
              <w:spacing w:line="360" w:lineRule="auto"/>
              <w:jc w:val="center"/>
              <w:rPr>
                <w:b/>
                <w:bCs/>
                <w:color w:val="auto"/>
                <w:sz w:val="24"/>
              </w:rPr>
            </w:pPr>
            <w:r>
              <w:rPr>
                <w:rFonts w:hint="eastAsia"/>
                <w:b/>
                <w:bCs/>
                <w:color w:val="auto"/>
                <w:sz w:val="24"/>
              </w:rPr>
              <w:t>偏离说明</w:t>
            </w:r>
          </w:p>
        </w:tc>
      </w:tr>
      <w:tr w14:paraId="1DAA78E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852" w:type="dxa"/>
            <w:tcBorders>
              <w:top w:val="single" w:color="000000" w:sz="6" w:space="0"/>
              <w:left w:val="single" w:color="000000" w:sz="12" w:space="0"/>
              <w:bottom w:val="single" w:color="000000" w:sz="6" w:space="0"/>
              <w:right w:val="single" w:color="000000" w:sz="6" w:space="0"/>
            </w:tcBorders>
          </w:tcPr>
          <w:p w14:paraId="45E2C19D">
            <w:pPr>
              <w:spacing w:line="360" w:lineRule="auto"/>
              <w:jc w:val="center"/>
              <w:rPr>
                <w:b/>
                <w:bCs/>
                <w:color w:val="auto"/>
                <w:sz w:val="24"/>
              </w:rPr>
            </w:pPr>
            <w:r>
              <w:rPr>
                <w:rFonts w:hint="eastAsia"/>
                <w:b/>
                <w:bCs/>
                <w:color w:val="auto"/>
                <w:sz w:val="24"/>
              </w:rPr>
              <w:t>1</w:t>
            </w:r>
          </w:p>
        </w:tc>
        <w:tc>
          <w:tcPr>
            <w:tcW w:w="2331" w:type="dxa"/>
            <w:tcBorders>
              <w:top w:val="single" w:color="000000" w:sz="6" w:space="0"/>
              <w:left w:val="single" w:color="000000" w:sz="6" w:space="0"/>
              <w:bottom w:val="single" w:color="000000" w:sz="6" w:space="0"/>
              <w:right w:val="single" w:color="000000" w:sz="6" w:space="0"/>
            </w:tcBorders>
            <w:vAlign w:val="center"/>
          </w:tcPr>
          <w:p w14:paraId="5C6859A9">
            <w:pPr>
              <w:spacing w:line="360" w:lineRule="auto"/>
              <w:jc w:val="center"/>
              <w:rPr>
                <w:b/>
                <w:bCs/>
                <w:color w:val="auto"/>
                <w:sz w:val="24"/>
              </w:rPr>
            </w:pPr>
          </w:p>
        </w:tc>
        <w:tc>
          <w:tcPr>
            <w:tcW w:w="2034" w:type="dxa"/>
            <w:tcBorders>
              <w:top w:val="single" w:color="000000" w:sz="6" w:space="0"/>
              <w:left w:val="single" w:color="000000" w:sz="6" w:space="0"/>
              <w:bottom w:val="single" w:color="000000" w:sz="6" w:space="0"/>
              <w:right w:val="single" w:color="000000" w:sz="6" w:space="0"/>
            </w:tcBorders>
            <w:vAlign w:val="center"/>
          </w:tcPr>
          <w:p w14:paraId="70D76786">
            <w:pPr>
              <w:spacing w:line="360" w:lineRule="auto"/>
              <w:jc w:val="center"/>
              <w:rPr>
                <w:b/>
                <w:bCs/>
                <w:color w:val="auto"/>
                <w:sz w:val="24"/>
              </w:rPr>
            </w:pPr>
          </w:p>
        </w:tc>
        <w:tc>
          <w:tcPr>
            <w:tcW w:w="2624" w:type="dxa"/>
            <w:tcBorders>
              <w:top w:val="single" w:color="000000" w:sz="6" w:space="0"/>
              <w:left w:val="single" w:color="000000" w:sz="6" w:space="0"/>
              <w:bottom w:val="single" w:color="000000" w:sz="6" w:space="0"/>
              <w:right w:val="single" w:color="000000" w:sz="6" w:space="0"/>
            </w:tcBorders>
            <w:vAlign w:val="center"/>
          </w:tcPr>
          <w:p w14:paraId="2D8C474F">
            <w:pPr>
              <w:spacing w:line="360" w:lineRule="auto"/>
              <w:jc w:val="center"/>
              <w:rPr>
                <w:b/>
                <w:bCs/>
                <w:color w:val="auto"/>
                <w:sz w:val="24"/>
              </w:rPr>
            </w:pPr>
          </w:p>
        </w:tc>
        <w:tc>
          <w:tcPr>
            <w:tcW w:w="1445" w:type="dxa"/>
            <w:tcBorders>
              <w:top w:val="single" w:color="000000" w:sz="6" w:space="0"/>
              <w:left w:val="single" w:color="000000" w:sz="6" w:space="0"/>
              <w:bottom w:val="single" w:color="000000" w:sz="6" w:space="0"/>
              <w:right w:val="single" w:color="000000" w:sz="12" w:space="0"/>
            </w:tcBorders>
          </w:tcPr>
          <w:p w14:paraId="5B40A624">
            <w:pPr>
              <w:spacing w:line="360" w:lineRule="auto"/>
              <w:jc w:val="center"/>
              <w:rPr>
                <w:b/>
                <w:bCs/>
                <w:color w:val="auto"/>
                <w:sz w:val="24"/>
              </w:rPr>
            </w:pPr>
          </w:p>
        </w:tc>
      </w:tr>
      <w:tr w14:paraId="4146F2A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548" w:hRule="atLeast"/>
        </w:trPr>
        <w:tc>
          <w:tcPr>
            <w:tcW w:w="852" w:type="dxa"/>
            <w:tcBorders>
              <w:top w:val="single" w:color="000000" w:sz="6" w:space="0"/>
              <w:left w:val="single" w:color="000000" w:sz="12" w:space="0"/>
              <w:bottom w:val="single" w:color="000000" w:sz="6" w:space="0"/>
              <w:right w:val="single" w:color="000000" w:sz="6" w:space="0"/>
            </w:tcBorders>
          </w:tcPr>
          <w:p w14:paraId="3274E05B">
            <w:pPr>
              <w:spacing w:line="360" w:lineRule="auto"/>
              <w:jc w:val="center"/>
              <w:rPr>
                <w:b/>
                <w:bCs/>
                <w:color w:val="auto"/>
                <w:sz w:val="24"/>
              </w:rPr>
            </w:pPr>
            <w:r>
              <w:rPr>
                <w:rFonts w:hint="eastAsia"/>
                <w:b/>
                <w:bCs/>
                <w:color w:val="auto"/>
                <w:sz w:val="24"/>
              </w:rPr>
              <w:t>2</w:t>
            </w:r>
          </w:p>
        </w:tc>
        <w:tc>
          <w:tcPr>
            <w:tcW w:w="2331" w:type="dxa"/>
            <w:tcBorders>
              <w:top w:val="single" w:color="000000" w:sz="6" w:space="0"/>
              <w:left w:val="single" w:color="000000" w:sz="6" w:space="0"/>
              <w:bottom w:val="single" w:color="000000" w:sz="6" w:space="0"/>
              <w:right w:val="single" w:color="000000" w:sz="6" w:space="0"/>
            </w:tcBorders>
            <w:vAlign w:val="center"/>
          </w:tcPr>
          <w:p w14:paraId="1D9F4A7D">
            <w:pPr>
              <w:spacing w:line="360" w:lineRule="auto"/>
              <w:jc w:val="center"/>
              <w:rPr>
                <w:b/>
                <w:bCs/>
                <w:color w:val="auto"/>
                <w:sz w:val="24"/>
              </w:rPr>
            </w:pPr>
          </w:p>
        </w:tc>
        <w:tc>
          <w:tcPr>
            <w:tcW w:w="2034" w:type="dxa"/>
            <w:tcBorders>
              <w:top w:val="single" w:color="000000" w:sz="6" w:space="0"/>
              <w:left w:val="single" w:color="000000" w:sz="6" w:space="0"/>
              <w:bottom w:val="single" w:color="000000" w:sz="6" w:space="0"/>
              <w:right w:val="single" w:color="000000" w:sz="6" w:space="0"/>
            </w:tcBorders>
            <w:vAlign w:val="center"/>
          </w:tcPr>
          <w:p w14:paraId="3C1DDF62">
            <w:pPr>
              <w:spacing w:line="360" w:lineRule="auto"/>
              <w:jc w:val="center"/>
              <w:rPr>
                <w:b/>
                <w:bCs/>
                <w:color w:val="auto"/>
                <w:sz w:val="24"/>
              </w:rPr>
            </w:pPr>
          </w:p>
        </w:tc>
        <w:tc>
          <w:tcPr>
            <w:tcW w:w="2624" w:type="dxa"/>
            <w:tcBorders>
              <w:top w:val="single" w:color="000000" w:sz="6" w:space="0"/>
              <w:left w:val="single" w:color="000000" w:sz="6" w:space="0"/>
              <w:bottom w:val="single" w:color="000000" w:sz="6" w:space="0"/>
              <w:right w:val="single" w:color="000000" w:sz="6" w:space="0"/>
            </w:tcBorders>
            <w:vAlign w:val="center"/>
          </w:tcPr>
          <w:p w14:paraId="2F7AF955">
            <w:pPr>
              <w:spacing w:line="360" w:lineRule="auto"/>
              <w:jc w:val="center"/>
              <w:rPr>
                <w:b/>
                <w:bCs/>
                <w:color w:val="auto"/>
                <w:sz w:val="24"/>
              </w:rPr>
            </w:pPr>
          </w:p>
        </w:tc>
        <w:tc>
          <w:tcPr>
            <w:tcW w:w="1445" w:type="dxa"/>
            <w:tcBorders>
              <w:top w:val="single" w:color="000000" w:sz="6" w:space="0"/>
              <w:left w:val="single" w:color="000000" w:sz="6" w:space="0"/>
              <w:bottom w:val="single" w:color="000000" w:sz="6" w:space="0"/>
              <w:right w:val="single" w:color="000000" w:sz="12" w:space="0"/>
            </w:tcBorders>
          </w:tcPr>
          <w:p w14:paraId="08D3430A">
            <w:pPr>
              <w:spacing w:line="360" w:lineRule="auto"/>
              <w:jc w:val="center"/>
              <w:rPr>
                <w:b/>
                <w:bCs/>
                <w:color w:val="auto"/>
                <w:sz w:val="24"/>
              </w:rPr>
            </w:pPr>
          </w:p>
        </w:tc>
      </w:tr>
      <w:tr w14:paraId="273C1C6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0" w:hRule="atLeast"/>
        </w:trPr>
        <w:tc>
          <w:tcPr>
            <w:tcW w:w="852" w:type="dxa"/>
            <w:tcBorders>
              <w:top w:val="single" w:color="000000" w:sz="6" w:space="0"/>
              <w:left w:val="single" w:color="000000" w:sz="12" w:space="0"/>
              <w:bottom w:val="single" w:color="000000" w:sz="6" w:space="0"/>
              <w:right w:val="single" w:color="000000" w:sz="6" w:space="0"/>
            </w:tcBorders>
          </w:tcPr>
          <w:p w14:paraId="680E7BA0">
            <w:pPr>
              <w:spacing w:line="360" w:lineRule="auto"/>
              <w:jc w:val="center"/>
              <w:rPr>
                <w:b/>
                <w:bCs/>
                <w:color w:val="auto"/>
                <w:sz w:val="24"/>
              </w:rPr>
            </w:pPr>
            <w:r>
              <w:rPr>
                <w:rFonts w:hint="eastAsia"/>
                <w:b/>
                <w:bCs/>
                <w:color w:val="auto"/>
                <w:sz w:val="24"/>
              </w:rPr>
              <w:t>3</w:t>
            </w:r>
          </w:p>
        </w:tc>
        <w:tc>
          <w:tcPr>
            <w:tcW w:w="2331" w:type="dxa"/>
            <w:tcBorders>
              <w:top w:val="single" w:color="000000" w:sz="6" w:space="0"/>
              <w:left w:val="single" w:color="000000" w:sz="6" w:space="0"/>
              <w:bottom w:val="single" w:color="000000" w:sz="6" w:space="0"/>
              <w:right w:val="single" w:color="000000" w:sz="6" w:space="0"/>
            </w:tcBorders>
            <w:vAlign w:val="center"/>
          </w:tcPr>
          <w:p w14:paraId="49C6AEDC">
            <w:pPr>
              <w:spacing w:line="360" w:lineRule="auto"/>
              <w:jc w:val="center"/>
              <w:rPr>
                <w:b/>
                <w:bCs/>
                <w:color w:val="auto"/>
                <w:sz w:val="24"/>
              </w:rPr>
            </w:pPr>
          </w:p>
        </w:tc>
        <w:tc>
          <w:tcPr>
            <w:tcW w:w="2034" w:type="dxa"/>
            <w:tcBorders>
              <w:top w:val="single" w:color="000000" w:sz="6" w:space="0"/>
              <w:left w:val="single" w:color="000000" w:sz="6" w:space="0"/>
              <w:bottom w:val="single" w:color="000000" w:sz="6" w:space="0"/>
              <w:right w:val="single" w:color="000000" w:sz="6" w:space="0"/>
            </w:tcBorders>
            <w:vAlign w:val="center"/>
          </w:tcPr>
          <w:p w14:paraId="68309DCC">
            <w:pPr>
              <w:spacing w:line="360" w:lineRule="auto"/>
              <w:jc w:val="center"/>
              <w:rPr>
                <w:b/>
                <w:bCs/>
                <w:color w:val="auto"/>
                <w:sz w:val="24"/>
              </w:rPr>
            </w:pPr>
          </w:p>
        </w:tc>
        <w:tc>
          <w:tcPr>
            <w:tcW w:w="2624" w:type="dxa"/>
            <w:tcBorders>
              <w:top w:val="single" w:color="000000" w:sz="6" w:space="0"/>
              <w:left w:val="single" w:color="000000" w:sz="6" w:space="0"/>
              <w:bottom w:val="single" w:color="000000" w:sz="6" w:space="0"/>
              <w:right w:val="single" w:color="000000" w:sz="6" w:space="0"/>
            </w:tcBorders>
            <w:vAlign w:val="center"/>
          </w:tcPr>
          <w:p w14:paraId="10D00417">
            <w:pPr>
              <w:spacing w:line="360" w:lineRule="auto"/>
              <w:jc w:val="center"/>
              <w:rPr>
                <w:b/>
                <w:bCs/>
                <w:color w:val="auto"/>
                <w:sz w:val="24"/>
              </w:rPr>
            </w:pPr>
          </w:p>
        </w:tc>
        <w:tc>
          <w:tcPr>
            <w:tcW w:w="1445" w:type="dxa"/>
            <w:tcBorders>
              <w:top w:val="single" w:color="000000" w:sz="6" w:space="0"/>
              <w:left w:val="single" w:color="000000" w:sz="6" w:space="0"/>
              <w:bottom w:val="single" w:color="000000" w:sz="6" w:space="0"/>
              <w:right w:val="single" w:color="000000" w:sz="12" w:space="0"/>
            </w:tcBorders>
          </w:tcPr>
          <w:p w14:paraId="078D1478">
            <w:pPr>
              <w:spacing w:line="360" w:lineRule="auto"/>
              <w:jc w:val="center"/>
              <w:rPr>
                <w:b/>
                <w:bCs/>
                <w:color w:val="auto"/>
                <w:sz w:val="24"/>
              </w:rPr>
            </w:pPr>
          </w:p>
        </w:tc>
      </w:tr>
      <w:tr w14:paraId="3E56C55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852" w:type="dxa"/>
            <w:tcBorders>
              <w:top w:val="single" w:color="000000" w:sz="6" w:space="0"/>
              <w:left w:val="single" w:color="000000" w:sz="12" w:space="0"/>
              <w:bottom w:val="single" w:color="000000" w:sz="6" w:space="0"/>
              <w:right w:val="single" w:color="000000" w:sz="6" w:space="0"/>
            </w:tcBorders>
          </w:tcPr>
          <w:p w14:paraId="7A51CD29">
            <w:pPr>
              <w:spacing w:line="360" w:lineRule="auto"/>
              <w:jc w:val="center"/>
              <w:rPr>
                <w:b/>
                <w:bCs/>
                <w:color w:val="auto"/>
                <w:sz w:val="24"/>
              </w:rPr>
            </w:pPr>
            <w:r>
              <w:rPr>
                <w:rFonts w:hint="eastAsia"/>
                <w:b/>
                <w:bCs/>
                <w:color w:val="auto"/>
                <w:sz w:val="24"/>
              </w:rPr>
              <w:t>4</w:t>
            </w:r>
          </w:p>
        </w:tc>
        <w:tc>
          <w:tcPr>
            <w:tcW w:w="2331" w:type="dxa"/>
            <w:tcBorders>
              <w:top w:val="single" w:color="000000" w:sz="6" w:space="0"/>
              <w:left w:val="single" w:color="000000" w:sz="6" w:space="0"/>
              <w:bottom w:val="single" w:color="000000" w:sz="6" w:space="0"/>
              <w:right w:val="single" w:color="000000" w:sz="6" w:space="0"/>
            </w:tcBorders>
            <w:vAlign w:val="center"/>
          </w:tcPr>
          <w:p w14:paraId="16E23E85">
            <w:pPr>
              <w:spacing w:line="360" w:lineRule="auto"/>
              <w:jc w:val="center"/>
              <w:rPr>
                <w:b/>
                <w:bCs/>
                <w:color w:val="auto"/>
                <w:sz w:val="24"/>
              </w:rPr>
            </w:pPr>
          </w:p>
        </w:tc>
        <w:tc>
          <w:tcPr>
            <w:tcW w:w="2034" w:type="dxa"/>
            <w:tcBorders>
              <w:top w:val="single" w:color="000000" w:sz="6" w:space="0"/>
              <w:left w:val="single" w:color="000000" w:sz="6" w:space="0"/>
              <w:bottom w:val="single" w:color="000000" w:sz="6" w:space="0"/>
              <w:right w:val="single" w:color="000000" w:sz="6" w:space="0"/>
            </w:tcBorders>
            <w:vAlign w:val="center"/>
          </w:tcPr>
          <w:p w14:paraId="0A9969B0">
            <w:pPr>
              <w:spacing w:line="360" w:lineRule="auto"/>
              <w:jc w:val="center"/>
              <w:rPr>
                <w:b/>
                <w:bCs/>
                <w:color w:val="auto"/>
                <w:sz w:val="24"/>
              </w:rPr>
            </w:pPr>
          </w:p>
        </w:tc>
        <w:tc>
          <w:tcPr>
            <w:tcW w:w="2624" w:type="dxa"/>
            <w:tcBorders>
              <w:top w:val="single" w:color="000000" w:sz="6" w:space="0"/>
              <w:left w:val="single" w:color="000000" w:sz="6" w:space="0"/>
              <w:bottom w:val="single" w:color="000000" w:sz="6" w:space="0"/>
              <w:right w:val="single" w:color="000000" w:sz="6" w:space="0"/>
            </w:tcBorders>
            <w:vAlign w:val="center"/>
          </w:tcPr>
          <w:p w14:paraId="3D817554">
            <w:pPr>
              <w:spacing w:line="360" w:lineRule="auto"/>
              <w:jc w:val="center"/>
              <w:rPr>
                <w:b/>
                <w:bCs/>
                <w:color w:val="auto"/>
                <w:sz w:val="24"/>
              </w:rPr>
            </w:pPr>
          </w:p>
        </w:tc>
        <w:tc>
          <w:tcPr>
            <w:tcW w:w="1445" w:type="dxa"/>
            <w:tcBorders>
              <w:top w:val="single" w:color="000000" w:sz="6" w:space="0"/>
              <w:left w:val="single" w:color="000000" w:sz="6" w:space="0"/>
              <w:bottom w:val="single" w:color="000000" w:sz="6" w:space="0"/>
              <w:right w:val="single" w:color="000000" w:sz="12" w:space="0"/>
            </w:tcBorders>
          </w:tcPr>
          <w:p w14:paraId="03C0F9D7">
            <w:pPr>
              <w:spacing w:line="360" w:lineRule="auto"/>
              <w:jc w:val="center"/>
              <w:rPr>
                <w:b/>
                <w:bCs/>
                <w:color w:val="auto"/>
                <w:sz w:val="24"/>
              </w:rPr>
            </w:pPr>
          </w:p>
        </w:tc>
      </w:tr>
    </w:tbl>
    <w:p w14:paraId="2EE2F324">
      <w:pPr>
        <w:spacing w:line="360" w:lineRule="auto"/>
        <w:contextualSpacing/>
        <w:rPr>
          <w:rFonts w:cs="宋体"/>
          <w:b/>
          <w:color w:val="auto"/>
          <w:sz w:val="24"/>
        </w:rPr>
      </w:pPr>
      <w:r>
        <w:rPr>
          <w:rFonts w:hint="eastAsia" w:cs="宋体"/>
          <w:b/>
          <w:color w:val="auto"/>
          <w:sz w:val="24"/>
        </w:rPr>
        <w:t>注：</w:t>
      </w:r>
    </w:p>
    <w:p w14:paraId="50658DD7">
      <w:pPr>
        <w:spacing w:line="360" w:lineRule="auto"/>
        <w:ind w:firstLine="480"/>
        <w:contextualSpacing/>
        <w:rPr>
          <w:rFonts w:cs="宋体"/>
          <w:color w:val="auto"/>
          <w:sz w:val="24"/>
        </w:rPr>
      </w:pPr>
      <w:r>
        <w:rPr>
          <w:rFonts w:hint="eastAsia" w:cs="宋体"/>
          <w:color w:val="auto"/>
          <w:sz w:val="24"/>
        </w:rPr>
        <w:t>1.供应商提交的投标文件中与招标文件第三章“项目需求”中的技术部分的要求，应逐条填列在偏离表中。</w:t>
      </w:r>
    </w:p>
    <w:p w14:paraId="534EE256">
      <w:pPr>
        <w:spacing w:line="360" w:lineRule="auto"/>
        <w:ind w:firstLine="480"/>
        <w:contextualSpacing/>
        <w:rPr>
          <w:rFonts w:cs="宋体"/>
          <w:color w:val="auto"/>
          <w:sz w:val="24"/>
        </w:rPr>
      </w:pPr>
      <w:r>
        <w:rPr>
          <w:rFonts w:hint="eastAsia" w:cs="宋体"/>
          <w:color w:val="auto"/>
          <w:sz w:val="24"/>
        </w:rPr>
        <w:t>2.“偏离说明”一栏选择“正偏离”、“负偏离”、“无偏离”进行填写。正偏离、负偏离、无偏离的确认，由评审小组认定。</w:t>
      </w:r>
    </w:p>
    <w:p w14:paraId="671AF88B">
      <w:pPr>
        <w:pStyle w:val="75"/>
        <w:ind w:left="0" w:firstLine="480" w:firstLineChars="200"/>
        <w:rPr>
          <w:rFonts w:hint="eastAsia" w:ascii="宋体" w:hAnsi="宋体" w:cs="宋体"/>
          <w:color w:val="auto"/>
          <w:sz w:val="32"/>
          <w:szCs w:val="32"/>
          <w:lang w:eastAsia="zh-CN"/>
        </w:rPr>
        <w:sectPr>
          <w:pgSz w:w="11906" w:h="16838"/>
          <w:pgMar w:top="1440" w:right="1080" w:bottom="1440" w:left="1080" w:header="851" w:footer="992" w:gutter="0"/>
          <w:cols w:space="720" w:num="1"/>
          <w:docGrid w:type="lines" w:linePitch="312" w:charSpace="0"/>
        </w:sectPr>
      </w:pPr>
      <w:r>
        <w:rPr>
          <w:rFonts w:hint="eastAsia" w:cs="宋体"/>
          <w:color w:val="auto"/>
          <w:lang w:eastAsia="zh-CN"/>
        </w:rPr>
        <w:t>3.如果采购文件要求提供证明材料，供应商需将证明材料列于该表之下。</w:t>
      </w:r>
    </w:p>
    <w:p w14:paraId="13C0FF6F">
      <w:pPr>
        <w:pStyle w:val="75"/>
        <w:ind w:left="0"/>
        <w:rPr>
          <w:rFonts w:hint="eastAsia" w:ascii="宋体" w:hAnsi="宋体" w:cs="宋体"/>
          <w:color w:val="auto"/>
          <w:sz w:val="32"/>
          <w:szCs w:val="32"/>
        </w:rPr>
      </w:pPr>
      <w:r>
        <w:rPr>
          <w:rFonts w:hint="eastAsia" w:ascii="宋体" w:hAnsi="宋体" w:cs="宋体"/>
          <w:color w:val="auto"/>
          <w:sz w:val="32"/>
          <w:szCs w:val="32"/>
          <w:lang w:eastAsia="zh-CN"/>
        </w:rPr>
        <w:t>附件10</w:t>
      </w:r>
    </w:p>
    <w:p w14:paraId="15EA9A21">
      <w:pPr>
        <w:pStyle w:val="86"/>
        <w:snapToGrid w:val="0"/>
        <w:spacing w:line="300" w:lineRule="auto"/>
        <w:ind w:firstLine="643" w:firstLineChars="200"/>
        <w:jc w:val="center"/>
        <w:outlineLvl w:val="0"/>
        <w:rPr>
          <w:rFonts w:hint="eastAsia" w:ascii="宋体" w:eastAsia="宋体" w:cs="宋体"/>
          <w:b/>
          <w:bCs/>
          <w:color w:val="auto"/>
          <w:sz w:val="32"/>
          <w:szCs w:val="32"/>
        </w:rPr>
      </w:pPr>
      <w:r>
        <w:rPr>
          <w:rFonts w:hint="eastAsia" w:ascii="宋体" w:eastAsia="宋体" w:cs="宋体"/>
          <w:b/>
          <w:bCs/>
          <w:color w:val="auto"/>
          <w:sz w:val="32"/>
          <w:szCs w:val="32"/>
        </w:rPr>
        <w:t>报价总表</w:t>
      </w:r>
    </w:p>
    <w:p w14:paraId="7895399D">
      <w:pPr>
        <w:widowControl/>
        <w:spacing w:line="440" w:lineRule="exact"/>
        <w:jc w:val="left"/>
        <w:rPr>
          <w:rFonts w:hint="eastAsia" w:ascii="宋体" w:hAnsi="宋体" w:cs="宋体"/>
          <w:color w:val="auto"/>
          <w:kern w:val="0"/>
          <w:sz w:val="28"/>
          <w:szCs w:val="28"/>
        </w:rPr>
      </w:pPr>
    </w:p>
    <w:tbl>
      <w:tblPr>
        <w:tblStyle w:val="37"/>
        <w:tblpPr w:leftFromText="180" w:rightFromText="180" w:vertAnchor="text" w:horzAnchor="page" w:tblpX="1312" w:tblpY="414"/>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29"/>
        <w:gridCol w:w="2400"/>
        <w:gridCol w:w="1990"/>
        <w:gridCol w:w="1850"/>
      </w:tblGrid>
      <w:tr w14:paraId="03BB4B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229" w:type="dxa"/>
            <w:tcBorders>
              <w:top w:val="single" w:color="auto" w:sz="4" w:space="0"/>
              <w:left w:val="single" w:color="auto" w:sz="4" w:space="0"/>
              <w:bottom w:val="single" w:color="auto" w:sz="4" w:space="0"/>
              <w:right w:val="single" w:color="auto" w:sz="4" w:space="0"/>
            </w:tcBorders>
            <w:vAlign w:val="center"/>
          </w:tcPr>
          <w:p w14:paraId="760AADCF">
            <w:pPr>
              <w:kinsoku w:val="0"/>
              <w:topLinePunct/>
              <w:spacing w:line="440" w:lineRule="exact"/>
              <w:jc w:val="center"/>
              <w:rPr>
                <w:rFonts w:hint="eastAsia" w:hAnsi="宋体" w:cs="宋体"/>
                <w:color w:val="auto"/>
                <w:sz w:val="24"/>
              </w:rPr>
            </w:pPr>
            <w:r>
              <w:rPr>
                <w:rFonts w:hint="eastAsia" w:hAnsi="宋体" w:cs="宋体"/>
                <w:color w:val="auto"/>
                <w:sz w:val="24"/>
              </w:rPr>
              <w:t>项目名称</w:t>
            </w:r>
          </w:p>
        </w:tc>
        <w:tc>
          <w:tcPr>
            <w:tcW w:w="2400" w:type="dxa"/>
            <w:tcBorders>
              <w:top w:val="single" w:color="auto" w:sz="4" w:space="0"/>
              <w:left w:val="single" w:color="auto" w:sz="4" w:space="0"/>
              <w:bottom w:val="single" w:color="auto" w:sz="4" w:space="0"/>
              <w:right w:val="single" w:color="auto" w:sz="4" w:space="0"/>
            </w:tcBorders>
            <w:vAlign w:val="center"/>
          </w:tcPr>
          <w:p w14:paraId="20FDE3A7">
            <w:pPr>
              <w:kinsoku w:val="0"/>
              <w:topLinePunct/>
              <w:spacing w:line="440" w:lineRule="exact"/>
              <w:jc w:val="center"/>
              <w:rPr>
                <w:rFonts w:hint="eastAsia" w:hAnsi="宋体" w:cs="宋体"/>
                <w:color w:val="auto"/>
                <w:sz w:val="24"/>
              </w:rPr>
            </w:pPr>
            <w:r>
              <w:rPr>
                <w:rFonts w:hint="eastAsia" w:hAnsi="宋体" w:cs="宋体"/>
                <w:color w:val="auto"/>
                <w:sz w:val="24"/>
              </w:rPr>
              <w:t>报价（</w:t>
            </w:r>
            <w:r>
              <w:rPr>
                <w:rFonts w:hint="eastAsia" w:hAnsi="宋体" w:cs="宋体"/>
                <w:color w:val="auto"/>
                <w:spacing w:val="7"/>
                <w:sz w:val="24"/>
                <w:shd w:val="clear" w:color="auto" w:fill="FFFFFF"/>
              </w:rPr>
              <w:t>元</w:t>
            </w:r>
            <w:r>
              <w:rPr>
                <w:rFonts w:hint="eastAsia" w:hAnsi="宋体" w:cs="宋体"/>
                <w:color w:val="auto"/>
                <w:sz w:val="24"/>
              </w:rPr>
              <w:t>）</w:t>
            </w:r>
          </w:p>
        </w:tc>
        <w:tc>
          <w:tcPr>
            <w:tcW w:w="1990" w:type="dxa"/>
            <w:tcBorders>
              <w:top w:val="single" w:color="auto" w:sz="4" w:space="0"/>
              <w:left w:val="single" w:color="auto" w:sz="4" w:space="0"/>
              <w:bottom w:val="single" w:color="auto" w:sz="4" w:space="0"/>
              <w:right w:val="single" w:color="auto" w:sz="4" w:space="0"/>
            </w:tcBorders>
            <w:vAlign w:val="center"/>
          </w:tcPr>
          <w:p w14:paraId="3475114A">
            <w:pPr>
              <w:kinsoku w:val="0"/>
              <w:topLinePunct/>
              <w:spacing w:line="440" w:lineRule="exact"/>
              <w:jc w:val="center"/>
              <w:rPr>
                <w:rFonts w:hint="eastAsia" w:hAnsi="宋体" w:cs="宋体"/>
                <w:color w:val="auto"/>
                <w:sz w:val="24"/>
              </w:rPr>
            </w:pPr>
            <w:r>
              <w:rPr>
                <w:rFonts w:hint="eastAsia" w:hAnsi="宋体" w:cs="宋体"/>
                <w:color w:val="auto"/>
                <w:sz w:val="24"/>
              </w:rPr>
              <w:t>项目完成时间</w:t>
            </w:r>
          </w:p>
        </w:tc>
        <w:tc>
          <w:tcPr>
            <w:tcW w:w="1850" w:type="dxa"/>
            <w:tcBorders>
              <w:top w:val="single" w:color="auto" w:sz="4" w:space="0"/>
              <w:left w:val="single" w:color="auto" w:sz="4" w:space="0"/>
              <w:bottom w:val="single" w:color="auto" w:sz="4" w:space="0"/>
              <w:right w:val="single" w:color="auto" w:sz="4" w:space="0"/>
            </w:tcBorders>
            <w:vAlign w:val="center"/>
          </w:tcPr>
          <w:p w14:paraId="4D032A24">
            <w:pPr>
              <w:kinsoku w:val="0"/>
              <w:topLinePunct/>
              <w:spacing w:line="440" w:lineRule="exact"/>
              <w:jc w:val="center"/>
              <w:rPr>
                <w:rFonts w:hint="eastAsia" w:hAnsi="宋体" w:cs="宋体"/>
                <w:color w:val="auto"/>
                <w:sz w:val="24"/>
              </w:rPr>
            </w:pPr>
            <w:r>
              <w:rPr>
                <w:rFonts w:hint="eastAsia" w:hAnsi="宋体" w:cs="宋体"/>
                <w:color w:val="auto"/>
                <w:sz w:val="24"/>
              </w:rPr>
              <w:t>付款方式</w:t>
            </w:r>
          </w:p>
        </w:tc>
      </w:tr>
      <w:tr w14:paraId="7D7309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1" w:hRule="atLeast"/>
        </w:trPr>
        <w:tc>
          <w:tcPr>
            <w:tcW w:w="3229" w:type="dxa"/>
            <w:tcBorders>
              <w:top w:val="single" w:color="auto" w:sz="4" w:space="0"/>
              <w:left w:val="single" w:color="auto" w:sz="4" w:space="0"/>
              <w:bottom w:val="single" w:color="auto" w:sz="4" w:space="0"/>
              <w:right w:val="single" w:color="auto" w:sz="4" w:space="0"/>
            </w:tcBorders>
            <w:vAlign w:val="center"/>
          </w:tcPr>
          <w:p w14:paraId="5C425282">
            <w:pPr>
              <w:snapToGrid w:val="0"/>
              <w:spacing w:line="360" w:lineRule="auto"/>
              <w:rPr>
                <w:rFonts w:hint="eastAsia" w:hAnsi="宋体" w:cs="宋体"/>
                <w:b/>
                <w:bCs/>
                <w:color w:val="auto"/>
                <w:sz w:val="24"/>
              </w:rPr>
            </w:pPr>
          </w:p>
        </w:tc>
        <w:tc>
          <w:tcPr>
            <w:tcW w:w="2400" w:type="dxa"/>
            <w:tcBorders>
              <w:top w:val="single" w:color="auto" w:sz="4" w:space="0"/>
              <w:left w:val="single" w:color="auto" w:sz="4" w:space="0"/>
              <w:bottom w:val="single" w:color="auto" w:sz="4" w:space="0"/>
              <w:right w:val="single" w:color="auto" w:sz="4" w:space="0"/>
            </w:tcBorders>
            <w:vAlign w:val="center"/>
          </w:tcPr>
          <w:p w14:paraId="4675DC52">
            <w:pPr>
              <w:kinsoku w:val="0"/>
              <w:topLinePunct/>
              <w:spacing w:line="440" w:lineRule="exact"/>
              <w:rPr>
                <w:rFonts w:hint="eastAsia" w:hAnsi="宋体" w:cs="宋体"/>
                <w:b/>
                <w:color w:val="auto"/>
                <w:sz w:val="24"/>
              </w:rPr>
            </w:pPr>
            <w:r>
              <w:rPr>
                <w:rFonts w:hint="eastAsia" w:hAnsi="宋体" w:cs="宋体"/>
                <w:b/>
                <w:color w:val="auto"/>
                <w:sz w:val="24"/>
              </w:rPr>
              <w:t>大写：</w:t>
            </w:r>
          </w:p>
          <w:p w14:paraId="4AA9091A">
            <w:pPr>
              <w:kinsoku w:val="0"/>
              <w:topLinePunct/>
              <w:spacing w:line="440" w:lineRule="exact"/>
              <w:rPr>
                <w:rFonts w:hint="eastAsia" w:hAnsi="宋体" w:cs="宋体"/>
                <w:color w:val="auto"/>
                <w:sz w:val="24"/>
              </w:rPr>
            </w:pPr>
            <w:r>
              <w:rPr>
                <w:rFonts w:hint="eastAsia" w:hAnsi="宋体" w:cs="宋体"/>
                <w:b/>
                <w:color w:val="auto"/>
                <w:sz w:val="24"/>
              </w:rPr>
              <w:t>小写：</w:t>
            </w:r>
          </w:p>
        </w:tc>
        <w:tc>
          <w:tcPr>
            <w:tcW w:w="1990" w:type="dxa"/>
            <w:tcBorders>
              <w:top w:val="single" w:color="auto" w:sz="4" w:space="0"/>
              <w:left w:val="single" w:color="auto" w:sz="4" w:space="0"/>
              <w:bottom w:val="single" w:color="auto" w:sz="4" w:space="0"/>
              <w:right w:val="single" w:color="auto" w:sz="4" w:space="0"/>
            </w:tcBorders>
            <w:vAlign w:val="center"/>
          </w:tcPr>
          <w:p w14:paraId="5DBFEFCF">
            <w:pPr>
              <w:kinsoku w:val="0"/>
              <w:topLinePunct/>
              <w:spacing w:line="440" w:lineRule="exact"/>
              <w:rPr>
                <w:rFonts w:hint="eastAsia" w:hAnsi="宋体" w:cs="宋体"/>
                <w:color w:val="auto"/>
                <w:sz w:val="24"/>
              </w:rPr>
            </w:pPr>
            <w:r>
              <w:rPr>
                <w:rFonts w:hint="eastAsia" w:hAnsi="宋体" w:cs="宋体"/>
                <w:color w:val="auto"/>
                <w:sz w:val="24"/>
              </w:rPr>
              <w:t>完全响应招标文件要求</w:t>
            </w:r>
          </w:p>
        </w:tc>
        <w:tc>
          <w:tcPr>
            <w:tcW w:w="1850" w:type="dxa"/>
            <w:tcBorders>
              <w:top w:val="single" w:color="auto" w:sz="4" w:space="0"/>
              <w:left w:val="single" w:color="auto" w:sz="4" w:space="0"/>
              <w:bottom w:val="single" w:color="auto" w:sz="4" w:space="0"/>
              <w:right w:val="single" w:color="auto" w:sz="4" w:space="0"/>
            </w:tcBorders>
            <w:vAlign w:val="center"/>
          </w:tcPr>
          <w:p w14:paraId="47F82D90">
            <w:pPr>
              <w:kinsoku w:val="0"/>
              <w:topLinePunct/>
              <w:spacing w:line="440" w:lineRule="exact"/>
              <w:jc w:val="center"/>
              <w:rPr>
                <w:rFonts w:hint="eastAsia" w:hAnsi="宋体" w:cs="宋体"/>
                <w:color w:val="auto"/>
                <w:sz w:val="24"/>
              </w:rPr>
            </w:pPr>
            <w:r>
              <w:rPr>
                <w:rFonts w:hint="eastAsia" w:hAnsi="宋体" w:cs="宋体"/>
                <w:color w:val="auto"/>
                <w:sz w:val="24"/>
              </w:rPr>
              <w:t>完全响应招标文件要求的付款方式</w:t>
            </w:r>
          </w:p>
        </w:tc>
      </w:tr>
    </w:tbl>
    <w:p w14:paraId="14E5DF21">
      <w:pPr>
        <w:snapToGrid w:val="0"/>
        <w:spacing w:line="460" w:lineRule="exact"/>
        <w:ind w:firstLine="470" w:firstLineChars="196"/>
        <w:outlineLvl w:val="1"/>
        <w:rPr>
          <w:rFonts w:hint="eastAsia" w:ascii="宋体" w:hAnsi="宋体" w:cs="宋体"/>
          <w:color w:val="auto"/>
          <w:kern w:val="0"/>
          <w:sz w:val="24"/>
        </w:rPr>
      </w:pPr>
    </w:p>
    <w:p w14:paraId="333361C8">
      <w:pPr>
        <w:snapToGrid w:val="0"/>
        <w:spacing w:line="460" w:lineRule="exact"/>
        <w:ind w:firstLine="470" w:firstLineChars="196"/>
        <w:outlineLvl w:val="1"/>
        <w:rPr>
          <w:rFonts w:hint="eastAsia" w:ascii="宋体" w:hAnsi="宋体" w:cs="宋体"/>
          <w:color w:val="auto"/>
          <w:kern w:val="0"/>
          <w:sz w:val="24"/>
        </w:rPr>
      </w:pPr>
      <w:r>
        <w:rPr>
          <w:rFonts w:hint="eastAsia" w:ascii="宋体" w:hAnsi="宋体" w:cs="宋体"/>
          <w:color w:val="auto"/>
          <w:kern w:val="0"/>
          <w:sz w:val="24"/>
        </w:rPr>
        <w:t>1.本表为格式表，不得自行改动，必须提供，否则视为未实质性响应招标文件。</w:t>
      </w:r>
    </w:p>
    <w:p w14:paraId="49908215">
      <w:pPr>
        <w:spacing w:line="480" w:lineRule="exact"/>
        <w:ind w:firstLine="480" w:firstLineChars="200"/>
        <w:rPr>
          <w:rFonts w:hint="eastAsia" w:ascii="宋体" w:hAnsi="宋体" w:cs="宋体"/>
          <w:color w:val="auto"/>
          <w:kern w:val="0"/>
          <w:sz w:val="24"/>
        </w:rPr>
      </w:pPr>
    </w:p>
    <w:p w14:paraId="0033E0F6">
      <w:pPr>
        <w:snapToGrid w:val="0"/>
        <w:spacing w:line="460" w:lineRule="exact"/>
        <w:ind w:firstLine="470" w:firstLineChars="196"/>
        <w:outlineLvl w:val="1"/>
        <w:rPr>
          <w:rFonts w:hint="eastAsia" w:ascii="宋体" w:hAnsi="宋体" w:cs="宋体"/>
          <w:color w:val="auto"/>
          <w:kern w:val="0"/>
          <w:sz w:val="24"/>
        </w:rPr>
      </w:pPr>
    </w:p>
    <w:p w14:paraId="6E70EF92">
      <w:pPr>
        <w:snapToGrid w:val="0"/>
        <w:spacing w:line="460" w:lineRule="exact"/>
        <w:ind w:firstLine="470" w:firstLineChars="196"/>
        <w:outlineLvl w:val="1"/>
        <w:rPr>
          <w:rFonts w:hint="eastAsia" w:ascii="宋体" w:hAnsi="宋体" w:cs="宋体"/>
          <w:color w:val="auto"/>
          <w:kern w:val="0"/>
          <w:sz w:val="24"/>
        </w:rPr>
      </w:pPr>
    </w:p>
    <w:p w14:paraId="24CA0F2E">
      <w:pPr>
        <w:spacing w:line="480" w:lineRule="exact"/>
        <w:rPr>
          <w:rFonts w:hint="eastAsia" w:ascii="宋体" w:hAnsi="宋体" w:cs="宋体"/>
          <w:color w:val="auto"/>
          <w:kern w:val="0"/>
          <w:sz w:val="24"/>
        </w:rPr>
      </w:pPr>
    </w:p>
    <w:p w14:paraId="4D6CDE72">
      <w:pPr>
        <w:snapToGrid w:val="0"/>
        <w:spacing w:line="480" w:lineRule="exact"/>
        <w:ind w:firstLine="463" w:firstLineChars="192"/>
        <w:contextualSpacing/>
        <w:rPr>
          <w:rFonts w:hint="eastAsia" w:ascii="宋体" w:hAnsi="宋体" w:cs="宋体"/>
          <w:b/>
          <w:color w:val="auto"/>
          <w:kern w:val="0"/>
          <w:sz w:val="24"/>
        </w:rPr>
      </w:pPr>
    </w:p>
    <w:p w14:paraId="3B1C2C5D">
      <w:pPr>
        <w:snapToGrid w:val="0"/>
        <w:spacing w:line="500" w:lineRule="exact"/>
        <w:ind w:left="1133" w:hanging="1132" w:hangingChars="472"/>
        <w:jc w:val="center"/>
        <w:rPr>
          <w:rFonts w:hint="eastAsia" w:ascii="宋体" w:hAnsi="宋体" w:cs="宋体"/>
          <w:color w:val="auto"/>
          <w:sz w:val="24"/>
        </w:rPr>
      </w:pPr>
      <w:r>
        <w:rPr>
          <w:rFonts w:hint="eastAsia" w:ascii="宋体" w:hAnsi="宋体" w:cs="宋体"/>
          <w:color w:val="auto"/>
          <w:sz w:val="24"/>
        </w:rPr>
        <w:t xml:space="preserve">              投标人名称：（盖章）</w:t>
      </w:r>
    </w:p>
    <w:p w14:paraId="5FEA79B6">
      <w:pPr>
        <w:snapToGrid w:val="0"/>
        <w:spacing w:line="500" w:lineRule="exact"/>
        <w:ind w:left="1133" w:hanging="1132" w:hangingChars="472"/>
        <w:jc w:val="center"/>
        <w:rPr>
          <w:rFonts w:hint="eastAsia" w:ascii="宋体" w:hAnsi="宋体" w:cs="宋体"/>
          <w:color w:val="auto"/>
          <w:sz w:val="24"/>
        </w:rPr>
      </w:pPr>
      <w:r>
        <w:rPr>
          <w:rFonts w:hint="eastAsia" w:ascii="宋体" w:hAnsi="宋体" w:cs="宋体"/>
          <w:color w:val="auto"/>
          <w:sz w:val="24"/>
        </w:rPr>
        <w:t xml:space="preserve">                          法定代表人或授权委托人（签字）：</w:t>
      </w:r>
    </w:p>
    <w:p w14:paraId="3A7F9D2E">
      <w:pPr>
        <w:snapToGrid w:val="0"/>
        <w:spacing w:line="500" w:lineRule="exact"/>
        <w:ind w:left="1133" w:hanging="1132" w:hangingChars="472"/>
        <w:jc w:val="center"/>
        <w:rPr>
          <w:rFonts w:hint="eastAsia" w:ascii="宋体" w:hAnsi="宋体" w:cs="宋体"/>
          <w:color w:val="auto"/>
          <w:sz w:val="24"/>
        </w:rPr>
        <w:sectPr>
          <w:pgSz w:w="11906" w:h="16838"/>
          <w:pgMar w:top="1440" w:right="1080" w:bottom="1440" w:left="1080" w:header="851" w:footer="992" w:gutter="0"/>
          <w:cols w:space="720" w:num="1"/>
          <w:docGrid w:type="lines" w:linePitch="312" w:charSpace="0"/>
        </w:sectPr>
      </w:pPr>
      <w:r>
        <w:rPr>
          <w:rFonts w:hint="eastAsia" w:ascii="宋体" w:hAnsi="宋体" w:cs="宋体"/>
          <w:color w:val="auto"/>
          <w:sz w:val="24"/>
        </w:rPr>
        <w:t>日期：</w:t>
      </w:r>
    </w:p>
    <w:p w14:paraId="27CCE3D0">
      <w:pPr>
        <w:snapToGrid w:val="0"/>
        <w:spacing w:line="400" w:lineRule="exact"/>
        <w:contextualSpacing/>
        <w:rPr>
          <w:rFonts w:hint="eastAsia" w:ascii="宋体" w:hAnsi="宋体" w:cs="宋体"/>
          <w:color w:val="auto"/>
          <w:sz w:val="32"/>
          <w:szCs w:val="32"/>
        </w:rPr>
      </w:pPr>
      <w:r>
        <w:rPr>
          <w:rFonts w:hint="eastAsia" w:ascii="宋体" w:hAnsi="宋体" w:cs="宋体"/>
          <w:color w:val="auto"/>
          <w:sz w:val="32"/>
          <w:szCs w:val="32"/>
        </w:rPr>
        <w:t>附件11</w:t>
      </w:r>
    </w:p>
    <w:p w14:paraId="409C9406">
      <w:pPr>
        <w:pStyle w:val="17"/>
        <w:rPr>
          <w:rFonts w:hint="eastAsia" w:ascii="宋体" w:hAnsi="宋体" w:cs="宋体"/>
          <w:color w:val="auto"/>
          <w:sz w:val="32"/>
          <w:szCs w:val="32"/>
        </w:rPr>
      </w:pPr>
    </w:p>
    <w:p w14:paraId="52DCC043">
      <w:pPr>
        <w:jc w:val="center"/>
        <w:rPr>
          <w:rFonts w:hint="eastAsia" w:hAnsi="宋体" w:cs="宋体"/>
          <w:b/>
          <w:color w:val="auto"/>
          <w:sz w:val="28"/>
          <w:szCs w:val="28"/>
        </w:rPr>
      </w:pPr>
      <w:r>
        <w:rPr>
          <w:rFonts w:hint="eastAsia" w:hAnsi="宋体" w:cs="宋体"/>
          <w:b/>
          <w:color w:val="auto"/>
          <w:sz w:val="28"/>
          <w:szCs w:val="28"/>
        </w:rPr>
        <w:t>分项报价表</w:t>
      </w:r>
    </w:p>
    <w:p w14:paraId="657E33D9">
      <w:pPr>
        <w:rPr>
          <w:rFonts w:hint="eastAsia" w:hAnsi="宋体" w:cs="宋体"/>
          <w:b/>
          <w:color w:val="auto"/>
          <w:sz w:val="28"/>
          <w:szCs w:val="28"/>
        </w:rPr>
      </w:pP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2283"/>
        <w:gridCol w:w="1132"/>
        <w:gridCol w:w="825"/>
        <w:gridCol w:w="661"/>
        <w:gridCol w:w="821"/>
        <w:gridCol w:w="1342"/>
        <w:gridCol w:w="1456"/>
      </w:tblGrid>
      <w:tr w14:paraId="4104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exact"/>
          <w:jc w:val="center"/>
        </w:trPr>
        <w:tc>
          <w:tcPr>
            <w:tcW w:w="446" w:type="pct"/>
            <w:tcMar>
              <w:top w:w="57" w:type="dxa"/>
              <w:left w:w="57" w:type="dxa"/>
              <w:bottom w:w="57" w:type="dxa"/>
              <w:right w:w="57" w:type="dxa"/>
            </w:tcMar>
            <w:vAlign w:val="center"/>
          </w:tcPr>
          <w:p w14:paraId="1F42E948">
            <w:pPr>
              <w:spacing w:line="320" w:lineRule="exact"/>
              <w:jc w:val="center"/>
              <w:rPr>
                <w:rFonts w:hint="eastAsia" w:ascii="宋体" w:hAnsi="宋体" w:cs="宋体"/>
                <w:b/>
                <w:bCs/>
                <w:color w:val="auto"/>
                <w:sz w:val="24"/>
              </w:rPr>
            </w:pPr>
            <w:r>
              <w:rPr>
                <w:rFonts w:hint="eastAsia" w:ascii="宋体" w:hAnsi="宋体" w:cs="宋体"/>
                <w:b/>
                <w:bCs/>
                <w:color w:val="auto"/>
                <w:sz w:val="24"/>
              </w:rPr>
              <w:t>序号</w:t>
            </w:r>
          </w:p>
        </w:tc>
        <w:tc>
          <w:tcPr>
            <w:tcW w:w="1220" w:type="pct"/>
            <w:tcMar>
              <w:top w:w="57" w:type="dxa"/>
              <w:left w:w="57" w:type="dxa"/>
              <w:bottom w:w="57" w:type="dxa"/>
              <w:right w:w="57" w:type="dxa"/>
            </w:tcMar>
            <w:vAlign w:val="center"/>
          </w:tcPr>
          <w:p w14:paraId="27BFDA83">
            <w:pPr>
              <w:spacing w:line="320" w:lineRule="exact"/>
              <w:jc w:val="center"/>
              <w:rPr>
                <w:rFonts w:hint="eastAsia" w:ascii="宋体" w:hAnsi="宋体" w:cs="宋体"/>
                <w:b/>
                <w:bCs/>
                <w:color w:val="auto"/>
                <w:sz w:val="24"/>
              </w:rPr>
            </w:pPr>
            <w:r>
              <w:rPr>
                <w:rFonts w:hint="eastAsia" w:ascii="宋体" w:hAnsi="宋体" w:cs="宋体"/>
                <w:b/>
                <w:bCs/>
                <w:color w:val="auto"/>
                <w:sz w:val="24"/>
              </w:rPr>
              <w:t>项目名称</w:t>
            </w:r>
          </w:p>
        </w:tc>
        <w:tc>
          <w:tcPr>
            <w:tcW w:w="605" w:type="pct"/>
            <w:tcMar>
              <w:top w:w="57" w:type="dxa"/>
              <w:left w:w="57" w:type="dxa"/>
              <w:bottom w:w="57" w:type="dxa"/>
              <w:right w:w="57" w:type="dxa"/>
            </w:tcMar>
            <w:vAlign w:val="center"/>
          </w:tcPr>
          <w:p w14:paraId="09B2DAC3">
            <w:pPr>
              <w:spacing w:line="320" w:lineRule="exact"/>
              <w:jc w:val="center"/>
              <w:rPr>
                <w:rFonts w:hint="eastAsia" w:ascii="宋体" w:hAnsi="宋体" w:cs="宋体"/>
                <w:b/>
                <w:bCs/>
                <w:color w:val="auto"/>
                <w:sz w:val="24"/>
              </w:rPr>
            </w:pPr>
            <w:r>
              <w:rPr>
                <w:rFonts w:hint="eastAsia" w:ascii="宋体" w:hAnsi="宋体" w:cs="宋体"/>
                <w:b/>
                <w:bCs/>
                <w:color w:val="auto"/>
                <w:sz w:val="24"/>
              </w:rPr>
              <w:t>规格型号</w:t>
            </w:r>
          </w:p>
        </w:tc>
        <w:tc>
          <w:tcPr>
            <w:tcW w:w="441" w:type="pct"/>
            <w:tcMar>
              <w:top w:w="57" w:type="dxa"/>
              <w:left w:w="57" w:type="dxa"/>
              <w:bottom w:w="57" w:type="dxa"/>
              <w:right w:w="57" w:type="dxa"/>
            </w:tcMar>
            <w:vAlign w:val="center"/>
          </w:tcPr>
          <w:p w14:paraId="604CE486">
            <w:pPr>
              <w:spacing w:line="320" w:lineRule="exact"/>
              <w:jc w:val="center"/>
              <w:rPr>
                <w:rFonts w:hint="eastAsia" w:ascii="宋体" w:hAnsi="宋体" w:cs="宋体"/>
                <w:b/>
                <w:bCs/>
                <w:color w:val="auto"/>
                <w:sz w:val="24"/>
              </w:rPr>
            </w:pPr>
            <w:r>
              <w:rPr>
                <w:rFonts w:hint="eastAsia" w:ascii="宋体" w:hAnsi="宋体" w:cs="宋体"/>
                <w:b/>
                <w:bCs/>
                <w:color w:val="auto"/>
                <w:sz w:val="24"/>
              </w:rPr>
              <w:t>品牌（如有）</w:t>
            </w:r>
          </w:p>
        </w:tc>
        <w:tc>
          <w:tcPr>
            <w:tcW w:w="353" w:type="pct"/>
            <w:tcMar>
              <w:top w:w="57" w:type="dxa"/>
              <w:left w:w="57" w:type="dxa"/>
              <w:bottom w:w="57" w:type="dxa"/>
              <w:right w:w="57" w:type="dxa"/>
            </w:tcMar>
            <w:vAlign w:val="center"/>
          </w:tcPr>
          <w:p w14:paraId="25668AAE">
            <w:pPr>
              <w:spacing w:line="320" w:lineRule="exact"/>
              <w:jc w:val="center"/>
              <w:rPr>
                <w:rFonts w:hint="eastAsia" w:ascii="宋体" w:hAnsi="宋体" w:cs="宋体"/>
                <w:b/>
                <w:bCs/>
                <w:color w:val="auto"/>
                <w:sz w:val="24"/>
              </w:rPr>
            </w:pPr>
            <w:r>
              <w:rPr>
                <w:rFonts w:hint="eastAsia" w:ascii="宋体" w:hAnsi="宋体" w:cs="宋体"/>
                <w:b/>
                <w:bCs/>
                <w:color w:val="auto"/>
                <w:sz w:val="24"/>
              </w:rPr>
              <w:t>数量</w:t>
            </w:r>
          </w:p>
        </w:tc>
        <w:tc>
          <w:tcPr>
            <w:tcW w:w="439" w:type="pct"/>
            <w:tcMar>
              <w:top w:w="57" w:type="dxa"/>
              <w:left w:w="57" w:type="dxa"/>
              <w:bottom w:w="57" w:type="dxa"/>
              <w:right w:w="57" w:type="dxa"/>
            </w:tcMar>
            <w:vAlign w:val="center"/>
          </w:tcPr>
          <w:p w14:paraId="38EC551B">
            <w:pPr>
              <w:spacing w:line="320" w:lineRule="exact"/>
              <w:jc w:val="center"/>
              <w:rPr>
                <w:rFonts w:hint="eastAsia" w:ascii="宋体" w:hAnsi="宋体" w:cs="宋体"/>
                <w:b/>
                <w:bCs/>
                <w:color w:val="auto"/>
                <w:sz w:val="24"/>
              </w:rPr>
            </w:pPr>
            <w:r>
              <w:rPr>
                <w:rFonts w:hint="eastAsia" w:ascii="宋体" w:hAnsi="宋体" w:cs="宋体"/>
                <w:b/>
                <w:bCs/>
                <w:color w:val="auto"/>
                <w:sz w:val="24"/>
              </w:rPr>
              <w:t>单位</w:t>
            </w:r>
          </w:p>
        </w:tc>
        <w:tc>
          <w:tcPr>
            <w:tcW w:w="714" w:type="pct"/>
            <w:tcMar>
              <w:top w:w="57" w:type="dxa"/>
              <w:left w:w="57" w:type="dxa"/>
              <w:bottom w:w="57" w:type="dxa"/>
              <w:right w:w="57" w:type="dxa"/>
            </w:tcMar>
            <w:vAlign w:val="center"/>
          </w:tcPr>
          <w:p w14:paraId="6213DF24">
            <w:pPr>
              <w:spacing w:line="320" w:lineRule="exact"/>
              <w:jc w:val="center"/>
              <w:rPr>
                <w:rFonts w:hint="eastAsia" w:ascii="宋体" w:hAnsi="宋体" w:cs="宋体"/>
                <w:b/>
                <w:bCs/>
                <w:color w:val="auto"/>
                <w:sz w:val="24"/>
              </w:rPr>
            </w:pPr>
            <w:r>
              <w:rPr>
                <w:rFonts w:hint="eastAsia" w:ascii="宋体" w:hAnsi="宋体" w:cs="宋体"/>
                <w:b/>
                <w:bCs/>
                <w:color w:val="auto"/>
                <w:sz w:val="24"/>
              </w:rPr>
              <w:t>单价（元）</w:t>
            </w:r>
          </w:p>
        </w:tc>
        <w:tc>
          <w:tcPr>
            <w:tcW w:w="778" w:type="pct"/>
            <w:tcMar>
              <w:top w:w="57" w:type="dxa"/>
              <w:left w:w="57" w:type="dxa"/>
              <w:bottom w:w="57" w:type="dxa"/>
              <w:right w:w="57" w:type="dxa"/>
            </w:tcMar>
            <w:vAlign w:val="center"/>
          </w:tcPr>
          <w:p w14:paraId="4610547C">
            <w:pPr>
              <w:spacing w:line="320" w:lineRule="exact"/>
              <w:jc w:val="center"/>
              <w:rPr>
                <w:rFonts w:hint="eastAsia" w:ascii="宋体" w:hAnsi="宋体" w:cs="宋体"/>
                <w:b/>
                <w:bCs/>
                <w:color w:val="auto"/>
                <w:sz w:val="24"/>
              </w:rPr>
            </w:pPr>
            <w:r>
              <w:rPr>
                <w:rFonts w:hint="eastAsia" w:ascii="宋体" w:hAnsi="宋体" w:cs="宋体"/>
                <w:b/>
                <w:bCs/>
                <w:color w:val="auto"/>
                <w:sz w:val="24"/>
              </w:rPr>
              <w:t>单项合计（元）</w:t>
            </w:r>
          </w:p>
        </w:tc>
      </w:tr>
      <w:tr w14:paraId="0D8B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6" w:type="dxa"/>
            <w:tcMar>
              <w:top w:w="57" w:type="dxa"/>
              <w:left w:w="57" w:type="dxa"/>
              <w:bottom w:w="57" w:type="dxa"/>
              <w:right w:w="57" w:type="dxa"/>
            </w:tcMar>
            <w:vAlign w:val="center"/>
          </w:tcPr>
          <w:p w14:paraId="4F171C3E">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1</w:t>
            </w:r>
          </w:p>
        </w:tc>
        <w:tc>
          <w:tcPr>
            <w:tcW w:w="2152" w:type="dxa"/>
            <w:tcMar>
              <w:top w:w="57" w:type="dxa"/>
              <w:left w:w="57" w:type="dxa"/>
              <w:bottom w:w="57" w:type="dxa"/>
              <w:right w:w="57" w:type="dxa"/>
            </w:tcMar>
            <w:vAlign w:val="center"/>
          </w:tcPr>
          <w:p w14:paraId="20B76D28">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车辆抓拍显示一体机</w:t>
            </w:r>
          </w:p>
        </w:tc>
        <w:tc>
          <w:tcPr>
            <w:tcW w:w="605" w:type="pct"/>
            <w:tcMar>
              <w:top w:w="57" w:type="dxa"/>
              <w:left w:w="57" w:type="dxa"/>
              <w:bottom w:w="57" w:type="dxa"/>
              <w:right w:w="57" w:type="dxa"/>
            </w:tcMar>
            <w:vAlign w:val="center"/>
          </w:tcPr>
          <w:p w14:paraId="1F2E58FC">
            <w:pPr>
              <w:widowControl/>
              <w:spacing w:line="320" w:lineRule="exact"/>
              <w:jc w:val="center"/>
              <w:textAlignment w:val="center"/>
              <w:rPr>
                <w:rFonts w:hint="eastAsia" w:ascii="宋体" w:hAnsi="宋体" w:cs="宋体"/>
                <w:color w:val="auto"/>
                <w:sz w:val="24"/>
              </w:rPr>
            </w:pPr>
          </w:p>
        </w:tc>
        <w:tc>
          <w:tcPr>
            <w:tcW w:w="441" w:type="pct"/>
            <w:tcMar>
              <w:top w:w="57" w:type="dxa"/>
              <w:left w:w="57" w:type="dxa"/>
              <w:bottom w:w="57" w:type="dxa"/>
              <w:right w:w="57" w:type="dxa"/>
            </w:tcMar>
            <w:vAlign w:val="center"/>
          </w:tcPr>
          <w:p w14:paraId="483A51E5">
            <w:pPr>
              <w:widowControl/>
              <w:spacing w:line="320" w:lineRule="exact"/>
              <w:jc w:val="center"/>
              <w:textAlignment w:val="center"/>
              <w:rPr>
                <w:rFonts w:hint="eastAsia" w:ascii="宋体" w:hAnsi="宋体" w:cs="宋体"/>
                <w:color w:val="auto"/>
                <w:sz w:val="24"/>
              </w:rPr>
            </w:pPr>
          </w:p>
        </w:tc>
        <w:tc>
          <w:tcPr>
            <w:tcW w:w="623" w:type="dxa"/>
            <w:tcMar>
              <w:top w:w="57" w:type="dxa"/>
              <w:left w:w="57" w:type="dxa"/>
              <w:bottom w:w="57" w:type="dxa"/>
              <w:right w:w="57" w:type="dxa"/>
            </w:tcMar>
            <w:vAlign w:val="center"/>
          </w:tcPr>
          <w:p w14:paraId="48CCDC1F">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5</w:t>
            </w:r>
          </w:p>
        </w:tc>
        <w:tc>
          <w:tcPr>
            <w:tcW w:w="775" w:type="dxa"/>
            <w:tcMar>
              <w:top w:w="57" w:type="dxa"/>
              <w:left w:w="57" w:type="dxa"/>
              <w:bottom w:w="57" w:type="dxa"/>
              <w:right w:w="57" w:type="dxa"/>
            </w:tcMar>
            <w:vAlign w:val="center"/>
          </w:tcPr>
          <w:p w14:paraId="789E56E9">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台</w:t>
            </w:r>
          </w:p>
        </w:tc>
        <w:tc>
          <w:tcPr>
            <w:tcW w:w="714" w:type="pct"/>
            <w:tcMar>
              <w:top w:w="57" w:type="dxa"/>
              <w:left w:w="57" w:type="dxa"/>
              <w:bottom w:w="57" w:type="dxa"/>
              <w:right w:w="57" w:type="dxa"/>
            </w:tcMar>
            <w:vAlign w:val="center"/>
          </w:tcPr>
          <w:p w14:paraId="5D967151">
            <w:pPr>
              <w:widowControl/>
              <w:spacing w:line="320" w:lineRule="exact"/>
              <w:jc w:val="center"/>
              <w:textAlignment w:val="center"/>
              <w:rPr>
                <w:rFonts w:hint="eastAsia" w:ascii="宋体" w:hAnsi="宋体" w:cs="宋体"/>
                <w:color w:val="auto"/>
                <w:sz w:val="24"/>
              </w:rPr>
            </w:pPr>
          </w:p>
        </w:tc>
        <w:tc>
          <w:tcPr>
            <w:tcW w:w="778" w:type="pct"/>
            <w:tcMar>
              <w:top w:w="57" w:type="dxa"/>
              <w:left w:w="57" w:type="dxa"/>
              <w:bottom w:w="57" w:type="dxa"/>
              <w:right w:w="57" w:type="dxa"/>
            </w:tcMar>
            <w:vAlign w:val="center"/>
          </w:tcPr>
          <w:p w14:paraId="2B9F15E4">
            <w:pPr>
              <w:widowControl/>
              <w:spacing w:line="320" w:lineRule="exact"/>
              <w:jc w:val="center"/>
              <w:textAlignment w:val="center"/>
              <w:rPr>
                <w:rFonts w:hint="eastAsia" w:ascii="宋体" w:hAnsi="宋体" w:cs="宋体"/>
                <w:color w:val="auto"/>
                <w:sz w:val="24"/>
              </w:rPr>
            </w:pPr>
          </w:p>
        </w:tc>
      </w:tr>
      <w:tr w14:paraId="59F2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tcMar>
              <w:top w:w="57" w:type="dxa"/>
              <w:left w:w="57" w:type="dxa"/>
              <w:bottom w:w="57" w:type="dxa"/>
              <w:right w:w="57" w:type="dxa"/>
            </w:tcMar>
            <w:vAlign w:val="center"/>
          </w:tcPr>
          <w:p w14:paraId="7D2D820E">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2</w:t>
            </w:r>
          </w:p>
        </w:tc>
        <w:tc>
          <w:tcPr>
            <w:tcW w:w="2152" w:type="dxa"/>
            <w:tcMar>
              <w:top w:w="57" w:type="dxa"/>
              <w:left w:w="57" w:type="dxa"/>
              <w:bottom w:w="57" w:type="dxa"/>
              <w:right w:w="57" w:type="dxa"/>
            </w:tcMar>
            <w:vAlign w:val="center"/>
          </w:tcPr>
          <w:p w14:paraId="7246C03A">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终端管理设备</w:t>
            </w:r>
          </w:p>
        </w:tc>
        <w:tc>
          <w:tcPr>
            <w:tcW w:w="605" w:type="pct"/>
            <w:tcMar>
              <w:top w:w="57" w:type="dxa"/>
              <w:left w:w="57" w:type="dxa"/>
              <w:bottom w:w="57" w:type="dxa"/>
              <w:right w:w="57" w:type="dxa"/>
            </w:tcMar>
            <w:vAlign w:val="center"/>
          </w:tcPr>
          <w:p w14:paraId="6D6BDEDF">
            <w:pPr>
              <w:spacing w:line="320" w:lineRule="exact"/>
              <w:jc w:val="center"/>
              <w:rPr>
                <w:rFonts w:hint="eastAsia" w:ascii="宋体" w:hAnsi="宋体" w:cs="宋体"/>
                <w:color w:val="auto"/>
                <w:sz w:val="24"/>
              </w:rPr>
            </w:pPr>
          </w:p>
        </w:tc>
        <w:tc>
          <w:tcPr>
            <w:tcW w:w="441" w:type="pct"/>
            <w:tcMar>
              <w:top w:w="57" w:type="dxa"/>
              <w:left w:w="57" w:type="dxa"/>
              <w:bottom w:w="57" w:type="dxa"/>
              <w:right w:w="57" w:type="dxa"/>
            </w:tcMar>
            <w:vAlign w:val="center"/>
          </w:tcPr>
          <w:p w14:paraId="70F48682">
            <w:pPr>
              <w:spacing w:line="320" w:lineRule="exact"/>
              <w:jc w:val="center"/>
              <w:rPr>
                <w:rFonts w:hint="eastAsia" w:ascii="宋体" w:hAnsi="宋体" w:cs="宋体"/>
                <w:color w:val="auto"/>
                <w:sz w:val="24"/>
              </w:rPr>
            </w:pPr>
          </w:p>
        </w:tc>
        <w:tc>
          <w:tcPr>
            <w:tcW w:w="623" w:type="dxa"/>
            <w:tcMar>
              <w:top w:w="57" w:type="dxa"/>
              <w:left w:w="57" w:type="dxa"/>
              <w:bottom w:w="57" w:type="dxa"/>
              <w:right w:w="57" w:type="dxa"/>
            </w:tcMar>
            <w:vAlign w:val="center"/>
          </w:tcPr>
          <w:p w14:paraId="522DB07F">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1</w:t>
            </w:r>
          </w:p>
        </w:tc>
        <w:tc>
          <w:tcPr>
            <w:tcW w:w="775" w:type="dxa"/>
            <w:tcMar>
              <w:top w:w="57" w:type="dxa"/>
              <w:left w:w="57" w:type="dxa"/>
              <w:bottom w:w="57" w:type="dxa"/>
              <w:right w:w="57" w:type="dxa"/>
            </w:tcMar>
            <w:vAlign w:val="center"/>
          </w:tcPr>
          <w:p w14:paraId="6424A142">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台</w:t>
            </w:r>
          </w:p>
        </w:tc>
        <w:tc>
          <w:tcPr>
            <w:tcW w:w="714" w:type="pct"/>
            <w:tcMar>
              <w:top w:w="57" w:type="dxa"/>
              <w:left w:w="57" w:type="dxa"/>
              <w:bottom w:w="57" w:type="dxa"/>
              <w:right w:w="57" w:type="dxa"/>
            </w:tcMar>
            <w:vAlign w:val="center"/>
          </w:tcPr>
          <w:p w14:paraId="05C72107">
            <w:pPr>
              <w:spacing w:line="320" w:lineRule="exact"/>
              <w:jc w:val="center"/>
              <w:rPr>
                <w:rFonts w:hint="eastAsia" w:ascii="宋体" w:hAnsi="宋体" w:cs="宋体"/>
                <w:color w:val="auto"/>
                <w:sz w:val="24"/>
              </w:rPr>
            </w:pPr>
          </w:p>
        </w:tc>
        <w:tc>
          <w:tcPr>
            <w:tcW w:w="778" w:type="pct"/>
            <w:tcMar>
              <w:top w:w="57" w:type="dxa"/>
              <w:left w:w="57" w:type="dxa"/>
              <w:bottom w:w="57" w:type="dxa"/>
              <w:right w:w="57" w:type="dxa"/>
            </w:tcMar>
            <w:vAlign w:val="center"/>
          </w:tcPr>
          <w:p w14:paraId="6914C01B">
            <w:pPr>
              <w:spacing w:line="320" w:lineRule="exact"/>
              <w:jc w:val="center"/>
              <w:rPr>
                <w:rFonts w:hint="eastAsia" w:ascii="宋体" w:hAnsi="宋体" w:cs="宋体"/>
                <w:color w:val="auto"/>
                <w:sz w:val="24"/>
              </w:rPr>
            </w:pPr>
          </w:p>
        </w:tc>
      </w:tr>
      <w:tr w14:paraId="248B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tcMar>
              <w:top w:w="57" w:type="dxa"/>
              <w:left w:w="57" w:type="dxa"/>
              <w:bottom w:w="57" w:type="dxa"/>
              <w:right w:w="57" w:type="dxa"/>
            </w:tcMar>
            <w:vAlign w:val="center"/>
          </w:tcPr>
          <w:p w14:paraId="77F9DFD8">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3</w:t>
            </w:r>
          </w:p>
        </w:tc>
        <w:tc>
          <w:tcPr>
            <w:tcW w:w="2152" w:type="dxa"/>
            <w:tcMar>
              <w:top w:w="57" w:type="dxa"/>
              <w:left w:w="57" w:type="dxa"/>
              <w:bottom w:w="57" w:type="dxa"/>
              <w:right w:w="57" w:type="dxa"/>
            </w:tcMar>
            <w:vAlign w:val="center"/>
          </w:tcPr>
          <w:p w14:paraId="668BECCE">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园区卡口</w:t>
            </w:r>
          </w:p>
        </w:tc>
        <w:tc>
          <w:tcPr>
            <w:tcW w:w="605" w:type="pct"/>
            <w:tcMar>
              <w:top w:w="57" w:type="dxa"/>
              <w:left w:w="57" w:type="dxa"/>
              <w:bottom w:w="57" w:type="dxa"/>
              <w:right w:w="57" w:type="dxa"/>
            </w:tcMar>
            <w:vAlign w:val="center"/>
          </w:tcPr>
          <w:p w14:paraId="32795758">
            <w:pPr>
              <w:widowControl/>
              <w:spacing w:line="320" w:lineRule="exact"/>
              <w:jc w:val="center"/>
              <w:textAlignment w:val="center"/>
              <w:rPr>
                <w:rFonts w:hint="eastAsia" w:ascii="宋体" w:hAnsi="宋体" w:cs="宋体"/>
                <w:color w:val="auto"/>
                <w:sz w:val="24"/>
              </w:rPr>
            </w:pPr>
          </w:p>
        </w:tc>
        <w:tc>
          <w:tcPr>
            <w:tcW w:w="441" w:type="pct"/>
            <w:tcMar>
              <w:top w:w="57" w:type="dxa"/>
              <w:left w:w="57" w:type="dxa"/>
              <w:bottom w:w="57" w:type="dxa"/>
              <w:right w:w="57" w:type="dxa"/>
            </w:tcMar>
            <w:vAlign w:val="center"/>
          </w:tcPr>
          <w:p w14:paraId="7D286C05">
            <w:pPr>
              <w:widowControl/>
              <w:spacing w:line="320" w:lineRule="exact"/>
              <w:jc w:val="center"/>
              <w:textAlignment w:val="center"/>
              <w:rPr>
                <w:rFonts w:hint="eastAsia" w:ascii="宋体" w:hAnsi="宋体" w:cs="宋体"/>
                <w:color w:val="auto"/>
                <w:sz w:val="24"/>
              </w:rPr>
            </w:pPr>
          </w:p>
        </w:tc>
        <w:tc>
          <w:tcPr>
            <w:tcW w:w="623" w:type="dxa"/>
            <w:tcMar>
              <w:top w:w="57" w:type="dxa"/>
              <w:left w:w="57" w:type="dxa"/>
              <w:bottom w:w="57" w:type="dxa"/>
              <w:right w:w="57" w:type="dxa"/>
            </w:tcMar>
            <w:vAlign w:val="center"/>
          </w:tcPr>
          <w:p w14:paraId="303C4996">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1</w:t>
            </w:r>
          </w:p>
        </w:tc>
        <w:tc>
          <w:tcPr>
            <w:tcW w:w="775" w:type="dxa"/>
            <w:tcMar>
              <w:top w:w="57" w:type="dxa"/>
              <w:left w:w="57" w:type="dxa"/>
              <w:bottom w:w="57" w:type="dxa"/>
              <w:right w:w="57" w:type="dxa"/>
            </w:tcMar>
            <w:vAlign w:val="center"/>
          </w:tcPr>
          <w:p w14:paraId="505FA357">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套</w:t>
            </w:r>
          </w:p>
        </w:tc>
        <w:tc>
          <w:tcPr>
            <w:tcW w:w="714" w:type="pct"/>
            <w:tcMar>
              <w:top w:w="57" w:type="dxa"/>
              <w:left w:w="57" w:type="dxa"/>
              <w:bottom w:w="57" w:type="dxa"/>
              <w:right w:w="57" w:type="dxa"/>
            </w:tcMar>
            <w:vAlign w:val="center"/>
          </w:tcPr>
          <w:p w14:paraId="23CCA7DD">
            <w:pPr>
              <w:spacing w:line="320" w:lineRule="exact"/>
              <w:jc w:val="center"/>
              <w:rPr>
                <w:rFonts w:hint="eastAsia" w:ascii="宋体" w:hAnsi="宋体" w:cs="宋体"/>
                <w:color w:val="auto"/>
                <w:sz w:val="24"/>
              </w:rPr>
            </w:pPr>
          </w:p>
        </w:tc>
        <w:tc>
          <w:tcPr>
            <w:tcW w:w="778" w:type="pct"/>
            <w:tcMar>
              <w:top w:w="57" w:type="dxa"/>
              <w:left w:w="57" w:type="dxa"/>
              <w:bottom w:w="57" w:type="dxa"/>
              <w:right w:w="57" w:type="dxa"/>
            </w:tcMar>
            <w:vAlign w:val="center"/>
          </w:tcPr>
          <w:p w14:paraId="5CBB9722">
            <w:pPr>
              <w:spacing w:line="320" w:lineRule="exact"/>
              <w:jc w:val="center"/>
              <w:rPr>
                <w:rFonts w:hint="eastAsia" w:ascii="宋体" w:hAnsi="宋体" w:cs="宋体"/>
                <w:color w:val="auto"/>
                <w:sz w:val="24"/>
              </w:rPr>
            </w:pPr>
          </w:p>
        </w:tc>
      </w:tr>
      <w:tr w14:paraId="14FC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tcMar>
              <w:top w:w="57" w:type="dxa"/>
              <w:left w:w="57" w:type="dxa"/>
              <w:bottom w:w="57" w:type="dxa"/>
              <w:right w:w="57" w:type="dxa"/>
            </w:tcMar>
            <w:vAlign w:val="center"/>
          </w:tcPr>
          <w:p w14:paraId="5042C3BC">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4</w:t>
            </w:r>
          </w:p>
        </w:tc>
        <w:tc>
          <w:tcPr>
            <w:tcW w:w="2152" w:type="dxa"/>
            <w:tcMar>
              <w:top w:w="57" w:type="dxa"/>
              <w:left w:w="57" w:type="dxa"/>
              <w:bottom w:w="57" w:type="dxa"/>
              <w:right w:w="57" w:type="dxa"/>
            </w:tcMar>
            <w:vAlign w:val="center"/>
          </w:tcPr>
          <w:p w14:paraId="5C1D12DF">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定制对接开发</w:t>
            </w:r>
          </w:p>
        </w:tc>
        <w:tc>
          <w:tcPr>
            <w:tcW w:w="605" w:type="pct"/>
            <w:tcMar>
              <w:top w:w="57" w:type="dxa"/>
              <w:left w:w="57" w:type="dxa"/>
              <w:bottom w:w="57" w:type="dxa"/>
              <w:right w:w="57" w:type="dxa"/>
            </w:tcMar>
            <w:vAlign w:val="center"/>
          </w:tcPr>
          <w:p w14:paraId="6E871E9B">
            <w:pPr>
              <w:spacing w:line="320" w:lineRule="exact"/>
              <w:jc w:val="center"/>
              <w:rPr>
                <w:rFonts w:hint="eastAsia" w:ascii="宋体" w:hAnsi="宋体" w:cs="宋体"/>
                <w:color w:val="auto"/>
                <w:sz w:val="24"/>
              </w:rPr>
            </w:pPr>
          </w:p>
        </w:tc>
        <w:tc>
          <w:tcPr>
            <w:tcW w:w="441" w:type="pct"/>
            <w:tcMar>
              <w:top w:w="57" w:type="dxa"/>
              <w:left w:w="57" w:type="dxa"/>
              <w:bottom w:w="57" w:type="dxa"/>
              <w:right w:w="57" w:type="dxa"/>
            </w:tcMar>
            <w:vAlign w:val="center"/>
          </w:tcPr>
          <w:p w14:paraId="0964C1DB">
            <w:pPr>
              <w:spacing w:line="320" w:lineRule="exact"/>
              <w:jc w:val="center"/>
              <w:rPr>
                <w:rFonts w:hint="eastAsia" w:ascii="宋体" w:hAnsi="宋体" w:cs="宋体"/>
                <w:color w:val="auto"/>
                <w:sz w:val="24"/>
              </w:rPr>
            </w:pPr>
          </w:p>
        </w:tc>
        <w:tc>
          <w:tcPr>
            <w:tcW w:w="623" w:type="dxa"/>
            <w:tcMar>
              <w:top w:w="57" w:type="dxa"/>
              <w:left w:w="57" w:type="dxa"/>
              <w:bottom w:w="57" w:type="dxa"/>
              <w:right w:w="57" w:type="dxa"/>
            </w:tcMar>
            <w:vAlign w:val="center"/>
          </w:tcPr>
          <w:p w14:paraId="62BF6109">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1</w:t>
            </w:r>
          </w:p>
        </w:tc>
        <w:tc>
          <w:tcPr>
            <w:tcW w:w="775" w:type="dxa"/>
            <w:tcMar>
              <w:top w:w="57" w:type="dxa"/>
              <w:left w:w="57" w:type="dxa"/>
              <w:bottom w:w="57" w:type="dxa"/>
              <w:right w:w="57" w:type="dxa"/>
            </w:tcMar>
            <w:vAlign w:val="center"/>
          </w:tcPr>
          <w:p w14:paraId="45AFB842">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项</w:t>
            </w:r>
          </w:p>
        </w:tc>
        <w:tc>
          <w:tcPr>
            <w:tcW w:w="714" w:type="pct"/>
            <w:tcMar>
              <w:top w:w="57" w:type="dxa"/>
              <w:left w:w="57" w:type="dxa"/>
              <w:bottom w:w="57" w:type="dxa"/>
              <w:right w:w="57" w:type="dxa"/>
            </w:tcMar>
            <w:vAlign w:val="center"/>
          </w:tcPr>
          <w:p w14:paraId="733A447A">
            <w:pPr>
              <w:spacing w:line="320" w:lineRule="exact"/>
              <w:jc w:val="center"/>
              <w:rPr>
                <w:rFonts w:hint="eastAsia" w:ascii="宋体" w:hAnsi="宋体" w:cs="宋体"/>
                <w:color w:val="auto"/>
                <w:sz w:val="24"/>
              </w:rPr>
            </w:pPr>
          </w:p>
        </w:tc>
        <w:tc>
          <w:tcPr>
            <w:tcW w:w="778" w:type="pct"/>
            <w:tcMar>
              <w:top w:w="57" w:type="dxa"/>
              <w:left w:w="57" w:type="dxa"/>
              <w:bottom w:w="57" w:type="dxa"/>
              <w:right w:w="57" w:type="dxa"/>
            </w:tcMar>
            <w:vAlign w:val="center"/>
          </w:tcPr>
          <w:p w14:paraId="3715D677">
            <w:pPr>
              <w:spacing w:line="320" w:lineRule="exact"/>
              <w:jc w:val="center"/>
              <w:rPr>
                <w:rFonts w:hint="eastAsia" w:ascii="宋体" w:hAnsi="宋体" w:cs="宋体"/>
                <w:color w:val="auto"/>
                <w:sz w:val="24"/>
              </w:rPr>
            </w:pPr>
          </w:p>
        </w:tc>
      </w:tr>
      <w:tr w14:paraId="3AFE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tcMar>
              <w:top w:w="57" w:type="dxa"/>
              <w:left w:w="57" w:type="dxa"/>
              <w:bottom w:w="57" w:type="dxa"/>
              <w:right w:w="57" w:type="dxa"/>
            </w:tcMar>
            <w:vAlign w:val="center"/>
          </w:tcPr>
          <w:p w14:paraId="5CF19827">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5</w:t>
            </w:r>
          </w:p>
        </w:tc>
        <w:tc>
          <w:tcPr>
            <w:tcW w:w="2152" w:type="dxa"/>
            <w:tcMar>
              <w:top w:w="57" w:type="dxa"/>
              <w:left w:w="57" w:type="dxa"/>
              <w:bottom w:w="57" w:type="dxa"/>
              <w:right w:w="57" w:type="dxa"/>
            </w:tcMar>
            <w:vAlign w:val="center"/>
          </w:tcPr>
          <w:p w14:paraId="3EBD2D71">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光纤收发器</w:t>
            </w:r>
          </w:p>
        </w:tc>
        <w:tc>
          <w:tcPr>
            <w:tcW w:w="605" w:type="pct"/>
            <w:tcMar>
              <w:top w:w="57" w:type="dxa"/>
              <w:left w:w="57" w:type="dxa"/>
              <w:bottom w:w="57" w:type="dxa"/>
              <w:right w:w="57" w:type="dxa"/>
            </w:tcMar>
            <w:vAlign w:val="center"/>
          </w:tcPr>
          <w:p w14:paraId="677898FF">
            <w:pPr>
              <w:widowControl/>
              <w:spacing w:line="320" w:lineRule="exact"/>
              <w:jc w:val="center"/>
              <w:textAlignment w:val="center"/>
              <w:rPr>
                <w:rFonts w:hint="eastAsia" w:ascii="宋体" w:hAnsi="宋体" w:cs="宋体"/>
                <w:color w:val="auto"/>
                <w:sz w:val="24"/>
              </w:rPr>
            </w:pPr>
          </w:p>
        </w:tc>
        <w:tc>
          <w:tcPr>
            <w:tcW w:w="441" w:type="pct"/>
            <w:tcMar>
              <w:top w:w="57" w:type="dxa"/>
              <w:left w:w="57" w:type="dxa"/>
              <w:bottom w:w="57" w:type="dxa"/>
              <w:right w:w="57" w:type="dxa"/>
            </w:tcMar>
            <w:vAlign w:val="center"/>
          </w:tcPr>
          <w:p w14:paraId="56C325DE">
            <w:pPr>
              <w:widowControl/>
              <w:spacing w:line="320" w:lineRule="exact"/>
              <w:jc w:val="center"/>
              <w:textAlignment w:val="center"/>
              <w:rPr>
                <w:rFonts w:hint="eastAsia" w:ascii="宋体" w:hAnsi="宋体" w:cs="宋体"/>
                <w:color w:val="auto"/>
                <w:sz w:val="24"/>
              </w:rPr>
            </w:pPr>
          </w:p>
        </w:tc>
        <w:tc>
          <w:tcPr>
            <w:tcW w:w="623" w:type="dxa"/>
            <w:tcMar>
              <w:top w:w="57" w:type="dxa"/>
              <w:left w:w="57" w:type="dxa"/>
              <w:bottom w:w="57" w:type="dxa"/>
              <w:right w:w="57" w:type="dxa"/>
            </w:tcMar>
            <w:vAlign w:val="center"/>
          </w:tcPr>
          <w:p w14:paraId="75739ACA">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3</w:t>
            </w:r>
          </w:p>
        </w:tc>
        <w:tc>
          <w:tcPr>
            <w:tcW w:w="775" w:type="dxa"/>
            <w:tcMar>
              <w:top w:w="57" w:type="dxa"/>
              <w:left w:w="57" w:type="dxa"/>
              <w:bottom w:w="57" w:type="dxa"/>
              <w:right w:w="57" w:type="dxa"/>
            </w:tcMar>
            <w:vAlign w:val="center"/>
          </w:tcPr>
          <w:p w14:paraId="77BE60B9">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对</w:t>
            </w:r>
          </w:p>
        </w:tc>
        <w:tc>
          <w:tcPr>
            <w:tcW w:w="714" w:type="pct"/>
            <w:tcMar>
              <w:top w:w="57" w:type="dxa"/>
              <w:left w:w="57" w:type="dxa"/>
              <w:bottom w:w="57" w:type="dxa"/>
              <w:right w:w="57" w:type="dxa"/>
            </w:tcMar>
            <w:vAlign w:val="center"/>
          </w:tcPr>
          <w:p w14:paraId="0A78652C">
            <w:pPr>
              <w:spacing w:line="320" w:lineRule="exact"/>
              <w:jc w:val="center"/>
              <w:rPr>
                <w:rFonts w:hint="eastAsia" w:ascii="宋体" w:hAnsi="宋体" w:cs="宋体"/>
                <w:color w:val="auto"/>
                <w:sz w:val="24"/>
              </w:rPr>
            </w:pPr>
          </w:p>
        </w:tc>
        <w:tc>
          <w:tcPr>
            <w:tcW w:w="778" w:type="pct"/>
            <w:tcMar>
              <w:top w:w="57" w:type="dxa"/>
              <w:left w:w="57" w:type="dxa"/>
              <w:bottom w:w="57" w:type="dxa"/>
              <w:right w:w="57" w:type="dxa"/>
            </w:tcMar>
            <w:vAlign w:val="center"/>
          </w:tcPr>
          <w:p w14:paraId="49F00FA1">
            <w:pPr>
              <w:spacing w:line="320" w:lineRule="exact"/>
              <w:jc w:val="center"/>
              <w:rPr>
                <w:rFonts w:hint="eastAsia" w:ascii="宋体" w:hAnsi="宋体" w:cs="宋体"/>
                <w:color w:val="auto"/>
                <w:sz w:val="24"/>
              </w:rPr>
            </w:pPr>
          </w:p>
        </w:tc>
      </w:tr>
      <w:tr w14:paraId="193C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tcMar>
              <w:top w:w="57" w:type="dxa"/>
              <w:left w:w="57" w:type="dxa"/>
              <w:bottom w:w="57" w:type="dxa"/>
              <w:right w:w="57" w:type="dxa"/>
            </w:tcMar>
            <w:vAlign w:val="center"/>
          </w:tcPr>
          <w:p w14:paraId="34EA8096">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6</w:t>
            </w:r>
          </w:p>
        </w:tc>
        <w:tc>
          <w:tcPr>
            <w:tcW w:w="2152" w:type="dxa"/>
            <w:tcMar>
              <w:top w:w="57" w:type="dxa"/>
              <w:left w:w="57" w:type="dxa"/>
              <w:bottom w:w="57" w:type="dxa"/>
              <w:right w:w="57" w:type="dxa"/>
            </w:tcMar>
            <w:vAlign w:val="center"/>
          </w:tcPr>
          <w:p w14:paraId="185557C2">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立杆</w:t>
            </w:r>
          </w:p>
        </w:tc>
        <w:tc>
          <w:tcPr>
            <w:tcW w:w="605" w:type="pct"/>
            <w:tcMar>
              <w:top w:w="57" w:type="dxa"/>
              <w:left w:w="57" w:type="dxa"/>
              <w:bottom w:w="57" w:type="dxa"/>
              <w:right w:w="57" w:type="dxa"/>
            </w:tcMar>
            <w:vAlign w:val="center"/>
          </w:tcPr>
          <w:p w14:paraId="2F147B90">
            <w:pPr>
              <w:spacing w:line="320" w:lineRule="exact"/>
              <w:jc w:val="center"/>
              <w:rPr>
                <w:rFonts w:hint="eastAsia" w:ascii="宋体" w:hAnsi="宋体" w:cs="宋体"/>
                <w:color w:val="auto"/>
                <w:sz w:val="24"/>
              </w:rPr>
            </w:pPr>
          </w:p>
        </w:tc>
        <w:tc>
          <w:tcPr>
            <w:tcW w:w="441" w:type="pct"/>
            <w:tcMar>
              <w:top w:w="57" w:type="dxa"/>
              <w:left w:w="57" w:type="dxa"/>
              <w:bottom w:w="57" w:type="dxa"/>
              <w:right w:w="57" w:type="dxa"/>
            </w:tcMar>
            <w:vAlign w:val="center"/>
          </w:tcPr>
          <w:p w14:paraId="6ED2B041">
            <w:pPr>
              <w:spacing w:line="320" w:lineRule="exact"/>
              <w:jc w:val="center"/>
              <w:rPr>
                <w:rFonts w:hint="eastAsia" w:ascii="宋体" w:hAnsi="宋体" w:cs="宋体"/>
                <w:color w:val="auto"/>
                <w:sz w:val="24"/>
              </w:rPr>
            </w:pPr>
          </w:p>
        </w:tc>
        <w:tc>
          <w:tcPr>
            <w:tcW w:w="623" w:type="dxa"/>
            <w:tcMar>
              <w:top w:w="57" w:type="dxa"/>
              <w:left w:w="57" w:type="dxa"/>
              <w:bottom w:w="57" w:type="dxa"/>
              <w:right w:w="57" w:type="dxa"/>
            </w:tcMar>
            <w:vAlign w:val="center"/>
          </w:tcPr>
          <w:p w14:paraId="593FD964">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3</w:t>
            </w:r>
          </w:p>
        </w:tc>
        <w:tc>
          <w:tcPr>
            <w:tcW w:w="775" w:type="dxa"/>
            <w:tcMar>
              <w:top w:w="57" w:type="dxa"/>
              <w:left w:w="57" w:type="dxa"/>
              <w:bottom w:w="57" w:type="dxa"/>
              <w:right w:w="57" w:type="dxa"/>
            </w:tcMar>
            <w:vAlign w:val="center"/>
          </w:tcPr>
          <w:p w14:paraId="2A789F6E">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根</w:t>
            </w:r>
          </w:p>
        </w:tc>
        <w:tc>
          <w:tcPr>
            <w:tcW w:w="714" w:type="pct"/>
            <w:tcMar>
              <w:top w:w="57" w:type="dxa"/>
              <w:left w:w="57" w:type="dxa"/>
              <w:bottom w:w="57" w:type="dxa"/>
              <w:right w:w="57" w:type="dxa"/>
            </w:tcMar>
            <w:vAlign w:val="center"/>
          </w:tcPr>
          <w:p w14:paraId="0A692338">
            <w:pPr>
              <w:spacing w:line="320" w:lineRule="exact"/>
              <w:jc w:val="center"/>
              <w:rPr>
                <w:rFonts w:hint="eastAsia" w:ascii="宋体" w:hAnsi="宋体" w:cs="宋体"/>
                <w:color w:val="auto"/>
                <w:sz w:val="24"/>
              </w:rPr>
            </w:pPr>
          </w:p>
        </w:tc>
        <w:tc>
          <w:tcPr>
            <w:tcW w:w="778" w:type="pct"/>
            <w:tcMar>
              <w:top w:w="57" w:type="dxa"/>
              <w:left w:w="57" w:type="dxa"/>
              <w:bottom w:w="57" w:type="dxa"/>
              <w:right w:w="57" w:type="dxa"/>
            </w:tcMar>
            <w:vAlign w:val="center"/>
          </w:tcPr>
          <w:p w14:paraId="1A4423E9">
            <w:pPr>
              <w:spacing w:line="320" w:lineRule="exact"/>
              <w:jc w:val="center"/>
              <w:rPr>
                <w:rFonts w:hint="eastAsia" w:ascii="宋体" w:hAnsi="宋体" w:cs="宋体"/>
                <w:color w:val="auto"/>
                <w:sz w:val="24"/>
              </w:rPr>
            </w:pPr>
          </w:p>
        </w:tc>
      </w:tr>
      <w:tr w14:paraId="5CD8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tcMar>
              <w:top w:w="57" w:type="dxa"/>
              <w:left w:w="57" w:type="dxa"/>
              <w:bottom w:w="57" w:type="dxa"/>
              <w:right w:w="57" w:type="dxa"/>
            </w:tcMar>
            <w:vAlign w:val="center"/>
          </w:tcPr>
          <w:p w14:paraId="4832FA77">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7</w:t>
            </w:r>
          </w:p>
        </w:tc>
        <w:tc>
          <w:tcPr>
            <w:tcW w:w="2152" w:type="dxa"/>
            <w:tcMar>
              <w:top w:w="57" w:type="dxa"/>
              <w:left w:w="57" w:type="dxa"/>
              <w:bottom w:w="57" w:type="dxa"/>
              <w:right w:w="57" w:type="dxa"/>
            </w:tcMar>
            <w:vAlign w:val="center"/>
          </w:tcPr>
          <w:p w14:paraId="7422763D">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室外防水箱</w:t>
            </w:r>
          </w:p>
        </w:tc>
        <w:tc>
          <w:tcPr>
            <w:tcW w:w="605" w:type="pct"/>
            <w:tcMar>
              <w:top w:w="57" w:type="dxa"/>
              <w:left w:w="57" w:type="dxa"/>
              <w:bottom w:w="57" w:type="dxa"/>
              <w:right w:w="57" w:type="dxa"/>
            </w:tcMar>
            <w:vAlign w:val="center"/>
          </w:tcPr>
          <w:p w14:paraId="68A8D74B">
            <w:pPr>
              <w:widowControl/>
              <w:spacing w:line="320" w:lineRule="exact"/>
              <w:jc w:val="center"/>
              <w:textAlignment w:val="center"/>
              <w:rPr>
                <w:rFonts w:hint="eastAsia" w:ascii="宋体" w:hAnsi="宋体" w:cs="宋体"/>
                <w:color w:val="auto"/>
                <w:sz w:val="24"/>
              </w:rPr>
            </w:pPr>
          </w:p>
        </w:tc>
        <w:tc>
          <w:tcPr>
            <w:tcW w:w="441" w:type="pct"/>
            <w:tcMar>
              <w:top w:w="57" w:type="dxa"/>
              <w:left w:w="57" w:type="dxa"/>
              <w:bottom w:w="57" w:type="dxa"/>
              <w:right w:w="57" w:type="dxa"/>
            </w:tcMar>
            <w:vAlign w:val="center"/>
          </w:tcPr>
          <w:p w14:paraId="620FA8B0">
            <w:pPr>
              <w:widowControl/>
              <w:spacing w:line="320" w:lineRule="exact"/>
              <w:jc w:val="center"/>
              <w:textAlignment w:val="center"/>
              <w:rPr>
                <w:rFonts w:hint="eastAsia" w:ascii="宋体" w:hAnsi="宋体" w:cs="宋体"/>
                <w:color w:val="auto"/>
                <w:sz w:val="24"/>
              </w:rPr>
            </w:pPr>
          </w:p>
        </w:tc>
        <w:tc>
          <w:tcPr>
            <w:tcW w:w="623" w:type="dxa"/>
            <w:tcMar>
              <w:top w:w="57" w:type="dxa"/>
              <w:left w:w="57" w:type="dxa"/>
              <w:bottom w:w="57" w:type="dxa"/>
              <w:right w:w="57" w:type="dxa"/>
            </w:tcMar>
            <w:vAlign w:val="center"/>
          </w:tcPr>
          <w:p w14:paraId="2A6399C6">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3</w:t>
            </w:r>
          </w:p>
        </w:tc>
        <w:tc>
          <w:tcPr>
            <w:tcW w:w="775" w:type="dxa"/>
            <w:tcMar>
              <w:top w:w="57" w:type="dxa"/>
              <w:left w:w="57" w:type="dxa"/>
              <w:bottom w:w="57" w:type="dxa"/>
              <w:right w:w="57" w:type="dxa"/>
            </w:tcMar>
            <w:vAlign w:val="center"/>
          </w:tcPr>
          <w:p w14:paraId="720DD386">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个</w:t>
            </w:r>
          </w:p>
        </w:tc>
        <w:tc>
          <w:tcPr>
            <w:tcW w:w="714" w:type="pct"/>
            <w:tcBorders>
              <w:right w:val="single" w:color="000000" w:sz="2" w:space="0"/>
            </w:tcBorders>
            <w:tcMar>
              <w:top w:w="57" w:type="dxa"/>
              <w:left w:w="57" w:type="dxa"/>
              <w:bottom w:w="57" w:type="dxa"/>
              <w:right w:w="57" w:type="dxa"/>
            </w:tcMar>
            <w:vAlign w:val="center"/>
          </w:tcPr>
          <w:p w14:paraId="58675EA1">
            <w:pPr>
              <w:spacing w:line="320" w:lineRule="exact"/>
              <w:jc w:val="center"/>
              <w:rPr>
                <w:rFonts w:hint="eastAsia" w:ascii="宋体" w:hAnsi="宋体" w:cs="宋体"/>
                <w:color w:val="auto"/>
                <w:sz w:val="24"/>
              </w:rPr>
            </w:pPr>
          </w:p>
        </w:tc>
        <w:tc>
          <w:tcPr>
            <w:tcW w:w="778" w:type="pct"/>
            <w:tcBorders>
              <w:left w:val="single" w:color="000000" w:sz="2" w:space="0"/>
            </w:tcBorders>
            <w:tcMar>
              <w:top w:w="57" w:type="dxa"/>
              <w:left w:w="57" w:type="dxa"/>
              <w:bottom w:w="57" w:type="dxa"/>
              <w:right w:w="57" w:type="dxa"/>
            </w:tcMar>
            <w:vAlign w:val="center"/>
          </w:tcPr>
          <w:p w14:paraId="7B4C5F45">
            <w:pPr>
              <w:spacing w:line="320" w:lineRule="exact"/>
              <w:jc w:val="center"/>
              <w:rPr>
                <w:rFonts w:hint="eastAsia" w:ascii="宋体" w:hAnsi="宋体" w:cs="宋体"/>
                <w:color w:val="auto"/>
                <w:sz w:val="24"/>
              </w:rPr>
            </w:pPr>
          </w:p>
        </w:tc>
      </w:tr>
      <w:tr w14:paraId="46A5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tcMar>
              <w:top w:w="57" w:type="dxa"/>
              <w:left w:w="57" w:type="dxa"/>
              <w:bottom w:w="57" w:type="dxa"/>
              <w:right w:w="57" w:type="dxa"/>
            </w:tcMar>
            <w:vAlign w:val="center"/>
          </w:tcPr>
          <w:p w14:paraId="06D48270">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8</w:t>
            </w:r>
          </w:p>
        </w:tc>
        <w:tc>
          <w:tcPr>
            <w:tcW w:w="2152" w:type="dxa"/>
            <w:tcMar>
              <w:top w:w="57" w:type="dxa"/>
              <w:left w:w="57" w:type="dxa"/>
              <w:bottom w:w="57" w:type="dxa"/>
              <w:right w:w="57" w:type="dxa"/>
            </w:tcMar>
            <w:vAlign w:val="center"/>
          </w:tcPr>
          <w:p w14:paraId="0B1035B3">
            <w:pPr>
              <w:widowControl/>
              <w:spacing w:line="320" w:lineRule="exact"/>
              <w:jc w:val="center"/>
              <w:rPr>
                <w:rFonts w:hint="eastAsia" w:ascii="宋体" w:hAnsi="宋体" w:cs="宋体"/>
                <w:bCs/>
                <w:color w:val="auto"/>
                <w:sz w:val="24"/>
              </w:rPr>
            </w:pPr>
            <w:r>
              <w:rPr>
                <w:rFonts w:hint="eastAsia" w:ascii="宋体" w:hAnsi="宋体" w:cs="宋体"/>
                <w:color w:val="auto"/>
                <w:kern w:val="0"/>
                <w:sz w:val="24"/>
              </w:rPr>
              <w:t>网线</w:t>
            </w:r>
          </w:p>
        </w:tc>
        <w:tc>
          <w:tcPr>
            <w:tcW w:w="605" w:type="pct"/>
            <w:tcMar>
              <w:top w:w="57" w:type="dxa"/>
              <w:left w:w="57" w:type="dxa"/>
              <w:bottom w:w="57" w:type="dxa"/>
              <w:right w:w="57" w:type="dxa"/>
            </w:tcMar>
            <w:vAlign w:val="center"/>
          </w:tcPr>
          <w:p w14:paraId="12E4B980">
            <w:pPr>
              <w:widowControl/>
              <w:spacing w:line="320" w:lineRule="exact"/>
              <w:jc w:val="center"/>
              <w:textAlignment w:val="center"/>
              <w:rPr>
                <w:rFonts w:hint="eastAsia" w:ascii="宋体" w:hAnsi="宋体" w:cs="宋体"/>
                <w:color w:val="auto"/>
                <w:sz w:val="24"/>
              </w:rPr>
            </w:pPr>
          </w:p>
        </w:tc>
        <w:tc>
          <w:tcPr>
            <w:tcW w:w="441" w:type="pct"/>
            <w:tcMar>
              <w:top w:w="57" w:type="dxa"/>
              <w:left w:w="57" w:type="dxa"/>
              <w:bottom w:w="57" w:type="dxa"/>
              <w:right w:w="57" w:type="dxa"/>
            </w:tcMar>
            <w:vAlign w:val="center"/>
          </w:tcPr>
          <w:p w14:paraId="2D736226">
            <w:pPr>
              <w:widowControl/>
              <w:spacing w:line="320" w:lineRule="exact"/>
              <w:jc w:val="center"/>
              <w:textAlignment w:val="center"/>
              <w:rPr>
                <w:rFonts w:hint="eastAsia" w:ascii="宋体" w:hAnsi="宋体" w:cs="宋体"/>
                <w:color w:val="auto"/>
                <w:sz w:val="24"/>
              </w:rPr>
            </w:pPr>
          </w:p>
        </w:tc>
        <w:tc>
          <w:tcPr>
            <w:tcW w:w="623" w:type="dxa"/>
            <w:tcMar>
              <w:top w:w="57" w:type="dxa"/>
              <w:left w:w="57" w:type="dxa"/>
              <w:bottom w:w="57" w:type="dxa"/>
              <w:right w:w="57" w:type="dxa"/>
            </w:tcMar>
            <w:vAlign w:val="center"/>
          </w:tcPr>
          <w:p w14:paraId="6AF59AF5">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1</w:t>
            </w:r>
          </w:p>
        </w:tc>
        <w:tc>
          <w:tcPr>
            <w:tcW w:w="775" w:type="dxa"/>
            <w:tcMar>
              <w:top w:w="57" w:type="dxa"/>
              <w:left w:w="57" w:type="dxa"/>
              <w:bottom w:w="57" w:type="dxa"/>
              <w:right w:w="57" w:type="dxa"/>
            </w:tcMar>
            <w:vAlign w:val="center"/>
          </w:tcPr>
          <w:p w14:paraId="36F6B01E">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箱</w:t>
            </w:r>
          </w:p>
        </w:tc>
        <w:tc>
          <w:tcPr>
            <w:tcW w:w="714" w:type="pct"/>
            <w:tcBorders>
              <w:right w:val="single" w:color="000000" w:sz="2" w:space="0"/>
            </w:tcBorders>
            <w:tcMar>
              <w:top w:w="57" w:type="dxa"/>
              <w:left w:w="57" w:type="dxa"/>
              <w:bottom w:w="57" w:type="dxa"/>
              <w:right w:w="57" w:type="dxa"/>
            </w:tcMar>
            <w:vAlign w:val="center"/>
          </w:tcPr>
          <w:p w14:paraId="5EFD9AE7">
            <w:pPr>
              <w:spacing w:line="320" w:lineRule="exact"/>
              <w:jc w:val="center"/>
              <w:rPr>
                <w:rFonts w:hint="eastAsia" w:ascii="宋体" w:hAnsi="宋体" w:cs="宋体"/>
                <w:color w:val="auto"/>
                <w:sz w:val="24"/>
              </w:rPr>
            </w:pPr>
          </w:p>
        </w:tc>
        <w:tc>
          <w:tcPr>
            <w:tcW w:w="778" w:type="pct"/>
            <w:tcBorders>
              <w:left w:val="single" w:color="000000" w:sz="2" w:space="0"/>
            </w:tcBorders>
            <w:tcMar>
              <w:top w:w="57" w:type="dxa"/>
              <w:left w:w="57" w:type="dxa"/>
              <w:bottom w:w="57" w:type="dxa"/>
              <w:right w:w="57" w:type="dxa"/>
            </w:tcMar>
            <w:vAlign w:val="center"/>
          </w:tcPr>
          <w:p w14:paraId="5CFABC2B">
            <w:pPr>
              <w:spacing w:line="320" w:lineRule="exact"/>
              <w:jc w:val="center"/>
              <w:rPr>
                <w:rFonts w:hint="eastAsia" w:ascii="宋体" w:hAnsi="宋体" w:cs="宋体"/>
                <w:color w:val="auto"/>
                <w:sz w:val="24"/>
              </w:rPr>
            </w:pPr>
          </w:p>
        </w:tc>
      </w:tr>
      <w:tr w14:paraId="606D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tcMar>
              <w:top w:w="57" w:type="dxa"/>
              <w:left w:w="57" w:type="dxa"/>
              <w:bottom w:w="57" w:type="dxa"/>
              <w:right w:w="57" w:type="dxa"/>
            </w:tcMar>
            <w:vAlign w:val="center"/>
          </w:tcPr>
          <w:p w14:paraId="4DF3D801">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9</w:t>
            </w:r>
          </w:p>
        </w:tc>
        <w:tc>
          <w:tcPr>
            <w:tcW w:w="2152" w:type="dxa"/>
            <w:tcMar>
              <w:top w:w="57" w:type="dxa"/>
              <w:left w:w="57" w:type="dxa"/>
              <w:bottom w:w="57" w:type="dxa"/>
              <w:right w:w="57" w:type="dxa"/>
            </w:tcMar>
            <w:vAlign w:val="center"/>
          </w:tcPr>
          <w:p w14:paraId="0C46C1C7">
            <w:pPr>
              <w:widowControl/>
              <w:spacing w:line="320" w:lineRule="exact"/>
              <w:jc w:val="center"/>
              <w:rPr>
                <w:rFonts w:hint="eastAsia" w:ascii="宋体" w:hAnsi="宋体" w:cs="宋体"/>
                <w:bCs/>
                <w:color w:val="auto"/>
                <w:sz w:val="24"/>
              </w:rPr>
            </w:pPr>
            <w:r>
              <w:rPr>
                <w:rFonts w:hint="eastAsia" w:ascii="宋体" w:hAnsi="宋体" w:cs="宋体"/>
                <w:color w:val="auto"/>
                <w:kern w:val="0"/>
                <w:sz w:val="24"/>
              </w:rPr>
              <w:t>电源线</w:t>
            </w:r>
          </w:p>
        </w:tc>
        <w:tc>
          <w:tcPr>
            <w:tcW w:w="605" w:type="pct"/>
            <w:tcMar>
              <w:top w:w="57" w:type="dxa"/>
              <w:left w:w="57" w:type="dxa"/>
              <w:bottom w:w="57" w:type="dxa"/>
              <w:right w:w="57" w:type="dxa"/>
            </w:tcMar>
            <w:vAlign w:val="center"/>
          </w:tcPr>
          <w:p w14:paraId="367B9D45">
            <w:pPr>
              <w:widowControl/>
              <w:spacing w:line="320" w:lineRule="exact"/>
              <w:jc w:val="center"/>
              <w:textAlignment w:val="center"/>
              <w:rPr>
                <w:rFonts w:hint="eastAsia" w:ascii="宋体" w:hAnsi="宋体" w:cs="宋体"/>
                <w:color w:val="auto"/>
                <w:sz w:val="24"/>
              </w:rPr>
            </w:pPr>
          </w:p>
        </w:tc>
        <w:tc>
          <w:tcPr>
            <w:tcW w:w="441" w:type="pct"/>
            <w:tcMar>
              <w:top w:w="57" w:type="dxa"/>
              <w:left w:w="57" w:type="dxa"/>
              <w:bottom w:w="57" w:type="dxa"/>
              <w:right w:w="57" w:type="dxa"/>
            </w:tcMar>
            <w:vAlign w:val="center"/>
          </w:tcPr>
          <w:p w14:paraId="1AE33BBE">
            <w:pPr>
              <w:widowControl/>
              <w:spacing w:line="320" w:lineRule="exact"/>
              <w:jc w:val="center"/>
              <w:textAlignment w:val="center"/>
              <w:rPr>
                <w:rFonts w:hint="eastAsia" w:ascii="宋体" w:hAnsi="宋体" w:cs="宋体"/>
                <w:color w:val="auto"/>
                <w:sz w:val="24"/>
              </w:rPr>
            </w:pPr>
          </w:p>
        </w:tc>
        <w:tc>
          <w:tcPr>
            <w:tcW w:w="623" w:type="dxa"/>
            <w:tcMar>
              <w:top w:w="57" w:type="dxa"/>
              <w:left w:w="57" w:type="dxa"/>
              <w:bottom w:w="57" w:type="dxa"/>
              <w:right w:w="57" w:type="dxa"/>
            </w:tcMar>
            <w:vAlign w:val="center"/>
          </w:tcPr>
          <w:p w14:paraId="49D96DF4">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500</w:t>
            </w:r>
          </w:p>
        </w:tc>
        <w:tc>
          <w:tcPr>
            <w:tcW w:w="775" w:type="dxa"/>
            <w:tcMar>
              <w:top w:w="57" w:type="dxa"/>
              <w:left w:w="57" w:type="dxa"/>
              <w:bottom w:w="57" w:type="dxa"/>
              <w:right w:w="57" w:type="dxa"/>
            </w:tcMar>
            <w:vAlign w:val="center"/>
          </w:tcPr>
          <w:p w14:paraId="49018483">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米</w:t>
            </w:r>
          </w:p>
        </w:tc>
        <w:tc>
          <w:tcPr>
            <w:tcW w:w="714" w:type="pct"/>
            <w:tcBorders>
              <w:right w:val="single" w:color="000000" w:sz="2" w:space="0"/>
            </w:tcBorders>
            <w:tcMar>
              <w:top w:w="57" w:type="dxa"/>
              <w:left w:w="57" w:type="dxa"/>
              <w:bottom w:w="57" w:type="dxa"/>
              <w:right w:w="57" w:type="dxa"/>
            </w:tcMar>
            <w:vAlign w:val="center"/>
          </w:tcPr>
          <w:p w14:paraId="06155AC2">
            <w:pPr>
              <w:spacing w:line="320" w:lineRule="exact"/>
              <w:jc w:val="center"/>
              <w:rPr>
                <w:rFonts w:hint="eastAsia" w:ascii="宋体" w:hAnsi="宋体" w:cs="宋体"/>
                <w:color w:val="auto"/>
                <w:sz w:val="24"/>
              </w:rPr>
            </w:pPr>
          </w:p>
        </w:tc>
        <w:tc>
          <w:tcPr>
            <w:tcW w:w="778" w:type="pct"/>
            <w:tcBorders>
              <w:left w:val="single" w:color="000000" w:sz="2" w:space="0"/>
            </w:tcBorders>
            <w:tcMar>
              <w:top w:w="57" w:type="dxa"/>
              <w:left w:w="57" w:type="dxa"/>
              <w:bottom w:w="57" w:type="dxa"/>
              <w:right w:w="57" w:type="dxa"/>
            </w:tcMar>
            <w:vAlign w:val="center"/>
          </w:tcPr>
          <w:p w14:paraId="3842792A">
            <w:pPr>
              <w:spacing w:line="320" w:lineRule="exact"/>
              <w:jc w:val="center"/>
              <w:rPr>
                <w:rFonts w:hint="eastAsia" w:ascii="宋体" w:hAnsi="宋体" w:cs="宋体"/>
                <w:color w:val="auto"/>
                <w:sz w:val="24"/>
              </w:rPr>
            </w:pPr>
          </w:p>
        </w:tc>
      </w:tr>
      <w:tr w14:paraId="1E31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tcMar>
              <w:top w:w="57" w:type="dxa"/>
              <w:left w:w="57" w:type="dxa"/>
              <w:bottom w:w="57" w:type="dxa"/>
              <w:right w:w="57" w:type="dxa"/>
            </w:tcMar>
            <w:vAlign w:val="center"/>
          </w:tcPr>
          <w:p w14:paraId="10847777">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10</w:t>
            </w:r>
          </w:p>
        </w:tc>
        <w:tc>
          <w:tcPr>
            <w:tcW w:w="2152" w:type="dxa"/>
            <w:tcMar>
              <w:top w:w="57" w:type="dxa"/>
              <w:left w:w="57" w:type="dxa"/>
              <w:bottom w:w="57" w:type="dxa"/>
              <w:right w:w="57" w:type="dxa"/>
            </w:tcMar>
            <w:vAlign w:val="center"/>
          </w:tcPr>
          <w:p w14:paraId="29131735">
            <w:pPr>
              <w:widowControl/>
              <w:spacing w:line="320" w:lineRule="exact"/>
              <w:jc w:val="center"/>
              <w:rPr>
                <w:rFonts w:hint="eastAsia" w:ascii="宋体" w:hAnsi="宋体" w:cs="宋体"/>
                <w:bCs/>
                <w:color w:val="auto"/>
                <w:sz w:val="24"/>
              </w:rPr>
            </w:pPr>
            <w:r>
              <w:rPr>
                <w:rFonts w:hint="eastAsia" w:ascii="宋体" w:hAnsi="宋体" w:cs="宋体"/>
                <w:color w:val="auto"/>
                <w:kern w:val="0"/>
                <w:sz w:val="24"/>
              </w:rPr>
              <w:t>光纤</w:t>
            </w:r>
          </w:p>
        </w:tc>
        <w:tc>
          <w:tcPr>
            <w:tcW w:w="605" w:type="pct"/>
            <w:tcMar>
              <w:top w:w="57" w:type="dxa"/>
              <w:left w:w="57" w:type="dxa"/>
              <w:bottom w:w="57" w:type="dxa"/>
              <w:right w:w="57" w:type="dxa"/>
            </w:tcMar>
            <w:vAlign w:val="center"/>
          </w:tcPr>
          <w:p w14:paraId="42BD30CE">
            <w:pPr>
              <w:widowControl/>
              <w:spacing w:line="320" w:lineRule="exact"/>
              <w:jc w:val="center"/>
              <w:textAlignment w:val="center"/>
              <w:rPr>
                <w:rFonts w:hint="eastAsia" w:ascii="宋体" w:hAnsi="宋体" w:cs="宋体"/>
                <w:color w:val="auto"/>
                <w:sz w:val="24"/>
              </w:rPr>
            </w:pPr>
          </w:p>
        </w:tc>
        <w:tc>
          <w:tcPr>
            <w:tcW w:w="441" w:type="pct"/>
            <w:tcMar>
              <w:top w:w="57" w:type="dxa"/>
              <w:left w:w="57" w:type="dxa"/>
              <w:bottom w:w="57" w:type="dxa"/>
              <w:right w:w="57" w:type="dxa"/>
            </w:tcMar>
            <w:vAlign w:val="center"/>
          </w:tcPr>
          <w:p w14:paraId="408C2C0A">
            <w:pPr>
              <w:widowControl/>
              <w:spacing w:line="320" w:lineRule="exact"/>
              <w:jc w:val="center"/>
              <w:textAlignment w:val="center"/>
              <w:rPr>
                <w:rFonts w:hint="eastAsia" w:ascii="宋体" w:hAnsi="宋体" w:cs="宋体"/>
                <w:color w:val="auto"/>
                <w:sz w:val="24"/>
              </w:rPr>
            </w:pPr>
          </w:p>
        </w:tc>
        <w:tc>
          <w:tcPr>
            <w:tcW w:w="623" w:type="dxa"/>
            <w:tcMar>
              <w:top w:w="57" w:type="dxa"/>
              <w:left w:w="57" w:type="dxa"/>
              <w:bottom w:w="57" w:type="dxa"/>
              <w:right w:w="57" w:type="dxa"/>
            </w:tcMar>
            <w:vAlign w:val="center"/>
          </w:tcPr>
          <w:p w14:paraId="0632DAA1">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400</w:t>
            </w:r>
          </w:p>
        </w:tc>
        <w:tc>
          <w:tcPr>
            <w:tcW w:w="775" w:type="dxa"/>
            <w:tcMar>
              <w:top w:w="57" w:type="dxa"/>
              <w:left w:w="57" w:type="dxa"/>
              <w:bottom w:w="57" w:type="dxa"/>
              <w:right w:w="57" w:type="dxa"/>
            </w:tcMar>
            <w:vAlign w:val="center"/>
          </w:tcPr>
          <w:p w14:paraId="244B57F4">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米</w:t>
            </w:r>
          </w:p>
        </w:tc>
        <w:tc>
          <w:tcPr>
            <w:tcW w:w="714" w:type="pct"/>
            <w:tcBorders>
              <w:right w:val="single" w:color="000000" w:sz="2" w:space="0"/>
            </w:tcBorders>
            <w:tcMar>
              <w:top w:w="57" w:type="dxa"/>
              <w:left w:w="57" w:type="dxa"/>
              <w:bottom w:w="57" w:type="dxa"/>
              <w:right w:w="57" w:type="dxa"/>
            </w:tcMar>
            <w:vAlign w:val="center"/>
          </w:tcPr>
          <w:p w14:paraId="4F2A7368">
            <w:pPr>
              <w:spacing w:line="320" w:lineRule="exact"/>
              <w:jc w:val="center"/>
              <w:rPr>
                <w:rFonts w:hint="eastAsia" w:ascii="宋体" w:hAnsi="宋体" w:cs="宋体"/>
                <w:color w:val="auto"/>
                <w:sz w:val="24"/>
              </w:rPr>
            </w:pPr>
          </w:p>
        </w:tc>
        <w:tc>
          <w:tcPr>
            <w:tcW w:w="778" w:type="pct"/>
            <w:tcBorders>
              <w:left w:val="single" w:color="000000" w:sz="2" w:space="0"/>
            </w:tcBorders>
            <w:tcMar>
              <w:top w:w="57" w:type="dxa"/>
              <w:left w:w="57" w:type="dxa"/>
              <w:bottom w:w="57" w:type="dxa"/>
              <w:right w:w="57" w:type="dxa"/>
            </w:tcMar>
            <w:vAlign w:val="center"/>
          </w:tcPr>
          <w:p w14:paraId="11277232">
            <w:pPr>
              <w:spacing w:line="320" w:lineRule="exact"/>
              <w:jc w:val="center"/>
              <w:rPr>
                <w:rFonts w:hint="eastAsia" w:ascii="宋体" w:hAnsi="宋体" w:cs="宋体"/>
                <w:color w:val="auto"/>
                <w:sz w:val="24"/>
              </w:rPr>
            </w:pPr>
          </w:p>
        </w:tc>
      </w:tr>
      <w:tr w14:paraId="64F8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tcMar>
              <w:top w:w="57" w:type="dxa"/>
              <w:left w:w="57" w:type="dxa"/>
              <w:bottom w:w="57" w:type="dxa"/>
              <w:right w:w="57" w:type="dxa"/>
            </w:tcMar>
            <w:vAlign w:val="center"/>
          </w:tcPr>
          <w:p w14:paraId="058C94D2">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11</w:t>
            </w:r>
          </w:p>
        </w:tc>
        <w:tc>
          <w:tcPr>
            <w:tcW w:w="2152" w:type="dxa"/>
            <w:tcMar>
              <w:top w:w="57" w:type="dxa"/>
              <w:left w:w="57" w:type="dxa"/>
              <w:bottom w:w="57" w:type="dxa"/>
              <w:right w:w="57" w:type="dxa"/>
            </w:tcMar>
            <w:vAlign w:val="center"/>
          </w:tcPr>
          <w:p w14:paraId="6A46B872">
            <w:pPr>
              <w:widowControl/>
              <w:spacing w:line="320" w:lineRule="exact"/>
              <w:jc w:val="center"/>
              <w:rPr>
                <w:rFonts w:hint="eastAsia" w:ascii="宋体" w:hAnsi="宋体" w:cs="宋体"/>
                <w:bCs/>
                <w:color w:val="auto"/>
                <w:sz w:val="24"/>
              </w:rPr>
            </w:pPr>
            <w:r>
              <w:rPr>
                <w:rFonts w:hint="eastAsia" w:ascii="宋体" w:hAnsi="宋体" w:cs="宋体"/>
                <w:color w:val="auto"/>
                <w:kern w:val="0"/>
                <w:sz w:val="24"/>
              </w:rPr>
              <w:t>管材</w:t>
            </w:r>
          </w:p>
        </w:tc>
        <w:tc>
          <w:tcPr>
            <w:tcW w:w="605" w:type="pct"/>
            <w:tcMar>
              <w:top w:w="57" w:type="dxa"/>
              <w:left w:w="57" w:type="dxa"/>
              <w:bottom w:w="57" w:type="dxa"/>
              <w:right w:w="57" w:type="dxa"/>
            </w:tcMar>
            <w:vAlign w:val="center"/>
          </w:tcPr>
          <w:p w14:paraId="4AB5790B">
            <w:pPr>
              <w:widowControl/>
              <w:spacing w:line="320" w:lineRule="exact"/>
              <w:jc w:val="center"/>
              <w:textAlignment w:val="center"/>
              <w:rPr>
                <w:rFonts w:hint="eastAsia" w:ascii="宋体" w:hAnsi="宋体" w:cs="宋体"/>
                <w:color w:val="auto"/>
                <w:sz w:val="24"/>
              </w:rPr>
            </w:pPr>
          </w:p>
        </w:tc>
        <w:tc>
          <w:tcPr>
            <w:tcW w:w="441" w:type="pct"/>
            <w:tcMar>
              <w:top w:w="57" w:type="dxa"/>
              <w:left w:w="57" w:type="dxa"/>
              <w:bottom w:w="57" w:type="dxa"/>
              <w:right w:w="57" w:type="dxa"/>
            </w:tcMar>
            <w:vAlign w:val="center"/>
          </w:tcPr>
          <w:p w14:paraId="207F548A">
            <w:pPr>
              <w:widowControl/>
              <w:spacing w:line="320" w:lineRule="exact"/>
              <w:jc w:val="center"/>
              <w:textAlignment w:val="center"/>
              <w:rPr>
                <w:rFonts w:hint="eastAsia" w:ascii="宋体" w:hAnsi="宋体" w:cs="宋体"/>
                <w:color w:val="auto"/>
                <w:sz w:val="24"/>
              </w:rPr>
            </w:pPr>
          </w:p>
        </w:tc>
        <w:tc>
          <w:tcPr>
            <w:tcW w:w="623" w:type="dxa"/>
            <w:tcMar>
              <w:top w:w="57" w:type="dxa"/>
              <w:left w:w="57" w:type="dxa"/>
              <w:bottom w:w="57" w:type="dxa"/>
              <w:right w:w="57" w:type="dxa"/>
            </w:tcMar>
            <w:vAlign w:val="center"/>
          </w:tcPr>
          <w:p w14:paraId="27FAC060">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400</w:t>
            </w:r>
          </w:p>
        </w:tc>
        <w:tc>
          <w:tcPr>
            <w:tcW w:w="775" w:type="dxa"/>
            <w:tcMar>
              <w:top w:w="57" w:type="dxa"/>
              <w:left w:w="57" w:type="dxa"/>
              <w:bottom w:w="57" w:type="dxa"/>
              <w:right w:w="57" w:type="dxa"/>
            </w:tcMar>
            <w:vAlign w:val="center"/>
          </w:tcPr>
          <w:p w14:paraId="76E6D9E7">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米</w:t>
            </w:r>
          </w:p>
        </w:tc>
        <w:tc>
          <w:tcPr>
            <w:tcW w:w="714" w:type="pct"/>
            <w:tcBorders>
              <w:right w:val="single" w:color="000000" w:sz="2" w:space="0"/>
            </w:tcBorders>
            <w:tcMar>
              <w:top w:w="57" w:type="dxa"/>
              <w:left w:w="57" w:type="dxa"/>
              <w:bottom w:w="57" w:type="dxa"/>
              <w:right w:w="57" w:type="dxa"/>
            </w:tcMar>
            <w:vAlign w:val="center"/>
          </w:tcPr>
          <w:p w14:paraId="2D520155">
            <w:pPr>
              <w:spacing w:line="320" w:lineRule="exact"/>
              <w:jc w:val="center"/>
              <w:rPr>
                <w:rFonts w:hint="eastAsia" w:ascii="宋体" w:hAnsi="宋体" w:cs="宋体"/>
                <w:color w:val="auto"/>
                <w:sz w:val="24"/>
              </w:rPr>
            </w:pPr>
          </w:p>
        </w:tc>
        <w:tc>
          <w:tcPr>
            <w:tcW w:w="778" w:type="pct"/>
            <w:tcBorders>
              <w:left w:val="single" w:color="000000" w:sz="2" w:space="0"/>
            </w:tcBorders>
            <w:tcMar>
              <w:top w:w="57" w:type="dxa"/>
              <w:left w:w="57" w:type="dxa"/>
              <w:bottom w:w="57" w:type="dxa"/>
              <w:right w:w="57" w:type="dxa"/>
            </w:tcMar>
            <w:vAlign w:val="center"/>
          </w:tcPr>
          <w:p w14:paraId="130D6018">
            <w:pPr>
              <w:spacing w:line="320" w:lineRule="exact"/>
              <w:jc w:val="center"/>
              <w:rPr>
                <w:rFonts w:hint="eastAsia" w:ascii="宋体" w:hAnsi="宋体" w:cs="宋体"/>
                <w:color w:val="auto"/>
                <w:sz w:val="24"/>
              </w:rPr>
            </w:pPr>
          </w:p>
        </w:tc>
      </w:tr>
      <w:tr w14:paraId="7D83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tcMar>
              <w:top w:w="57" w:type="dxa"/>
              <w:left w:w="57" w:type="dxa"/>
              <w:bottom w:w="57" w:type="dxa"/>
              <w:right w:w="57" w:type="dxa"/>
            </w:tcMar>
            <w:vAlign w:val="center"/>
          </w:tcPr>
          <w:p w14:paraId="0F966148">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12</w:t>
            </w:r>
          </w:p>
        </w:tc>
        <w:tc>
          <w:tcPr>
            <w:tcW w:w="2152" w:type="dxa"/>
            <w:tcMar>
              <w:top w:w="57" w:type="dxa"/>
              <w:left w:w="57" w:type="dxa"/>
              <w:bottom w:w="57" w:type="dxa"/>
              <w:right w:w="57" w:type="dxa"/>
            </w:tcMar>
            <w:vAlign w:val="center"/>
          </w:tcPr>
          <w:p w14:paraId="45FAD4D4">
            <w:pPr>
              <w:widowControl/>
              <w:spacing w:line="320" w:lineRule="exact"/>
              <w:jc w:val="center"/>
              <w:rPr>
                <w:rFonts w:hint="eastAsia" w:ascii="宋体" w:hAnsi="宋体" w:cs="宋体"/>
                <w:bCs/>
                <w:color w:val="auto"/>
                <w:sz w:val="24"/>
              </w:rPr>
            </w:pPr>
            <w:r>
              <w:rPr>
                <w:rFonts w:hint="eastAsia" w:ascii="宋体" w:hAnsi="宋体" w:cs="宋体"/>
                <w:color w:val="auto"/>
                <w:kern w:val="0"/>
                <w:sz w:val="24"/>
              </w:rPr>
              <w:t>安装调试</w:t>
            </w:r>
          </w:p>
        </w:tc>
        <w:tc>
          <w:tcPr>
            <w:tcW w:w="605" w:type="pct"/>
            <w:tcMar>
              <w:top w:w="57" w:type="dxa"/>
              <w:left w:w="57" w:type="dxa"/>
              <w:bottom w:w="57" w:type="dxa"/>
              <w:right w:w="57" w:type="dxa"/>
            </w:tcMar>
            <w:vAlign w:val="center"/>
          </w:tcPr>
          <w:p w14:paraId="3B658DE9">
            <w:pPr>
              <w:widowControl/>
              <w:spacing w:line="320" w:lineRule="exact"/>
              <w:jc w:val="center"/>
              <w:textAlignment w:val="center"/>
              <w:rPr>
                <w:rFonts w:hint="eastAsia" w:ascii="宋体" w:hAnsi="宋体" w:cs="宋体"/>
                <w:color w:val="auto"/>
                <w:sz w:val="24"/>
              </w:rPr>
            </w:pPr>
          </w:p>
        </w:tc>
        <w:tc>
          <w:tcPr>
            <w:tcW w:w="441" w:type="pct"/>
            <w:tcMar>
              <w:top w:w="57" w:type="dxa"/>
              <w:left w:w="57" w:type="dxa"/>
              <w:bottom w:w="57" w:type="dxa"/>
              <w:right w:w="57" w:type="dxa"/>
            </w:tcMar>
            <w:vAlign w:val="center"/>
          </w:tcPr>
          <w:p w14:paraId="754709B5">
            <w:pPr>
              <w:widowControl/>
              <w:spacing w:line="320" w:lineRule="exact"/>
              <w:jc w:val="center"/>
              <w:textAlignment w:val="center"/>
              <w:rPr>
                <w:rFonts w:hint="eastAsia" w:ascii="宋体" w:hAnsi="宋体" w:cs="宋体"/>
                <w:color w:val="auto"/>
                <w:sz w:val="24"/>
              </w:rPr>
            </w:pPr>
          </w:p>
        </w:tc>
        <w:tc>
          <w:tcPr>
            <w:tcW w:w="623" w:type="dxa"/>
            <w:tcMar>
              <w:top w:w="57" w:type="dxa"/>
              <w:left w:w="57" w:type="dxa"/>
              <w:bottom w:w="57" w:type="dxa"/>
              <w:right w:w="57" w:type="dxa"/>
            </w:tcMar>
            <w:vAlign w:val="center"/>
          </w:tcPr>
          <w:p w14:paraId="42A14DA0">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1</w:t>
            </w:r>
          </w:p>
        </w:tc>
        <w:tc>
          <w:tcPr>
            <w:tcW w:w="775" w:type="dxa"/>
            <w:tcMar>
              <w:top w:w="57" w:type="dxa"/>
              <w:left w:w="57" w:type="dxa"/>
              <w:bottom w:w="57" w:type="dxa"/>
              <w:right w:w="57" w:type="dxa"/>
            </w:tcMar>
            <w:vAlign w:val="center"/>
          </w:tcPr>
          <w:p w14:paraId="2156FCE6">
            <w:pPr>
              <w:widowControl/>
              <w:spacing w:line="320" w:lineRule="exact"/>
              <w:jc w:val="center"/>
              <w:rPr>
                <w:rFonts w:hint="eastAsia" w:ascii="宋体" w:hAnsi="宋体" w:cs="宋体"/>
                <w:color w:val="auto"/>
                <w:sz w:val="24"/>
              </w:rPr>
            </w:pPr>
            <w:r>
              <w:rPr>
                <w:rFonts w:hint="eastAsia" w:ascii="宋体" w:hAnsi="宋体" w:cs="宋体"/>
                <w:color w:val="auto"/>
                <w:kern w:val="0"/>
                <w:sz w:val="24"/>
              </w:rPr>
              <w:t>项</w:t>
            </w:r>
          </w:p>
        </w:tc>
        <w:tc>
          <w:tcPr>
            <w:tcW w:w="714" w:type="pct"/>
            <w:tcBorders>
              <w:right w:val="single" w:color="000000" w:sz="2" w:space="0"/>
            </w:tcBorders>
            <w:tcMar>
              <w:top w:w="57" w:type="dxa"/>
              <w:left w:w="57" w:type="dxa"/>
              <w:bottom w:w="57" w:type="dxa"/>
              <w:right w:w="57" w:type="dxa"/>
            </w:tcMar>
            <w:vAlign w:val="center"/>
          </w:tcPr>
          <w:p w14:paraId="6FF60B76">
            <w:pPr>
              <w:spacing w:line="320" w:lineRule="exact"/>
              <w:jc w:val="center"/>
              <w:rPr>
                <w:rFonts w:hint="eastAsia" w:ascii="宋体" w:hAnsi="宋体" w:cs="宋体"/>
                <w:color w:val="auto"/>
                <w:sz w:val="24"/>
              </w:rPr>
            </w:pPr>
          </w:p>
        </w:tc>
        <w:tc>
          <w:tcPr>
            <w:tcW w:w="778" w:type="pct"/>
            <w:tcBorders>
              <w:left w:val="single" w:color="000000" w:sz="2" w:space="0"/>
            </w:tcBorders>
            <w:tcMar>
              <w:top w:w="57" w:type="dxa"/>
              <w:left w:w="57" w:type="dxa"/>
              <w:bottom w:w="57" w:type="dxa"/>
              <w:right w:w="57" w:type="dxa"/>
            </w:tcMar>
            <w:vAlign w:val="center"/>
          </w:tcPr>
          <w:p w14:paraId="33EDA424">
            <w:pPr>
              <w:spacing w:line="320" w:lineRule="exact"/>
              <w:jc w:val="center"/>
              <w:rPr>
                <w:rFonts w:hint="eastAsia" w:ascii="宋体" w:hAnsi="宋体" w:cs="宋体"/>
                <w:color w:val="auto"/>
                <w:sz w:val="24"/>
              </w:rPr>
            </w:pPr>
          </w:p>
        </w:tc>
      </w:tr>
      <w:tr w14:paraId="07D7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exact"/>
          <w:jc w:val="center"/>
        </w:trPr>
        <w:tc>
          <w:tcPr>
            <w:tcW w:w="4221" w:type="pct"/>
            <w:gridSpan w:val="7"/>
            <w:tcBorders>
              <w:right w:val="single" w:color="000000" w:sz="2" w:space="0"/>
            </w:tcBorders>
            <w:tcMar>
              <w:top w:w="57" w:type="dxa"/>
              <w:left w:w="57" w:type="dxa"/>
              <w:bottom w:w="57" w:type="dxa"/>
              <w:right w:w="57" w:type="dxa"/>
            </w:tcMar>
            <w:vAlign w:val="center"/>
          </w:tcPr>
          <w:p w14:paraId="3F0A8DF9">
            <w:pPr>
              <w:spacing w:line="320" w:lineRule="exact"/>
              <w:jc w:val="center"/>
              <w:rPr>
                <w:rFonts w:hint="eastAsia" w:ascii="宋体" w:hAnsi="宋体" w:cs="宋体"/>
                <w:b/>
                <w:bCs/>
                <w:color w:val="auto"/>
                <w:sz w:val="24"/>
              </w:rPr>
            </w:pPr>
            <w:r>
              <w:rPr>
                <w:rFonts w:hint="eastAsia" w:ascii="宋体" w:hAnsi="宋体" w:cs="宋体"/>
                <w:b/>
                <w:bCs/>
                <w:color w:val="auto"/>
                <w:sz w:val="24"/>
              </w:rPr>
              <w:t>总计（元）</w:t>
            </w:r>
          </w:p>
        </w:tc>
        <w:tc>
          <w:tcPr>
            <w:tcW w:w="778" w:type="pct"/>
            <w:tcBorders>
              <w:left w:val="single" w:color="000000" w:sz="2" w:space="0"/>
            </w:tcBorders>
            <w:tcMar>
              <w:top w:w="57" w:type="dxa"/>
              <w:left w:w="57" w:type="dxa"/>
              <w:bottom w:w="57" w:type="dxa"/>
              <w:right w:w="57" w:type="dxa"/>
            </w:tcMar>
            <w:vAlign w:val="center"/>
          </w:tcPr>
          <w:p w14:paraId="348C5565">
            <w:pPr>
              <w:spacing w:line="320" w:lineRule="exact"/>
              <w:rPr>
                <w:rFonts w:hint="eastAsia" w:ascii="宋体" w:hAnsi="宋体" w:cs="宋体"/>
                <w:b/>
                <w:bCs/>
                <w:color w:val="auto"/>
                <w:sz w:val="24"/>
              </w:rPr>
            </w:pPr>
          </w:p>
        </w:tc>
      </w:tr>
    </w:tbl>
    <w:p w14:paraId="01BAFB2C">
      <w:pPr>
        <w:snapToGrid w:val="0"/>
        <w:spacing w:line="500" w:lineRule="exact"/>
        <w:ind w:left="1322" w:hanging="1321" w:hangingChars="472"/>
        <w:rPr>
          <w:rFonts w:hint="eastAsia" w:hAnsi="宋体" w:cs="宋体"/>
          <w:color w:val="auto"/>
          <w:sz w:val="28"/>
          <w:szCs w:val="28"/>
        </w:rPr>
      </w:pPr>
    </w:p>
    <w:p w14:paraId="3FA4F15C">
      <w:pPr>
        <w:snapToGrid w:val="0"/>
        <w:spacing w:line="500" w:lineRule="exact"/>
        <w:ind w:left="1133" w:hanging="1132" w:hangingChars="472"/>
        <w:rPr>
          <w:rFonts w:hint="eastAsia" w:hAnsi="宋体" w:cs="宋体"/>
          <w:color w:val="auto"/>
          <w:sz w:val="24"/>
        </w:rPr>
      </w:pPr>
      <w:r>
        <w:rPr>
          <w:rFonts w:hint="eastAsia" w:hAnsi="宋体" w:cs="宋体"/>
          <w:color w:val="auto"/>
          <w:sz w:val="24"/>
        </w:rPr>
        <w:t xml:space="preserve">投标人名称：（盖章）             </w:t>
      </w:r>
    </w:p>
    <w:p w14:paraId="0CFF306B">
      <w:pPr>
        <w:snapToGrid w:val="0"/>
        <w:spacing w:line="500" w:lineRule="exact"/>
        <w:ind w:left="1133" w:hanging="1132" w:hangingChars="472"/>
        <w:rPr>
          <w:rFonts w:hint="eastAsia" w:hAnsi="宋体" w:cs="宋体"/>
          <w:color w:val="auto"/>
          <w:sz w:val="24"/>
        </w:rPr>
      </w:pPr>
      <w:r>
        <w:rPr>
          <w:rFonts w:hint="eastAsia" w:hAnsi="宋体" w:cs="宋体"/>
          <w:color w:val="auto"/>
          <w:sz w:val="24"/>
        </w:rPr>
        <w:t>法定代表人或授权委托人（签字）：</w:t>
      </w:r>
    </w:p>
    <w:p w14:paraId="7C89D624">
      <w:pPr>
        <w:snapToGrid w:val="0"/>
        <w:spacing w:line="500" w:lineRule="exact"/>
        <w:ind w:left="1133" w:hanging="1132" w:hangingChars="472"/>
        <w:rPr>
          <w:rFonts w:hint="eastAsia" w:hAnsi="宋体" w:cs="宋体"/>
          <w:color w:val="auto"/>
          <w:sz w:val="24"/>
        </w:rPr>
      </w:pPr>
      <w:r>
        <w:rPr>
          <w:rFonts w:hint="eastAsia" w:hAnsi="宋体" w:cs="宋体"/>
          <w:color w:val="auto"/>
          <w:sz w:val="24"/>
        </w:rPr>
        <w:t>日期：</w:t>
      </w:r>
    </w:p>
    <w:p w14:paraId="164E9F09">
      <w:pPr>
        <w:rPr>
          <w:rFonts w:hint="eastAsia" w:hAnsi="宋体" w:cs="宋体"/>
          <w:b/>
          <w:color w:val="auto"/>
          <w:sz w:val="24"/>
        </w:rPr>
        <w:sectPr>
          <w:headerReference r:id="rId7" w:type="default"/>
          <w:pgSz w:w="11905" w:h="16838"/>
          <w:pgMar w:top="1361" w:right="1304" w:bottom="1361" w:left="1361" w:header="850" w:footer="850" w:gutter="0"/>
          <w:cols w:space="720" w:num="1"/>
          <w:docGrid w:linePitch="312" w:charSpace="0"/>
        </w:sectPr>
      </w:pPr>
    </w:p>
    <w:p w14:paraId="3218052E">
      <w:pPr>
        <w:snapToGrid w:val="0"/>
        <w:spacing w:line="400" w:lineRule="exact"/>
        <w:contextualSpacing/>
        <w:rPr>
          <w:rFonts w:hint="eastAsia" w:ascii="宋体" w:hAnsi="宋体" w:cs="宋体"/>
          <w:b/>
          <w:color w:val="auto"/>
          <w:kern w:val="0"/>
          <w:sz w:val="28"/>
          <w:szCs w:val="28"/>
        </w:rPr>
      </w:pPr>
      <w:r>
        <w:rPr>
          <w:rFonts w:hint="eastAsia" w:ascii="宋体" w:hAnsi="宋体" w:cs="宋体"/>
          <w:color w:val="auto"/>
          <w:sz w:val="32"/>
          <w:szCs w:val="32"/>
        </w:rPr>
        <w:t>附件12</w:t>
      </w:r>
    </w:p>
    <w:p w14:paraId="0FE6E304">
      <w:pPr>
        <w:spacing w:line="460" w:lineRule="exact"/>
        <w:jc w:val="center"/>
        <w:rPr>
          <w:rFonts w:hint="eastAsia" w:ascii="宋体" w:hAnsi="宋体" w:cs="宋体"/>
          <w:bCs/>
          <w:color w:val="auto"/>
          <w:sz w:val="24"/>
        </w:rPr>
      </w:pPr>
      <w:r>
        <w:rPr>
          <w:rFonts w:hint="eastAsia" w:ascii="宋体" w:hAnsi="宋体" w:cs="宋体"/>
          <w:bCs/>
          <w:color w:val="auto"/>
          <w:sz w:val="24"/>
        </w:rPr>
        <w:t>质疑函范本</w:t>
      </w:r>
    </w:p>
    <w:p w14:paraId="16D7422D">
      <w:pPr>
        <w:adjustRightInd w:val="0"/>
        <w:snapToGrid w:val="0"/>
        <w:spacing w:before="312" w:beforeLines="100" w:line="460" w:lineRule="exact"/>
        <w:rPr>
          <w:rFonts w:hint="eastAsia" w:ascii="宋体" w:hAnsi="宋体" w:cs="宋体"/>
          <w:bCs/>
          <w:color w:val="auto"/>
          <w:sz w:val="24"/>
        </w:rPr>
      </w:pPr>
      <w:r>
        <w:rPr>
          <w:rFonts w:hint="eastAsia" w:ascii="宋体" w:hAnsi="宋体" w:cs="宋体"/>
          <w:bCs/>
          <w:color w:val="auto"/>
          <w:sz w:val="24"/>
        </w:rPr>
        <w:t>一、质疑供应商基本信息</w:t>
      </w:r>
    </w:p>
    <w:p w14:paraId="5615D49D">
      <w:pPr>
        <w:adjustRightInd w:val="0"/>
        <w:snapToGrid w:val="0"/>
        <w:spacing w:line="460" w:lineRule="exact"/>
        <w:rPr>
          <w:rFonts w:hint="eastAsia" w:ascii="宋体" w:hAnsi="宋体" w:cs="宋体"/>
          <w:color w:val="auto"/>
          <w:sz w:val="24"/>
          <w:u w:val="dotted"/>
        </w:rPr>
      </w:pPr>
      <w:r>
        <w:rPr>
          <w:rFonts w:hint="eastAsia" w:ascii="宋体" w:hAnsi="宋体" w:cs="宋体"/>
          <w:color w:val="auto"/>
          <w:sz w:val="24"/>
        </w:rPr>
        <w:t>质疑供应商：</w:t>
      </w:r>
    </w:p>
    <w:p w14:paraId="5A44C01E">
      <w:pPr>
        <w:adjustRightInd w:val="0"/>
        <w:snapToGrid w:val="0"/>
        <w:spacing w:line="460" w:lineRule="exact"/>
        <w:rPr>
          <w:rFonts w:hint="eastAsia" w:ascii="宋体" w:hAnsi="宋体" w:cs="宋体"/>
          <w:color w:val="auto"/>
          <w:sz w:val="24"/>
        </w:rPr>
      </w:pPr>
      <w:r>
        <w:rPr>
          <w:rFonts w:hint="eastAsia" w:ascii="宋体" w:hAnsi="宋体" w:cs="宋体"/>
          <w:color w:val="auto"/>
          <w:sz w:val="24"/>
        </w:rPr>
        <w:t>地址：邮编：</w:t>
      </w:r>
    </w:p>
    <w:p w14:paraId="77333600">
      <w:pPr>
        <w:adjustRightInd w:val="0"/>
        <w:snapToGrid w:val="0"/>
        <w:spacing w:line="460" w:lineRule="exact"/>
        <w:rPr>
          <w:rFonts w:hint="eastAsia" w:ascii="宋体" w:hAnsi="宋体" w:cs="宋体"/>
          <w:color w:val="auto"/>
          <w:sz w:val="24"/>
        </w:rPr>
      </w:pPr>
      <w:r>
        <w:rPr>
          <w:rFonts w:hint="eastAsia" w:ascii="宋体" w:hAnsi="宋体" w:cs="宋体"/>
          <w:color w:val="auto"/>
          <w:sz w:val="24"/>
        </w:rPr>
        <w:t>联系人：联系电话：</w:t>
      </w:r>
    </w:p>
    <w:p w14:paraId="53E72CB0">
      <w:pPr>
        <w:adjustRightInd w:val="0"/>
        <w:snapToGrid w:val="0"/>
        <w:spacing w:line="460" w:lineRule="exact"/>
        <w:rPr>
          <w:rFonts w:hint="eastAsia" w:ascii="宋体" w:hAnsi="宋体" w:cs="宋体"/>
          <w:color w:val="auto"/>
          <w:sz w:val="24"/>
          <w:u w:val="dotted"/>
        </w:rPr>
      </w:pPr>
      <w:r>
        <w:rPr>
          <w:rFonts w:hint="eastAsia" w:ascii="宋体" w:hAnsi="宋体" w:cs="宋体"/>
          <w:color w:val="auto"/>
          <w:sz w:val="24"/>
        </w:rPr>
        <w:t>授权代表：</w:t>
      </w:r>
    </w:p>
    <w:p w14:paraId="17513DD6">
      <w:pPr>
        <w:adjustRightInd w:val="0"/>
        <w:snapToGrid w:val="0"/>
        <w:spacing w:line="460" w:lineRule="exact"/>
        <w:rPr>
          <w:rFonts w:hint="eastAsia" w:ascii="宋体" w:hAnsi="宋体" w:cs="宋体"/>
          <w:color w:val="auto"/>
          <w:sz w:val="24"/>
        </w:rPr>
      </w:pPr>
      <w:r>
        <w:rPr>
          <w:rFonts w:hint="eastAsia" w:ascii="宋体" w:hAnsi="宋体" w:cs="宋体"/>
          <w:color w:val="auto"/>
          <w:sz w:val="24"/>
        </w:rPr>
        <w:t>联系电话：</w:t>
      </w:r>
    </w:p>
    <w:p w14:paraId="123856F6">
      <w:pPr>
        <w:adjustRightInd w:val="0"/>
        <w:snapToGrid w:val="0"/>
        <w:spacing w:line="460" w:lineRule="exact"/>
        <w:rPr>
          <w:rFonts w:hint="eastAsia" w:ascii="宋体" w:hAnsi="宋体" w:cs="宋体"/>
          <w:color w:val="auto"/>
          <w:sz w:val="24"/>
        </w:rPr>
      </w:pPr>
      <w:r>
        <w:rPr>
          <w:rFonts w:hint="eastAsia" w:ascii="宋体" w:hAnsi="宋体" w:cs="宋体"/>
          <w:color w:val="auto"/>
          <w:sz w:val="24"/>
        </w:rPr>
        <w:t>地址：邮编：</w:t>
      </w:r>
    </w:p>
    <w:p w14:paraId="68F220AF">
      <w:pPr>
        <w:adjustRightInd w:val="0"/>
        <w:snapToGrid w:val="0"/>
        <w:spacing w:line="460" w:lineRule="exact"/>
        <w:rPr>
          <w:rFonts w:hint="eastAsia" w:ascii="宋体" w:hAnsi="宋体" w:cs="宋体"/>
          <w:bCs/>
          <w:color w:val="auto"/>
          <w:sz w:val="24"/>
        </w:rPr>
      </w:pPr>
      <w:r>
        <w:rPr>
          <w:rFonts w:hint="eastAsia" w:ascii="宋体" w:hAnsi="宋体" w:cs="宋体"/>
          <w:bCs/>
          <w:color w:val="auto"/>
          <w:sz w:val="24"/>
        </w:rPr>
        <w:t>二、质疑项目基本情况</w:t>
      </w:r>
    </w:p>
    <w:p w14:paraId="58E19007">
      <w:pPr>
        <w:adjustRightInd w:val="0"/>
        <w:snapToGrid w:val="0"/>
        <w:spacing w:line="460" w:lineRule="exact"/>
        <w:rPr>
          <w:rFonts w:hint="eastAsia" w:ascii="宋体" w:hAnsi="宋体" w:cs="宋体"/>
          <w:color w:val="auto"/>
          <w:sz w:val="24"/>
        </w:rPr>
      </w:pPr>
      <w:r>
        <w:rPr>
          <w:rFonts w:hint="eastAsia" w:ascii="宋体" w:hAnsi="宋体" w:cs="宋体"/>
          <w:color w:val="auto"/>
          <w:sz w:val="24"/>
        </w:rPr>
        <w:t>质疑项目的名称：</w:t>
      </w:r>
    </w:p>
    <w:p w14:paraId="7F51D9FB">
      <w:pPr>
        <w:adjustRightInd w:val="0"/>
        <w:snapToGrid w:val="0"/>
        <w:spacing w:line="460" w:lineRule="exact"/>
        <w:rPr>
          <w:rFonts w:hint="eastAsia" w:ascii="宋体" w:hAnsi="宋体" w:cs="宋体"/>
          <w:color w:val="auto"/>
          <w:sz w:val="24"/>
        </w:rPr>
      </w:pPr>
      <w:r>
        <w:rPr>
          <w:rFonts w:hint="eastAsia" w:ascii="宋体" w:hAnsi="宋体" w:cs="宋体"/>
          <w:color w:val="auto"/>
          <w:sz w:val="24"/>
        </w:rPr>
        <w:t>质疑项目的编号：包号：</w:t>
      </w:r>
    </w:p>
    <w:p w14:paraId="544EC06B">
      <w:pPr>
        <w:adjustRightInd w:val="0"/>
        <w:snapToGrid w:val="0"/>
        <w:spacing w:line="460" w:lineRule="exact"/>
        <w:rPr>
          <w:rFonts w:hint="eastAsia" w:ascii="宋体" w:hAnsi="宋体" w:cs="宋体"/>
          <w:color w:val="auto"/>
          <w:sz w:val="24"/>
          <w:u w:val="dotted"/>
        </w:rPr>
      </w:pPr>
      <w:r>
        <w:rPr>
          <w:rFonts w:hint="eastAsia" w:ascii="宋体" w:hAnsi="宋体" w:cs="宋体"/>
          <w:color w:val="auto"/>
          <w:sz w:val="24"/>
        </w:rPr>
        <w:t>招标人名称：</w:t>
      </w:r>
    </w:p>
    <w:p w14:paraId="5AD1133C">
      <w:pPr>
        <w:adjustRightInd w:val="0"/>
        <w:snapToGrid w:val="0"/>
        <w:spacing w:line="460" w:lineRule="exact"/>
        <w:rPr>
          <w:rFonts w:hint="eastAsia" w:ascii="宋体" w:hAnsi="宋体" w:cs="宋体"/>
          <w:color w:val="auto"/>
          <w:sz w:val="24"/>
        </w:rPr>
      </w:pPr>
      <w:r>
        <w:rPr>
          <w:rFonts w:hint="eastAsia" w:ascii="宋体" w:hAnsi="宋体" w:cs="宋体"/>
          <w:color w:val="auto"/>
          <w:sz w:val="24"/>
        </w:rPr>
        <w:t>采购文件获取日期：</w:t>
      </w:r>
    </w:p>
    <w:p w14:paraId="72E04B61">
      <w:pPr>
        <w:adjustRightInd w:val="0"/>
        <w:snapToGrid w:val="0"/>
        <w:spacing w:line="460" w:lineRule="exact"/>
        <w:rPr>
          <w:rFonts w:hint="eastAsia" w:ascii="宋体" w:hAnsi="宋体" w:cs="宋体"/>
          <w:bCs/>
          <w:color w:val="auto"/>
          <w:sz w:val="24"/>
        </w:rPr>
      </w:pPr>
      <w:r>
        <w:rPr>
          <w:rFonts w:hint="eastAsia" w:ascii="宋体" w:hAnsi="宋体" w:cs="宋体"/>
          <w:bCs/>
          <w:color w:val="auto"/>
          <w:sz w:val="24"/>
        </w:rPr>
        <w:t>三、质疑事项具体内容</w:t>
      </w:r>
    </w:p>
    <w:p w14:paraId="4B6EDE40">
      <w:pPr>
        <w:adjustRightInd w:val="0"/>
        <w:snapToGrid w:val="0"/>
        <w:spacing w:line="460" w:lineRule="exact"/>
        <w:rPr>
          <w:rFonts w:hint="eastAsia" w:ascii="宋体" w:hAnsi="宋体" w:cs="宋体"/>
          <w:color w:val="auto"/>
          <w:sz w:val="24"/>
          <w:u w:val="dotted"/>
        </w:rPr>
      </w:pPr>
      <w:r>
        <w:rPr>
          <w:rFonts w:hint="eastAsia" w:ascii="宋体" w:hAnsi="宋体" w:cs="宋体"/>
          <w:color w:val="auto"/>
          <w:sz w:val="24"/>
        </w:rPr>
        <w:t>质疑事项1：</w:t>
      </w:r>
    </w:p>
    <w:p w14:paraId="23D01021">
      <w:pPr>
        <w:adjustRightInd w:val="0"/>
        <w:snapToGrid w:val="0"/>
        <w:spacing w:line="460" w:lineRule="exact"/>
        <w:rPr>
          <w:rFonts w:hint="eastAsia" w:ascii="宋体" w:hAnsi="宋体" w:cs="宋体"/>
          <w:color w:val="auto"/>
          <w:sz w:val="24"/>
          <w:u w:val="dotted"/>
        </w:rPr>
      </w:pPr>
      <w:r>
        <w:rPr>
          <w:rFonts w:hint="eastAsia" w:ascii="宋体" w:hAnsi="宋体" w:cs="宋体"/>
          <w:color w:val="auto"/>
          <w:sz w:val="24"/>
        </w:rPr>
        <w:t>事实依据：</w:t>
      </w:r>
    </w:p>
    <w:p w14:paraId="30540E8E">
      <w:pPr>
        <w:adjustRightInd w:val="0"/>
        <w:snapToGrid w:val="0"/>
        <w:spacing w:line="460" w:lineRule="exact"/>
        <w:rPr>
          <w:rFonts w:hint="eastAsia" w:ascii="宋体" w:hAnsi="宋体" w:cs="宋体"/>
          <w:color w:val="auto"/>
          <w:sz w:val="24"/>
        </w:rPr>
      </w:pPr>
    </w:p>
    <w:p w14:paraId="4F82CBB3">
      <w:pPr>
        <w:adjustRightInd w:val="0"/>
        <w:snapToGrid w:val="0"/>
        <w:spacing w:line="460" w:lineRule="exact"/>
        <w:rPr>
          <w:rFonts w:hint="eastAsia" w:ascii="宋体" w:hAnsi="宋体" w:cs="宋体"/>
          <w:color w:val="auto"/>
          <w:sz w:val="24"/>
          <w:u w:val="dotted"/>
        </w:rPr>
      </w:pPr>
      <w:r>
        <w:rPr>
          <w:rFonts w:hint="eastAsia" w:ascii="宋体" w:hAnsi="宋体" w:cs="宋体"/>
          <w:color w:val="auto"/>
          <w:sz w:val="24"/>
        </w:rPr>
        <w:t>法律依据：</w:t>
      </w:r>
    </w:p>
    <w:p w14:paraId="1AB3C07B">
      <w:pPr>
        <w:adjustRightInd w:val="0"/>
        <w:snapToGrid w:val="0"/>
        <w:spacing w:line="460" w:lineRule="exact"/>
        <w:rPr>
          <w:rFonts w:hint="eastAsia" w:ascii="宋体" w:hAnsi="宋体" w:cs="宋体"/>
          <w:color w:val="auto"/>
          <w:sz w:val="24"/>
          <w:u w:val="dotted"/>
        </w:rPr>
      </w:pPr>
    </w:p>
    <w:p w14:paraId="43FCC9D3">
      <w:pPr>
        <w:adjustRightInd w:val="0"/>
        <w:snapToGrid w:val="0"/>
        <w:spacing w:line="460" w:lineRule="exact"/>
        <w:rPr>
          <w:rFonts w:hint="eastAsia" w:ascii="宋体" w:hAnsi="宋体" w:cs="宋体"/>
          <w:color w:val="auto"/>
          <w:sz w:val="24"/>
          <w:u w:val="dotted"/>
        </w:rPr>
      </w:pPr>
      <w:r>
        <w:rPr>
          <w:rFonts w:hint="eastAsia" w:ascii="宋体" w:hAnsi="宋体" w:cs="宋体"/>
          <w:color w:val="auto"/>
          <w:sz w:val="24"/>
        </w:rPr>
        <w:t>质疑事项2</w:t>
      </w:r>
    </w:p>
    <w:p w14:paraId="11AC6A14">
      <w:pPr>
        <w:adjustRightInd w:val="0"/>
        <w:snapToGrid w:val="0"/>
        <w:spacing w:line="460" w:lineRule="exact"/>
        <w:rPr>
          <w:rFonts w:hint="eastAsia" w:ascii="宋体" w:hAnsi="宋体" w:cs="宋体"/>
          <w:color w:val="auto"/>
          <w:sz w:val="24"/>
        </w:rPr>
      </w:pPr>
      <w:r>
        <w:rPr>
          <w:rFonts w:hint="eastAsia" w:ascii="宋体" w:hAnsi="宋体" w:cs="宋体"/>
          <w:color w:val="auto"/>
          <w:sz w:val="24"/>
        </w:rPr>
        <w:t>……</w:t>
      </w:r>
    </w:p>
    <w:p w14:paraId="14406233">
      <w:pPr>
        <w:adjustRightInd w:val="0"/>
        <w:snapToGrid w:val="0"/>
        <w:spacing w:line="460" w:lineRule="exact"/>
        <w:rPr>
          <w:rFonts w:hint="eastAsia" w:ascii="宋体" w:hAnsi="宋体" w:cs="宋体"/>
          <w:bCs/>
          <w:color w:val="auto"/>
          <w:sz w:val="24"/>
        </w:rPr>
      </w:pPr>
      <w:r>
        <w:rPr>
          <w:rFonts w:hint="eastAsia" w:ascii="宋体" w:hAnsi="宋体" w:cs="宋体"/>
          <w:bCs/>
          <w:color w:val="auto"/>
          <w:sz w:val="24"/>
        </w:rPr>
        <w:t>四、与质疑事项相关的质疑请求</w:t>
      </w:r>
    </w:p>
    <w:p w14:paraId="2F397CA9">
      <w:pPr>
        <w:adjustRightInd w:val="0"/>
        <w:snapToGrid w:val="0"/>
        <w:spacing w:line="460" w:lineRule="exact"/>
        <w:rPr>
          <w:rFonts w:hint="eastAsia" w:ascii="宋体" w:hAnsi="宋体" w:cs="宋体"/>
          <w:color w:val="auto"/>
          <w:sz w:val="24"/>
          <w:u w:val="dotted"/>
        </w:rPr>
      </w:pPr>
      <w:r>
        <w:rPr>
          <w:rFonts w:hint="eastAsia" w:ascii="宋体" w:hAnsi="宋体" w:cs="宋体"/>
          <w:color w:val="auto"/>
          <w:sz w:val="24"/>
        </w:rPr>
        <w:t>请求：</w:t>
      </w:r>
    </w:p>
    <w:p w14:paraId="298F069D">
      <w:pPr>
        <w:spacing w:line="460" w:lineRule="exact"/>
        <w:rPr>
          <w:rFonts w:hint="eastAsia" w:ascii="宋体" w:hAnsi="宋体" w:cs="宋体"/>
          <w:color w:val="auto"/>
          <w:sz w:val="24"/>
        </w:rPr>
      </w:pPr>
      <w:r>
        <w:rPr>
          <w:rFonts w:hint="eastAsia" w:ascii="宋体" w:hAnsi="宋体" w:cs="宋体"/>
          <w:color w:val="auto"/>
          <w:sz w:val="24"/>
        </w:rPr>
        <w:t xml:space="preserve">签字(签章)：                   公章：                      </w:t>
      </w:r>
    </w:p>
    <w:p w14:paraId="33D273EC">
      <w:pPr>
        <w:spacing w:line="460" w:lineRule="exact"/>
        <w:rPr>
          <w:rFonts w:hint="eastAsia" w:ascii="宋体" w:hAnsi="宋体" w:cs="宋体"/>
          <w:color w:val="auto"/>
          <w:sz w:val="24"/>
        </w:rPr>
      </w:pPr>
      <w:r>
        <w:rPr>
          <w:rFonts w:hint="eastAsia" w:ascii="宋体" w:hAnsi="宋体" w:cs="宋体"/>
          <w:color w:val="auto"/>
          <w:sz w:val="24"/>
        </w:rPr>
        <w:t xml:space="preserve">日期：    </w:t>
      </w:r>
    </w:p>
    <w:p w14:paraId="6D67956E">
      <w:pPr>
        <w:adjustRightInd w:val="0"/>
        <w:snapToGrid w:val="0"/>
        <w:spacing w:line="460" w:lineRule="exact"/>
        <w:rPr>
          <w:rFonts w:hint="eastAsia" w:ascii="宋体" w:hAnsi="宋体" w:cs="宋体"/>
          <w:color w:val="auto"/>
          <w:sz w:val="24"/>
        </w:rPr>
      </w:pPr>
    </w:p>
    <w:p w14:paraId="7C461124">
      <w:pPr>
        <w:spacing w:line="460" w:lineRule="exact"/>
        <w:rPr>
          <w:rFonts w:hint="eastAsia" w:ascii="宋体" w:hAnsi="宋体" w:cs="宋体"/>
          <w:b/>
          <w:color w:val="auto"/>
          <w:sz w:val="24"/>
        </w:rPr>
      </w:pPr>
    </w:p>
    <w:p w14:paraId="7A185750">
      <w:pPr>
        <w:spacing w:line="460" w:lineRule="exact"/>
        <w:rPr>
          <w:rFonts w:hint="eastAsia" w:ascii="宋体" w:hAnsi="宋体" w:cs="宋体"/>
          <w:b/>
          <w:color w:val="auto"/>
          <w:sz w:val="24"/>
        </w:rPr>
      </w:pPr>
      <w:r>
        <w:rPr>
          <w:rFonts w:hint="eastAsia" w:ascii="宋体" w:hAnsi="宋体" w:cs="宋体"/>
          <w:b/>
          <w:color w:val="auto"/>
          <w:sz w:val="24"/>
        </w:rPr>
        <w:t>质疑函制作说明：</w:t>
      </w:r>
    </w:p>
    <w:p w14:paraId="55063BA4">
      <w:pPr>
        <w:widowControl/>
        <w:spacing w:line="460" w:lineRule="exact"/>
        <w:ind w:firstLine="480" w:firstLineChars="200"/>
        <w:jc w:val="left"/>
        <w:rPr>
          <w:rFonts w:hint="eastAsia" w:ascii="宋体" w:hAnsi="宋体" w:cs="宋体"/>
          <w:color w:val="auto"/>
          <w:sz w:val="24"/>
        </w:rPr>
      </w:pPr>
      <w:r>
        <w:rPr>
          <w:rFonts w:hint="eastAsia" w:ascii="宋体" w:hAnsi="宋体" w:cs="宋体"/>
          <w:color w:val="auto"/>
          <w:sz w:val="24"/>
        </w:rPr>
        <w:t>1.供应商提出质疑时，应提交质疑函和必要的证明材料。</w:t>
      </w:r>
    </w:p>
    <w:p w14:paraId="29E4B82E">
      <w:pPr>
        <w:widowControl/>
        <w:spacing w:line="460" w:lineRule="exact"/>
        <w:ind w:firstLine="480" w:firstLineChars="200"/>
        <w:jc w:val="left"/>
        <w:rPr>
          <w:rFonts w:hint="eastAsia" w:ascii="宋体" w:hAnsi="宋体" w:cs="宋体"/>
          <w:color w:val="auto"/>
          <w:sz w:val="24"/>
        </w:rPr>
      </w:pPr>
      <w:r>
        <w:rPr>
          <w:rFonts w:hint="eastAsia" w:ascii="宋体" w:hAnsi="宋体" w:cs="宋体"/>
          <w:color w:val="auto"/>
          <w:sz w:val="24"/>
        </w:rPr>
        <w:t>2.质疑供应商若委托代理人进行质疑的，质疑函应按要求列明“授权代表”的有关内容，并在附件中提交由质疑</w:t>
      </w:r>
      <w:r>
        <w:rPr>
          <w:rFonts w:hint="eastAsia" w:ascii="宋体" w:hAnsi="宋体" w:cs="宋体"/>
          <w:color w:val="auto"/>
          <w:kern w:val="0"/>
          <w:sz w:val="24"/>
        </w:rPr>
        <w:t>供应商签署的授权委托书。授权委托书应载明代理人的姓名或者名称、代理事项、具体权限、期限和相关事项。</w:t>
      </w:r>
    </w:p>
    <w:p w14:paraId="0A8B0805">
      <w:pPr>
        <w:widowControl/>
        <w:spacing w:line="460" w:lineRule="exact"/>
        <w:ind w:firstLine="480" w:firstLineChars="200"/>
        <w:jc w:val="left"/>
        <w:rPr>
          <w:rFonts w:hint="eastAsia" w:ascii="宋体" w:hAnsi="宋体" w:cs="宋体"/>
          <w:color w:val="auto"/>
          <w:sz w:val="24"/>
        </w:rPr>
      </w:pPr>
      <w:r>
        <w:rPr>
          <w:rFonts w:hint="eastAsia" w:ascii="宋体" w:hAnsi="宋体" w:cs="宋体"/>
          <w:color w:val="auto"/>
          <w:sz w:val="24"/>
        </w:rPr>
        <w:t>3.质疑供应商若对项目的某一分包进行质疑，质疑函中应列明具体分包号。</w:t>
      </w:r>
    </w:p>
    <w:p w14:paraId="28CD6569">
      <w:pPr>
        <w:widowControl/>
        <w:spacing w:line="460" w:lineRule="exact"/>
        <w:ind w:firstLine="480" w:firstLineChars="200"/>
        <w:jc w:val="left"/>
        <w:rPr>
          <w:rFonts w:hint="eastAsia" w:ascii="宋体" w:hAnsi="宋体" w:cs="宋体"/>
          <w:color w:val="auto"/>
          <w:sz w:val="24"/>
        </w:rPr>
      </w:pPr>
      <w:r>
        <w:rPr>
          <w:rFonts w:hint="eastAsia" w:ascii="宋体" w:hAnsi="宋体" w:cs="宋体"/>
          <w:color w:val="auto"/>
          <w:sz w:val="24"/>
        </w:rPr>
        <w:t>4.质疑函的质疑事项应具体、明确，并有必要的事实依据和法律依据。</w:t>
      </w:r>
    </w:p>
    <w:p w14:paraId="4E2B8FB2">
      <w:pPr>
        <w:widowControl/>
        <w:spacing w:line="460" w:lineRule="exact"/>
        <w:ind w:firstLine="480" w:firstLineChars="200"/>
        <w:jc w:val="left"/>
        <w:rPr>
          <w:rFonts w:hint="eastAsia" w:ascii="宋体" w:hAnsi="宋体" w:cs="宋体"/>
          <w:color w:val="auto"/>
          <w:sz w:val="24"/>
        </w:rPr>
      </w:pPr>
      <w:r>
        <w:rPr>
          <w:rFonts w:hint="eastAsia" w:ascii="宋体" w:hAnsi="宋体" w:cs="宋体"/>
          <w:color w:val="auto"/>
          <w:sz w:val="24"/>
        </w:rPr>
        <w:t>5.质疑函的质疑请求应与质疑事项相关。</w:t>
      </w:r>
    </w:p>
    <w:p w14:paraId="36156D7A">
      <w:pPr>
        <w:widowControl/>
        <w:spacing w:line="460" w:lineRule="exact"/>
        <w:ind w:firstLine="480" w:firstLineChars="200"/>
        <w:jc w:val="left"/>
        <w:rPr>
          <w:rFonts w:hint="eastAsia" w:ascii="宋体" w:hAnsi="宋体" w:cs="宋体"/>
          <w:color w:val="auto"/>
          <w:sz w:val="24"/>
        </w:rPr>
      </w:pPr>
      <w:r>
        <w:rPr>
          <w:rFonts w:hint="eastAsia" w:ascii="宋体" w:hAnsi="宋体" w:cs="宋体"/>
          <w:color w:val="auto"/>
          <w:sz w:val="24"/>
        </w:rPr>
        <w:t>6.质疑供应商为自然人的，质疑函应由本人签字；质疑供应商为法人或者其他组织的，质疑函应由法定代表人、主要负责人，或者其授权代表签字或者盖章，并加盖公章。</w:t>
      </w:r>
    </w:p>
    <w:p w14:paraId="08665896">
      <w:pPr>
        <w:widowControl/>
        <w:spacing w:line="460" w:lineRule="exact"/>
        <w:ind w:firstLine="480" w:firstLineChars="200"/>
        <w:jc w:val="left"/>
        <w:rPr>
          <w:rFonts w:hint="eastAsia" w:ascii="宋体" w:hAnsi="宋体" w:cs="宋体"/>
          <w:color w:val="auto"/>
          <w:sz w:val="24"/>
        </w:rPr>
      </w:pPr>
    </w:p>
    <w:sectPr>
      <w:headerReference r:id="rId8"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F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0000000000000000000"/>
    <w:charset w:val="86"/>
    <w:family w:val="auto"/>
    <w:pitch w:val="default"/>
    <w:sig w:usb0="00000000" w:usb1="00000000" w:usb2="00082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002020204"/>
    <w:charset w:val="86"/>
    <w:family w:val="swiss"/>
    <w:pitch w:val="default"/>
    <w:sig w:usb0="00000000" w:usb1="00000000" w:usb2="0000003F" w:usb3="00000000" w:csb0="603F01FF" w:csb1="FFFF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F2E75">
    <w:pPr>
      <w:pStyle w:val="26"/>
      <w:tabs>
        <w:tab w:val="left" w:pos="4850"/>
      </w:tabs>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DE9C8AC">
                          <w:pPr>
                            <w:pStyle w:val="26"/>
                          </w:pPr>
                          <w:r>
                            <w:fldChar w:fldCharType="begin"/>
                          </w:r>
                          <w:r>
                            <w:instrText xml:space="preserve"> PAGE  \* MERGEFORMAT </w:instrText>
                          </w:r>
                          <w:r>
                            <w:fldChar w:fldCharType="separate"/>
                          </w:r>
                          <w:r>
                            <w:t>34</w:t>
                          </w:r>
                          <w: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7DE9C8AC">
                    <w:pPr>
                      <w:pStyle w:val="26"/>
                    </w:pPr>
                    <w:r>
                      <w:fldChar w:fldCharType="begin"/>
                    </w:r>
                    <w:r>
                      <w:instrText xml:space="preserve"> PAGE  \* MERGEFORMAT </w:instrText>
                    </w:r>
                    <w:r>
                      <w:fldChar w:fldCharType="separate"/>
                    </w:r>
                    <w:r>
                      <w:t>34</w:t>
                    </w:r>
                    <w:r>
                      <w:fldChar w:fldCharType="end"/>
                    </w:r>
                  </w:p>
                </w:txbxContent>
              </v:textbox>
            </v:rect>
          </w:pict>
        </mc:Fallback>
      </mc:AlternateContent>
    </w:r>
    <w:r>
      <w:tab/>
    </w:r>
  </w:p>
  <w:p w14:paraId="024AC69B">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0C375">
    <w:pPr>
      <w:pStyle w:val="2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A6CA5">
    <w:pPr>
      <w:pStyle w:val="2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C6969">
    <w:pPr>
      <w:pStyle w:val="27"/>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8ADCF">
    <w:pPr>
      <w:pStyle w:val="27"/>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17C66">
    <w:pPr>
      <w:pStyle w:val="2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abstractNum w:abstractNumId="1">
    <w:nsid w:val="00000001"/>
    <w:multiLevelType w:val="multilevel"/>
    <w:tmpl w:val="00000001"/>
    <w:lvl w:ilvl="0" w:tentative="0">
      <w:start w:val="1"/>
      <w:numFmt w:val="bullet"/>
      <w:pStyle w:val="123"/>
      <w:lvlText w:val=""/>
      <w:lvlJc w:val="left"/>
      <w:pPr>
        <w:tabs>
          <w:tab w:val="left" w:pos="480"/>
        </w:tabs>
        <w:ind w:left="480" w:hanging="480"/>
      </w:pPr>
      <w:rPr>
        <w:rFonts w:hint="default" w:ascii="Wingdings" w:hAnsi="Wingdings"/>
        <w:sz w:val="16"/>
      </w:rPr>
    </w:lvl>
    <w:lvl w:ilvl="1" w:tentative="0">
      <w:start w:val="1"/>
      <w:numFmt w:val="ideographTraditional"/>
      <w:lvlText w:val="%2、"/>
      <w:lvlJc w:val="left"/>
      <w:pPr>
        <w:tabs>
          <w:tab w:val="left" w:pos="960"/>
        </w:tabs>
        <w:ind w:left="960" w:hanging="480"/>
      </w:p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2">
    <w:nsid w:val="00000002"/>
    <w:multiLevelType w:val="multilevel"/>
    <w:tmpl w:val="00000002"/>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00000003"/>
    <w:multiLevelType w:val="multilevel"/>
    <w:tmpl w:val="00000003"/>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D6C7A9E"/>
    <w:rsid w:val="21F90BA7"/>
    <w:rsid w:val="3EC76BF8"/>
    <w:rsid w:val="637F7835"/>
    <w:rsid w:val="646B4772"/>
    <w:rsid w:val="71894C50"/>
    <w:rsid w:val="7F5F7A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3"/>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4"/>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55"/>
    <w:qFormat/>
    <w:uiPriority w:val="0"/>
    <w:pPr>
      <w:keepNext/>
      <w:jc w:val="center"/>
      <w:outlineLvl w:val="3"/>
    </w:pPr>
    <w:rPr>
      <w:rFonts w:eastAsia="新宋体"/>
      <w:kern w:val="0"/>
      <w:sz w:val="30"/>
      <w:szCs w:val="21"/>
    </w:rPr>
  </w:style>
  <w:style w:type="paragraph" w:styleId="6">
    <w:name w:val="heading 5"/>
    <w:basedOn w:val="1"/>
    <w:next w:val="1"/>
    <w:link w:val="56"/>
    <w:qFormat/>
    <w:uiPriority w:val="0"/>
    <w:pPr>
      <w:keepNext/>
      <w:keepLines/>
      <w:spacing w:before="280" w:after="290" w:line="376" w:lineRule="auto"/>
      <w:outlineLvl w:val="4"/>
    </w:pPr>
    <w:rPr>
      <w:b/>
      <w:bCs/>
      <w:kern w:val="0"/>
      <w:sz w:val="28"/>
      <w:szCs w:val="28"/>
    </w:rPr>
  </w:style>
  <w:style w:type="paragraph" w:styleId="7">
    <w:name w:val="heading 6"/>
    <w:basedOn w:val="1"/>
    <w:next w:val="8"/>
    <w:link w:val="57"/>
    <w:qFormat/>
    <w:uiPriority w:val="0"/>
    <w:pPr>
      <w:keepNext/>
      <w:jc w:val="center"/>
      <w:outlineLvl w:val="5"/>
    </w:pPr>
    <w:rPr>
      <w:b/>
      <w:kern w:val="0"/>
      <w:sz w:val="44"/>
      <w:szCs w:val="20"/>
    </w:rPr>
  </w:style>
  <w:style w:type="paragraph" w:styleId="9">
    <w:name w:val="heading 7"/>
    <w:basedOn w:val="1"/>
    <w:next w:val="1"/>
    <w:link w:val="60"/>
    <w:qFormat/>
    <w:uiPriority w:val="0"/>
    <w:pPr>
      <w:keepNext/>
      <w:keepLines/>
      <w:spacing w:before="240" w:after="64" w:line="320" w:lineRule="auto"/>
      <w:outlineLvl w:val="6"/>
    </w:pPr>
    <w:rPr>
      <w:b/>
      <w:bCs/>
      <w:kern w:val="0"/>
      <w:sz w:val="24"/>
    </w:rPr>
  </w:style>
  <w:style w:type="paragraph" w:styleId="10">
    <w:name w:val="heading 8"/>
    <w:basedOn w:val="1"/>
    <w:next w:val="1"/>
    <w:link w:val="61"/>
    <w:qFormat/>
    <w:uiPriority w:val="0"/>
    <w:pPr>
      <w:keepNext/>
      <w:keepLines/>
      <w:spacing w:before="240" w:after="64" w:line="320" w:lineRule="auto"/>
      <w:outlineLvl w:val="7"/>
    </w:pPr>
    <w:rPr>
      <w:rFonts w:ascii="Arial" w:hAnsi="Arial" w:eastAsia="黑体"/>
      <w:kern w:val="0"/>
      <w:sz w:val="24"/>
    </w:rPr>
  </w:style>
  <w:style w:type="paragraph" w:styleId="11">
    <w:name w:val="heading 9"/>
    <w:basedOn w:val="1"/>
    <w:next w:val="1"/>
    <w:link w:val="62"/>
    <w:qFormat/>
    <w:uiPriority w:val="0"/>
    <w:pPr>
      <w:keepNext/>
      <w:keepLines/>
      <w:spacing w:before="240" w:after="64" w:line="320" w:lineRule="auto"/>
      <w:outlineLvl w:val="8"/>
    </w:pPr>
    <w:rPr>
      <w:rFonts w:ascii="Arial" w:hAnsi="Arial" w:eastAsia="黑体"/>
      <w:kern w:val="0"/>
      <w:sz w:val="24"/>
      <w:szCs w:val="21"/>
    </w:rPr>
  </w:style>
  <w:style w:type="character" w:default="1" w:styleId="39">
    <w:name w:val="Default Paragraph Font"/>
    <w:qFormat/>
    <w:uiPriority w:val="1"/>
  </w:style>
  <w:style w:type="table" w:default="1" w:styleId="37">
    <w:name w:val="Normal Table"/>
    <w:qFormat/>
    <w:uiPriority w:val="99"/>
    <w:tblPr>
      <w:tblCellMar>
        <w:top w:w="0" w:type="dxa"/>
        <w:left w:w="108" w:type="dxa"/>
        <w:bottom w:w="0" w:type="dxa"/>
        <w:right w:w="108" w:type="dxa"/>
      </w:tblCellMar>
    </w:tblPr>
  </w:style>
  <w:style w:type="paragraph" w:styleId="8">
    <w:name w:val="Normal Indent"/>
    <w:basedOn w:val="1"/>
    <w:next w:val="1"/>
    <w:link w:val="58"/>
    <w:qFormat/>
    <w:uiPriority w:val="0"/>
    <w:pPr>
      <w:ind w:firstLine="420"/>
    </w:pPr>
    <w:rPr>
      <w:kern w:val="0"/>
      <w:sz w:val="20"/>
      <w:szCs w:val="20"/>
    </w:rPr>
  </w:style>
  <w:style w:type="paragraph" w:styleId="12">
    <w:name w:val="Note Heading"/>
    <w:basedOn w:val="1"/>
    <w:next w:val="1"/>
    <w:qFormat/>
    <w:uiPriority w:val="0"/>
    <w:rPr>
      <w:rFonts w:ascii="Verdana" w:hAnsi="Verdana"/>
      <w:szCs w:val="20"/>
    </w:rPr>
  </w:style>
  <w:style w:type="paragraph" w:styleId="13">
    <w:name w:val="Document Map"/>
    <w:basedOn w:val="1"/>
    <w:link w:val="63"/>
    <w:qFormat/>
    <w:uiPriority w:val="0"/>
    <w:pPr>
      <w:shd w:val="clear" w:color="auto" w:fill="000080"/>
    </w:pPr>
    <w:rPr>
      <w:kern w:val="0"/>
      <w:sz w:val="20"/>
    </w:rPr>
  </w:style>
  <w:style w:type="paragraph" w:styleId="14">
    <w:name w:val="toa heading"/>
    <w:basedOn w:val="1"/>
    <w:next w:val="1"/>
    <w:qFormat/>
    <w:uiPriority w:val="0"/>
    <w:pPr>
      <w:adjustRightInd w:val="0"/>
      <w:spacing w:line="360" w:lineRule="atLeast"/>
      <w:jc w:val="center"/>
      <w:textAlignment w:val="baseline"/>
    </w:pPr>
    <w:rPr>
      <w:rFonts w:ascii="Arial" w:hAnsi="Arial" w:eastAsia="黑体"/>
      <w:kern w:val="0"/>
      <w:sz w:val="36"/>
      <w:szCs w:val="20"/>
    </w:rPr>
  </w:style>
  <w:style w:type="paragraph" w:styleId="15">
    <w:name w:val="annotation text"/>
    <w:basedOn w:val="1"/>
    <w:link w:val="134"/>
    <w:qFormat/>
    <w:uiPriority w:val="99"/>
    <w:pPr>
      <w:jc w:val="left"/>
    </w:pPr>
  </w:style>
  <w:style w:type="paragraph" w:styleId="16">
    <w:name w:val="Body Text 3"/>
    <w:basedOn w:val="1"/>
    <w:link w:val="64"/>
    <w:qFormat/>
    <w:uiPriority w:val="0"/>
    <w:pPr>
      <w:spacing w:after="120"/>
    </w:pPr>
    <w:rPr>
      <w:kern w:val="0"/>
      <w:sz w:val="16"/>
      <w:szCs w:val="16"/>
    </w:rPr>
  </w:style>
  <w:style w:type="paragraph" w:styleId="17">
    <w:name w:val="Body Text"/>
    <w:basedOn w:val="1"/>
    <w:next w:val="1"/>
    <w:link w:val="65"/>
    <w:qFormat/>
    <w:uiPriority w:val="0"/>
    <w:rPr>
      <w:rFonts w:ascii="仿宋_GB2312" w:eastAsia="仿宋_GB2312"/>
      <w:kern w:val="0"/>
      <w:sz w:val="24"/>
      <w:szCs w:val="20"/>
    </w:rPr>
  </w:style>
  <w:style w:type="paragraph" w:styleId="18">
    <w:name w:val="Body Text Indent"/>
    <w:basedOn w:val="1"/>
    <w:next w:val="19"/>
    <w:link w:val="66"/>
    <w:qFormat/>
    <w:uiPriority w:val="0"/>
    <w:pPr>
      <w:ind w:left="765"/>
    </w:pPr>
    <w:rPr>
      <w:rFonts w:ascii="仿宋_GB2312" w:eastAsia="仿宋_GB2312"/>
      <w:kern w:val="0"/>
      <w:sz w:val="28"/>
      <w:szCs w:val="20"/>
    </w:rPr>
  </w:style>
  <w:style w:type="paragraph" w:styleId="19">
    <w:name w:val="envelope return"/>
    <w:basedOn w:val="1"/>
    <w:qFormat/>
    <w:uiPriority w:val="99"/>
    <w:pPr>
      <w:snapToGrid w:val="0"/>
    </w:pPr>
    <w:rPr>
      <w:rFonts w:ascii="Arial" w:hAnsi="Arial"/>
    </w:rPr>
  </w:style>
  <w:style w:type="paragraph" w:styleId="20">
    <w:name w:val="Block Text"/>
    <w:basedOn w:val="1"/>
    <w:qFormat/>
    <w:uiPriority w:val="99"/>
  </w:style>
  <w:style w:type="paragraph" w:styleId="21">
    <w:name w:val="index 4"/>
    <w:basedOn w:val="1"/>
    <w:next w:val="1"/>
    <w:qFormat/>
    <w:uiPriority w:val="99"/>
    <w:pPr>
      <w:ind w:left="600" w:leftChars="600"/>
    </w:pPr>
    <w:rPr>
      <w:rFonts w:ascii="Verdana" w:hAnsi="Verdana"/>
      <w:szCs w:val="20"/>
    </w:rPr>
  </w:style>
  <w:style w:type="paragraph" w:styleId="22">
    <w:name w:val="Plain Text"/>
    <w:basedOn w:val="1"/>
    <w:link w:val="59"/>
    <w:qFormat/>
    <w:uiPriority w:val="0"/>
    <w:rPr>
      <w:rFonts w:ascii="宋体" w:hAnsi="Courier New"/>
      <w:kern w:val="0"/>
      <w:sz w:val="20"/>
      <w:szCs w:val="21"/>
    </w:rPr>
  </w:style>
  <w:style w:type="paragraph" w:styleId="23">
    <w:name w:val="Date"/>
    <w:basedOn w:val="1"/>
    <w:next w:val="1"/>
    <w:link w:val="67"/>
    <w:qFormat/>
    <w:uiPriority w:val="0"/>
    <w:rPr>
      <w:kern w:val="0"/>
      <w:sz w:val="24"/>
      <w:szCs w:val="20"/>
    </w:rPr>
  </w:style>
  <w:style w:type="paragraph" w:styleId="24">
    <w:name w:val="Body Text Indent 2"/>
    <w:basedOn w:val="1"/>
    <w:link w:val="68"/>
    <w:qFormat/>
    <w:uiPriority w:val="0"/>
    <w:pPr>
      <w:spacing w:line="500" w:lineRule="exact"/>
      <w:ind w:firstLine="560" w:firstLineChars="200"/>
    </w:pPr>
    <w:rPr>
      <w:rFonts w:eastAsia="仿宋_GB2312"/>
      <w:kern w:val="0"/>
      <w:sz w:val="28"/>
      <w:szCs w:val="20"/>
    </w:rPr>
  </w:style>
  <w:style w:type="paragraph" w:styleId="25">
    <w:name w:val="Balloon Text"/>
    <w:basedOn w:val="1"/>
    <w:link w:val="69"/>
    <w:qFormat/>
    <w:uiPriority w:val="0"/>
    <w:rPr>
      <w:kern w:val="0"/>
      <w:sz w:val="18"/>
      <w:szCs w:val="18"/>
    </w:rPr>
  </w:style>
  <w:style w:type="paragraph" w:styleId="26">
    <w:name w:val="footer"/>
    <w:basedOn w:val="1"/>
    <w:link w:val="70"/>
    <w:qFormat/>
    <w:uiPriority w:val="99"/>
    <w:pPr>
      <w:tabs>
        <w:tab w:val="center" w:pos="4153"/>
        <w:tab w:val="right" w:pos="8306"/>
      </w:tabs>
      <w:snapToGrid w:val="0"/>
      <w:jc w:val="left"/>
    </w:pPr>
    <w:rPr>
      <w:kern w:val="0"/>
      <w:sz w:val="18"/>
      <w:szCs w:val="20"/>
    </w:rPr>
  </w:style>
  <w:style w:type="paragraph" w:styleId="27">
    <w:name w:val="header"/>
    <w:basedOn w:val="1"/>
    <w:link w:val="71"/>
    <w:qFormat/>
    <w:uiPriority w:val="0"/>
    <w:pPr>
      <w:pBdr>
        <w:bottom w:val="single" w:color="auto" w:sz="6" w:space="1"/>
      </w:pBdr>
      <w:tabs>
        <w:tab w:val="center" w:pos="4153"/>
        <w:tab w:val="right" w:pos="8306"/>
      </w:tabs>
      <w:snapToGrid w:val="0"/>
      <w:jc w:val="center"/>
    </w:pPr>
    <w:rPr>
      <w:kern w:val="0"/>
      <w:sz w:val="18"/>
      <w:szCs w:val="18"/>
    </w:rPr>
  </w:style>
  <w:style w:type="paragraph" w:styleId="28">
    <w:name w:val="toc 1"/>
    <w:basedOn w:val="1"/>
    <w:next w:val="1"/>
    <w:qFormat/>
    <w:uiPriority w:val="0"/>
    <w:rPr>
      <w:sz w:val="24"/>
    </w:rPr>
  </w:style>
  <w:style w:type="paragraph" w:styleId="29">
    <w:name w:val="List"/>
    <w:basedOn w:val="1"/>
    <w:qFormat/>
    <w:uiPriority w:val="0"/>
    <w:pPr>
      <w:ind w:left="200" w:hanging="200" w:hangingChars="200"/>
    </w:pPr>
  </w:style>
  <w:style w:type="paragraph" w:styleId="30">
    <w:name w:val="Body Text Indent 3"/>
    <w:basedOn w:val="1"/>
    <w:next w:val="14"/>
    <w:link w:val="72"/>
    <w:qFormat/>
    <w:uiPriority w:val="0"/>
    <w:pPr>
      <w:spacing w:after="120"/>
      <w:ind w:left="420" w:leftChars="200"/>
    </w:pPr>
    <w:rPr>
      <w:kern w:val="0"/>
      <w:sz w:val="16"/>
      <w:szCs w:val="16"/>
    </w:rPr>
  </w:style>
  <w:style w:type="paragraph" w:styleId="31">
    <w:name w:val="Body Text 2"/>
    <w:basedOn w:val="1"/>
    <w:next w:val="17"/>
    <w:link w:val="73"/>
    <w:qFormat/>
    <w:uiPriority w:val="0"/>
    <w:pPr>
      <w:snapToGrid w:val="0"/>
    </w:pPr>
    <w:rPr>
      <w:b/>
      <w:bCs/>
      <w:kern w:val="0"/>
      <w:sz w:val="18"/>
    </w:rPr>
  </w:style>
  <w:style w:type="paragraph" w:styleId="32">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3">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34">
    <w:name w:val="annotation subject"/>
    <w:basedOn w:val="15"/>
    <w:next w:val="15"/>
    <w:link w:val="135"/>
    <w:qFormat/>
    <w:uiPriority w:val="99"/>
    <w:rPr>
      <w:b/>
      <w:bCs/>
    </w:rPr>
  </w:style>
  <w:style w:type="paragraph" w:styleId="35">
    <w:name w:val="Body Text First Indent"/>
    <w:basedOn w:val="17"/>
    <w:link w:val="74"/>
    <w:qFormat/>
    <w:uiPriority w:val="0"/>
    <w:pPr>
      <w:spacing w:after="120"/>
      <w:ind w:firstLine="420" w:firstLineChars="100"/>
    </w:pPr>
    <w:rPr>
      <w:rFonts w:ascii="Times New Roman" w:eastAsia="宋体"/>
      <w:szCs w:val="24"/>
    </w:rPr>
  </w:style>
  <w:style w:type="paragraph" w:styleId="36">
    <w:name w:val="Body Text First Indent 2"/>
    <w:basedOn w:val="18"/>
    <w:qFormat/>
    <w:uiPriority w:val="99"/>
    <w:pPr>
      <w:ind w:firstLine="200" w:firstLineChars="200"/>
    </w:pPr>
  </w:style>
  <w:style w:type="table" w:styleId="38">
    <w:name w:val="Table Grid"/>
    <w:basedOn w:val="3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Strong"/>
    <w:qFormat/>
    <w:uiPriority w:val="0"/>
    <w:rPr>
      <w:b/>
      <w:bCs/>
    </w:rPr>
  </w:style>
  <w:style w:type="character" w:styleId="41">
    <w:name w:val="page number"/>
    <w:qFormat/>
    <w:uiPriority w:val="0"/>
  </w:style>
  <w:style w:type="character" w:styleId="42">
    <w:name w:val="FollowedHyperlink"/>
    <w:qFormat/>
    <w:uiPriority w:val="0"/>
    <w:rPr>
      <w:color w:val="666666"/>
      <w:u w:val="none"/>
    </w:rPr>
  </w:style>
  <w:style w:type="character" w:styleId="43">
    <w:name w:val="Emphasis"/>
    <w:qFormat/>
    <w:uiPriority w:val="20"/>
  </w:style>
  <w:style w:type="character" w:styleId="44">
    <w:name w:val="Hyperlink"/>
    <w:qFormat/>
    <w:uiPriority w:val="0"/>
    <w:rPr>
      <w:color w:val="666666"/>
      <w:u w:val="none"/>
    </w:rPr>
  </w:style>
  <w:style w:type="character" w:styleId="45">
    <w:name w:val="annotation reference"/>
    <w:qFormat/>
    <w:uiPriority w:val="99"/>
    <w:rPr>
      <w:sz w:val="21"/>
      <w:szCs w:val="21"/>
    </w:rPr>
  </w:style>
  <w:style w:type="paragraph" w:customStyle="1" w:styleId="46">
    <w:name w:val="正文首行缩进1"/>
    <w:basedOn w:val="47"/>
    <w:qFormat/>
    <w:uiPriority w:val="0"/>
    <w:pPr>
      <w:spacing w:before="100" w:beforeAutospacing="1" w:line="360" w:lineRule="auto"/>
      <w:ind w:firstLine="482"/>
    </w:pPr>
    <w:rPr>
      <w:b/>
      <w:bCs/>
      <w:sz w:val="24"/>
      <w:szCs w:val="24"/>
    </w:rPr>
  </w:style>
  <w:style w:type="paragraph" w:customStyle="1" w:styleId="47">
    <w:name w:val="正文文本11"/>
    <w:basedOn w:val="1"/>
    <w:next w:val="1"/>
    <w:qFormat/>
    <w:uiPriority w:val="0"/>
    <w:rPr>
      <w:rFonts w:ascii="楷体_GB2312" w:hAnsi="Arial" w:eastAsia="楷体_GB2312"/>
      <w:sz w:val="28"/>
      <w:szCs w:val="28"/>
    </w:rPr>
  </w:style>
  <w:style w:type="paragraph" w:customStyle="1" w:styleId="48">
    <w:name w:val="正文文本1"/>
    <w:basedOn w:val="1"/>
    <w:next w:val="1"/>
    <w:qFormat/>
    <w:uiPriority w:val="0"/>
    <w:rPr>
      <w:rFonts w:ascii="楷体_GB2312" w:hAnsi="Arial" w:eastAsia="楷体_GB2312"/>
      <w:sz w:val="28"/>
      <w:szCs w:val="28"/>
    </w:rPr>
  </w:style>
  <w:style w:type="paragraph" w:customStyle="1" w:styleId="49">
    <w:name w:val="style4"/>
    <w:basedOn w:val="1"/>
    <w:next w:val="50"/>
    <w:qFormat/>
    <w:uiPriority w:val="0"/>
    <w:pPr>
      <w:widowControl/>
      <w:spacing w:before="280" w:after="280"/>
    </w:pPr>
    <w:rPr>
      <w:rFonts w:ascii="宋体"/>
      <w:sz w:val="18"/>
    </w:rPr>
  </w:style>
  <w:style w:type="paragraph" w:customStyle="1" w:styleId="50">
    <w:name w:val="2"/>
    <w:next w:val="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51">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52">
    <w:name w:val="标题 1 字符"/>
    <w:link w:val="2"/>
    <w:qFormat/>
    <w:uiPriority w:val="0"/>
    <w:rPr>
      <w:rFonts w:ascii="Times New Roman" w:hAnsi="Times New Roman" w:eastAsia="宋体" w:cs="Times New Roman"/>
      <w:b/>
      <w:bCs/>
      <w:kern w:val="44"/>
      <w:sz w:val="44"/>
      <w:szCs w:val="44"/>
    </w:rPr>
  </w:style>
  <w:style w:type="character" w:customStyle="1" w:styleId="53">
    <w:name w:val="标题 2 字符"/>
    <w:link w:val="3"/>
    <w:qFormat/>
    <w:uiPriority w:val="0"/>
    <w:rPr>
      <w:rFonts w:ascii="Arial" w:hAnsi="Arial" w:eastAsia="黑体" w:cs="Times New Roman"/>
      <w:b/>
      <w:bCs/>
      <w:sz w:val="32"/>
      <w:szCs w:val="32"/>
    </w:rPr>
  </w:style>
  <w:style w:type="character" w:customStyle="1" w:styleId="54">
    <w:name w:val="标题 3 字符"/>
    <w:link w:val="4"/>
    <w:qFormat/>
    <w:uiPriority w:val="0"/>
    <w:rPr>
      <w:rFonts w:ascii="Times New Roman" w:hAnsi="Times New Roman" w:eastAsia="宋体" w:cs="Times New Roman"/>
      <w:b/>
      <w:bCs/>
      <w:sz w:val="32"/>
      <w:szCs w:val="32"/>
    </w:rPr>
  </w:style>
  <w:style w:type="character" w:customStyle="1" w:styleId="55">
    <w:name w:val="标题 4 字符"/>
    <w:link w:val="5"/>
    <w:qFormat/>
    <w:uiPriority w:val="0"/>
    <w:rPr>
      <w:rFonts w:ascii="Times New Roman" w:hAnsi="Times New Roman" w:eastAsia="新宋体" w:cs="Times New Roman"/>
      <w:sz w:val="30"/>
      <w:szCs w:val="21"/>
    </w:rPr>
  </w:style>
  <w:style w:type="character" w:customStyle="1" w:styleId="56">
    <w:name w:val="标题 5 字符"/>
    <w:link w:val="6"/>
    <w:qFormat/>
    <w:uiPriority w:val="0"/>
    <w:rPr>
      <w:rFonts w:ascii="Times New Roman" w:hAnsi="Times New Roman" w:eastAsia="宋体" w:cs="Times New Roman"/>
      <w:b/>
      <w:bCs/>
      <w:sz w:val="28"/>
      <w:szCs w:val="28"/>
    </w:rPr>
  </w:style>
  <w:style w:type="character" w:customStyle="1" w:styleId="57">
    <w:name w:val="标题 6 字符"/>
    <w:link w:val="7"/>
    <w:qFormat/>
    <w:uiPriority w:val="0"/>
    <w:rPr>
      <w:rFonts w:ascii="Times New Roman" w:hAnsi="Times New Roman" w:eastAsia="宋体" w:cs="Times New Roman"/>
      <w:b/>
      <w:sz w:val="44"/>
      <w:szCs w:val="20"/>
    </w:rPr>
  </w:style>
  <w:style w:type="character" w:customStyle="1" w:styleId="58">
    <w:name w:val="正文缩进 字符"/>
    <w:link w:val="8"/>
    <w:qFormat/>
    <w:uiPriority w:val="0"/>
    <w:rPr>
      <w:rFonts w:ascii="Times New Roman" w:hAnsi="Times New Roman" w:eastAsia="宋体" w:cs="Times New Roman"/>
      <w:kern w:val="0"/>
      <w:sz w:val="20"/>
      <w:szCs w:val="20"/>
    </w:rPr>
  </w:style>
  <w:style w:type="character" w:customStyle="1" w:styleId="59">
    <w:name w:val="纯文本 字符"/>
    <w:link w:val="22"/>
    <w:qFormat/>
    <w:uiPriority w:val="0"/>
    <w:rPr>
      <w:rFonts w:ascii="宋体" w:hAnsi="Courier New" w:eastAsia="宋体" w:cs="Courier New"/>
      <w:szCs w:val="21"/>
    </w:rPr>
  </w:style>
  <w:style w:type="character" w:customStyle="1" w:styleId="60">
    <w:name w:val="标题 7 字符"/>
    <w:link w:val="9"/>
    <w:qFormat/>
    <w:uiPriority w:val="0"/>
    <w:rPr>
      <w:rFonts w:ascii="Times New Roman" w:hAnsi="Times New Roman" w:eastAsia="宋体" w:cs="Times New Roman"/>
      <w:b/>
      <w:bCs/>
      <w:sz w:val="24"/>
      <w:szCs w:val="24"/>
    </w:rPr>
  </w:style>
  <w:style w:type="character" w:customStyle="1" w:styleId="61">
    <w:name w:val="标题 8 字符"/>
    <w:link w:val="10"/>
    <w:qFormat/>
    <w:uiPriority w:val="0"/>
    <w:rPr>
      <w:rFonts w:ascii="Arial" w:hAnsi="Arial" w:eastAsia="黑体" w:cs="Times New Roman"/>
      <w:sz w:val="24"/>
      <w:szCs w:val="24"/>
    </w:rPr>
  </w:style>
  <w:style w:type="character" w:customStyle="1" w:styleId="62">
    <w:name w:val="标题 9 字符"/>
    <w:link w:val="11"/>
    <w:qFormat/>
    <w:uiPriority w:val="0"/>
    <w:rPr>
      <w:rFonts w:ascii="Arial" w:hAnsi="Arial" w:eastAsia="黑体" w:cs="Times New Roman"/>
      <w:sz w:val="24"/>
      <w:szCs w:val="21"/>
    </w:rPr>
  </w:style>
  <w:style w:type="character" w:customStyle="1" w:styleId="63">
    <w:name w:val="文档结构图 字符"/>
    <w:link w:val="13"/>
    <w:qFormat/>
    <w:uiPriority w:val="0"/>
    <w:rPr>
      <w:szCs w:val="24"/>
      <w:shd w:val="clear" w:color="auto" w:fill="000080"/>
    </w:rPr>
  </w:style>
  <w:style w:type="character" w:customStyle="1" w:styleId="64">
    <w:name w:val="正文文本 3 字符"/>
    <w:link w:val="16"/>
    <w:qFormat/>
    <w:uiPriority w:val="0"/>
    <w:rPr>
      <w:rFonts w:ascii="Times New Roman" w:hAnsi="Times New Roman" w:eastAsia="宋体" w:cs="Times New Roman"/>
      <w:sz w:val="16"/>
      <w:szCs w:val="16"/>
    </w:rPr>
  </w:style>
  <w:style w:type="character" w:customStyle="1" w:styleId="65">
    <w:name w:val="正文文本 字符"/>
    <w:link w:val="17"/>
    <w:qFormat/>
    <w:uiPriority w:val="0"/>
    <w:rPr>
      <w:rFonts w:ascii="仿宋_GB2312" w:hAnsi="Times New Roman" w:eastAsia="仿宋_GB2312" w:cs="Times New Roman"/>
      <w:sz w:val="24"/>
      <w:szCs w:val="20"/>
    </w:rPr>
  </w:style>
  <w:style w:type="character" w:customStyle="1" w:styleId="66">
    <w:name w:val="正文文本缩进 字符"/>
    <w:link w:val="18"/>
    <w:qFormat/>
    <w:uiPriority w:val="0"/>
    <w:rPr>
      <w:rFonts w:ascii="仿宋_GB2312" w:hAnsi="Times New Roman" w:eastAsia="仿宋_GB2312" w:cs="Times New Roman"/>
      <w:sz w:val="28"/>
      <w:szCs w:val="20"/>
    </w:rPr>
  </w:style>
  <w:style w:type="character" w:customStyle="1" w:styleId="67">
    <w:name w:val="日期 字符"/>
    <w:link w:val="23"/>
    <w:qFormat/>
    <w:uiPriority w:val="0"/>
    <w:rPr>
      <w:rFonts w:ascii="Times New Roman" w:hAnsi="Times New Roman" w:eastAsia="宋体" w:cs="Times New Roman"/>
      <w:sz w:val="24"/>
      <w:szCs w:val="20"/>
    </w:rPr>
  </w:style>
  <w:style w:type="character" w:customStyle="1" w:styleId="68">
    <w:name w:val="正文文本缩进 2 字符"/>
    <w:link w:val="24"/>
    <w:qFormat/>
    <w:uiPriority w:val="0"/>
    <w:rPr>
      <w:rFonts w:ascii="Times New Roman" w:hAnsi="Times New Roman" w:eastAsia="仿宋_GB2312" w:cs="Times New Roman"/>
      <w:sz w:val="28"/>
      <w:szCs w:val="20"/>
    </w:rPr>
  </w:style>
  <w:style w:type="character" w:customStyle="1" w:styleId="69">
    <w:name w:val="批注框文本 字符"/>
    <w:link w:val="25"/>
    <w:qFormat/>
    <w:uiPriority w:val="0"/>
    <w:rPr>
      <w:sz w:val="18"/>
      <w:szCs w:val="18"/>
    </w:rPr>
  </w:style>
  <w:style w:type="character" w:customStyle="1" w:styleId="70">
    <w:name w:val="页脚 字符"/>
    <w:link w:val="26"/>
    <w:qFormat/>
    <w:uiPriority w:val="99"/>
    <w:rPr>
      <w:rFonts w:ascii="Times New Roman" w:hAnsi="Times New Roman" w:eastAsia="宋体" w:cs="Times New Roman"/>
      <w:sz w:val="18"/>
      <w:szCs w:val="20"/>
    </w:rPr>
  </w:style>
  <w:style w:type="character" w:customStyle="1" w:styleId="71">
    <w:name w:val="页眉 字符"/>
    <w:link w:val="27"/>
    <w:qFormat/>
    <w:uiPriority w:val="0"/>
    <w:rPr>
      <w:rFonts w:ascii="Times New Roman" w:hAnsi="Times New Roman" w:eastAsia="宋体" w:cs="Times New Roman"/>
      <w:sz w:val="18"/>
      <w:szCs w:val="18"/>
    </w:rPr>
  </w:style>
  <w:style w:type="character" w:customStyle="1" w:styleId="72">
    <w:name w:val="正文文本缩进 3 字符"/>
    <w:link w:val="30"/>
    <w:qFormat/>
    <w:uiPriority w:val="0"/>
    <w:rPr>
      <w:rFonts w:ascii="Times New Roman" w:hAnsi="Times New Roman" w:eastAsia="宋体" w:cs="Times New Roman"/>
      <w:sz w:val="16"/>
      <w:szCs w:val="16"/>
    </w:rPr>
  </w:style>
  <w:style w:type="character" w:customStyle="1" w:styleId="73">
    <w:name w:val="正文文本 2 字符"/>
    <w:link w:val="31"/>
    <w:qFormat/>
    <w:uiPriority w:val="0"/>
    <w:rPr>
      <w:rFonts w:ascii="Times New Roman" w:hAnsi="Times New Roman" w:eastAsia="宋体" w:cs="Times New Roman"/>
      <w:b/>
      <w:bCs/>
      <w:sz w:val="18"/>
      <w:szCs w:val="24"/>
    </w:rPr>
  </w:style>
  <w:style w:type="character" w:customStyle="1" w:styleId="74">
    <w:name w:val="正文文本首行缩进 字符"/>
    <w:link w:val="35"/>
    <w:qFormat/>
    <w:uiPriority w:val="0"/>
    <w:rPr>
      <w:rFonts w:ascii="Times New Roman" w:hAnsi="Times New Roman" w:eastAsia="宋体" w:cs="Times New Roman"/>
      <w:sz w:val="24"/>
      <w:szCs w:val="24"/>
    </w:rPr>
  </w:style>
  <w:style w:type="paragraph" w:customStyle="1" w:styleId="75">
    <w:name w:val="列出段落1"/>
    <w:basedOn w:val="1"/>
    <w:qFormat/>
    <w:uiPriority w:val="34"/>
    <w:pPr>
      <w:widowControl/>
      <w:ind w:left="720"/>
      <w:contextualSpacing/>
      <w:jc w:val="left"/>
    </w:pPr>
    <w:rPr>
      <w:kern w:val="0"/>
      <w:sz w:val="24"/>
      <w:lang w:eastAsia="en-US" w:bidi="en-US"/>
    </w:rPr>
  </w:style>
  <w:style w:type="paragraph" w:customStyle="1" w:styleId="76">
    <w:name w:val="无间隔1"/>
    <w:qFormat/>
    <w:uiPriority w:val="0"/>
    <w:rPr>
      <w:rFonts w:ascii="Times New Roman" w:hAnsi="Times New Roman" w:eastAsia="宋体" w:cs="Calibri"/>
      <w:sz w:val="22"/>
      <w:lang w:val="en-US" w:eastAsia="zh-CN" w:bidi="ar-SA"/>
    </w:rPr>
  </w:style>
  <w:style w:type="paragraph" w:customStyle="1" w:styleId="77">
    <w:name w:val="段"/>
    <w:next w:val="1"/>
    <w:qFormat/>
    <w:uiPriority w:val="0"/>
    <w:pPr>
      <w:autoSpaceDE w:val="0"/>
      <w:autoSpaceDN w:val="0"/>
      <w:ind w:firstLine="200" w:firstLineChars="200"/>
      <w:jc w:val="both"/>
    </w:pPr>
    <w:rPr>
      <w:rFonts w:ascii="宋体" w:hAnsi="Times New Roman" w:eastAsia="Times New Roman" w:cs="Times New Roman"/>
      <w:sz w:val="21"/>
      <w:lang w:val="en-US" w:eastAsia="zh-CN" w:bidi="ar-SA"/>
    </w:rPr>
  </w:style>
  <w:style w:type="character" w:customStyle="1" w:styleId="78">
    <w:name w:val="列表段落 字符1"/>
    <w:link w:val="79"/>
    <w:qFormat/>
    <w:uiPriority w:val="99"/>
  </w:style>
  <w:style w:type="paragraph" w:styleId="79">
    <w:name w:val="List Paragraph"/>
    <w:basedOn w:val="1"/>
    <w:link w:val="78"/>
    <w:qFormat/>
    <w:uiPriority w:val="99"/>
    <w:pPr>
      <w:ind w:firstLine="420" w:firstLineChars="200"/>
    </w:pPr>
    <w:rPr>
      <w:kern w:val="0"/>
      <w:sz w:val="20"/>
      <w:szCs w:val="20"/>
    </w:rPr>
  </w:style>
  <w:style w:type="character" w:customStyle="1" w:styleId="80">
    <w:name w:val="文档结构图 Char1"/>
    <w:qFormat/>
    <w:uiPriority w:val="99"/>
    <w:rPr>
      <w:rFonts w:ascii="宋体" w:hAnsi="Times New Roman" w:eastAsia="宋体" w:cs="Times New Roman"/>
      <w:sz w:val="18"/>
      <w:szCs w:val="18"/>
    </w:rPr>
  </w:style>
  <w:style w:type="character" w:customStyle="1" w:styleId="81">
    <w:name w:val="普通正文 Char"/>
    <w:link w:val="82"/>
    <w:qFormat/>
    <w:uiPriority w:val="0"/>
    <w:rPr>
      <w:rFonts w:ascii="Arial" w:hAnsi="Arial"/>
      <w:sz w:val="24"/>
      <w:szCs w:val="24"/>
    </w:rPr>
  </w:style>
  <w:style w:type="paragraph" w:customStyle="1" w:styleId="82">
    <w:name w:val="普通正文"/>
    <w:basedOn w:val="1"/>
    <w:link w:val="81"/>
    <w:qFormat/>
    <w:uiPriority w:val="0"/>
    <w:pPr>
      <w:adjustRightInd w:val="0"/>
      <w:spacing w:before="120" w:after="120" w:line="360" w:lineRule="auto"/>
      <w:ind w:left="-2" w:right="120" w:firstLine="480"/>
      <w:jc w:val="center"/>
      <w:textAlignment w:val="baseline"/>
    </w:pPr>
    <w:rPr>
      <w:rFonts w:ascii="Arial" w:hAnsi="Arial"/>
      <w:kern w:val="0"/>
      <w:sz w:val="24"/>
    </w:rPr>
  </w:style>
  <w:style w:type="character" w:customStyle="1" w:styleId="83">
    <w:name w:val="FA正文 Char"/>
    <w:link w:val="84"/>
    <w:qFormat/>
    <w:uiPriority w:val="0"/>
    <w:rPr>
      <w:rFonts w:ascii="宋体" w:hAnsi="宋体" w:eastAsia="宋体" w:cs="Times New Roman"/>
      <w:sz w:val="28"/>
      <w:szCs w:val="28"/>
    </w:rPr>
  </w:style>
  <w:style w:type="paragraph" w:customStyle="1" w:styleId="84">
    <w:name w:val="FA正文"/>
    <w:basedOn w:val="1"/>
    <w:link w:val="83"/>
    <w:qFormat/>
    <w:uiPriority w:val="0"/>
    <w:pPr>
      <w:tabs>
        <w:tab w:val="left" w:pos="3375"/>
      </w:tabs>
      <w:spacing w:line="440" w:lineRule="atLeast"/>
      <w:ind w:firstLine="538" w:firstLineChars="192"/>
    </w:pPr>
    <w:rPr>
      <w:rFonts w:ascii="宋体" w:hAnsi="宋体"/>
      <w:kern w:val="0"/>
      <w:sz w:val="28"/>
      <w:szCs w:val="28"/>
    </w:rPr>
  </w:style>
  <w:style w:type="character" w:customStyle="1" w:styleId="85">
    <w:name w:val="正文缩进2格 Char"/>
    <w:link w:val="86"/>
    <w:qFormat/>
    <w:uiPriority w:val="0"/>
    <w:rPr>
      <w:rFonts w:ascii="仿宋_GB2312" w:hAnsi="宋体" w:eastAsia="仿宋_GB2312" w:cs="Times New Roman"/>
      <w:sz w:val="31"/>
      <w:szCs w:val="28"/>
    </w:rPr>
  </w:style>
  <w:style w:type="paragraph" w:customStyle="1" w:styleId="86">
    <w:name w:val="正文缩进2格"/>
    <w:basedOn w:val="1"/>
    <w:link w:val="85"/>
    <w:qFormat/>
    <w:uiPriority w:val="0"/>
    <w:pPr>
      <w:spacing w:line="600" w:lineRule="exact"/>
      <w:ind w:firstLine="639" w:firstLineChars="206"/>
    </w:pPr>
    <w:rPr>
      <w:rFonts w:ascii="仿宋_GB2312" w:hAnsi="宋体" w:eastAsia="仿宋_GB2312"/>
      <w:kern w:val="0"/>
      <w:sz w:val="31"/>
      <w:szCs w:val="28"/>
    </w:rPr>
  </w:style>
  <w:style w:type="character" w:customStyle="1" w:styleId="87">
    <w:name w:val="cn_text1"/>
    <w:qFormat/>
    <w:uiPriority w:val="0"/>
    <w:rPr>
      <w:rFonts w:hint="default" w:ascii="ˎ̥" w:hAnsi="ˎ̥"/>
      <w:color w:val="003399"/>
      <w:spacing w:val="15"/>
      <w:sz w:val="18"/>
      <w:szCs w:val="18"/>
    </w:rPr>
  </w:style>
  <w:style w:type="character" w:customStyle="1" w:styleId="88">
    <w:name w:val="ssss Char"/>
    <w:qFormat/>
    <w:uiPriority w:val="0"/>
    <w:rPr>
      <w:rFonts w:eastAsia="宋体"/>
      <w:kern w:val="2"/>
      <w:sz w:val="24"/>
      <w:szCs w:val="24"/>
      <w:lang w:val="en-US" w:eastAsia="zh-CN" w:bidi="ar-SA"/>
    </w:rPr>
  </w:style>
  <w:style w:type="character" w:customStyle="1" w:styleId="89">
    <w:name w:val="ssss Char1"/>
    <w:link w:val="90"/>
    <w:qFormat/>
    <w:uiPriority w:val="0"/>
    <w:rPr>
      <w:rFonts w:ascii="Times New Roman" w:hAnsi="Times New Roman" w:eastAsia="宋体" w:cs="Times New Roman"/>
      <w:sz w:val="24"/>
      <w:szCs w:val="24"/>
    </w:rPr>
  </w:style>
  <w:style w:type="paragraph" w:customStyle="1" w:styleId="90">
    <w:name w:val="ssss"/>
    <w:basedOn w:val="1"/>
    <w:link w:val="89"/>
    <w:qFormat/>
    <w:uiPriority w:val="0"/>
    <w:pPr>
      <w:spacing w:line="360" w:lineRule="auto"/>
      <w:ind w:firstLine="480" w:firstLineChars="200"/>
    </w:pPr>
    <w:rPr>
      <w:kern w:val="0"/>
      <w:sz w:val="24"/>
    </w:rPr>
  </w:style>
  <w:style w:type="character" w:customStyle="1" w:styleId="91">
    <w:name w:val="标题 4 Char1"/>
    <w:qFormat/>
    <w:uiPriority w:val="0"/>
    <w:rPr>
      <w:rFonts w:ascii="Arial" w:hAnsi="Arial" w:eastAsia="黑体"/>
      <w:b/>
      <w:bCs/>
      <w:kern w:val="2"/>
      <w:sz w:val="28"/>
      <w:szCs w:val="28"/>
      <w:lang w:val="en-US" w:eastAsia="zh-CN" w:bidi="ar-SA"/>
    </w:rPr>
  </w:style>
  <w:style w:type="character" w:customStyle="1" w:styleId="92">
    <w:name w:val="列表段落 字符"/>
    <w:qFormat/>
    <w:uiPriority w:val="34"/>
    <w:rPr>
      <w:rFonts w:ascii="Calibri" w:hAnsi="Calibri"/>
      <w:kern w:val="2"/>
      <w:sz w:val="21"/>
      <w:szCs w:val="22"/>
    </w:rPr>
  </w:style>
  <w:style w:type="character" w:customStyle="1" w:styleId="93">
    <w:name w:val="批注框文本 Char1"/>
    <w:qFormat/>
    <w:uiPriority w:val="99"/>
    <w:rPr>
      <w:rFonts w:ascii="Times New Roman" w:hAnsi="Times New Roman" w:eastAsia="宋体" w:cs="Times New Roman"/>
      <w:sz w:val="18"/>
      <w:szCs w:val="18"/>
    </w:rPr>
  </w:style>
  <w:style w:type="character" w:customStyle="1" w:styleId="94">
    <w:name w:val="样式 ssss + 宋体 五号1 Char"/>
    <w:link w:val="95"/>
    <w:qFormat/>
    <w:uiPriority w:val="0"/>
    <w:rPr>
      <w:rFonts w:ascii="宋体" w:hAnsi="宋体" w:eastAsia="宋体" w:cs="Times New Roman"/>
      <w:sz w:val="24"/>
      <w:szCs w:val="24"/>
    </w:rPr>
  </w:style>
  <w:style w:type="paragraph" w:customStyle="1" w:styleId="95">
    <w:name w:val="样式 ssss + 宋体 五号1"/>
    <w:basedOn w:val="90"/>
    <w:link w:val="94"/>
    <w:qFormat/>
    <w:uiPriority w:val="0"/>
    <w:rPr>
      <w:rFonts w:ascii="宋体" w:hAnsi="宋体"/>
    </w:rPr>
  </w:style>
  <w:style w:type="character" w:customStyle="1" w:styleId="96">
    <w:name w:val="point_normal1"/>
    <w:qFormat/>
    <w:uiPriority w:val="0"/>
    <w:rPr>
      <w:rFonts w:hint="default" w:ascii="Arial" w:hAnsi="Arial" w:cs="Arial"/>
      <w:sz w:val="16"/>
      <w:szCs w:val="16"/>
    </w:rPr>
  </w:style>
  <w:style w:type="paragraph" w:customStyle="1" w:styleId="97">
    <w:name w:val="样式 正文文本缩进 3 + 四号"/>
    <w:basedOn w:val="30"/>
    <w:qFormat/>
    <w:uiPriority w:val="0"/>
    <w:pPr>
      <w:spacing w:after="0" w:line="360" w:lineRule="auto"/>
      <w:ind w:left="0" w:leftChars="0" w:firstLine="437"/>
    </w:pPr>
    <w:rPr>
      <w:sz w:val="24"/>
      <w:szCs w:val="21"/>
    </w:rPr>
  </w:style>
  <w:style w:type="paragraph" w:customStyle="1" w:styleId="98">
    <w:name w:val="2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99">
    <w:name w:val="ec_msonormal"/>
    <w:basedOn w:val="1"/>
    <w:qFormat/>
    <w:uiPriority w:val="0"/>
    <w:pPr>
      <w:widowControl/>
      <w:spacing w:before="100" w:beforeAutospacing="1" w:after="100" w:afterAutospacing="1"/>
      <w:jc w:val="left"/>
    </w:pPr>
    <w:rPr>
      <w:rFonts w:ascii="宋体" w:hAnsi="宋体"/>
      <w:kern w:val="0"/>
      <w:sz w:val="24"/>
    </w:rPr>
  </w:style>
  <w:style w:type="paragraph" w:customStyle="1" w:styleId="100">
    <w:name w:val="Char Char Char Char"/>
    <w:basedOn w:val="1"/>
    <w:qFormat/>
    <w:uiPriority w:val="0"/>
    <w:rPr>
      <w:rFonts w:ascii="Tahoma" w:hAnsi="Tahoma"/>
      <w:sz w:val="24"/>
      <w:szCs w:val="20"/>
    </w:rPr>
  </w:style>
  <w:style w:type="paragraph" w:customStyle="1" w:styleId="101">
    <w:name w:val="Char Char Char Char Char Char Char Char Char Char Char Char Char"/>
    <w:basedOn w:val="1"/>
    <w:qFormat/>
    <w:uiPriority w:val="0"/>
  </w:style>
  <w:style w:type="paragraph" w:customStyle="1" w:styleId="102">
    <w:name w:val="表格正文"/>
    <w:basedOn w:val="1"/>
    <w:qFormat/>
    <w:uiPriority w:val="0"/>
    <w:pPr>
      <w:spacing w:line="360" w:lineRule="auto"/>
      <w:jc w:val="left"/>
    </w:pPr>
    <w:rPr>
      <w:rFonts w:ascii="Calibri" w:hAnsi="Calibri"/>
      <w:color w:val="000000"/>
      <w:szCs w:val="28"/>
    </w:rPr>
  </w:style>
  <w:style w:type="paragraph" w:customStyle="1" w:styleId="103">
    <w:name w:val="正文1"/>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104">
    <w:name w:val="Char Char Char Char1"/>
    <w:basedOn w:val="1"/>
    <w:qFormat/>
    <w:uiPriority w:val="0"/>
    <w:rPr>
      <w:rFonts w:ascii="Tahoma" w:hAnsi="Tahoma"/>
      <w:sz w:val="24"/>
      <w:szCs w:val="20"/>
    </w:rPr>
  </w:style>
  <w:style w:type="paragraph" w:customStyle="1" w:styleId="105">
    <w:name w:val="Char Char Char"/>
    <w:basedOn w:val="1"/>
    <w:qFormat/>
    <w:uiPriority w:val="0"/>
    <w:rPr>
      <w:rFonts w:ascii="Tahoma" w:hAnsi="Tahoma"/>
      <w:sz w:val="24"/>
      <w:szCs w:val="20"/>
    </w:rPr>
  </w:style>
  <w:style w:type="paragraph" w:customStyle="1" w:styleId="106">
    <w:name w:val="标题-----3"/>
    <w:basedOn w:val="4"/>
    <w:qFormat/>
    <w:uiPriority w:val="0"/>
    <w:pPr>
      <w:spacing w:before="0" w:after="0" w:line="240" w:lineRule="auto"/>
      <w:outlineLvl w:val="0"/>
    </w:pPr>
    <w:rPr>
      <w:rFonts w:ascii="宋体" w:hAnsi="宋体"/>
      <w:b w:val="0"/>
      <w:bCs w:val="0"/>
      <w:sz w:val="28"/>
      <w:szCs w:val="28"/>
    </w:rPr>
  </w:style>
  <w:style w:type="paragraph" w:customStyle="1" w:styleId="107">
    <w:name w:val="样式 ssss + 居中"/>
    <w:basedOn w:val="90"/>
    <w:qFormat/>
    <w:uiPriority w:val="0"/>
    <w:pPr>
      <w:jc w:val="center"/>
    </w:pPr>
    <w:rPr>
      <w:rFonts w:cs="宋体"/>
      <w:szCs w:val="20"/>
    </w:rPr>
  </w:style>
  <w:style w:type="paragraph" w:customStyle="1" w:styleId="108">
    <w:name w:val="样式 宋体 四号 黑色 左侧:  0.74 厘米 首行缩进:  0.74 厘米 行距: 1.5 倍行距"/>
    <w:basedOn w:val="1"/>
    <w:qFormat/>
    <w:uiPriority w:val="0"/>
    <w:pPr>
      <w:spacing w:line="360" w:lineRule="auto"/>
      <w:ind w:firstLine="420"/>
    </w:pPr>
    <w:rPr>
      <w:rFonts w:ascii="宋体"/>
      <w:color w:val="000000"/>
      <w:sz w:val="24"/>
      <w:szCs w:val="21"/>
    </w:rPr>
  </w:style>
  <w:style w:type="paragraph" w:customStyle="1" w:styleId="109">
    <w:name w:val="样式 样式 ssss + 宋体 五号 + 首行缩进:  2 字符"/>
    <w:basedOn w:val="110"/>
    <w:qFormat/>
    <w:uiPriority w:val="0"/>
    <w:pPr>
      <w:ind w:firstLine="480"/>
    </w:pPr>
  </w:style>
  <w:style w:type="paragraph" w:customStyle="1" w:styleId="110">
    <w:name w:val="样式 ssss + 宋体 五号"/>
    <w:basedOn w:val="90"/>
    <w:qFormat/>
    <w:uiPriority w:val="0"/>
    <w:pPr>
      <w:ind w:firstLine="420"/>
    </w:pPr>
    <w:rPr>
      <w:rFonts w:ascii="宋体" w:hAnsi="宋体" w:cs="宋体"/>
      <w:szCs w:val="20"/>
    </w:rPr>
  </w:style>
  <w:style w:type="paragraph" w:customStyle="1" w:styleId="111">
    <w:name w:val="msonormal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112">
    <w:name w:val="Char"/>
    <w:basedOn w:val="1"/>
    <w:qFormat/>
    <w:uiPriority w:val="0"/>
    <w:rPr>
      <w:rFonts w:ascii="Tahoma" w:hAnsi="Tahoma"/>
      <w:sz w:val="24"/>
      <w:szCs w:val="20"/>
    </w:rPr>
  </w:style>
  <w:style w:type="paragraph" w:customStyle="1" w:styleId="113">
    <w:name w:val="xl25"/>
    <w:basedOn w:val="1"/>
    <w:qFormat/>
    <w:uiPriority w:val="0"/>
    <w:pPr>
      <w:widowControl/>
      <w:pBdr>
        <w:bottom w:val="single" w:color="auto" w:sz="4" w:space="0"/>
        <w:right w:val="single" w:color="auto" w:sz="4" w:space="0"/>
      </w:pBdr>
      <w:spacing w:before="100" w:beforeAutospacing="1" w:after="100" w:afterAutospacing="1"/>
    </w:pPr>
    <w:rPr>
      <w:rFonts w:hint="eastAsia" w:ascii="华文细黑" w:hAnsi="华文细黑" w:eastAsia="华文细黑"/>
      <w:kern w:val="0"/>
      <w:sz w:val="18"/>
      <w:szCs w:val="18"/>
    </w:rPr>
  </w:style>
  <w:style w:type="paragraph" w:customStyle="1" w:styleId="114">
    <w:name w:val="标题------4"/>
    <w:basedOn w:val="5"/>
    <w:qFormat/>
    <w:uiPriority w:val="0"/>
    <w:pPr>
      <w:keepLines/>
      <w:spacing w:line="360" w:lineRule="auto"/>
      <w:ind w:left="960" w:hanging="420"/>
      <w:jc w:val="both"/>
    </w:pPr>
    <w:rPr>
      <w:rFonts w:ascii="仿宋_GB2312" w:hAnsi="宋体" w:eastAsia="仿宋_GB2312" w:cs="仿宋_GB2312"/>
      <w:b/>
      <w:sz w:val="28"/>
      <w:szCs w:val="28"/>
      <w:lang w:val="zh-CN"/>
    </w:rPr>
  </w:style>
  <w:style w:type="paragraph" w:customStyle="1" w:styleId="115">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116">
    <w:name w:val="Char Char Char Char Char Char Char Char Char Char Char Char Char1"/>
    <w:basedOn w:val="1"/>
    <w:qFormat/>
    <w:uiPriority w:val="0"/>
    <w:rPr>
      <w:sz w:val="24"/>
    </w:rPr>
  </w:style>
  <w:style w:type="paragraph" w:customStyle="1" w:styleId="117">
    <w:name w:val="表格"/>
    <w:basedOn w:val="1"/>
    <w:qFormat/>
    <w:uiPriority w:val="0"/>
    <w:rPr>
      <w:rFonts w:ascii="Arial" w:hAnsi="Arial"/>
      <w:sz w:val="24"/>
    </w:rPr>
  </w:style>
  <w:style w:type="paragraph" w:customStyle="1" w:styleId="118">
    <w:name w:val="正文样式1"/>
    <w:basedOn w:val="1"/>
    <w:qFormat/>
    <w:uiPriority w:val="0"/>
    <w:pPr>
      <w:spacing w:before="120" w:after="120" w:line="360" w:lineRule="auto"/>
      <w:ind w:firstLine="480" w:firstLineChars="200"/>
    </w:pPr>
    <w:rPr>
      <w:sz w:val="24"/>
      <w:szCs w:val="20"/>
    </w:rPr>
  </w:style>
  <w:style w:type="paragraph" w:customStyle="1" w:styleId="11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0">
    <w:name w:val="Char Char Char Char Char Char Char Char Char Char"/>
    <w:basedOn w:val="1"/>
    <w:qFormat/>
    <w:uiPriority w:val="0"/>
    <w:rPr>
      <w:rFonts w:ascii="Tahoma" w:hAnsi="Tahoma"/>
      <w:sz w:val="24"/>
      <w:szCs w:val="20"/>
    </w:rPr>
  </w:style>
  <w:style w:type="paragraph" w:customStyle="1" w:styleId="121">
    <w:name w:val="Char1"/>
    <w:basedOn w:val="1"/>
    <w:qFormat/>
    <w:uiPriority w:val="0"/>
    <w:pPr>
      <w:tabs>
        <w:tab w:val="left" w:pos="360"/>
      </w:tabs>
    </w:pPr>
    <w:rPr>
      <w:sz w:val="24"/>
    </w:rPr>
  </w:style>
  <w:style w:type="paragraph" w:customStyle="1" w:styleId="122">
    <w:name w:val="标题1"/>
    <w:basedOn w:val="1"/>
    <w:next w:val="1"/>
    <w:qFormat/>
    <w:uiPriority w:val="0"/>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customStyle="1" w:styleId="123">
    <w:name w:val="Header2"/>
    <w:basedOn w:val="1"/>
    <w:qFormat/>
    <w:uiPriority w:val="0"/>
    <w:pPr>
      <w:numPr>
        <w:ilvl w:val="0"/>
        <w:numId w:val="1"/>
      </w:numPr>
    </w:pPr>
  </w:style>
  <w:style w:type="paragraph" w:customStyle="1" w:styleId="124">
    <w:name w:val="Char Char 字元 字元 字元 Char Char Char Char"/>
    <w:basedOn w:val="1"/>
    <w:qFormat/>
    <w:uiPriority w:val="0"/>
    <w:pPr>
      <w:adjustRightInd w:val="0"/>
      <w:spacing w:line="360" w:lineRule="auto"/>
    </w:pPr>
    <w:rPr>
      <w:kern w:val="0"/>
      <w:sz w:val="24"/>
      <w:szCs w:val="20"/>
    </w:rPr>
  </w:style>
  <w:style w:type="paragraph" w:customStyle="1" w:styleId="125">
    <w:name w:val="2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126">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28">
    <w:name w:val="网格型1"/>
    <w:basedOn w:val="37"/>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9">
    <w:name w:val="DAS正文"/>
    <w:basedOn w:val="1"/>
    <w:qFormat/>
    <w:uiPriority w:val="0"/>
    <w:pPr>
      <w:spacing w:line="360" w:lineRule="auto"/>
      <w:ind w:right="181" w:firstLine="480" w:firstLineChars="200"/>
    </w:pPr>
    <w:rPr>
      <w:rFonts w:ascii="Verdana" w:hAnsi="Verdana"/>
      <w:sz w:val="24"/>
      <w:szCs w:val="20"/>
    </w:rPr>
  </w:style>
  <w:style w:type="paragraph" w:customStyle="1" w:styleId="130">
    <w:name w:val="普通(网站) Char"/>
    <w:basedOn w:val="1"/>
    <w:qFormat/>
    <w:uiPriority w:val="99"/>
    <w:pPr>
      <w:widowControl/>
      <w:spacing w:before="100" w:beforeAutospacing="1" w:after="100" w:afterAutospacing="1"/>
      <w:jc w:val="left"/>
    </w:pPr>
    <w:rPr>
      <w:rFonts w:ascii="宋体" w:hAnsi="宋体" w:cs="宋体"/>
      <w:kern w:val="0"/>
      <w:sz w:val="24"/>
    </w:rPr>
  </w:style>
  <w:style w:type="paragraph" w:customStyle="1" w:styleId="131">
    <w:name w:val="标书的正文"/>
    <w:basedOn w:val="1"/>
    <w:qFormat/>
    <w:uiPriority w:val="0"/>
    <w:pPr>
      <w:spacing w:line="360" w:lineRule="auto"/>
      <w:ind w:firstLine="482"/>
      <w:jc w:val="left"/>
    </w:pPr>
    <w:rPr>
      <w:rFonts w:ascii="宋体" w:hAnsi="宋体"/>
      <w:kern w:val="3"/>
      <w:sz w:val="24"/>
      <w:szCs w:val="20"/>
    </w:rPr>
  </w:style>
  <w:style w:type="paragraph" w:customStyle="1" w:styleId="132">
    <w:name w:val="样式 标题 1 + 宋体 段前: 0 磅 段后: 0 磅 行距: 单倍行距"/>
    <w:basedOn w:val="2"/>
    <w:next w:val="1"/>
    <w:qFormat/>
    <w:uiPriority w:val="99"/>
    <w:pPr>
      <w:spacing w:beforeLines="100" w:afterLines="100"/>
    </w:pPr>
    <w:rPr>
      <w:rFonts w:ascii="仿宋_GB2312" w:hAnsi="宋体" w:cs="仿宋_GB2312"/>
    </w:rPr>
  </w:style>
  <w:style w:type="paragraph" w:customStyle="1" w:styleId="133">
    <w:name w:val="标准文本"/>
    <w:basedOn w:val="1"/>
    <w:qFormat/>
    <w:uiPriority w:val="0"/>
    <w:pPr>
      <w:spacing w:line="360" w:lineRule="auto"/>
      <w:ind w:firstLine="480" w:firstLineChars="200"/>
    </w:pPr>
    <w:rPr>
      <w:rFonts w:cs="宋体"/>
      <w:sz w:val="24"/>
    </w:rPr>
  </w:style>
  <w:style w:type="character" w:customStyle="1" w:styleId="134">
    <w:name w:val="批注文字 字符"/>
    <w:basedOn w:val="39"/>
    <w:link w:val="15"/>
    <w:qFormat/>
    <w:uiPriority w:val="99"/>
    <w:rPr>
      <w:kern w:val="2"/>
      <w:sz w:val="21"/>
      <w:szCs w:val="24"/>
    </w:rPr>
  </w:style>
  <w:style w:type="character" w:customStyle="1" w:styleId="135">
    <w:name w:val="批注主题 字符"/>
    <w:basedOn w:val="134"/>
    <w:link w:val="34"/>
    <w:qFormat/>
    <w:uiPriority w:val="99"/>
    <w:rPr>
      <w:b/>
      <w:bCs/>
      <w:kern w:val="2"/>
      <w:sz w:val="21"/>
      <w:szCs w:val="24"/>
    </w:rPr>
  </w:style>
  <w:style w:type="character" w:customStyle="1" w:styleId="136">
    <w:name w:val="未处理的提及1"/>
    <w:basedOn w:val="39"/>
    <w:qFormat/>
    <w:uiPriority w:val="99"/>
    <w:rPr>
      <w:color w:val="605E5C"/>
      <w:shd w:val="clear" w:color="auto" w:fill="E1DFDD"/>
    </w:rPr>
  </w:style>
  <w:style w:type="paragraph" w:customStyle="1" w:styleId="137">
    <w:name w:val="列出段落2"/>
    <w:basedOn w:val="1"/>
    <w:qFormat/>
    <w:uiPriority w:val="99"/>
    <w:pPr>
      <w:ind w:firstLine="420" w:firstLineChars="200"/>
    </w:pPr>
    <w:rPr>
      <w:kern w:val="0"/>
      <w:sz w:val="20"/>
      <w:szCs w:val="20"/>
    </w:rPr>
  </w:style>
  <w:style w:type="paragraph" w:customStyle="1" w:styleId="13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139">
    <w:name w:val="Hyperlink.0"/>
    <w:qFormat/>
    <w:uiPriority w:val="0"/>
    <w:rPr>
      <w:rFonts w:ascii="宋体" w:hAnsi="宋体" w:eastAsia="宋体" w:cs="宋体"/>
      <w:sz w:val="24"/>
      <w:szCs w:val="24"/>
      <w:lang w:val="zh-TW" w:eastAsia="zh-TW"/>
    </w:rPr>
  </w:style>
  <w:style w:type="character" w:customStyle="1" w:styleId="140">
    <w:name w:val="页脚 Char"/>
    <w:qFormat/>
    <w:uiPriority w:val="99"/>
    <w:rPr>
      <w:rFonts w:ascii="Times New Roman" w:hAnsi="Times New Roman" w:eastAsia="宋体" w:cs="Times New Roman"/>
      <w:kern w:val="0"/>
      <w:sz w:val="18"/>
      <w:szCs w:val="20"/>
    </w:rPr>
  </w:style>
  <w:style w:type="paragraph" w:customStyle="1" w:styleId="141">
    <w:name w:val="首行缩进"/>
    <w:basedOn w:val="1"/>
    <w:qFormat/>
    <w:uiPriority w:val="0"/>
    <w:pPr>
      <w:spacing w:line="360" w:lineRule="auto"/>
      <w:ind w:firstLine="480" w:firstLineChars="200"/>
    </w:pPr>
    <w:rPr>
      <w:sz w:val="24"/>
    </w:rPr>
  </w:style>
  <w:style w:type="character" w:customStyle="1" w:styleId="142">
    <w:name w:val="15"/>
    <w:basedOn w:val="39"/>
    <w:qFormat/>
    <w:uiPriority w:val="0"/>
    <w:rPr>
      <w:rFonts w:hint="eastAsia" w:ascii="宋体" w:hAnsi="宋体" w:eastAsia="宋体"/>
      <w:color w:val="000000"/>
      <w:sz w:val="22"/>
      <w:szCs w:val="22"/>
    </w:rPr>
  </w:style>
  <w:style w:type="character" w:customStyle="1" w:styleId="143">
    <w:name w:val="font01"/>
    <w:qFormat/>
    <w:uiPriority w:val="0"/>
    <w:rPr>
      <w:rFonts w:hint="default" w:ascii="等线" w:hAnsi="等线" w:eastAsia="等线" w:cs="等线"/>
      <w:color w:val="000000"/>
      <w:sz w:val="22"/>
      <w:szCs w:val="22"/>
      <w:u w:val="none"/>
    </w:rPr>
  </w:style>
  <w:style w:type="paragraph" w:customStyle="1" w:styleId="144">
    <w:name w:val="p0"/>
    <w:basedOn w:val="1"/>
    <w:qFormat/>
    <w:uiPriority w:val="99"/>
    <w:pPr>
      <w:widowControl/>
    </w:pPr>
    <w:rPr>
      <w:rFonts w:ascii="Calibri" w:hAnsi="Calibri" w:cs="Calibri"/>
      <w:kern w:val="0"/>
      <w:szCs w:val="21"/>
    </w:rPr>
  </w:style>
  <w:style w:type="paragraph" w:customStyle="1" w:styleId="145">
    <w:name w:val="Table Text"/>
    <w:basedOn w:val="1"/>
    <w:qFormat/>
    <w:uiPriority w:val="0"/>
    <w:rPr>
      <w:rFonts w:ascii="宋体" w:hAnsi="宋体" w:cs="宋体"/>
      <w:sz w:val="24"/>
      <w:lang w:eastAsia="en-US"/>
    </w:rPr>
  </w:style>
  <w:style w:type="paragraph" w:customStyle="1" w:styleId="146">
    <w:name w:val="*正文"/>
    <w:basedOn w:val="1"/>
    <w:qFormat/>
    <w:uiPriority w:val="0"/>
    <w:pPr>
      <w:spacing w:line="360" w:lineRule="auto"/>
    </w:pPr>
    <w:rPr>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3BCBD0-69D9-4CED-9E9F-1CF28D76825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50</Pages>
  <Words>1309</Words>
  <Characters>1423</Characters>
  <Paragraphs>1270</Paragraphs>
  <TotalTime>15</TotalTime>
  <ScaleCrop>false</ScaleCrop>
  <LinksUpToDate>false</LinksUpToDate>
  <CharactersWithSpaces>1444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2026-07-07T08:07:00Z</dcterms:created>
  <dc:creator>User</dc:creator>
  <cp:lastModifiedBy>ｊｅｓｓｉｅ</cp:lastModifiedBy>
  <cp:lastPrinted>2024-07-03T08:41:00Z</cp:lastPrinted>
  <dcterms:modified xsi:type="dcterms:W3CDTF">2026-07-13T03:25:12Z</dcterms:modified>
  <dc:title>南通市Ⅹ项目</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E07A274AA60C45B7808DF2A5AAEDCCE8_13</vt:lpwstr>
  </property>
  <property fmtid="{D5CDD505-2E9C-101B-9397-08002B2CF9AE}" pid="4" name="KSOTemplateDocerSaveRecord">
    <vt:lpwstr>eyJoZGlkIjoiMTJhNTNmMTg1YmIyMzBhNGFkMjE1NDhmMmZmMTVlNWEiLCJ1c2VySWQiOiIxMjM1Mzg0ODk3In0=</vt:lpwstr>
  </property>
</Properties>
</file>