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0E1DC">
      <w:pPr>
        <w:pStyle w:val="113"/>
      </w:pPr>
    </w:p>
    <w:p w14:paraId="57F2F99F">
      <w:pPr>
        <w:jc w:val="center"/>
        <w:rPr>
          <w:rFonts w:ascii="宋体" w:hAnsi="宋体"/>
          <w:bCs/>
          <w:spacing w:val="20"/>
          <w:sz w:val="48"/>
          <w:szCs w:val="28"/>
        </w:rPr>
      </w:pPr>
    </w:p>
    <w:p w14:paraId="43C53A51">
      <w:pPr>
        <w:jc w:val="center"/>
        <w:rPr>
          <w:rFonts w:ascii="宋体" w:hAnsi="宋体"/>
          <w:bCs/>
          <w:spacing w:val="20"/>
          <w:sz w:val="48"/>
          <w:szCs w:val="28"/>
        </w:rPr>
      </w:pPr>
      <w:r>
        <w:rPr>
          <w:rFonts w:hint="eastAsia" w:ascii="宋体" w:hAnsi="宋体"/>
          <w:bCs/>
          <w:spacing w:val="20"/>
          <w:sz w:val="48"/>
          <w:szCs w:val="28"/>
        </w:rPr>
        <w:t>江苏商贸职业学院</w:t>
      </w:r>
    </w:p>
    <w:p w14:paraId="7645AA7A">
      <w:pPr>
        <w:jc w:val="center"/>
        <w:rPr>
          <w:rFonts w:ascii="宋体" w:hAnsi="宋体"/>
          <w:bCs/>
          <w:spacing w:val="20"/>
          <w:sz w:val="48"/>
          <w:szCs w:val="28"/>
        </w:rPr>
      </w:pPr>
      <w:r>
        <w:rPr>
          <w:rFonts w:hint="eastAsia" w:ascii="宋体" w:hAnsi="宋体"/>
          <w:bCs/>
          <w:spacing w:val="20"/>
          <w:sz w:val="48"/>
          <w:szCs w:val="28"/>
        </w:rPr>
        <w:t>无人机应用项目开发及租赁服务项目</w:t>
      </w:r>
    </w:p>
    <w:p w14:paraId="36E52642">
      <w:pPr>
        <w:rPr>
          <w:rFonts w:ascii="宋体" w:hAnsi="宋体"/>
          <w:bCs/>
          <w:sz w:val="72"/>
          <w:szCs w:val="72"/>
        </w:rPr>
      </w:pPr>
    </w:p>
    <w:p w14:paraId="19E3BA22">
      <w:pPr>
        <w:jc w:val="center"/>
        <w:rPr>
          <w:rFonts w:ascii="宋体" w:hAnsi="宋体"/>
          <w:bCs/>
          <w:sz w:val="72"/>
          <w:szCs w:val="72"/>
        </w:rPr>
      </w:pPr>
    </w:p>
    <w:p w14:paraId="7400104C">
      <w:pPr>
        <w:jc w:val="center"/>
        <w:rPr>
          <w:rFonts w:ascii="宋体" w:hAnsi="宋体"/>
          <w:bCs/>
          <w:sz w:val="100"/>
          <w:szCs w:val="100"/>
        </w:rPr>
      </w:pPr>
      <w:r>
        <w:rPr>
          <w:rFonts w:hint="eastAsia" w:ascii="宋体" w:hAnsi="宋体"/>
          <w:bCs/>
          <w:sz w:val="72"/>
          <w:szCs w:val="72"/>
        </w:rPr>
        <w:t>公开招标文件</w:t>
      </w:r>
    </w:p>
    <w:p w14:paraId="0FA4B396">
      <w:pPr>
        <w:jc w:val="center"/>
        <w:rPr>
          <w:rFonts w:hint="eastAsia" w:ascii="宋体" w:hAnsi="宋体" w:eastAsia="宋体" w:cs="宋体"/>
          <w:kern w:val="0"/>
          <w:sz w:val="20"/>
          <w:szCs w:val="20"/>
          <w:lang w:val="en-US" w:eastAsia="zh-CN"/>
        </w:rPr>
      </w:pPr>
      <w:r>
        <w:rPr>
          <w:rFonts w:hint="eastAsia" w:ascii="宋体" w:hAnsi="宋体"/>
          <w:bCs/>
          <w:sz w:val="36"/>
          <w:szCs w:val="36"/>
        </w:rPr>
        <w:t>项目编号：JSSYCG2025080404</w:t>
      </w:r>
      <w:r>
        <w:rPr>
          <w:rFonts w:hint="eastAsia" w:ascii="宋体" w:hAnsi="宋体"/>
          <w:bCs/>
          <w:sz w:val="36"/>
          <w:szCs w:val="36"/>
          <w:lang w:val="en-US" w:eastAsia="zh-CN"/>
        </w:rPr>
        <w:t>3</w:t>
      </w:r>
    </w:p>
    <w:p w14:paraId="5AD077D4">
      <w:pPr>
        <w:jc w:val="center"/>
        <w:rPr>
          <w:rFonts w:ascii="宋体" w:hAnsi="宋体"/>
          <w:bCs/>
          <w:sz w:val="36"/>
          <w:szCs w:val="36"/>
          <w:highlight w:val="yellow"/>
        </w:rPr>
      </w:pPr>
    </w:p>
    <w:p w14:paraId="481D066E">
      <w:pPr>
        <w:spacing w:line="500" w:lineRule="exact"/>
        <w:jc w:val="center"/>
        <w:rPr>
          <w:rFonts w:ascii="宋体" w:hAnsi="宋体"/>
          <w:b/>
          <w:sz w:val="36"/>
        </w:rPr>
      </w:pPr>
    </w:p>
    <w:p w14:paraId="58669D59">
      <w:pPr>
        <w:spacing w:line="500" w:lineRule="exact"/>
        <w:jc w:val="center"/>
        <w:rPr>
          <w:rFonts w:ascii="宋体" w:hAnsi="宋体"/>
          <w:b/>
          <w:sz w:val="36"/>
        </w:rPr>
      </w:pPr>
    </w:p>
    <w:p w14:paraId="7FFAEE36">
      <w:pPr>
        <w:spacing w:line="500" w:lineRule="exact"/>
        <w:jc w:val="center"/>
        <w:rPr>
          <w:rFonts w:ascii="宋体" w:hAnsi="宋体"/>
          <w:b/>
          <w:sz w:val="36"/>
        </w:rPr>
      </w:pPr>
    </w:p>
    <w:p w14:paraId="1C54AC2A">
      <w:pPr>
        <w:spacing w:line="500" w:lineRule="exact"/>
        <w:rPr>
          <w:rFonts w:ascii="宋体" w:hAnsi="宋体"/>
        </w:rPr>
      </w:pPr>
    </w:p>
    <w:p w14:paraId="41970E9E">
      <w:pPr>
        <w:spacing w:line="500" w:lineRule="exact"/>
        <w:jc w:val="center"/>
        <w:rPr>
          <w:rFonts w:ascii="宋体" w:hAnsi="宋体"/>
          <w:sz w:val="32"/>
        </w:rPr>
      </w:pPr>
    </w:p>
    <w:p w14:paraId="397E6453">
      <w:pPr>
        <w:spacing w:line="500" w:lineRule="exact"/>
        <w:jc w:val="center"/>
        <w:rPr>
          <w:rFonts w:ascii="宋体" w:hAnsi="宋体"/>
          <w:sz w:val="32"/>
        </w:rPr>
      </w:pPr>
    </w:p>
    <w:p w14:paraId="2CEE71EE">
      <w:pPr>
        <w:spacing w:line="500" w:lineRule="exact"/>
        <w:jc w:val="center"/>
        <w:rPr>
          <w:rFonts w:ascii="宋体" w:hAnsi="宋体"/>
          <w:sz w:val="32"/>
        </w:rPr>
      </w:pPr>
    </w:p>
    <w:p w14:paraId="3A3BAC83">
      <w:pPr>
        <w:pStyle w:val="13"/>
        <w:rPr>
          <w:rFonts w:ascii="宋体" w:hAnsi="宋体"/>
          <w:sz w:val="32"/>
        </w:rPr>
      </w:pPr>
    </w:p>
    <w:p w14:paraId="3F0C718B">
      <w:pPr>
        <w:rPr>
          <w:rFonts w:ascii="宋体" w:hAnsi="宋体"/>
          <w:sz w:val="32"/>
        </w:rPr>
      </w:pPr>
    </w:p>
    <w:p w14:paraId="0013C7DA">
      <w:pPr>
        <w:pStyle w:val="18"/>
        <w:rPr>
          <w:rFonts w:ascii="宋体" w:hAnsi="宋体" w:eastAsia="宋体"/>
        </w:rPr>
      </w:pPr>
    </w:p>
    <w:p w14:paraId="7191AC3A">
      <w:pPr>
        <w:pStyle w:val="83"/>
        <w:ind w:left="0" w:firstLine="475" w:firstLineChars="99"/>
        <w:rPr>
          <w:rFonts w:ascii="宋体" w:hAnsi="宋体"/>
          <w:b/>
          <w:spacing w:val="20"/>
          <w:sz w:val="44"/>
        </w:rPr>
      </w:pPr>
      <w:r>
        <w:rPr>
          <w:rFonts w:hint="eastAsia" w:ascii="宋体" w:hAnsi="宋体"/>
          <w:b/>
          <w:spacing w:val="20"/>
          <w:sz w:val="44"/>
        </w:rPr>
        <w:t>江苏商贸职业学院</w:t>
      </w:r>
    </w:p>
    <w:p w14:paraId="412D62C8">
      <w:pPr>
        <w:pStyle w:val="83"/>
        <w:ind w:firstLine="0"/>
        <w:rPr>
          <w:rFonts w:ascii="宋体" w:hAnsi="宋体"/>
          <w:sz w:val="36"/>
          <w:szCs w:val="36"/>
        </w:rPr>
      </w:pPr>
      <w:r>
        <w:rPr>
          <w:rFonts w:hint="eastAsia" w:ascii="宋体" w:hAnsi="宋体"/>
          <w:b/>
          <w:spacing w:val="20"/>
          <w:sz w:val="36"/>
          <w:szCs w:val="36"/>
        </w:rPr>
        <w:t>2025年8月</w:t>
      </w:r>
    </w:p>
    <w:p w14:paraId="758DF4BB">
      <w:pPr>
        <w:adjustRightInd w:val="0"/>
        <w:snapToGrid w:val="0"/>
        <w:spacing w:line="500" w:lineRule="exact"/>
        <w:ind w:left="-157" w:leftChars="-75" w:right="-600" w:rightChars="-286"/>
        <w:jc w:val="center"/>
        <w:rPr>
          <w:rFonts w:ascii="宋体" w:hAnsi="宋体"/>
          <w:sz w:val="44"/>
          <w:szCs w:val="44"/>
        </w:rPr>
      </w:pPr>
    </w:p>
    <w:p w14:paraId="31A752DD">
      <w:pPr>
        <w:adjustRightInd w:val="0"/>
        <w:snapToGrid w:val="0"/>
        <w:spacing w:line="500" w:lineRule="exact"/>
        <w:ind w:left="-157" w:leftChars="-75" w:right="-600" w:rightChars="-286"/>
        <w:jc w:val="center"/>
        <w:rPr>
          <w:rFonts w:ascii="宋体" w:hAnsi="宋体"/>
          <w:sz w:val="44"/>
          <w:szCs w:val="44"/>
        </w:rPr>
      </w:pPr>
    </w:p>
    <w:p w14:paraId="61D0F227">
      <w:pPr>
        <w:adjustRightInd w:val="0"/>
        <w:snapToGrid w:val="0"/>
        <w:spacing w:line="500" w:lineRule="exact"/>
        <w:ind w:left="-157" w:leftChars="-75" w:right="-600" w:rightChars="-286"/>
        <w:jc w:val="center"/>
        <w:rPr>
          <w:rFonts w:ascii="宋体" w:hAnsi="宋体"/>
          <w:sz w:val="44"/>
          <w:szCs w:val="44"/>
        </w:rPr>
      </w:pPr>
    </w:p>
    <w:p w14:paraId="72C9C29B">
      <w:pPr>
        <w:adjustRightInd w:val="0"/>
        <w:snapToGrid w:val="0"/>
        <w:spacing w:line="500" w:lineRule="exact"/>
        <w:ind w:left="-157" w:leftChars="-75" w:right="-600" w:rightChars="-286"/>
        <w:jc w:val="center"/>
        <w:rPr>
          <w:rFonts w:ascii="宋体" w:hAnsi="宋体"/>
          <w:sz w:val="32"/>
          <w:szCs w:val="32"/>
        </w:rPr>
      </w:pPr>
      <w:r>
        <w:rPr>
          <w:rFonts w:hint="eastAsia" w:ascii="宋体" w:hAnsi="宋体"/>
          <w:sz w:val="44"/>
          <w:szCs w:val="44"/>
        </w:rPr>
        <w:t>目 录</w:t>
      </w:r>
    </w:p>
    <w:p w14:paraId="03467CAA">
      <w:pPr>
        <w:tabs>
          <w:tab w:val="left" w:pos="7740"/>
        </w:tabs>
        <w:adjustRightInd w:val="0"/>
        <w:snapToGrid w:val="0"/>
        <w:spacing w:line="360" w:lineRule="auto"/>
        <w:ind w:firstLine="640" w:firstLineChars="200"/>
        <w:rPr>
          <w:rFonts w:ascii="宋体" w:hAnsi="宋体"/>
          <w:bCs/>
          <w:sz w:val="32"/>
          <w:szCs w:val="32"/>
        </w:rPr>
      </w:pPr>
    </w:p>
    <w:p w14:paraId="021C8185">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第一部分  投标邀请</w:t>
      </w:r>
    </w:p>
    <w:p w14:paraId="0AC7F60B">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第二部分  投标须知</w:t>
      </w:r>
    </w:p>
    <w:p w14:paraId="56E228A4">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第三部分  项目需求</w:t>
      </w:r>
    </w:p>
    <w:p w14:paraId="18F1C506">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sz w:val="32"/>
          <w:szCs w:val="32"/>
        </w:rPr>
        <w:t xml:space="preserve">第四部分  </w:t>
      </w:r>
      <w:r>
        <w:rPr>
          <w:rFonts w:hint="eastAsia" w:ascii="宋体" w:hAnsi="宋体"/>
          <w:bCs/>
          <w:sz w:val="32"/>
          <w:szCs w:val="32"/>
        </w:rPr>
        <w:t>开标和评标</w:t>
      </w:r>
    </w:p>
    <w:p w14:paraId="4556B618">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第五部分  合同主要条款</w:t>
      </w:r>
    </w:p>
    <w:p w14:paraId="3D6CE05A">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第六部分  质疑与投诉</w:t>
      </w:r>
    </w:p>
    <w:p w14:paraId="19C29F4C">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第七部分  投标文件组成</w:t>
      </w:r>
    </w:p>
    <w:p w14:paraId="3765DEE3">
      <w:pPr>
        <w:spacing w:line="500" w:lineRule="exact"/>
        <w:rPr>
          <w:rFonts w:ascii="宋体" w:hAnsi="宋体"/>
          <w:b/>
          <w:sz w:val="32"/>
          <w:szCs w:val="32"/>
        </w:rPr>
      </w:pPr>
    </w:p>
    <w:p w14:paraId="60F98BDA">
      <w:pPr>
        <w:tabs>
          <w:tab w:val="left" w:pos="7740"/>
        </w:tabs>
        <w:spacing w:line="500" w:lineRule="exact"/>
        <w:rPr>
          <w:rFonts w:ascii="宋体" w:hAnsi="宋体"/>
          <w:b/>
          <w:spacing w:val="2"/>
          <w:sz w:val="32"/>
          <w:szCs w:val="32"/>
        </w:rPr>
      </w:pPr>
    </w:p>
    <w:p w14:paraId="3337CD2F">
      <w:pPr>
        <w:tabs>
          <w:tab w:val="left" w:pos="7740"/>
        </w:tabs>
        <w:spacing w:line="500" w:lineRule="exact"/>
        <w:rPr>
          <w:rFonts w:ascii="宋体" w:hAnsi="宋体"/>
          <w:b/>
          <w:spacing w:val="2"/>
          <w:sz w:val="32"/>
          <w:szCs w:val="32"/>
        </w:rPr>
      </w:pPr>
    </w:p>
    <w:p w14:paraId="4A6400BB">
      <w:pPr>
        <w:tabs>
          <w:tab w:val="left" w:pos="7740"/>
        </w:tabs>
        <w:spacing w:line="500" w:lineRule="exact"/>
        <w:rPr>
          <w:rFonts w:ascii="宋体" w:hAnsi="宋体"/>
          <w:b/>
          <w:bCs/>
          <w:sz w:val="32"/>
          <w:szCs w:val="32"/>
        </w:rPr>
      </w:pPr>
    </w:p>
    <w:p w14:paraId="3749A2EB">
      <w:pPr>
        <w:pStyle w:val="13"/>
        <w:rPr>
          <w:rFonts w:ascii="宋体" w:hAnsi="宋体"/>
          <w:bCs/>
          <w:sz w:val="36"/>
          <w:szCs w:val="36"/>
        </w:rPr>
      </w:pPr>
    </w:p>
    <w:p w14:paraId="5C9237CC">
      <w:pPr>
        <w:rPr>
          <w:rFonts w:ascii="宋体" w:hAnsi="宋体"/>
        </w:rPr>
      </w:pPr>
    </w:p>
    <w:p w14:paraId="21FC84C7">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 xml:space="preserve">第一部分  </w:t>
      </w:r>
      <w:bookmarkStart w:id="0" w:name="OLE_LINK7"/>
      <w:bookmarkStart w:id="1" w:name="OLE_LINK5"/>
      <w:r>
        <w:rPr>
          <w:rFonts w:hint="eastAsia" w:ascii="宋体" w:hAnsi="宋体" w:cs="黑体"/>
          <w:b/>
          <w:bCs/>
          <w:sz w:val="32"/>
          <w:szCs w:val="32"/>
        </w:rPr>
        <w:t>投标邀请</w:t>
      </w:r>
    </w:p>
    <w:p w14:paraId="4347C319">
      <w:pPr>
        <w:spacing w:line="460" w:lineRule="exact"/>
        <w:ind w:firstLine="480" w:firstLineChars="200"/>
        <w:rPr>
          <w:rFonts w:ascii="宋体" w:hAnsi="宋体" w:cs="宋体"/>
          <w:sz w:val="24"/>
        </w:rPr>
      </w:pPr>
      <w:bookmarkStart w:id="2" w:name="OLE_LINK6"/>
      <w:r>
        <w:rPr>
          <w:rFonts w:hint="eastAsia" w:ascii="宋体" w:hAnsi="宋体" w:cs="宋体"/>
          <w:sz w:val="24"/>
        </w:rPr>
        <w:t>受江苏商贸职业学院的委托，江苏中房工程咨询有限公司就江苏商贸职业学院无人机应用项目开发及租赁服务项目(项目编号:JSSYCG2025080404</w:t>
      </w:r>
      <w:r>
        <w:rPr>
          <w:rFonts w:hint="eastAsia" w:ascii="宋体" w:hAnsi="宋体" w:cs="宋体"/>
          <w:sz w:val="24"/>
          <w:lang w:val="en-US" w:eastAsia="zh-CN"/>
        </w:rPr>
        <w:t>3</w:t>
      </w:r>
      <w:r>
        <w:rPr>
          <w:rFonts w:hint="eastAsia" w:ascii="宋体" w:hAnsi="宋体" w:cs="宋体"/>
          <w:sz w:val="24"/>
        </w:rPr>
        <w:t>)进行公开招标采购，欢迎符合条件的供应商投标。</w:t>
      </w:r>
    </w:p>
    <w:p w14:paraId="094F6451">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项目概况</w:t>
      </w:r>
    </w:p>
    <w:p w14:paraId="40E4E119">
      <w:pPr>
        <w:tabs>
          <w:tab w:val="left" w:pos="360"/>
        </w:tabs>
        <w:spacing w:after="60" w:line="460" w:lineRule="exact"/>
        <w:ind w:firstLine="480" w:firstLineChars="200"/>
        <w:rPr>
          <w:rFonts w:ascii="宋体" w:hAnsi="宋体" w:cs="宋体"/>
          <w:sz w:val="24"/>
        </w:rPr>
      </w:pPr>
      <w:r>
        <w:rPr>
          <w:rFonts w:hint="eastAsia" w:ascii="宋体" w:hAnsi="宋体" w:cs="宋体"/>
          <w:sz w:val="24"/>
        </w:rPr>
        <w:t>江苏商贸职业学院无人机应用项目开发及租赁服务项目的潜在投标人应在江苏商贸职业学院网（</w:t>
      </w:r>
      <w:r>
        <w:fldChar w:fldCharType="begin"/>
      </w:r>
      <w:r>
        <w:instrText xml:space="preserve"> HYPERLINK "http://www.jsbc.edu.cn/）获取招标文件，并于2025年8月" </w:instrText>
      </w:r>
      <w:r>
        <w:fldChar w:fldCharType="separate"/>
      </w:r>
      <w:r>
        <w:rPr>
          <w:rStyle w:val="45"/>
          <w:rFonts w:hint="eastAsia" w:ascii="宋体" w:hAnsi="宋体"/>
          <w:sz w:val="24"/>
        </w:rPr>
        <w:t>http://www.jsbc.edu.cn/）获取招标文件，并于2025年8</w:t>
      </w:r>
      <w:r>
        <w:rPr>
          <w:rStyle w:val="45"/>
          <w:rFonts w:hint="eastAsia" w:ascii="宋体" w:hAnsi="宋体" w:cs="宋体"/>
          <w:sz w:val="24"/>
        </w:rPr>
        <w:t>月</w:t>
      </w:r>
      <w:r>
        <w:rPr>
          <w:rStyle w:val="45"/>
          <w:rFonts w:hint="eastAsia" w:ascii="宋体" w:hAnsi="宋体" w:cs="宋体"/>
          <w:sz w:val="24"/>
        </w:rPr>
        <w:fldChar w:fldCharType="end"/>
      </w:r>
      <w:r>
        <w:rPr>
          <w:rStyle w:val="45"/>
          <w:rFonts w:hint="eastAsia" w:ascii="宋体" w:hAnsi="宋体" w:cs="宋体"/>
          <w:sz w:val="24"/>
          <w:lang w:val="en-US" w:eastAsia="zh-CN"/>
        </w:rPr>
        <w:t>19</w:t>
      </w:r>
      <w:r>
        <w:rPr>
          <w:rFonts w:hint="eastAsia" w:ascii="宋体" w:hAnsi="宋体" w:cs="宋体"/>
          <w:sz w:val="24"/>
        </w:rPr>
        <w:t>日9时（北京时间）前递交投标文件。</w:t>
      </w:r>
    </w:p>
    <w:p w14:paraId="6EC692FC">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一、项目基本情况</w:t>
      </w:r>
    </w:p>
    <w:p w14:paraId="60BFA189">
      <w:pPr>
        <w:ind w:firstLine="480" w:firstLineChars="200"/>
        <w:rPr>
          <w:rFonts w:hint="eastAsia" w:ascii="宋体" w:hAnsi="宋体" w:eastAsia="宋体" w:cs="宋体"/>
          <w:sz w:val="24"/>
          <w:lang w:val="en-US" w:eastAsia="zh-CN"/>
        </w:rPr>
      </w:pPr>
      <w:r>
        <w:rPr>
          <w:rFonts w:hint="eastAsia" w:ascii="宋体" w:hAnsi="宋体" w:cs="宋体"/>
          <w:sz w:val="24"/>
        </w:rPr>
        <w:t>项目编号：JSSYCG2025080404</w:t>
      </w:r>
      <w:r>
        <w:rPr>
          <w:rFonts w:hint="eastAsia" w:ascii="宋体" w:hAnsi="宋体" w:cs="宋体"/>
          <w:sz w:val="24"/>
          <w:lang w:val="en-US" w:eastAsia="zh-CN"/>
        </w:rPr>
        <w:t>3</w:t>
      </w:r>
    </w:p>
    <w:p w14:paraId="5E30A8BB">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项目名称：江苏商贸职业学院无人机应用项目开发及租赁服务项目</w:t>
      </w:r>
    </w:p>
    <w:p w14:paraId="512B579C">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项目类型：服务</w:t>
      </w:r>
    </w:p>
    <w:p w14:paraId="25CD8F14">
      <w:pPr>
        <w:tabs>
          <w:tab w:val="left" w:pos="360"/>
        </w:tabs>
        <w:spacing w:after="60" w:line="460" w:lineRule="exact"/>
        <w:ind w:firstLine="480" w:firstLineChars="200"/>
        <w:rPr>
          <w:rFonts w:ascii="宋体" w:hAnsi="宋体" w:cs="宋体"/>
          <w:sz w:val="24"/>
        </w:rPr>
      </w:pPr>
      <w:r>
        <w:rPr>
          <w:rFonts w:hint="eastAsia" w:ascii="宋体" w:hAnsi="宋体" w:cs="宋体"/>
          <w:sz w:val="24"/>
        </w:rPr>
        <w:t>所属行业：软件和信息技术服务业</w:t>
      </w:r>
    </w:p>
    <w:p w14:paraId="4F843B20">
      <w:pPr>
        <w:tabs>
          <w:tab w:val="left" w:pos="360"/>
        </w:tabs>
        <w:spacing w:after="60" w:line="460" w:lineRule="exact"/>
        <w:ind w:firstLine="480" w:firstLineChars="200"/>
        <w:rPr>
          <w:rFonts w:ascii="宋体" w:hAnsi="宋体" w:cs="宋体"/>
          <w:color w:val="auto"/>
          <w:sz w:val="24"/>
        </w:rPr>
      </w:pPr>
      <w:r>
        <w:rPr>
          <w:rFonts w:hint="eastAsia" w:ascii="宋体" w:hAnsi="宋体" w:cs="宋体"/>
          <w:color w:val="auto"/>
          <w:sz w:val="24"/>
        </w:rPr>
        <w:t>预算金额：6万元</w:t>
      </w:r>
    </w:p>
    <w:p w14:paraId="6030F215">
      <w:pPr>
        <w:tabs>
          <w:tab w:val="left" w:pos="360"/>
        </w:tabs>
        <w:spacing w:after="60" w:line="460" w:lineRule="exact"/>
        <w:ind w:firstLine="480" w:firstLineChars="200"/>
        <w:rPr>
          <w:rFonts w:ascii="宋体" w:hAnsi="宋体" w:cs="宋体"/>
          <w:bCs/>
          <w:color w:val="auto"/>
          <w:sz w:val="24"/>
        </w:rPr>
      </w:pPr>
      <w:r>
        <w:rPr>
          <w:rFonts w:hint="eastAsia" w:ascii="宋体" w:hAnsi="宋体" w:cs="宋体"/>
          <w:color w:val="auto"/>
          <w:sz w:val="24"/>
        </w:rPr>
        <w:t>最高限价：6万元，投标报价高于最高限价的作无效报价处理。</w:t>
      </w:r>
    </w:p>
    <w:p w14:paraId="17C0066D">
      <w:pPr>
        <w:tabs>
          <w:tab w:val="left" w:pos="360"/>
        </w:tabs>
        <w:spacing w:after="60"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795D3E25">
      <w:pPr>
        <w:tabs>
          <w:tab w:val="left" w:pos="360"/>
        </w:tabs>
        <w:spacing w:line="460" w:lineRule="exact"/>
        <w:ind w:firstLine="480" w:firstLineChars="200"/>
        <w:rPr>
          <w:rFonts w:ascii="宋体" w:hAnsi="宋体" w:cs="宋体"/>
          <w:color w:val="auto"/>
          <w:sz w:val="24"/>
        </w:rPr>
      </w:pPr>
      <w:r>
        <w:rPr>
          <w:rFonts w:hint="eastAsia" w:ascii="宋体" w:hAnsi="宋体" w:cs="宋体"/>
          <w:sz w:val="24"/>
        </w:rPr>
        <w:t>合同履行期限</w:t>
      </w:r>
      <w:r>
        <w:rPr>
          <w:rFonts w:hint="eastAsia" w:ascii="宋体" w:hAnsi="宋体" w:cs="宋体"/>
          <w:color w:val="auto"/>
          <w:sz w:val="24"/>
        </w:rPr>
        <w:t>：设备需在2025年</w:t>
      </w:r>
      <w:r>
        <w:rPr>
          <w:rFonts w:hint="eastAsia" w:ascii="宋体" w:hAnsi="宋体" w:cs="宋体"/>
          <w:color w:val="auto"/>
          <w:sz w:val="24"/>
          <w:highlight w:val="none"/>
        </w:rPr>
        <w:t>8 月20号</w:t>
      </w:r>
      <w:r>
        <w:rPr>
          <w:rFonts w:hint="eastAsia" w:ascii="宋体" w:hAnsi="宋体" w:cs="宋体"/>
          <w:color w:val="auto"/>
          <w:sz w:val="24"/>
        </w:rPr>
        <w:t>之前安装调试到位，2025年9月1日之后拆除运出。</w:t>
      </w:r>
    </w:p>
    <w:p w14:paraId="42D642C2">
      <w:pPr>
        <w:tabs>
          <w:tab w:val="left" w:pos="360"/>
        </w:tabs>
        <w:spacing w:after="60" w:line="460" w:lineRule="exact"/>
        <w:ind w:firstLine="480" w:firstLineChars="200"/>
        <w:rPr>
          <w:rFonts w:ascii="宋体" w:hAnsi="宋体" w:cs="宋体"/>
          <w:sz w:val="24"/>
        </w:rPr>
      </w:pPr>
      <w:r>
        <w:rPr>
          <w:rFonts w:hint="eastAsia" w:ascii="宋体" w:hAnsi="宋体" w:cs="宋体"/>
          <w:sz w:val="24"/>
        </w:rPr>
        <w:t>本项目不接受联合体投标。</w:t>
      </w:r>
    </w:p>
    <w:p w14:paraId="4098B140">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二、申请人的资格要求：</w:t>
      </w:r>
    </w:p>
    <w:p w14:paraId="4B55F618">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1AC6BE36">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2E2C0B4F">
      <w:pPr>
        <w:tabs>
          <w:tab w:val="left" w:pos="360"/>
        </w:tabs>
        <w:spacing w:line="460" w:lineRule="exact"/>
        <w:ind w:firstLine="480" w:firstLineChars="200"/>
        <w:rPr>
          <w:rFonts w:ascii="宋体" w:hAnsi="宋体" w:cs="宋体"/>
          <w:sz w:val="24"/>
        </w:rPr>
      </w:pPr>
      <w:r>
        <w:rPr>
          <w:rFonts w:hint="eastAsia" w:ascii="宋体" w:hAnsi="宋体" w:cs="宋体"/>
          <w:sz w:val="24"/>
        </w:rPr>
        <w:t>3.提供营业执照副本复印件并加盖投标单位公章；</w:t>
      </w:r>
    </w:p>
    <w:p w14:paraId="18373F05">
      <w:pPr>
        <w:tabs>
          <w:tab w:val="left" w:pos="360"/>
        </w:tabs>
        <w:spacing w:line="460" w:lineRule="exact"/>
        <w:ind w:firstLine="480" w:firstLineChars="200"/>
        <w:rPr>
          <w:rFonts w:ascii="宋体" w:hAnsi="宋体" w:cs="宋体"/>
          <w:sz w:val="24"/>
        </w:rPr>
      </w:pPr>
      <w:r>
        <w:rPr>
          <w:rFonts w:hint="eastAsia" w:ascii="宋体" w:hAnsi="宋体" w:cs="宋体"/>
          <w:sz w:val="24"/>
        </w:rPr>
        <w:t>4.落实政府采购政策需满足的资格要求：无；</w:t>
      </w:r>
    </w:p>
    <w:p w14:paraId="394F08D5">
      <w:pPr>
        <w:tabs>
          <w:tab w:val="left" w:pos="360"/>
        </w:tabs>
        <w:spacing w:line="460" w:lineRule="exact"/>
        <w:ind w:firstLine="480" w:firstLineChars="200"/>
        <w:rPr>
          <w:rFonts w:ascii="宋体" w:hAnsi="宋体" w:cs="宋体"/>
          <w:sz w:val="24"/>
        </w:rPr>
      </w:pPr>
      <w:r>
        <w:rPr>
          <w:rFonts w:hint="eastAsia" w:ascii="宋体" w:hAnsi="宋体" w:cs="宋体"/>
          <w:sz w:val="24"/>
        </w:rPr>
        <w:t>5.法定代表人为同一个人的两个及两个以上法人，母公司、全资子公司及其控股公司，都不得在同一采购项目相同标段中同时参加投标，一经发现，将视同围标处理；</w:t>
      </w:r>
    </w:p>
    <w:p w14:paraId="11B70D78">
      <w:pPr>
        <w:tabs>
          <w:tab w:val="left" w:pos="360"/>
        </w:tabs>
        <w:spacing w:line="460" w:lineRule="exact"/>
        <w:ind w:firstLine="480" w:firstLineChars="200"/>
        <w:rPr>
          <w:rFonts w:ascii="宋体" w:hAnsi="宋体" w:cs="宋体"/>
          <w:sz w:val="24"/>
        </w:rPr>
      </w:pPr>
      <w:r>
        <w:rPr>
          <w:rFonts w:hint="eastAsia" w:ascii="宋体" w:hAnsi="宋体" w:cs="宋体"/>
          <w:sz w:val="24"/>
        </w:rPr>
        <w:t>6.未被“信用中国”网站列入失信被执行人、重大税收违法案件当事人名单、采购不良行为记录名单。</w:t>
      </w:r>
    </w:p>
    <w:p w14:paraId="1A470970">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三、获取招标文件</w:t>
      </w:r>
    </w:p>
    <w:p w14:paraId="16111150">
      <w:pPr>
        <w:tabs>
          <w:tab w:val="left" w:pos="360"/>
        </w:tabs>
        <w:spacing w:after="60" w:line="460" w:lineRule="exact"/>
        <w:ind w:firstLine="480" w:firstLineChars="200"/>
        <w:rPr>
          <w:rFonts w:ascii="宋体" w:hAnsi="宋体" w:cs="宋体"/>
          <w:sz w:val="24"/>
        </w:rPr>
      </w:pPr>
      <w:r>
        <w:rPr>
          <w:rFonts w:hint="eastAsia" w:ascii="宋体" w:hAnsi="宋体" w:cs="宋体"/>
          <w:sz w:val="24"/>
        </w:rPr>
        <w:t>时间：2025年8月</w:t>
      </w:r>
      <w:r>
        <w:rPr>
          <w:rFonts w:hint="eastAsia" w:ascii="宋体" w:hAnsi="宋体" w:cs="宋体"/>
          <w:sz w:val="24"/>
          <w:lang w:val="en-US" w:eastAsia="zh-CN"/>
        </w:rPr>
        <w:t>12</w:t>
      </w:r>
      <w:r>
        <w:rPr>
          <w:rFonts w:hint="eastAsia" w:ascii="宋体" w:hAnsi="宋体" w:cs="宋体"/>
          <w:sz w:val="24"/>
        </w:rPr>
        <w:t>日至2025年8月</w:t>
      </w:r>
      <w:r>
        <w:rPr>
          <w:rFonts w:hint="eastAsia" w:ascii="宋体" w:hAnsi="宋体" w:cs="宋体"/>
          <w:sz w:val="24"/>
          <w:lang w:val="en-US" w:eastAsia="zh-CN"/>
        </w:rPr>
        <w:t>18</w:t>
      </w:r>
      <w:bookmarkStart w:id="111" w:name="_GoBack"/>
      <w:bookmarkEnd w:id="111"/>
      <w:r>
        <w:rPr>
          <w:rFonts w:hint="eastAsia" w:ascii="宋体" w:hAnsi="宋体" w:cs="宋体"/>
          <w:sz w:val="24"/>
        </w:rPr>
        <w:t>日。</w:t>
      </w:r>
    </w:p>
    <w:p w14:paraId="34B6F3E7">
      <w:pPr>
        <w:tabs>
          <w:tab w:val="left" w:pos="360"/>
        </w:tabs>
        <w:spacing w:after="60"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3E46EFBC">
      <w:pPr>
        <w:tabs>
          <w:tab w:val="left" w:pos="360"/>
        </w:tabs>
        <w:spacing w:after="60" w:line="460" w:lineRule="exact"/>
        <w:ind w:firstLine="480" w:firstLineChars="200"/>
        <w:rPr>
          <w:rFonts w:ascii="宋体" w:hAnsi="宋体" w:cs="宋体"/>
          <w:sz w:val="24"/>
        </w:rPr>
      </w:pPr>
      <w:r>
        <w:rPr>
          <w:rFonts w:hint="eastAsia" w:ascii="宋体" w:hAnsi="宋体" w:cs="宋体"/>
          <w:sz w:val="24"/>
        </w:rPr>
        <w:t>方式：网站附件自行下载。</w:t>
      </w:r>
    </w:p>
    <w:p w14:paraId="3F64155F">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四、提交投标文件截止时间、开标时间和地点</w:t>
      </w:r>
    </w:p>
    <w:p w14:paraId="4B6B4DDB">
      <w:pPr>
        <w:tabs>
          <w:tab w:val="left" w:pos="360"/>
        </w:tabs>
        <w:spacing w:after="60" w:line="460" w:lineRule="exact"/>
        <w:ind w:firstLine="480" w:firstLineChars="200"/>
        <w:rPr>
          <w:rFonts w:ascii="宋体" w:hAnsi="宋体" w:cs="宋体"/>
          <w:sz w:val="24"/>
        </w:rPr>
      </w:pPr>
      <w:r>
        <w:rPr>
          <w:rFonts w:hint="eastAsia" w:ascii="宋体" w:hAnsi="宋体" w:cs="宋体"/>
          <w:sz w:val="24"/>
        </w:rPr>
        <w:t>2025年8月</w:t>
      </w:r>
      <w:r>
        <w:rPr>
          <w:rFonts w:hint="eastAsia" w:ascii="宋体" w:hAnsi="宋体" w:cs="宋体"/>
          <w:sz w:val="24"/>
          <w:lang w:val="en-US" w:eastAsia="zh-CN"/>
        </w:rPr>
        <w:t>19</w:t>
      </w:r>
      <w:r>
        <w:rPr>
          <w:rFonts w:hint="eastAsia" w:ascii="宋体" w:hAnsi="宋体" w:cs="宋体"/>
          <w:sz w:val="24"/>
        </w:rPr>
        <w:t>日9时（北京时间）。</w:t>
      </w:r>
    </w:p>
    <w:p w14:paraId="6701E106">
      <w:pPr>
        <w:tabs>
          <w:tab w:val="left" w:pos="360"/>
        </w:tabs>
        <w:spacing w:after="60"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3FF781E9">
      <w:pPr>
        <w:tabs>
          <w:tab w:val="left" w:pos="360"/>
        </w:tabs>
        <w:spacing w:after="60" w:line="460" w:lineRule="exact"/>
        <w:ind w:firstLine="480" w:firstLineChars="200"/>
        <w:rPr>
          <w:rFonts w:ascii="宋体" w:hAnsi="宋体" w:cs="宋体"/>
          <w:sz w:val="24"/>
        </w:rPr>
      </w:pPr>
      <w:r>
        <w:rPr>
          <w:rFonts w:hint="eastAsia" w:ascii="宋体" w:hAnsi="宋体" w:cs="宋体"/>
          <w:sz w:val="24"/>
        </w:rPr>
        <w:t>投标文件接收地点：江苏省南通市江通路48号，江苏商贸职业学院资产管理处（西大门南侧）办公室。</w:t>
      </w:r>
    </w:p>
    <w:p w14:paraId="30465161">
      <w:pPr>
        <w:tabs>
          <w:tab w:val="left" w:pos="360"/>
        </w:tabs>
        <w:spacing w:after="60"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37BEBF3B">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五、公告期限</w:t>
      </w:r>
    </w:p>
    <w:p w14:paraId="2460BBAD">
      <w:pPr>
        <w:tabs>
          <w:tab w:val="left" w:pos="360"/>
        </w:tabs>
        <w:spacing w:after="60" w:line="460" w:lineRule="exact"/>
        <w:ind w:firstLine="480" w:firstLineChars="200"/>
        <w:rPr>
          <w:rFonts w:ascii="宋体" w:hAnsi="宋体" w:cs="宋体"/>
          <w:sz w:val="24"/>
        </w:rPr>
      </w:pPr>
      <w:r>
        <w:rPr>
          <w:rFonts w:hint="eastAsia" w:ascii="宋体" w:hAnsi="宋体" w:cs="宋体"/>
          <w:sz w:val="24"/>
        </w:rPr>
        <w:t>自本公告发布之日起5个工作日。</w:t>
      </w:r>
    </w:p>
    <w:p w14:paraId="05ACA0E2">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六、其他补充事宜</w:t>
      </w:r>
    </w:p>
    <w:p w14:paraId="635E2C3E">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1.投标保证金：免收。</w:t>
      </w:r>
    </w:p>
    <w:p w14:paraId="40544914">
      <w:pPr>
        <w:tabs>
          <w:tab w:val="left" w:pos="360"/>
        </w:tabs>
        <w:spacing w:after="60" w:line="460" w:lineRule="exact"/>
        <w:ind w:firstLine="480" w:firstLineChars="200"/>
        <w:rPr>
          <w:rFonts w:ascii="宋体" w:hAnsi="宋体" w:cs="宋体"/>
          <w:sz w:val="24"/>
        </w:rPr>
      </w:pPr>
      <w:r>
        <w:rPr>
          <w:rFonts w:hint="eastAsia" w:ascii="宋体" w:hAnsi="宋体" w:cs="宋体"/>
          <w:sz w:val="24"/>
        </w:rPr>
        <w:t>2.项目开标活动模式：见面开标模式，投标供应商在江苏省南通市江通路48号，江苏商贸职业学院资产管理处（西大门南侧）办公室参加开标会。</w:t>
      </w:r>
    </w:p>
    <w:p w14:paraId="38370F01">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3.项目样品、答辩等：无。</w:t>
      </w:r>
    </w:p>
    <w:p w14:paraId="2E12BCED">
      <w:pPr>
        <w:tabs>
          <w:tab w:val="left" w:pos="360"/>
        </w:tabs>
        <w:spacing w:after="60" w:line="46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4.对项目需求部分（供应商资格要求、项目需求、商务技术评分标准）的询问、质疑请向招标人提出，由招标人负责答复；对项目招标文件其他部分的询问请向代理机构经办人提出。</w:t>
      </w:r>
    </w:p>
    <w:p w14:paraId="0CA0B08F">
      <w:pPr>
        <w:tabs>
          <w:tab w:val="left" w:pos="360"/>
        </w:tabs>
        <w:spacing w:after="60"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756BCABB">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七、对本次招标提出询问，请按以下方式联系。</w:t>
      </w:r>
    </w:p>
    <w:p w14:paraId="4BA85456">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1.招标单位：江苏商贸职业学院</w:t>
      </w:r>
    </w:p>
    <w:p w14:paraId="395EEB01">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招标单位联系人：</w:t>
      </w:r>
    </w:p>
    <w:p w14:paraId="79122711">
      <w:pPr>
        <w:snapToGrid w:val="0"/>
        <w:spacing w:line="480" w:lineRule="exact"/>
        <w:ind w:firstLine="480" w:firstLineChars="200"/>
        <w:outlineLvl w:val="1"/>
        <w:rPr>
          <w:rFonts w:ascii="宋体" w:hAnsi="宋体" w:cs="宋体"/>
          <w:color w:val="auto"/>
          <w:sz w:val="24"/>
        </w:rPr>
      </w:pPr>
      <w:r>
        <w:rPr>
          <w:rFonts w:hint="eastAsia" w:ascii="宋体" w:hAnsi="宋体" w:cs="宋体"/>
          <w:color w:val="auto"/>
          <w:sz w:val="24"/>
        </w:rPr>
        <w:t xml:space="preserve">王老师（人工智能学院） </w:t>
      </w:r>
      <w:r>
        <w:rPr>
          <w:rFonts w:hint="eastAsia" w:ascii="宋体" w:hAnsi="宋体" w:cs="宋体"/>
          <w:color w:val="auto"/>
          <w:sz w:val="24"/>
          <w:lang w:val="en-US" w:eastAsia="zh-CN"/>
        </w:rPr>
        <w:t xml:space="preserve">   </w:t>
      </w:r>
      <w:r>
        <w:rPr>
          <w:rFonts w:hint="eastAsia" w:ascii="宋体" w:hAnsi="宋体" w:cs="宋体"/>
          <w:color w:val="auto"/>
          <w:sz w:val="24"/>
        </w:rPr>
        <w:t>联系电话：13814700119</w:t>
      </w:r>
    </w:p>
    <w:p w14:paraId="4BA77B84">
      <w:pPr>
        <w:snapToGrid w:val="0"/>
        <w:spacing w:line="480" w:lineRule="exact"/>
        <w:ind w:firstLine="480" w:firstLineChars="200"/>
        <w:outlineLvl w:val="1"/>
        <w:rPr>
          <w:rFonts w:ascii="宋体" w:hAnsi="宋体" w:cs="宋体"/>
          <w:sz w:val="24"/>
        </w:rPr>
      </w:pPr>
      <w:r>
        <w:rPr>
          <w:rFonts w:hint="eastAsia" w:ascii="宋体" w:hAnsi="宋体" w:cs="宋体"/>
          <w:sz w:val="24"/>
        </w:rPr>
        <w:t>杨老师（资产管理处）      联系电话：0513-85679264</w:t>
      </w:r>
    </w:p>
    <w:p w14:paraId="4E79AE51">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51FC12F5">
      <w:pPr>
        <w:tabs>
          <w:tab w:val="left" w:pos="360"/>
        </w:tabs>
        <w:spacing w:after="60" w:line="460" w:lineRule="exact"/>
        <w:ind w:firstLine="480" w:firstLineChars="200"/>
        <w:rPr>
          <w:rFonts w:ascii="宋体" w:hAnsi="宋体" w:cs="宋体"/>
          <w:sz w:val="24"/>
        </w:rPr>
      </w:pPr>
      <w:r>
        <w:rPr>
          <w:rFonts w:hint="eastAsia" w:ascii="宋体" w:hAnsi="宋体" w:cs="宋体"/>
          <w:sz w:val="24"/>
        </w:rPr>
        <w:t>2.监督、投诉联系方式</w:t>
      </w:r>
    </w:p>
    <w:p w14:paraId="3D1DA503">
      <w:pPr>
        <w:tabs>
          <w:tab w:val="left" w:pos="360"/>
        </w:tabs>
        <w:spacing w:after="60"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3C7BD6A6">
      <w:pPr>
        <w:tabs>
          <w:tab w:val="left" w:pos="360"/>
        </w:tabs>
        <w:spacing w:after="60" w:line="460" w:lineRule="exact"/>
        <w:ind w:firstLine="480" w:firstLineChars="200"/>
        <w:rPr>
          <w:rFonts w:ascii="宋体" w:hAnsi="宋体" w:cs="宋体"/>
          <w:sz w:val="24"/>
        </w:rPr>
      </w:pPr>
      <w:r>
        <w:rPr>
          <w:rFonts w:hint="eastAsia" w:ascii="宋体" w:hAnsi="宋体" w:cs="宋体"/>
          <w:sz w:val="24"/>
        </w:rPr>
        <w:t>3.招标代理机构信息</w:t>
      </w:r>
    </w:p>
    <w:p w14:paraId="43B001F2">
      <w:pPr>
        <w:tabs>
          <w:tab w:val="left" w:pos="360"/>
        </w:tabs>
        <w:spacing w:line="460" w:lineRule="exact"/>
        <w:ind w:firstLine="480" w:firstLineChars="200"/>
        <w:rPr>
          <w:rFonts w:ascii="宋体" w:hAnsi="宋体"/>
          <w:sz w:val="24"/>
        </w:rPr>
      </w:pPr>
      <w:r>
        <w:rPr>
          <w:rFonts w:hint="eastAsia" w:ascii="宋体" w:hAnsi="宋体"/>
          <w:sz w:val="24"/>
        </w:rPr>
        <w:t>名称：江苏中房工程咨询有限公司</w:t>
      </w:r>
    </w:p>
    <w:p w14:paraId="01A006C1">
      <w:pPr>
        <w:tabs>
          <w:tab w:val="left" w:pos="360"/>
        </w:tabs>
        <w:spacing w:line="460" w:lineRule="exact"/>
        <w:ind w:firstLine="480" w:firstLineChars="200"/>
        <w:rPr>
          <w:rFonts w:ascii="宋体" w:hAnsi="宋体"/>
          <w:sz w:val="24"/>
        </w:rPr>
      </w:pPr>
      <w:r>
        <w:rPr>
          <w:rFonts w:hint="eastAsia" w:ascii="宋体" w:hAnsi="宋体"/>
          <w:sz w:val="24"/>
        </w:rPr>
        <w:t>地址：南通市江海大道817号江海财富大厦A座7楼</w:t>
      </w:r>
    </w:p>
    <w:p w14:paraId="22B6BB50">
      <w:pPr>
        <w:tabs>
          <w:tab w:val="left" w:pos="360"/>
        </w:tabs>
        <w:spacing w:line="460" w:lineRule="exact"/>
        <w:ind w:firstLine="480" w:firstLineChars="200"/>
        <w:rPr>
          <w:rFonts w:ascii="宋体" w:hAnsi="宋体"/>
          <w:sz w:val="24"/>
        </w:rPr>
      </w:pPr>
      <w:r>
        <w:rPr>
          <w:rFonts w:hint="eastAsia" w:ascii="宋体" w:hAnsi="宋体"/>
          <w:sz w:val="24"/>
        </w:rPr>
        <w:t>经办人联系方式：吴江 0513-68002662、13861946109</w:t>
      </w:r>
    </w:p>
    <w:p w14:paraId="227571FB">
      <w:pPr>
        <w:spacing w:line="360" w:lineRule="auto"/>
        <w:ind w:firstLine="480" w:firstLineChars="200"/>
        <w:jc w:val="left"/>
        <w:textAlignment w:val="baseline"/>
        <w:outlineLvl w:val="0"/>
        <w:rPr>
          <w:rFonts w:ascii="宋体" w:hAnsi="宋体"/>
          <w:sz w:val="24"/>
        </w:rPr>
      </w:pPr>
      <w:r>
        <w:rPr>
          <w:rFonts w:hint="eastAsia" w:ascii="宋体" w:hAnsi="宋体"/>
          <w:sz w:val="24"/>
        </w:rPr>
        <w:t>邮箱：</w:t>
      </w:r>
      <w:r>
        <w:fldChar w:fldCharType="begin"/>
      </w:r>
      <w:r>
        <w:instrText xml:space="preserve"> HYPERLINK "mailto:dfhxnt@126.com" </w:instrText>
      </w:r>
      <w:r>
        <w:fldChar w:fldCharType="separate"/>
      </w:r>
      <w:r>
        <w:rPr>
          <w:rFonts w:hint="eastAsia" w:ascii="宋体" w:hAnsi="宋体"/>
          <w:sz w:val="24"/>
        </w:rPr>
        <w:t>458101863@qq.com</w:t>
      </w:r>
      <w:r>
        <w:rPr>
          <w:rFonts w:hint="eastAsia" w:ascii="宋体" w:hAnsi="宋体"/>
          <w:sz w:val="24"/>
        </w:rPr>
        <w:fldChar w:fldCharType="end"/>
      </w:r>
    </w:p>
    <w:p w14:paraId="2260BC5B">
      <w:pPr>
        <w:adjustRightInd w:val="0"/>
        <w:snapToGrid w:val="0"/>
        <w:spacing w:line="500" w:lineRule="exact"/>
        <w:jc w:val="center"/>
        <w:outlineLvl w:val="0"/>
        <w:rPr>
          <w:rFonts w:ascii="宋体" w:hAnsi="宋体" w:cs="黑体"/>
          <w:sz w:val="32"/>
          <w:szCs w:val="32"/>
        </w:rPr>
      </w:pPr>
    </w:p>
    <w:p w14:paraId="4157E154">
      <w:pPr>
        <w:adjustRightInd w:val="0"/>
        <w:snapToGrid w:val="0"/>
        <w:spacing w:line="500" w:lineRule="exact"/>
        <w:jc w:val="center"/>
        <w:outlineLvl w:val="0"/>
        <w:rPr>
          <w:rFonts w:ascii="宋体" w:hAnsi="宋体" w:cs="黑体"/>
          <w:sz w:val="32"/>
          <w:szCs w:val="32"/>
        </w:rPr>
      </w:pPr>
    </w:p>
    <w:p w14:paraId="1AF72B7D">
      <w:pPr>
        <w:adjustRightInd w:val="0"/>
        <w:snapToGrid w:val="0"/>
        <w:spacing w:line="500" w:lineRule="exact"/>
        <w:jc w:val="center"/>
        <w:outlineLvl w:val="0"/>
        <w:rPr>
          <w:rFonts w:ascii="宋体" w:hAnsi="宋体" w:cs="黑体"/>
          <w:sz w:val="32"/>
          <w:szCs w:val="32"/>
        </w:rPr>
      </w:pPr>
    </w:p>
    <w:p w14:paraId="68F28BBE">
      <w:pPr>
        <w:adjustRightInd w:val="0"/>
        <w:snapToGrid w:val="0"/>
        <w:spacing w:line="500" w:lineRule="exact"/>
        <w:jc w:val="center"/>
        <w:outlineLvl w:val="0"/>
        <w:rPr>
          <w:rFonts w:ascii="宋体" w:hAnsi="宋体" w:cs="黑体"/>
          <w:sz w:val="32"/>
          <w:szCs w:val="32"/>
        </w:rPr>
      </w:pPr>
    </w:p>
    <w:p w14:paraId="646FF143">
      <w:pPr>
        <w:adjustRightInd w:val="0"/>
        <w:snapToGrid w:val="0"/>
        <w:spacing w:line="500" w:lineRule="exact"/>
        <w:jc w:val="center"/>
        <w:outlineLvl w:val="0"/>
        <w:rPr>
          <w:rFonts w:ascii="宋体" w:hAnsi="宋体" w:cs="黑体"/>
          <w:sz w:val="32"/>
          <w:szCs w:val="32"/>
        </w:rPr>
      </w:pPr>
    </w:p>
    <w:p w14:paraId="6EBB5960">
      <w:pPr>
        <w:adjustRightInd w:val="0"/>
        <w:snapToGrid w:val="0"/>
        <w:spacing w:line="500" w:lineRule="exact"/>
        <w:jc w:val="center"/>
        <w:outlineLvl w:val="0"/>
        <w:rPr>
          <w:rFonts w:ascii="宋体" w:hAnsi="宋体" w:cs="黑体"/>
          <w:sz w:val="32"/>
          <w:szCs w:val="32"/>
        </w:rPr>
      </w:pPr>
    </w:p>
    <w:p w14:paraId="3C4C5A92">
      <w:pPr>
        <w:adjustRightInd w:val="0"/>
        <w:snapToGrid w:val="0"/>
        <w:spacing w:line="500" w:lineRule="exact"/>
        <w:jc w:val="center"/>
        <w:outlineLvl w:val="0"/>
        <w:rPr>
          <w:rFonts w:ascii="宋体" w:hAnsi="宋体" w:cs="黑体"/>
          <w:sz w:val="32"/>
          <w:szCs w:val="32"/>
        </w:rPr>
      </w:pPr>
    </w:p>
    <w:p w14:paraId="0878158C">
      <w:pPr>
        <w:adjustRightInd w:val="0"/>
        <w:snapToGrid w:val="0"/>
        <w:spacing w:line="500" w:lineRule="exact"/>
        <w:jc w:val="center"/>
        <w:outlineLvl w:val="0"/>
        <w:rPr>
          <w:rFonts w:ascii="宋体" w:hAnsi="宋体" w:cs="黑体"/>
          <w:sz w:val="32"/>
          <w:szCs w:val="32"/>
        </w:rPr>
      </w:pPr>
    </w:p>
    <w:p w14:paraId="6C5A6191">
      <w:pPr>
        <w:adjustRightInd w:val="0"/>
        <w:snapToGrid w:val="0"/>
        <w:spacing w:line="500" w:lineRule="exact"/>
        <w:jc w:val="center"/>
        <w:outlineLvl w:val="0"/>
        <w:rPr>
          <w:rFonts w:ascii="宋体" w:hAnsi="宋体" w:cs="黑体"/>
          <w:sz w:val="32"/>
          <w:szCs w:val="32"/>
        </w:rPr>
      </w:pPr>
    </w:p>
    <w:p w14:paraId="6CAC3688">
      <w:pPr>
        <w:adjustRightInd w:val="0"/>
        <w:snapToGrid w:val="0"/>
        <w:spacing w:line="500" w:lineRule="exact"/>
        <w:jc w:val="center"/>
        <w:outlineLvl w:val="0"/>
        <w:rPr>
          <w:rFonts w:ascii="宋体" w:hAnsi="宋体" w:cs="黑体"/>
          <w:sz w:val="32"/>
          <w:szCs w:val="32"/>
        </w:rPr>
      </w:pPr>
    </w:p>
    <w:p w14:paraId="5EBC6E0A">
      <w:pPr>
        <w:adjustRightInd w:val="0"/>
        <w:snapToGrid w:val="0"/>
        <w:spacing w:line="500" w:lineRule="exact"/>
        <w:jc w:val="center"/>
        <w:outlineLvl w:val="0"/>
        <w:rPr>
          <w:rFonts w:ascii="宋体" w:hAnsi="宋体" w:cs="黑体"/>
          <w:sz w:val="32"/>
          <w:szCs w:val="32"/>
        </w:rPr>
      </w:pPr>
    </w:p>
    <w:p w14:paraId="4E9F67F0">
      <w:pPr>
        <w:adjustRightInd w:val="0"/>
        <w:snapToGrid w:val="0"/>
        <w:spacing w:line="500" w:lineRule="exact"/>
        <w:jc w:val="center"/>
        <w:outlineLvl w:val="0"/>
        <w:rPr>
          <w:rFonts w:ascii="宋体" w:hAnsi="宋体" w:cs="黑体"/>
          <w:sz w:val="32"/>
          <w:szCs w:val="32"/>
        </w:rPr>
      </w:pPr>
    </w:p>
    <w:p w14:paraId="0898CC71">
      <w:pPr>
        <w:pStyle w:val="2"/>
      </w:pPr>
    </w:p>
    <w:p w14:paraId="3A3D0410"/>
    <w:p w14:paraId="6F767443">
      <w:pPr>
        <w:pStyle w:val="2"/>
      </w:pPr>
    </w:p>
    <w:p w14:paraId="33B7ED8E"/>
    <w:p w14:paraId="45135BBA">
      <w:pPr>
        <w:pStyle w:val="2"/>
      </w:pPr>
    </w:p>
    <w:p w14:paraId="59D86B79"/>
    <w:p w14:paraId="0C2CE2E0">
      <w:pPr>
        <w:pStyle w:val="2"/>
      </w:pPr>
    </w:p>
    <w:p w14:paraId="05B75438"/>
    <w:p w14:paraId="56AF3247">
      <w:pPr>
        <w:adjustRightInd w:val="0"/>
        <w:snapToGrid w:val="0"/>
        <w:spacing w:line="500" w:lineRule="exact"/>
        <w:jc w:val="center"/>
        <w:outlineLvl w:val="0"/>
        <w:rPr>
          <w:rFonts w:ascii="宋体" w:hAnsi="宋体" w:cs="黑体"/>
          <w:b/>
          <w:sz w:val="32"/>
          <w:szCs w:val="32"/>
        </w:rPr>
      </w:pPr>
      <w:r>
        <w:rPr>
          <w:rFonts w:hint="eastAsia" w:ascii="宋体" w:hAnsi="宋体" w:cs="黑体"/>
          <w:b/>
          <w:sz w:val="32"/>
          <w:szCs w:val="32"/>
        </w:rPr>
        <w:t>第二部分  投标须知</w:t>
      </w:r>
    </w:p>
    <w:p w14:paraId="74923667">
      <w:pPr>
        <w:tabs>
          <w:tab w:val="left" w:pos="360"/>
        </w:tabs>
        <w:spacing w:after="60" w:line="460" w:lineRule="exact"/>
        <w:ind w:firstLine="480" w:firstLineChars="200"/>
        <w:rPr>
          <w:rFonts w:ascii="宋体" w:hAnsi="宋体" w:cs="宋体"/>
          <w:b/>
          <w:bCs/>
          <w:sz w:val="24"/>
        </w:rPr>
      </w:pPr>
      <w:bookmarkStart w:id="3" w:name="_Toc120614214"/>
      <w:bookmarkStart w:id="4" w:name="_Toc20823275"/>
      <w:bookmarkStart w:id="5" w:name="_Toc513029203"/>
      <w:bookmarkStart w:id="6" w:name="_Toc16938519"/>
      <w:r>
        <w:rPr>
          <w:rFonts w:hint="eastAsia" w:ascii="宋体" w:hAnsi="宋体" w:cs="宋体"/>
          <w:b/>
          <w:bCs/>
          <w:sz w:val="24"/>
        </w:rPr>
        <w:t>一、总则</w:t>
      </w:r>
      <w:bookmarkEnd w:id="3"/>
      <w:bookmarkEnd w:id="4"/>
      <w:bookmarkEnd w:id="5"/>
      <w:bookmarkEnd w:id="6"/>
    </w:p>
    <w:p w14:paraId="338AF9B5">
      <w:pPr>
        <w:tabs>
          <w:tab w:val="left" w:pos="360"/>
        </w:tabs>
        <w:spacing w:after="60" w:line="460" w:lineRule="exact"/>
        <w:ind w:firstLine="480" w:firstLineChars="200"/>
        <w:rPr>
          <w:rFonts w:ascii="宋体" w:hAnsi="宋体" w:cs="宋体"/>
          <w:sz w:val="24"/>
        </w:rPr>
      </w:pPr>
      <w:bookmarkStart w:id="7" w:name="_Hlt16619475"/>
      <w:bookmarkEnd w:id="7"/>
      <w:bookmarkStart w:id="8" w:name="_Toc458694821"/>
      <w:bookmarkStart w:id="9" w:name="_Toc20823276"/>
      <w:bookmarkStart w:id="10" w:name="_Toc16938520"/>
      <w:bookmarkStart w:id="11" w:name="_Toc513029204"/>
      <w:r>
        <w:rPr>
          <w:rFonts w:hint="eastAsia" w:ascii="宋体" w:hAnsi="宋体" w:cs="宋体"/>
          <w:sz w:val="24"/>
        </w:rPr>
        <w:t>1</w:t>
      </w:r>
      <w:bookmarkEnd w:id="8"/>
      <w:r>
        <w:rPr>
          <w:rFonts w:hint="eastAsia" w:ascii="宋体" w:hAnsi="宋体" w:cs="宋体"/>
          <w:sz w:val="24"/>
        </w:rPr>
        <w:t>.招标方式</w:t>
      </w:r>
      <w:bookmarkEnd w:id="9"/>
      <w:bookmarkEnd w:id="10"/>
      <w:bookmarkEnd w:id="11"/>
    </w:p>
    <w:p w14:paraId="553B8C6D">
      <w:pPr>
        <w:tabs>
          <w:tab w:val="left" w:pos="360"/>
        </w:tabs>
        <w:spacing w:after="60" w:line="46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7E272962">
      <w:pPr>
        <w:tabs>
          <w:tab w:val="left" w:pos="360"/>
        </w:tabs>
        <w:spacing w:after="60" w:line="460" w:lineRule="exact"/>
        <w:ind w:firstLine="480" w:firstLineChars="200"/>
        <w:rPr>
          <w:rFonts w:ascii="宋体" w:hAnsi="宋体" w:cs="宋体"/>
          <w:sz w:val="24"/>
        </w:rPr>
      </w:pPr>
      <w:bookmarkStart w:id="12" w:name="_Toc20823277"/>
      <w:bookmarkStart w:id="13" w:name="_Toc16938521"/>
      <w:bookmarkStart w:id="14" w:name="_Toc513029205"/>
      <w:r>
        <w:rPr>
          <w:rFonts w:hint="eastAsia" w:ascii="宋体" w:hAnsi="宋体" w:cs="宋体"/>
          <w:sz w:val="24"/>
        </w:rPr>
        <w:t>2.合格的投标人</w:t>
      </w:r>
      <w:bookmarkEnd w:id="12"/>
      <w:bookmarkEnd w:id="13"/>
      <w:bookmarkEnd w:id="14"/>
    </w:p>
    <w:p w14:paraId="046809AD">
      <w:pPr>
        <w:tabs>
          <w:tab w:val="left" w:pos="360"/>
        </w:tabs>
        <w:spacing w:after="60" w:line="460" w:lineRule="exact"/>
        <w:ind w:firstLine="480" w:firstLineChars="200"/>
        <w:rPr>
          <w:rFonts w:ascii="宋体" w:hAnsi="宋体" w:cs="宋体"/>
          <w:sz w:val="24"/>
        </w:rPr>
      </w:pPr>
      <w:r>
        <w:rPr>
          <w:rFonts w:hint="eastAsia" w:ascii="宋体" w:hAnsi="宋体" w:cs="宋体"/>
          <w:sz w:val="24"/>
        </w:rPr>
        <w:t>2.1满足招标公告中供应商的资格要求的规定。</w:t>
      </w:r>
    </w:p>
    <w:p w14:paraId="785AB836">
      <w:pPr>
        <w:tabs>
          <w:tab w:val="left" w:pos="360"/>
        </w:tabs>
        <w:spacing w:after="60" w:line="460" w:lineRule="exact"/>
        <w:ind w:firstLine="480" w:firstLineChars="200"/>
        <w:rPr>
          <w:rFonts w:ascii="宋体" w:hAnsi="宋体" w:cs="宋体"/>
          <w:sz w:val="24"/>
        </w:rPr>
      </w:pPr>
      <w:r>
        <w:rPr>
          <w:rFonts w:hint="eastAsia" w:ascii="宋体" w:hAnsi="宋体" w:cs="宋体"/>
          <w:sz w:val="24"/>
        </w:rPr>
        <w:t>2.2 满足本文件实质性条款的规定。</w:t>
      </w:r>
    </w:p>
    <w:p w14:paraId="31023431">
      <w:pPr>
        <w:tabs>
          <w:tab w:val="left" w:pos="360"/>
        </w:tabs>
        <w:spacing w:after="60" w:line="460" w:lineRule="exact"/>
        <w:ind w:firstLine="480" w:firstLineChars="200"/>
        <w:rPr>
          <w:rFonts w:ascii="宋体" w:hAnsi="宋体" w:cs="宋体"/>
          <w:sz w:val="24"/>
        </w:rPr>
      </w:pPr>
      <w:bookmarkStart w:id="15" w:name="_Toc16938522"/>
      <w:bookmarkStart w:id="16" w:name="_Toc20823278"/>
      <w:bookmarkStart w:id="17" w:name="_Toc513029206"/>
      <w:r>
        <w:rPr>
          <w:rFonts w:hint="eastAsia" w:ascii="宋体" w:hAnsi="宋体" w:cs="宋体"/>
          <w:sz w:val="24"/>
        </w:rPr>
        <w:t>3.适用法律</w:t>
      </w:r>
      <w:bookmarkEnd w:id="15"/>
      <w:bookmarkEnd w:id="16"/>
      <w:bookmarkEnd w:id="17"/>
    </w:p>
    <w:p w14:paraId="6F62A33F">
      <w:pPr>
        <w:tabs>
          <w:tab w:val="left" w:pos="360"/>
        </w:tabs>
        <w:spacing w:after="60" w:line="46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0262A92A">
      <w:pPr>
        <w:tabs>
          <w:tab w:val="left" w:pos="360"/>
        </w:tabs>
        <w:spacing w:after="60" w:line="460" w:lineRule="exact"/>
        <w:ind w:firstLine="480" w:firstLineChars="200"/>
        <w:rPr>
          <w:rFonts w:ascii="宋体" w:hAnsi="宋体" w:cs="宋体"/>
          <w:sz w:val="24"/>
        </w:rPr>
      </w:pPr>
      <w:bookmarkStart w:id="18" w:name="_Toc16938523"/>
      <w:bookmarkStart w:id="19" w:name="_Toc513029207"/>
      <w:bookmarkStart w:id="20" w:name="_Toc462564067"/>
      <w:bookmarkStart w:id="21" w:name="_Toc20823279"/>
      <w:r>
        <w:rPr>
          <w:rFonts w:hint="eastAsia" w:ascii="宋体" w:hAnsi="宋体" w:cs="宋体"/>
          <w:sz w:val="24"/>
        </w:rPr>
        <w:t>4.投标费用</w:t>
      </w:r>
      <w:bookmarkEnd w:id="18"/>
      <w:bookmarkEnd w:id="19"/>
      <w:bookmarkEnd w:id="20"/>
      <w:bookmarkEnd w:id="21"/>
    </w:p>
    <w:p w14:paraId="501FA0C9">
      <w:pPr>
        <w:tabs>
          <w:tab w:val="left" w:pos="360"/>
        </w:tabs>
        <w:spacing w:line="460" w:lineRule="exact"/>
        <w:ind w:firstLine="480" w:firstLineChars="200"/>
        <w:rPr>
          <w:rFonts w:ascii="宋体" w:hAnsi="宋体" w:cs="宋体"/>
          <w:sz w:val="24"/>
        </w:rPr>
      </w:pPr>
      <w:r>
        <w:rPr>
          <w:rFonts w:hint="eastAsia" w:ascii="宋体" w:hAnsi="宋体" w:cs="宋体"/>
          <w:sz w:val="24"/>
        </w:rPr>
        <w:t>4.1投标人应自行承担所有与参加投标有关的费用，无论投标过程中的做法和结果如何，江苏中房工程咨询有限公司（以下简称招标代理机构）在任何情况下均无义务和责任承担这些费用。</w:t>
      </w:r>
    </w:p>
    <w:p w14:paraId="2160CEE5">
      <w:pPr>
        <w:tabs>
          <w:tab w:val="left" w:pos="360"/>
        </w:tabs>
        <w:spacing w:line="460" w:lineRule="exact"/>
        <w:ind w:firstLine="480" w:firstLineChars="200"/>
        <w:rPr>
          <w:rFonts w:ascii="宋体" w:hAnsi="宋体" w:cs="宋体"/>
          <w:sz w:val="24"/>
        </w:rPr>
      </w:pPr>
      <w:r>
        <w:rPr>
          <w:rFonts w:hint="eastAsia" w:ascii="宋体" w:hAnsi="宋体" w:cs="宋体"/>
          <w:sz w:val="24"/>
        </w:rPr>
        <w:t>4.2本项目招标代理费收取标准以中标价为基准，乘以招标代理收费费率，由中标供应商支付，投标供应商综合考虑在报价内（不单列）。</w:t>
      </w:r>
    </w:p>
    <w:p w14:paraId="320E08F3">
      <w:pPr>
        <w:tabs>
          <w:tab w:val="left" w:pos="360"/>
        </w:tabs>
        <w:spacing w:line="460" w:lineRule="exact"/>
        <w:ind w:firstLine="480" w:firstLineChars="200"/>
        <w:rPr>
          <w:rFonts w:ascii="宋体" w:hAnsi="宋体" w:cs="宋体"/>
          <w:sz w:val="24"/>
        </w:rPr>
      </w:pPr>
      <w:r>
        <w:rPr>
          <w:rFonts w:hint="eastAsia" w:ascii="宋体" w:hAnsi="宋体" w:cs="宋体"/>
          <w:sz w:val="24"/>
        </w:rPr>
        <w:t>本项目招标代理收费费率标准：</w:t>
      </w:r>
    </w:p>
    <w:tbl>
      <w:tblPr>
        <w:tblStyle w:val="39"/>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4587"/>
        <w:gridCol w:w="3232"/>
      </w:tblGrid>
      <w:tr w14:paraId="4E5C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6" w:type="pct"/>
            <w:vMerge w:val="restart"/>
            <w:tcBorders>
              <w:top w:val="single" w:color="auto" w:sz="4" w:space="0"/>
              <w:left w:val="single" w:color="auto" w:sz="4" w:space="0"/>
              <w:right w:val="single" w:color="auto" w:sz="4" w:space="0"/>
            </w:tcBorders>
            <w:vAlign w:val="center"/>
          </w:tcPr>
          <w:p w14:paraId="05F40465">
            <w:pPr>
              <w:widowControl/>
              <w:adjustRightInd w:val="0"/>
              <w:snapToGrid w:val="0"/>
              <w:spacing w:line="460" w:lineRule="exact"/>
              <w:jc w:val="center"/>
              <w:rPr>
                <w:rFonts w:ascii="宋体" w:hAnsi="宋体" w:cs="宋体"/>
                <w:b/>
                <w:bCs/>
                <w:sz w:val="24"/>
              </w:rPr>
            </w:pPr>
            <w:r>
              <w:rPr>
                <w:rFonts w:hint="eastAsia" w:ascii="宋体" w:hAnsi="宋体" w:cs="宋体"/>
                <w:b/>
                <w:bCs/>
                <w:sz w:val="24"/>
              </w:rPr>
              <w:t>序号</w:t>
            </w:r>
          </w:p>
        </w:tc>
        <w:tc>
          <w:tcPr>
            <w:tcW w:w="2525" w:type="pct"/>
            <w:vMerge w:val="restart"/>
            <w:tcBorders>
              <w:top w:val="single" w:color="auto" w:sz="4" w:space="0"/>
              <w:left w:val="single" w:color="auto" w:sz="4" w:space="0"/>
              <w:right w:val="single" w:color="auto" w:sz="4" w:space="0"/>
            </w:tcBorders>
            <w:vAlign w:val="center"/>
          </w:tcPr>
          <w:p w14:paraId="57DEE0A2">
            <w:pPr>
              <w:widowControl/>
              <w:adjustRightInd w:val="0"/>
              <w:snapToGrid w:val="0"/>
              <w:spacing w:line="460" w:lineRule="exact"/>
              <w:jc w:val="center"/>
              <w:rPr>
                <w:rFonts w:ascii="宋体" w:hAnsi="宋体" w:cs="宋体"/>
                <w:b/>
                <w:bCs/>
                <w:sz w:val="24"/>
              </w:rPr>
            </w:pPr>
            <w:r>
              <w:rPr>
                <w:rFonts w:hint="eastAsia" w:ascii="宋体" w:hAnsi="宋体" w:cs="宋体"/>
                <w:b/>
                <w:bCs/>
                <w:sz w:val="24"/>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7D2F0134">
            <w:pPr>
              <w:widowControl/>
              <w:adjustRightInd w:val="0"/>
              <w:snapToGrid w:val="0"/>
              <w:spacing w:line="460" w:lineRule="exact"/>
              <w:jc w:val="center"/>
              <w:rPr>
                <w:rFonts w:ascii="宋体" w:hAnsi="宋体" w:cs="宋体"/>
                <w:b/>
                <w:bCs/>
                <w:sz w:val="24"/>
              </w:rPr>
            </w:pPr>
            <w:r>
              <w:rPr>
                <w:rFonts w:hint="eastAsia" w:ascii="宋体" w:hAnsi="宋体" w:cs="宋体"/>
                <w:b/>
                <w:bCs/>
                <w:sz w:val="24"/>
              </w:rPr>
              <w:t>收费标准</w:t>
            </w:r>
          </w:p>
        </w:tc>
      </w:tr>
      <w:tr w14:paraId="5EE5D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6" w:type="pct"/>
            <w:vMerge w:val="continue"/>
            <w:tcBorders>
              <w:left w:val="single" w:color="auto" w:sz="4" w:space="0"/>
              <w:bottom w:val="single" w:color="auto" w:sz="4" w:space="0"/>
              <w:right w:val="single" w:color="auto" w:sz="4" w:space="0"/>
            </w:tcBorders>
            <w:vAlign w:val="center"/>
          </w:tcPr>
          <w:p w14:paraId="6BD74525">
            <w:pPr>
              <w:widowControl/>
              <w:adjustRightInd w:val="0"/>
              <w:snapToGrid w:val="0"/>
              <w:spacing w:line="460" w:lineRule="exact"/>
              <w:jc w:val="center"/>
              <w:rPr>
                <w:rFonts w:ascii="宋体" w:hAnsi="宋体" w:cs="宋体"/>
                <w:sz w:val="24"/>
              </w:rPr>
            </w:pPr>
          </w:p>
        </w:tc>
        <w:tc>
          <w:tcPr>
            <w:tcW w:w="2525" w:type="pct"/>
            <w:vMerge w:val="continue"/>
            <w:tcBorders>
              <w:left w:val="single" w:color="auto" w:sz="4" w:space="0"/>
              <w:bottom w:val="single" w:color="auto" w:sz="4" w:space="0"/>
              <w:right w:val="single" w:color="auto" w:sz="4" w:space="0"/>
            </w:tcBorders>
            <w:vAlign w:val="center"/>
          </w:tcPr>
          <w:p w14:paraId="74D4BEDB">
            <w:pPr>
              <w:widowControl/>
              <w:adjustRightInd w:val="0"/>
              <w:snapToGrid w:val="0"/>
              <w:spacing w:line="460" w:lineRule="exact"/>
              <w:jc w:val="center"/>
              <w:rPr>
                <w:rFonts w:ascii="宋体" w:hAnsi="宋体" w:cs="宋体"/>
                <w:sz w:val="24"/>
              </w:rPr>
            </w:pPr>
          </w:p>
        </w:tc>
        <w:tc>
          <w:tcPr>
            <w:tcW w:w="1779" w:type="pct"/>
            <w:vMerge w:val="continue"/>
            <w:tcBorders>
              <w:left w:val="single" w:color="auto" w:sz="4" w:space="0"/>
              <w:bottom w:val="single" w:color="auto" w:sz="4" w:space="0"/>
              <w:right w:val="single" w:color="auto" w:sz="4" w:space="0"/>
            </w:tcBorders>
            <w:vAlign w:val="center"/>
          </w:tcPr>
          <w:p w14:paraId="5DBBB474">
            <w:pPr>
              <w:widowControl/>
              <w:adjustRightInd w:val="0"/>
              <w:snapToGrid w:val="0"/>
              <w:spacing w:line="460" w:lineRule="exact"/>
              <w:jc w:val="center"/>
              <w:rPr>
                <w:rFonts w:ascii="宋体" w:hAnsi="宋体" w:cs="宋体"/>
                <w:sz w:val="24"/>
              </w:rPr>
            </w:pPr>
          </w:p>
        </w:tc>
      </w:tr>
      <w:tr w14:paraId="0C0F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5426BCC4">
            <w:pPr>
              <w:widowControl/>
              <w:adjustRightInd w:val="0"/>
              <w:snapToGrid w:val="0"/>
              <w:spacing w:line="460" w:lineRule="exact"/>
              <w:jc w:val="center"/>
              <w:rPr>
                <w:rFonts w:ascii="宋体" w:hAnsi="宋体" w:cs="宋体"/>
                <w:sz w:val="24"/>
              </w:rPr>
            </w:pPr>
            <w:r>
              <w:rPr>
                <w:rFonts w:hint="eastAsia" w:ascii="宋体" w:hAnsi="宋体" w:cs="宋体"/>
                <w:sz w:val="24"/>
              </w:rPr>
              <w:t>1</w:t>
            </w:r>
          </w:p>
        </w:tc>
        <w:tc>
          <w:tcPr>
            <w:tcW w:w="2525" w:type="pct"/>
            <w:tcBorders>
              <w:top w:val="single" w:color="auto" w:sz="4" w:space="0"/>
              <w:left w:val="single" w:color="auto" w:sz="4" w:space="0"/>
              <w:bottom w:val="single" w:color="auto" w:sz="4" w:space="0"/>
              <w:right w:val="single" w:color="auto" w:sz="4" w:space="0"/>
            </w:tcBorders>
            <w:vAlign w:val="center"/>
          </w:tcPr>
          <w:p w14:paraId="18FB74D8">
            <w:pPr>
              <w:widowControl/>
              <w:adjustRightInd w:val="0"/>
              <w:snapToGrid w:val="0"/>
              <w:spacing w:line="460" w:lineRule="exact"/>
              <w:jc w:val="center"/>
              <w:rPr>
                <w:rFonts w:ascii="宋体" w:hAnsi="宋体" w:cs="宋体"/>
                <w:sz w:val="24"/>
              </w:rPr>
            </w:pPr>
            <w:r>
              <w:rPr>
                <w:rFonts w:hint="eastAsia" w:ascii="宋体" w:hAnsi="宋体" w:cs="宋体"/>
                <w:sz w:val="24"/>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6406A84E">
            <w:pPr>
              <w:widowControl/>
              <w:adjustRightInd w:val="0"/>
              <w:snapToGrid w:val="0"/>
              <w:spacing w:line="460" w:lineRule="exact"/>
              <w:jc w:val="center"/>
              <w:rPr>
                <w:rFonts w:ascii="宋体" w:hAnsi="宋体" w:cs="宋体"/>
                <w:sz w:val="24"/>
              </w:rPr>
            </w:pPr>
            <w:r>
              <w:rPr>
                <w:rFonts w:hint="eastAsia" w:ascii="宋体" w:hAnsi="宋体" w:cs="宋体"/>
                <w:sz w:val="24"/>
              </w:rPr>
              <w:t>2000.00元</w:t>
            </w:r>
          </w:p>
        </w:tc>
      </w:tr>
    </w:tbl>
    <w:p w14:paraId="47FF212D">
      <w:pPr>
        <w:tabs>
          <w:tab w:val="left" w:pos="360"/>
        </w:tabs>
        <w:spacing w:line="460" w:lineRule="exact"/>
        <w:ind w:firstLine="480" w:firstLineChars="200"/>
        <w:rPr>
          <w:rFonts w:ascii="宋体" w:hAnsi="宋体" w:cs="宋体"/>
          <w:sz w:val="24"/>
        </w:rPr>
      </w:pPr>
      <w:r>
        <w:rPr>
          <w:rFonts w:hint="eastAsia" w:ascii="宋体" w:hAnsi="宋体" w:cs="宋体"/>
          <w:sz w:val="24"/>
          <w:lang w:val="zh-CN"/>
        </w:rPr>
        <w:t>代理费由中标供应商在开标现场定标后支付给代理机构，如因中标供应商原因导致本项目流标或改变中标结果或其被取消中标资格的，代理费不予退还</w:t>
      </w:r>
      <w:r>
        <w:rPr>
          <w:rFonts w:hint="eastAsia" w:ascii="宋体" w:hAnsi="宋体" w:cs="宋体"/>
          <w:sz w:val="24"/>
        </w:rPr>
        <w:t>。</w:t>
      </w:r>
    </w:p>
    <w:p w14:paraId="5FAF413E">
      <w:pPr>
        <w:tabs>
          <w:tab w:val="left" w:pos="360"/>
        </w:tabs>
        <w:spacing w:after="60" w:line="460" w:lineRule="exact"/>
        <w:ind w:firstLine="480" w:firstLineChars="200"/>
        <w:rPr>
          <w:rFonts w:ascii="宋体" w:hAnsi="宋体" w:cs="宋体"/>
          <w:sz w:val="24"/>
        </w:rPr>
      </w:pPr>
      <w:r>
        <w:rPr>
          <w:rFonts w:hint="eastAsia" w:ascii="宋体" w:hAnsi="宋体" w:cs="宋体"/>
          <w:sz w:val="24"/>
        </w:rPr>
        <w:t>5.招标文件的约束力</w:t>
      </w:r>
    </w:p>
    <w:p w14:paraId="3303CD3F">
      <w:pPr>
        <w:tabs>
          <w:tab w:val="left" w:pos="360"/>
        </w:tabs>
        <w:spacing w:after="60" w:line="460" w:lineRule="exact"/>
        <w:ind w:firstLine="480" w:firstLineChars="200"/>
        <w:rPr>
          <w:rFonts w:ascii="宋体" w:hAnsi="宋体" w:cs="宋体"/>
          <w:sz w:val="24"/>
        </w:rPr>
      </w:pPr>
      <w:r>
        <w:rPr>
          <w:rFonts w:hint="eastAsia" w:ascii="宋体" w:hAnsi="宋体" w:cs="宋体"/>
          <w:sz w:val="24"/>
        </w:rPr>
        <w:t>5.1 投标人一旦参加本项目采购活动，即被认为接受了本招标文件的规定和约束。</w:t>
      </w:r>
    </w:p>
    <w:p w14:paraId="346863AE">
      <w:pPr>
        <w:tabs>
          <w:tab w:val="left" w:pos="360"/>
        </w:tabs>
        <w:spacing w:after="60" w:line="460" w:lineRule="exact"/>
        <w:ind w:firstLine="480" w:firstLineChars="200"/>
        <w:rPr>
          <w:rFonts w:ascii="宋体" w:hAnsi="宋体" w:cs="宋体"/>
          <w:sz w:val="24"/>
        </w:rPr>
      </w:pPr>
      <w:r>
        <w:rPr>
          <w:rFonts w:hint="eastAsia" w:ascii="宋体" w:hAnsi="宋体" w:cs="宋体"/>
          <w:sz w:val="24"/>
        </w:rPr>
        <w:t>6.招标文件的解释</w:t>
      </w:r>
    </w:p>
    <w:p w14:paraId="4A989FD7">
      <w:pPr>
        <w:tabs>
          <w:tab w:val="left" w:pos="360"/>
        </w:tabs>
        <w:spacing w:after="60" w:line="460" w:lineRule="exact"/>
        <w:ind w:firstLine="480" w:firstLineChars="200"/>
        <w:rPr>
          <w:rFonts w:ascii="宋体" w:hAnsi="宋体" w:cs="宋体"/>
          <w:sz w:val="24"/>
        </w:rPr>
      </w:pPr>
      <w:r>
        <w:rPr>
          <w:rFonts w:hint="eastAsia" w:ascii="宋体" w:hAnsi="宋体" w:cs="宋体"/>
          <w:sz w:val="24"/>
        </w:rPr>
        <w:t>6.1招标文件需求部分（供应商资格要求、项目需求、商务技术评分标准）由招标人解释，其他部分由代理机构解释。</w:t>
      </w:r>
    </w:p>
    <w:p w14:paraId="337CFE52">
      <w:pPr>
        <w:tabs>
          <w:tab w:val="left" w:pos="360"/>
        </w:tabs>
        <w:spacing w:after="60" w:line="460" w:lineRule="exact"/>
        <w:ind w:firstLine="480" w:firstLineChars="200"/>
        <w:rPr>
          <w:rFonts w:ascii="宋体" w:hAnsi="宋体" w:cs="宋体"/>
          <w:b/>
          <w:bCs/>
          <w:sz w:val="24"/>
        </w:rPr>
      </w:pPr>
      <w:bookmarkStart w:id="22" w:name="_Toc16938525"/>
      <w:bookmarkStart w:id="23" w:name="_Toc513029209"/>
      <w:bookmarkStart w:id="24" w:name="_Toc120614215"/>
      <w:bookmarkStart w:id="25" w:name="_Toc20823281"/>
      <w:r>
        <w:rPr>
          <w:rFonts w:hint="eastAsia" w:ascii="宋体" w:hAnsi="宋体" w:cs="宋体"/>
          <w:b/>
          <w:bCs/>
          <w:sz w:val="24"/>
        </w:rPr>
        <w:t>二、招标文件</w:t>
      </w:r>
      <w:bookmarkEnd w:id="22"/>
      <w:bookmarkEnd w:id="23"/>
      <w:bookmarkEnd w:id="24"/>
      <w:bookmarkEnd w:id="25"/>
    </w:p>
    <w:p w14:paraId="3A882114">
      <w:pPr>
        <w:tabs>
          <w:tab w:val="left" w:pos="360"/>
        </w:tabs>
        <w:spacing w:after="60" w:line="460" w:lineRule="exact"/>
        <w:ind w:firstLine="480" w:firstLineChars="200"/>
        <w:rPr>
          <w:rFonts w:ascii="宋体" w:hAnsi="宋体" w:cs="宋体"/>
          <w:sz w:val="24"/>
        </w:rPr>
      </w:pPr>
      <w:bookmarkStart w:id="26" w:name="_Toc513029210"/>
      <w:bookmarkStart w:id="27" w:name="_Toc16938526"/>
      <w:bookmarkStart w:id="28" w:name="_Toc20823282"/>
      <w:r>
        <w:rPr>
          <w:rFonts w:hint="eastAsia" w:ascii="宋体" w:hAnsi="宋体" w:cs="宋体"/>
          <w:sz w:val="24"/>
        </w:rPr>
        <w:t>1.招标文件构成</w:t>
      </w:r>
      <w:bookmarkEnd w:id="26"/>
      <w:bookmarkEnd w:id="27"/>
      <w:bookmarkEnd w:id="28"/>
    </w:p>
    <w:p w14:paraId="1B760F17">
      <w:pPr>
        <w:tabs>
          <w:tab w:val="left" w:pos="360"/>
        </w:tabs>
        <w:spacing w:after="60" w:line="460" w:lineRule="exact"/>
        <w:ind w:firstLine="480" w:firstLineChars="200"/>
        <w:rPr>
          <w:rFonts w:ascii="宋体" w:hAnsi="宋体" w:cs="宋体"/>
          <w:sz w:val="24"/>
        </w:rPr>
      </w:pPr>
      <w:r>
        <w:rPr>
          <w:rFonts w:hint="eastAsia" w:ascii="宋体" w:hAnsi="宋体" w:cs="宋体"/>
          <w:sz w:val="24"/>
        </w:rPr>
        <w:t>1.1 招标文件由以下部分组成：</w:t>
      </w:r>
    </w:p>
    <w:p w14:paraId="4AA7682E">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（1）招标公告</w:t>
      </w:r>
    </w:p>
    <w:p w14:paraId="4677EF8B">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（2）投标须知</w:t>
      </w:r>
    </w:p>
    <w:p w14:paraId="3175D2FA">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（3）项目需求</w:t>
      </w:r>
    </w:p>
    <w:p w14:paraId="13E223BA">
      <w:pPr>
        <w:tabs>
          <w:tab w:val="left" w:pos="360"/>
        </w:tabs>
        <w:spacing w:after="60" w:line="460" w:lineRule="exact"/>
        <w:ind w:firstLine="480" w:firstLineChars="200"/>
        <w:rPr>
          <w:rFonts w:ascii="宋体" w:hAnsi="宋体" w:cs="宋体"/>
          <w:sz w:val="24"/>
        </w:rPr>
      </w:pPr>
      <w:r>
        <w:rPr>
          <w:rFonts w:hint="eastAsia" w:ascii="宋体" w:hAnsi="宋体" w:cs="宋体"/>
          <w:sz w:val="24"/>
        </w:rPr>
        <w:t>（4）开标和评标</w:t>
      </w:r>
    </w:p>
    <w:p w14:paraId="2D936757">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（5）投标文件组成</w:t>
      </w:r>
    </w:p>
    <w:p w14:paraId="35D5E7CE">
      <w:pPr>
        <w:tabs>
          <w:tab w:val="left" w:pos="360"/>
        </w:tabs>
        <w:spacing w:after="60" w:line="460" w:lineRule="exact"/>
        <w:ind w:firstLine="480" w:firstLineChars="200"/>
        <w:rPr>
          <w:rFonts w:ascii="宋体" w:hAnsi="宋体" w:cs="宋体"/>
          <w:sz w:val="24"/>
        </w:rPr>
      </w:pPr>
      <w:r>
        <w:rPr>
          <w:rFonts w:hint="eastAsia" w:ascii="宋体" w:hAnsi="宋体" w:cs="宋体"/>
          <w:sz w:val="24"/>
        </w:rPr>
        <w:t>（6）附件（如有）</w:t>
      </w:r>
    </w:p>
    <w:p w14:paraId="181816A7">
      <w:pPr>
        <w:tabs>
          <w:tab w:val="left" w:pos="360"/>
        </w:tabs>
        <w:spacing w:after="60" w:line="46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46383122">
      <w:pPr>
        <w:tabs>
          <w:tab w:val="left" w:pos="360"/>
        </w:tabs>
        <w:spacing w:after="60" w:line="460" w:lineRule="exact"/>
        <w:ind w:firstLine="480" w:firstLineChars="200"/>
        <w:rPr>
          <w:rFonts w:ascii="宋体" w:hAnsi="宋体" w:cs="宋体"/>
          <w:sz w:val="24"/>
        </w:rPr>
      </w:pPr>
      <w:r>
        <w:rPr>
          <w:rFonts w:hint="eastAsia" w:ascii="宋体" w:hAnsi="宋体" w:cs="宋体"/>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8555F6A">
      <w:pPr>
        <w:tabs>
          <w:tab w:val="left" w:pos="360"/>
        </w:tabs>
        <w:spacing w:after="60" w:line="460" w:lineRule="exact"/>
        <w:ind w:firstLine="480" w:firstLineChars="200"/>
        <w:rPr>
          <w:rFonts w:ascii="宋体" w:hAnsi="宋体" w:cs="宋体"/>
          <w:sz w:val="24"/>
        </w:rPr>
      </w:pPr>
      <w:bookmarkStart w:id="29" w:name="_Toc20823283"/>
      <w:bookmarkStart w:id="30" w:name="_Toc513029211"/>
      <w:bookmarkStart w:id="31" w:name="_Toc16938527"/>
      <w:bookmarkStart w:id="32" w:name="_Toc462564070"/>
      <w:r>
        <w:rPr>
          <w:rFonts w:hint="eastAsia" w:ascii="宋体" w:hAnsi="宋体" w:cs="宋体"/>
          <w:sz w:val="24"/>
        </w:rPr>
        <w:t>2.招标文件的澄清</w:t>
      </w:r>
      <w:bookmarkEnd w:id="29"/>
      <w:bookmarkEnd w:id="30"/>
      <w:bookmarkEnd w:id="31"/>
      <w:bookmarkEnd w:id="32"/>
    </w:p>
    <w:p w14:paraId="26981194">
      <w:pPr>
        <w:tabs>
          <w:tab w:val="left" w:pos="360"/>
        </w:tabs>
        <w:spacing w:after="60" w:line="460" w:lineRule="exact"/>
        <w:ind w:firstLine="480" w:firstLineChars="200"/>
        <w:rPr>
          <w:rFonts w:ascii="宋体" w:hAnsi="宋体" w:cs="宋体"/>
          <w:sz w:val="24"/>
        </w:rPr>
      </w:pPr>
      <w:r>
        <w:rPr>
          <w:rFonts w:hint="eastAsia" w:ascii="宋体" w:hAnsi="宋体" w:cs="宋体"/>
          <w:sz w:val="24"/>
        </w:rPr>
        <w:t>2.1 任何要求对招标文件进行澄清的投标人，应在投标截止期十日前按招标公告中的通讯地址，以书面形式通知招标人。招标人有权对发出的招标文件进行必要的澄清或修改</w:t>
      </w:r>
    </w:p>
    <w:p w14:paraId="1B215FFA">
      <w:pPr>
        <w:tabs>
          <w:tab w:val="left" w:pos="360"/>
        </w:tabs>
        <w:spacing w:after="60" w:line="460" w:lineRule="exact"/>
        <w:ind w:firstLine="480" w:firstLineChars="200"/>
        <w:rPr>
          <w:rFonts w:ascii="宋体" w:hAnsi="宋体" w:cs="宋体"/>
          <w:sz w:val="24"/>
        </w:rPr>
      </w:pPr>
      <w:r>
        <w:rPr>
          <w:rFonts w:hint="eastAsia" w:ascii="宋体" w:hAnsi="宋体" w:cs="宋体"/>
          <w:sz w:val="24"/>
        </w:rPr>
        <w:t>2.2招标人视情组织答疑会</w:t>
      </w:r>
    </w:p>
    <w:p w14:paraId="57C7B558">
      <w:pPr>
        <w:tabs>
          <w:tab w:val="left" w:pos="360"/>
        </w:tabs>
        <w:spacing w:after="60" w:line="460" w:lineRule="exact"/>
        <w:ind w:firstLine="480" w:firstLineChars="200"/>
        <w:rPr>
          <w:rFonts w:ascii="宋体" w:hAnsi="宋体" w:cs="宋体"/>
          <w:sz w:val="24"/>
        </w:rPr>
      </w:pPr>
      <w:bookmarkStart w:id="33" w:name="_Toc462564071"/>
      <w:bookmarkStart w:id="34" w:name="_Toc20823284"/>
      <w:bookmarkStart w:id="35" w:name="_Toc16938528"/>
      <w:bookmarkStart w:id="36" w:name="_Toc513029212"/>
      <w:r>
        <w:rPr>
          <w:rFonts w:hint="eastAsia" w:ascii="宋体" w:hAnsi="宋体" w:cs="宋体"/>
          <w:sz w:val="24"/>
        </w:rPr>
        <w:t>3.招标文件的修改</w:t>
      </w:r>
      <w:bookmarkEnd w:id="33"/>
      <w:bookmarkEnd w:id="34"/>
      <w:bookmarkEnd w:id="35"/>
      <w:bookmarkEnd w:id="36"/>
    </w:p>
    <w:p w14:paraId="328A670E">
      <w:pPr>
        <w:tabs>
          <w:tab w:val="left" w:pos="360"/>
        </w:tabs>
        <w:spacing w:after="60" w:line="460" w:lineRule="exact"/>
        <w:ind w:firstLine="480" w:firstLineChars="200"/>
        <w:rPr>
          <w:rFonts w:ascii="宋体" w:hAnsi="宋体" w:cs="宋体"/>
          <w:sz w:val="24"/>
        </w:rPr>
      </w:pPr>
      <w:r>
        <w:rPr>
          <w:rFonts w:hint="eastAsia" w:ascii="宋体" w:hAnsi="宋体" w:cs="宋体"/>
          <w:sz w:val="24"/>
        </w:rPr>
        <w:t>3.1 在投标截止时间前，代理机构可以对招标文件进行修改。</w:t>
      </w:r>
    </w:p>
    <w:p w14:paraId="29175E7B">
      <w:pPr>
        <w:tabs>
          <w:tab w:val="left" w:pos="360"/>
        </w:tabs>
        <w:spacing w:after="60" w:line="460" w:lineRule="exact"/>
        <w:ind w:firstLine="480" w:firstLineChars="200"/>
        <w:rPr>
          <w:rFonts w:ascii="宋体" w:hAnsi="宋体" w:cs="宋体"/>
          <w:sz w:val="24"/>
        </w:rPr>
      </w:pPr>
      <w:r>
        <w:rPr>
          <w:rFonts w:hint="eastAsia" w:ascii="宋体" w:hAnsi="宋体" w:cs="宋体"/>
          <w:sz w:val="24"/>
        </w:rPr>
        <w:t>3.2 代理机构有权按照法定的要求推迟投标截止日期和开标日期。</w:t>
      </w:r>
    </w:p>
    <w:p w14:paraId="06E7047A">
      <w:pPr>
        <w:tabs>
          <w:tab w:val="left" w:pos="360"/>
        </w:tabs>
        <w:spacing w:after="60" w:line="460" w:lineRule="exact"/>
        <w:ind w:firstLine="480" w:firstLineChars="200"/>
        <w:rPr>
          <w:rFonts w:ascii="宋体" w:hAnsi="宋体" w:cs="宋体"/>
          <w:sz w:val="24"/>
        </w:rPr>
      </w:pPr>
      <w:r>
        <w:rPr>
          <w:rFonts w:hint="eastAsia" w:ascii="宋体" w:hAnsi="宋体" w:cs="宋体"/>
          <w:sz w:val="24"/>
        </w:rPr>
        <w:t>3.3 招标文件的修改将在江苏商贸职业学院网（http://www.jsbc.edu.cn/）公布，补充文件将作为招标文件的组成部分，并对投标人具有约束力。</w:t>
      </w:r>
    </w:p>
    <w:p w14:paraId="60158932">
      <w:pPr>
        <w:tabs>
          <w:tab w:val="left" w:pos="360"/>
        </w:tabs>
        <w:spacing w:after="60" w:line="460" w:lineRule="exact"/>
        <w:ind w:firstLine="480" w:firstLineChars="200"/>
        <w:rPr>
          <w:rFonts w:ascii="宋体" w:hAnsi="宋体" w:cs="宋体"/>
          <w:b/>
          <w:bCs/>
          <w:sz w:val="24"/>
        </w:rPr>
      </w:pPr>
      <w:bookmarkStart w:id="37" w:name="_Toc462564072"/>
      <w:bookmarkStart w:id="38" w:name="_Toc120614216"/>
      <w:bookmarkStart w:id="39" w:name="_Toc513029213"/>
      <w:bookmarkStart w:id="40" w:name="_Toc16938529"/>
      <w:bookmarkStart w:id="41" w:name="_Toc20823285"/>
      <w:r>
        <w:rPr>
          <w:rFonts w:hint="eastAsia" w:ascii="宋体" w:hAnsi="宋体" w:cs="宋体"/>
          <w:b/>
          <w:bCs/>
          <w:sz w:val="24"/>
        </w:rPr>
        <w:t>三、投标文件的编制</w:t>
      </w:r>
      <w:bookmarkEnd w:id="37"/>
      <w:bookmarkEnd w:id="38"/>
      <w:bookmarkEnd w:id="39"/>
      <w:bookmarkEnd w:id="40"/>
      <w:bookmarkEnd w:id="41"/>
    </w:p>
    <w:p w14:paraId="01C8176A">
      <w:pPr>
        <w:tabs>
          <w:tab w:val="left" w:pos="360"/>
        </w:tabs>
        <w:spacing w:after="60" w:line="460" w:lineRule="exact"/>
        <w:ind w:firstLine="480" w:firstLineChars="200"/>
        <w:rPr>
          <w:rFonts w:ascii="宋体" w:hAnsi="宋体" w:cs="宋体"/>
          <w:sz w:val="24"/>
        </w:rPr>
      </w:pPr>
      <w:bookmarkStart w:id="42" w:name="_Toc513029214"/>
      <w:bookmarkStart w:id="43" w:name="_Toc20823286"/>
      <w:bookmarkStart w:id="44" w:name="_Toc462564073"/>
      <w:bookmarkStart w:id="45" w:name="_Toc16938530"/>
      <w:r>
        <w:rPr>
          <w:rFonts w:hint="eastAsia" w:ascii="宋体" w:hAnsi="宋体" w:cs="宋体"/>
          <w:sz w:val="24"/>
        </w:rPr>
        <w:t>1.投标文件的语言及度量衡单位</w:t>
      </w:r>
      <w:bookmarkEnd w:id="42"/>
      <w:bookmarkEnd w:id="43"/>
      <w:bookmarkEnd w:id="44"/>
      <w:bookmarkEnd w:id="45"/>
    </w:p>
    <w:p w14:paraId="62E2309A">
      <w:pPr>
        <w:tabs>
          <w:tab w:val="left" w:pos="360"/>
        </w:tabs>
        <w:spacing w:after="60" w:line="460" w:lineRule="exact"/>
        <w:ind w:firstLine="480" w:firstLineChars="200"/>
        <w:rPr>
          <w:rFonts w:ascii="宋体" w:hAnsi="宋体" w:cs="宋体"/>
          <w:sz w:val="24"/>
        </w:rPr>
      </w:pPr>
      <w:r>
        <w:rPr>
          <w:rFonts w:hint="eastAsia" w:ascii="宋体" w:hAnsi="宋体" w:cs="宋体"/>
          <w:sz w:val="24"/>
        </w:rPr>
        <w:t>1.1 投标人提交的投标文件以及投标人与代理机构就有关投标的所有来往通知、函件和文件均应使用简体中文。</w:t>
      </w:r>
    </w:p>
    <w:p w14:paraId="4F8AF832">
      <w:pPr>
        <w:tabs>
          <w:tab w:val="left" w:pos="360"/>
        </w:tabs>
        <w:spacing w:after="60" w:line="460" w:lineRule="exact"/>
        <w:ind w:firstLine="480" w:firstLineChars="200"/>
        <w:rPr>
          <w:rFonts w:ascii="宋体" w:hAnsi="宋体" w:cs="宋体"/>
          <w:sz w:val="24"/>
        </w:rPr>
      </w:pPr>
      <w:r>
        <w:rPr>
          <w:rFonts w:hint="eastAsia" w:ascii="宋体" w:hAnsi="宋体" w:cs="宋体"/>
          <w:sz w:val="24"/>
        </w:rPr>
        <w:t>1.2 除技术性能另有规定外，投标文件所使用的度量衡单位，均须采用国家法定计量单位。</w:t>
      </w:r>
    </w:p>
    <w:p w14:paraId="0CA38DCE">
      <w:pPr>
        <w:tabs>
          <w:tab w:val="left" w:pos="360"/>
        </w:tabs>
        <w:spacing w:after="60" w:line="460" w:lineRule="exact"/>
        <w:ind w:firstLine="480" w:firstLineChars="200"/>
        <w:rPr>
          <w:rFonts w:ascii="宋体" w:hAnsi="宋体" w:cs="宋体"/>
          <w:sz w:val="24"/>
        </w:rPr>
      </w:pPr>
      <w:bookmarkStart w:id="46" w:name="_Toc20823287"/>
      <w:bookmarkStart w:id="47" w:name="_Toc513029215"/>
      <w:bookmarkStart w:id="48" w:name="_Toc462564074"/>
      <w:bookmarkStart w:id="49" w:name="_Toc16938531"/>
      <w:r>
        <w:rPr>
          <w:rFonts w:hint="eastAsia" w:ascii="宋体" w:hAnsi="宋体" w:cs="宋体"/>
          <w:sz w:val="24"/>
        </w:rPr>
        <w:t>2.投标文件构成</w:t>
      </w:r>
      <w:bookmarkEnd w:id="46"/>
      <w:bookmarkEnd w:id="47"/>
      <w:bookmarkEnd w:id="48"/>
      <w:bookmarkEnd w:id="49"/>
    </w:p>
    <w:p w14:paraId="5684B069">
      <w:pPr>
        <w:tabs>
          <w:tab w:val="left" w:pos="360"/>
        </w:tabs>
        <w:spacing w:after="60" w:line="460" w:lineRule="exact"/>
        <w:ind w:firstLine="480" w:firstLineChars="200"/>
        <w:rPr>
          <w:rFonts w:ascii="宋体" w:hAnsi="宋体" w:cs="宋体"/>
          <w:sz w:val="24"/>
        </w:rPr>
      </w:pPr>
      <w:r>
        <w:rPr>
          <w:rFonts w:hint="eastAsia" w:ascii="宋体" w:hAnsi="宋体" w:cs="宋体"/>
          <w:sz w:val="24"/>
        </w:rPr>
        <w:t>2.1 投标人编写的投标文件应包括资格审查证明材料文件、商务技术标文件、价格标文件。供应商按“第五部分 投标文件组成”要求编写投标文件</w:t>
      </w:r>
    </w:p>
    <w:p w14:paraId="3AD00DD7">
      <w:pPr>
        <w:tabs>
          <w:tab w:val="left" w:pos="360"/>
        </w:tabs>
        <w:spacing w:after="60" w:line="460" w:lineRule="exact"/>
        <w:ind w:firstLine="480" w:firstLineChars="200"/>
        <w:rPr>
          <w:rFonts w:ascii="宋体" w:hAnsi="宋体" w:cs="宋体"/>
          <w:sz w:val="24"/>
        </w:rPr>
      </w:pPr>
      <w:bookmarkStart w:id="50" w:name="_Hlt26668975"/>
      <w:bookmarkEnd w:id="50"/>
      <w:bookmarkStart w:id="51" w:name="_Hlt26670360"/>
      <w:bookmarkEnd w:id="51"/>
      <w:bookmarkStart w:id="52" w:name="_Hlt26954838"/>
      <w:bookmarkEnd w:id="52"/>
      <w:bookmarkStart w:id="53" w:name="_Toc14577360"/>
      <w:bookmarkStart w:id="54" w:name="_Toc49090511"/>
      <w:r>
        <w:rPr>
          <w:rFonts w:hint="eastAsia" w:ascii="宋体" w:hAnsi="宋体" w:cs="宋体"/>
          <w:sz w:val="24"/>
        </w:rPr>
        <w:t>3.投标有效期</w:t>
      </w:r>
      <w:bookmarkEnd w:id="53"/>
      <w:bookmarkEnd w:id="54"/>
    </w:p>
    <w:p w14:paraId="76837EB0">
      <w:pPr>
        <w:tabs>
          <w:tab w:val="left" w:pos="360"/>
        </w:tabs>
        <w:spacing w:after="60" w:line="460" w:lineRule="exact"/>
        <w:ind w:firstLine="480" w:firstLineChars="200"/>
        <w:rPr>
          <w:rFonts w:ascii="宋体" w:hAnsi="宋体" w:cs="宋体"/>
          <w:sz w:val="24"/>
        </w:rPr>
      </w:pPr>
      <w:r>
        <w:rPr>
          <w:rFonts w:hint="eastAsia" w:ascii="宋体" w:hAnsi="宋体" w:cs="宋体"/>
          <w:sz w:val="24"/>
        </w:rPr>
        <w:t>3.1投标有效期为代理机构规定的开标之日后六十（60）天。投标有效期比规定短的将被视为非响应性投标而予以拒绝。</w:t>
      </w:r>
    </w:p>
    <w:p w14:paraId="156DFC63">
      <w:pPr>
        <w:tabs>
          <w:tab w:val="left" w:pos="360"/>
        </w:tabs>
        <w:spacing w:after="60" w:line="460" w:lineRule="exact"/>
        <w:ind w:firstLine="480" w:firstLineChars="200"/>
        <w:rPr>
          <w:rFonts w:ascii="宋体" w:hAnsi="宋体" w:cs="宋体"/>
          <w:sz w:val="24"/>
        </w:rPr>
      </w:pPr>
      <w:r>
        <w:rPr>
          <w:rFonts w:hint="eastAsia" w:ascii="宋体" w:hAnsi="宋体" w:cs="宋体"/>
          <w:sz w:val="24"/>
        </w:rPr>
        <w:t>4.投标有效期的延长</w:t>
      </w:r>
    </w:p>
    <w:p w14:paraId="24D5C733">
      <w:pPr>
        <w:tabs>
          <w:tab w:val="left" w:pos="360"/>
        </w:tabs>
        <w:spacing w:after="60" w:line="460" w:lineRule="exact"/>
        <w:ind w:firstLine="480" w:firstLineChars="200"/>
        <w:rPr>
          <w:rFonts w:ascii="宋体" w:hAnsi="宋体" w:cs="宋体"/>
          <w:sz w:val="24"/>
        </w:rPr>
      </w:pPr>
      <w:r>
        <w:rPr>
          <w:rFonts w:hint="eastAsia" w:ascii="宋体" w:hAnsi="宋体" w:cs="宋体"/>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54F530BA">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5.投标人资格要求</w:t>
      </w:r>
    </w:p>
    <w:p w14:paraId="21644F92">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5.1投标人应具备承担本项目的资格要求。</w:t>
      </w:r>
    </w:p>
    <w:p w14:paraId="5070BB50">
      <w:pPr>
        <w:tabs>
          <w:tab w:val="left" w:pos="360"/>
        </w:tabs>
        <w:spacing w:after="60" w:line="460" w:lineRule="exact"/>
        <w:ind w:firstLine="480" w:firstLineChars="200"/>
        <w:rPr>
          <w:rFonts w:ascii="宋体" w:hAnsi="宋体" w:cs="宋体"/>
          <w:b/>
          <w:bCs/>
          <w:sz w:val="24"/>
        </w:rPr>
      </w:pPr>
      <w:bookmarkStart w:id="55" w:name="_Hlt26954852"/>
      <w:bookmarkEnd w:id="55"/>
      <w:bookmarkStart w:id="56" w:name="_Hlt26954739"/>
      <w:bookmarkEnd w:id="56"/>
      <w:bookmarkStart w:id="57" w:name="_Toc20823296"/>
      <w:bookmarkStart w:id="58" w:name="_Toc120614217"/>
      <w:bookmarkStart w:id="59" w:name="_Toc513029224"/>
      <w:bookmarkStart w:id="60" w:name="_Toc16938540"/>
      <w:r>
        <w:rPr>
          <w:rFonts w:hint="eastAsia" w:ascii="宋体" w:hAnsi="宋体" w:cs="宋体"/>
          <w:b/>
          <w:bCs/>
          <w:sz w:val="24"/>
        </w:rPr>
        <w:t>四、投标文件的递交</w:t>
      </w:r>
      <w:bookmarkEnd w:id="57"/>
      <w:bookmarkEnd w:id="58"/>
      <w:bookmarkEnd w:id="59"/>
      <w:bookmarkEnd w:id="60"/>
    </w:p>
    <w:p w14:paraId="2B5AC973">
      <w:pPr>
        <w:tabs>
          <w:tab w:val="left" w:pos="360"/>
        </w:tabs>
        <w:spacing w:after="60" w:line="460" w:lineRule="exact"/>
        <w:ind w:firstLine="480" w:firstLineChars="200"/>
        <w:rPr>
          <w:rFonts w:ascii="宋体" w:hAnsi="宋体" w:cs="宋体"/>
          <w:sz w:val="24"/>
        </w:rPr>
      </w:pPr>
      <w:bookmarkStart w:id="61" w:name="_Toc513029225"/>
      <w:bookmarkStart w:id="62" w:name="_Toc462564084"/>
      <w:bookmarkStart w:id="63" w:name="_Toc20823297"/>
      <w:bookmarkStart w:id="64" w:name="_Toc16938541"/>
      <w:bookmarkStart w:id="65" w:name="_Toc513029226"/>
      <w:bookmarkStart w:id="66" w:name="_Toc20823298"/>
      <w:bookmarkStart w:id="67" w:name="_Toc16938542"/>
      <w:r>
        <w:rPr>
          <w:rFonts w:hint="eastAsia" w:ascii="宋体" w:hAnsi="宋体" w:cs="宋体"/>
          <w:sz w:val="24"/>
        </w:rPr>
        <w:t>1.响应文件</w:t>
      </w:r>
      <w:bookmarkEnd w:id="61"/>
      <w:bookmarkEnd w:id="62"/>
      <w:bookmarkEnd w:id="63"/>
      <w:bookmarkEnd w:id="64"/>
      <w:r>
        <w:rPr>
          <w:rFonts w:hint="eastAsia" w:ascii="宋体" w:hAnsi="宋体" w:cs="宋体"/>
          <w:sz w:val="24"/>
        </w:rPr>
        <w:t>的提交</w:t>
      </w:r>
    </w:p>
    <w:p w14:paraId="3D00A423">
      <w:pPr>
        <w:tabs>
          <w:tab w:val="left" w:pos="360"/>
        </w:tabs>
        <w:spacing w:after="60" w:line="460" w:lineRule="exact"/>
        <w:ind w:firstLine="480" w:firstLineChars="200"/>
        <w:rPr>
          <w:rFonts w:ascii="宋体" w:hAnsi="宋体" w:cs="宋体"/>
          <w:sz w:val="24"/>
        </w:rPr>
      </w:pPr>
      <w:r>
        <w:rPr>
          <w:rFonts w:hint="eastAsia" w:ascii="宋体" w:hAnsi="宋体" w:cs="宋体"/>
          <w:sz w:val="24"/>
        </w:rPr>
        <w:t>1.1响应文件三部分内容（资格审查文件、商务技术文件、价格文件）须分别单独密封，</w:t>
      </w:r>
      <w:r>
        <w:rPr>
          <w:rFonts w:hint="eastAsia" w:ascii="宋体" w:hAnsi="宋体" w:cs="宋体"/>
          <w:sz w:val="24"/>
          <w:lang w:val="zh-CN"/>
        </w:rPr>
        <w:t>并</w:t>
      </w:r>
      <w:r>
        <w:rPr>
          <w:rFonts w:hint="eastAsia" w:ascii="宋体" w:hAnsi="宋体" w:cs="宋体"/>
          <w:sz w:val="24"/>
        </w:rPr>
        <w:t>装订成册，不得相互混淆，价格文件不得出现于其他响应文件中。</w:t>
      </w:r>
    </w:p>
    <w:p w14:paraId="0CF2D414">
      <w:pPr>
        <w:tabs>
          <w:tab w:val="left" w:pos="360"/>
        </w:tabs>
        <w:spacing w:after="60" w:line="460" w:lineRule="exact"/>
        <w:ind w:firstLine="480" w:firstLineChars="200"/>
        <w:rPr>
          <w:rFonts w:ascii="宋体" w:hAnsi="宋体" w:cs="宋体"/>
          <w:sz w:val="24"/>
        </w:rPr>
      </w:pPr>
      <w:r>
        <w:rPr>
          <w:rFonts w:hint="eastAsia" w:ascii="宋体" w:hAnsi="宋体" w:cs="宋体"/>
          <w:sz w:val="24"/>
        </w:rPr>
        <w:t>1.2响应文件每一部分内容均须提供“一正、三副”纸质响应文件，并将正本、副本合并密封，统一装在一个密封袋或密封箱内。</w:t>
      </w:r>
    </w:p>
    <w:p w14:paraId="0847DEF6">
      <w:pPr>
        <w:tabs>
          <w:tab w:val="left" w:pos="360"/>
        </w:tabs>
        <w:spacing w:after="60" w:line="460" w:lineRule="exact"/>
        <w:ind w:firstLine="480" w:firstLineChars="200"/>
        <w:rPr>
          <w:rFonts w:ascii="宋体" w:hAnsi="宋体" w:cs="宋体"/>
          <w:sz w:val="24"/>
        </w:rPr>
      </w:pPr>
      <w:r>
        <w:rPr>
          <w:rFonts w:hint="eastAsia" w:ascii="宋体" w:hAnsi="宋体" w:cs="宋体"/>
          <w:sz w:val="24"/>
        </w:rPr>
        <w:t>1.3纸质响应文件须</w:t>
      </w:r>
      <w:r>
        <w:rPr>
          <w:rFonts w:hint="eastAsia" w:ascii="宋体" w:hAnsi="宋体" w:cs="宋体"/>
          <w:sz w:val="24"/>
          <w:lang w:val="zh-CN"/>
        </w:rPr>
        <w:t>采用A4纸</w:t>
      </w:r>
      <w:r>
        <w:rPr>
          <w:rFonts w:hint="eastAsia" w:ascii="宋体" w:hAnsi="宋体" w:cs="宋体"/>
          <w:sz w:val="24"/>
        </w:rPr>
        <w:t>，按采购文件要求盖章。文件内容中不得行间插字、涂改、增删，如修补错漏处，须由响应文件签署人签字并加盖公章。</w:t>
      </w:r>
    </w:p>
    <w:p w14:paraId="78B70FCC">
      <w:pPr>
        <w:tabs>
          <w:tab w:val="left" w:pos="360"/>
        </w:tabs>
        <w:spacing w:line="460" w:lineRule="exact"/>
        <w:ind w:firstLine="480" w:firstLineChars="200"/>
        <w:rPr>
          <w:rFonts w:ascii="宋体" w:hAnsi="宋体" w:cs="宋体"/>
          <w:sz w:val="24"/>
        </w:rPr>
      </w:pPr>
      <w:r>
        <w:rPr>
          <w:rFonts w:hint="eastAsia" w:ascii="宋体" w:hAnsi="宋体" w:cs="宋体"/>
          <w:sz w:val="24"/>
        </w:rPr>
        <w:t>1.4.电子投标文件（一份，单独密封提交）</w:t>
      </w:r>
    </w:p>
    <w:p w14:paraId="21739E8D">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技术标、价格标文件打印盖章（或电子签章）后的响应文件的扫描件（资格审查文件、技术标、价格标需分别逐页连续扫描为三个独立的PDF文件），可以采取U盘、电子光盘两种方式中任意一种方式提交，需单独密封提交。</w:t>
      </w:r>
    </w:p>
    <w:p w14:paraId="0590324C">
      <w:pPr>
        <w:tabs>
          <w:tab w:val="left" w:pos="360"/>
        </w:tabs>
        <w:spacing w:after="60" w:line="460" w:lineRule="exact"/>
        <w:ind w:firstLine="480" w:firstLineChars="200"/>
        <w:rPr>
          <w:rFonts w:ascii="宋体" w:hAnsi="宋体" w:cs="宋体"/>
          <w:sz w:val="24"/>
        </w:rPr>
      </w:pPr>
      <w:r>
        <w:rPr>
          <w:rFonts w:hint="eastAsia" w:ascii="宋体" w:hAnsi="宋体" w:cs="宋体"/>
          <w:sz w:val="24"/>
        </w:rPr>
        <w:t>电子响应文件内容应与提交的纸质响应文件内容一致。否则，由此产生的后果投标人自负。</w:t>
      </w:r>
    </w:p>
    <w:p w14:paraId="555F44FF">
      <w:pPr>
        <w:tabs>
          <w:tab w:val="left" w:pos="360"/>
        </w:tabs>
        <w:spacing w:after="60" w:line="460" w:lineRule="exact"/>
        <w:ind w:firstLine="480" w:firstLineChars="200"/>
        <w:rPr>
          <w:rFonts w:ascii="宋体" w:hAnsi="宋体" w:cs="宋体"/>
          <w:sz w:val="24"/>
        </w:rPr>
      </w:pPr>
      <w:r>
        <w:rPr>
          <w:rFonts w:hint="eastAsia" w:ascii="宋体" w:hAnsi="宋体" w:cs="宋体"/>
          <w:sz w:val="24"/>
        </w:rPr>
        <w:t>1.5响应文件密封后封袋封面应标明响应文件项目名称、供应商名称等关键信息。</w:t>
      </w:r>
    </w:p>
    <w:p w14:paraId="495EA91C">
      <w:pPr>
        <w:tabs>
          <w:tab w:val="left" w:pos="360"/>
        </w:tabs>
        <w:spacing w:after="60" w:line="460" w:lineRule="exact"/>
        <w:ind w:firstLine="480" w:firstLineChars="200"/>
        <w:rPr>
          <w:rFonts w:ascii="宋体" w:hAnsi="宋体" w:cs="宋体"/>
          <w:sz w:val="24"/>
        </w:rPr>
      </w:pPr>
      <w:r>
        <w:rPr>
          <w:rFonts w:hint="eastAsia" w:ascii="宋体" w:hAnsi="宋体" w:cs="宋体"/>
          <w:sz w:val="24"/>
        </w:rPr>
        <w:t>1.6递交时间：供应商须在规定的响应文件接收截止时间前送达指定地点。供应商提交投标文件，即视为已响应参加政府采购活动。</w:t>
      </w:r>
    </w:p>
    <w:p w14:paraId="32FACFBA">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2.投标截止日期</w:t>
      </w:r>
      <w:bookmarkEnd w:id="65"/>
      <w:bookmarkEnd w:id="66"/>
      <w:bookmarkEnd w:id="67"/>
    </w:p>
    <w:p w14:paraId="65273B6D">
      <w:pPr>
        <w:tabs>
          <w:tab w:val="left" w:pos="360"/>
        </w:tabs>
        <w:spacing w:after="60" w:line="460" w:lineRule="exact"/>
        <w:ind w:firstLine="480" w:firstLineChars="200"/>
        <w:rPr>
          <w:rFonts w:ascii="宋体" w:hAnsi="宋体" w:cs="宋体"/>
          <w:sz w:val="24"/>
        </w:rPr>
      </w:pPr>
      <w:r>
        <w:rPr>
          <w:rFonts w:hint="eastAsia" w:ascii="宋体" w:hAnsi="宋体" w:cs="宋体"/>
          <w:sz w:val="24"/>
        </w:rPr>
        <w:t>2.1 供应商提交响应文件的时间不得迟于招标公告中规定的响应文件提交截止时间。</w:t>
      </w:r>
    </w:p>
    <w:p w14:paraId="52705327">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供应商应充分考虑到交通路况、停车等风险因素，如因供应商自身原因造成的投标响应文件提交不成功由供应商自行承担全部责任。</w:t>
      </w:r>
    </w:p>
    <w:p w14:paraId="473ADA94">
      <w:pPr>
        <w:tabs>
          <w:tab w:val="left" w:pos="360"/>
        </w:tabs>
        <w:spacing w:after="60" w:line="460" w:lineRule="exact"/>
        <w:ind w:firstLine="480" w:firstLineChars="200"/>
        <w:rPr>
          <w:rFonts w:ascii="宋体" w:hAnsi="宋体" w:cs="宋体"/>
          <w:sz w:val="24"/>
        </w:rPr>
      </w:pPr>
      <w:r>
        <w:rPr>
          <w:rFonts w:hint="eastAsia" w:ascii="宋体" w:hAnsi="宋体" w:cs="宋体"/>
          <w:sz w:val="24"/>
        </w:rPr>
        <w:t>2.2 代理机构可以按照规定，通过修改招标文件酌情延长投标截止日期，在此情况下，投标人的所有权利和义务以及投标人受制的截止日期均应以延长后新的截止日期为准。</w:t>
      </w:r>
    </w:p>
    <w:p w14:paraId="1CEFD970">
      <w:pPr>
        <w:tabs>
          <w:tab w:val="left" w:pos="360"/>
        </w:tabs>
        <w:spacing w:after="60" w:line="460" w:lineRule="exact"/>
        <w:ind w:firstLine="480" w:firstLineChars="200"/>
        <w:rPr>
          <w:rFonts w:ascii="宋体" w:hAnsi="宋体" w:cs="宋体"/>
          <w:sz w:val="24"/>
        </w:rPr>
      </w:pPr>
      <w:bookmarkStart w:id="68" w:name="_Toc16938543"/>
      <w:bookmarkStart w:id="69" w:name="_Toc20823299"/>
      <w:bookmarkStart w:id="70" w:name="_Toc513029227"/>
      <w:r>
        <w:rPr>
          <w:rFonts w:hint="eastAsia" w:ascii="宋体" w:hAnsi="宋体" w:cs="宋体"/>
          <w:sz w:val="24"/>
        </w:rPr>
        <w:t>3.投标文件</w:t>
      </w:r>
      <w:bookmarkEnd w:id="68"/>
      <w:bookmarkEnd w:id="69"/>
      <w:bookmarkEnd w:id="70"/>
      <w:r>
        <w:rPr>
          <w:rFonts w:hint="eastAsia" w:ascii="宋体" w:hAnsi="宋体" w:cs="宋体"/>
          <w:sz w:val="24"/>
        </w:rPr>
        <w:t>的拒收</w:t>
      </w:r>
    </w:p>
    <w:p w14:paraId="7C54C948">
      <w:pPr>
        <w:tabs>
          <w:tab w:val="left" w:pos="360"/>
        </w:tabs>
        <w:spacing w:after="60" w:line="460" w:lineRule="exact"/>
        <w:ind w:firstLine="480" w:firstLineChars="200"/>
        <w:rPr>
          <w:rFonts w:ascii="宋体" w:hAnsi="宋体" w:cs="宋体"/>
          <w:sz w:val="24"/>
        </w:rPr>
      </w:pPr>
      <w:r>
        <w:rPr>
          <w:rFonts w:hint="eastAsia" w:ascii="宋体" w:hAnsi="宋体" w:cs="宋体"/>
          <w:sz w:val="24"/>
        </w:rPr>
        <w:t>3.1 代理机构拒绝接收在其规定的投标截止时间后提交的任何投标文件。</w:t>
      </w:r>
    </w:p>
    <w:p w14:paraId="13F3B0D1">
      <w:pPr>
        <w:tabs>
          <w:tab w:val="left" w:pos="360"/>
        </w:tabs>
        <w:spacing w:after="60" w:line="460" w:lineRule="exact"/>
        <w:ind w:firstLine="480" w:firstLineChars="200"/>
        <w:rPr>
          <w:rFonts w:ascii="宋体" w:hAnsi="宋体" w:cs="宋体"/>
          <w:sz w:val="24"/>
        </w:rPr>
      </w:pPr>
      <w:bookmarkStart w:id="71" w:name="_Toc20823300"/>
      <w:bookmarkStart w:id="72" w:name="_Toc16938544"/>
      <w:bookmarkStart w:id="73" w:name="_Toc513029228"/>
      <w:r>
        <w:rPr>
          <w:rFonts w:hint="eastAsia" w:ascii="宋体" w:hAnsi="宋体" w:cs="宋体"/>
          <w:sz w:val="24"/>
        </w:rPr>
        <w:t>4.投标文件的撤回和修改</w:t>
      </w:r>
      <w:bookmarkEnd w:id="71"/>
      <w:bookmarkEnd w:id="72"/>
      <w:bookmarkEnd w:id="73"/>
    </w:p>
    <w:p w14:paraId="24B938A9">
      <w:pPr>
        <w:tabs>
          <w:tab w:val="left" w:pos="360"/>
        </w:tabs>
        <w:spacing w:after="60" w:line="460" w:lineRule="exact"/>
        <w:ind w:firstLine="480" w:firstLineChars="200"/>
        <w:rPr>
          <w:rFonts w:ascii="宋体" w:hAnsi="宋体" w:cs="宋体"/>
          <w:sz w:val="24"/>
        </w:rPr>
      </w:pPr>
      <w:r>
        <w:rPr>
          <w:rFonts w:hint="eastAsia" w:ascii="宋体" w:hAnsi="宋体" w:cs="宋体"/>
          <w:sz w:val="24"/>
        </w:rPr>
        <w:t>4.1 响应文件的撤回</w:t>
      </w:r>
    </w:p>
    <w:p w14:paraId="06FB0658">
      <w:pPr>
        <w:tabs>
          <w:tab w:val="left" w:pos="360"/>
        </w:tabs>
        <w:spacing w:after="60" w:line="460" w:lineRule="exact"/>
        <w:ind w:firstLine="480" w:firstLineChars="200"/>
        <w:rPr>
          <w:rFonts w:ascii="宋体" w:hAnsi="宋体" w:cs="宋体"/>
          <w:sz w:val="24"/>
        </w:rPr>
      </w:pPr>
      <w:r>
        <w:rPr>
          <w:rFonts w:hint="eastAsia" w:ascii="宋体" w:hAnsi="宋体" w:cs="宋体"/>
          <w:sz w:val="24"/>
        </w:rPr>
        <w:t>4.1.1供应商可在响应文件提交截止时间前，书面撤回其投标响应文件。</w:t>
      </w:r>
    </w:p>
    <w:p w14:paraId="64347E25">
      <w:pPr>
        <w:tabs>
          <w:tab w:val="left" w:pos="360"/>
        </w:tabs>
        <w:spacing w:after="60" w:line="46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70C31660">
      <w:pPr>
        <w:tabs>
          <w:tab w:val="left" w:pos="360"/>
        </w:tabs>
        <w:spacing w:after="60" w:line="460" w:lineRule="exact"/>
        <w:ind w:firstLine="480" w:firstLineChars="200"/>
        <w:rPr>
          <w:rFonts w:ascii="宋体" w:hAnsi="宋体" w:cs="宋体"/>
          <w:sz w:val="24"/>
        </w:rPr>
      </w:pPr>
      <w:r>
        <w:rPr>
          <w:rFonts w:hint="eastAsia" w:ascii="宋体" w:hAnsi="宋体" w:cs="宋体"/>
          <w:sz w:val="24"/>
        </w:rPr>
        <w:t>4.2 投标文件的修改</w:t>
      </w:r>
    </w:p>
    <w:p w14:paraId="7C9526FE">
      <w:pPr>
        <w:tabs>
          <w:tab w:val="left" w:pos="360"/>
        </w:tabs>
        <w:spacing w:after="60" w:line="460" w:lineRule="exact"/>
        <w:ind w:firstLine="480" w:firstLineChars="200"/>
        <w:rPr>
          <w:rFonts w:ascii="宋体" w:hAnsi="宋体" w:cs="宋体"/>
          <w:sz w:val="24"/>
        </w:rPr>
      </w:pPr>
      <w:bookmarkStart w:id="74" w:name="_Toc513029229"/>
      <w:bookmarkStart w:id="75" w:name="_Toc20823301"/>
      <w:bookmarkStart w:id="76" w:name="_Toc120614218"/>
      <w:bookmarkStart w:id="77" w:name="_Toc16938545"/>
      <w:r>
        <w:rPr>
          <w:rFonts w:hint="eastAsia" w:ascii="宋体" w:hAnsi="宋体" w:cs="宋体"/>
          <w:sz w:val="24"/>
        </w:rPr>
        <w:t>在响应文件提交截止时间之后，供应商不得再对其提交的响应文件进行修改。</w:t>
      </w:r>
    </w:p>
    <w:p w14:paraId="5AB183C6">
      <w:pPr>
        <w:spacing w:line="360" w:lineRule="auto"/>
        <w:ind w:firstLine="480" w:firstLineChars="200"/>
        <w:rPr>
          <w:rFonts w:ascii="宋体" w:hAnsi="宋体"/>
          <w:b/>
          <w:bCs/>
          <w:sz w:val="24"/>
        </w:rPr>
      </w:pPr>
      <w:r>
        <w:rPr>
          <w:rFonts w:hint="eastAsia" w:ascii="宋体" w:hAnsi="宋体" w:cs="宋体"/>
          <w:b/>
          <w:bCs/>
          <w:sz w:val="24"/>
        </w:rPr>
        <w:t>五、投标报价</w:t>
      </w:r>
    </w:p>
    <w:p w14:paraId="526479C9">
      <w:pPr>
        <w:snapToGrid w:val="0"/>
        <w:spacing w:line="360" w:lineRule="auto"/>
        <w:ind w:firstLine="480" w:firstLineChars="200"/>
        <w:rPr>
          <w:rFonts w:ascii="宋体" w:hAnsi="宋体"/>
          <w:sz w:val="24"/>
        </w:rPr>
      </w:pPr>
      <w:r>
        <w:rPr>
          <w:rFonts w:hint="eastAsia" w:ascii="宋体" w:hAnsi="宋体" w:cs="宋体"/>
          <w:sz w:val="24"/>
        </w:rPr>
        <w:t>1.本项目不接受任何有选择的报价。</w:t>
      </w:r>
    </w:p>
    <w:p w14:paraId="367952E6">
      <w:pPr>
        <w:snapToGrid w:val="0"/>
        <w:spacing w:line="360" w:lineRule="auto"/>
        <w:ind w:firstLine="480" w:firstLineChars="200"/>
        <w:rPr>
          <w:rFonts w:ascii="宋体" w:hAnsi="宋体"/>
          <w:sz w:val="24"/>
        </w:rPr>
      </w:pPr>
      <w:r>
        <w:rPr>
          <w:rFonts w:hint="eastAsia" w:ascii="宋体" w:hAnsi="宋体" w:cs="宋体"/>
          <w:sz w:val="24"/>
        </w:rPr>
        <w:t>2.投标报价均以人民币为报价的币种。</w:t>
      </w:r>
    </w:p>
    <w:p w14:paraId="0727DCB6">
      <w:pPr>
        <w:snapToGrid w:val="0"/>
        <w:spacing w:line="360" w:lineRule="auto"/>
        <w:ind w:firstLine="480" w:firstLineChars="200"/>
        <w:rPr>
          <w:rFonts w:ascii="宋体" w:hAnsi="宋体"/>
          <w:sz w:val="24"/>
        </w:rPr>
      </w:pPr>
      <w:r>
        <w:rPr>
          <w:rFonts w:hint="eastAsia" w:ascii="宋体" w:hAnsi="宋体" w:cs="宋体"/>
          <w:sz w:val="24"/>
        </w:rPr>
        <w:t>3.报价表必须加盖投标供应商公章且必须经法定代表人或被授权人签字或盖章。</w:t>
      </w:r>
    </w:p>
    <w:p w14:paraId="6947AA3E">
      <w:pPr>
        <w:snapToGrid w:val="0"/>
        <w:spacing w:line="360" w:lineRule="auto"/>
        <w:ind w:firstLine="480" w:firstLineChars="200"/>
        <w:rPr>
          <w:rFonts w:ascii="宋体" w:hAnsi="宋体"/>
          <w:sz w:val="24"/>
        </w:rPr>
      </w:pPr>
      <w:r>
        <w:rPr>
          <w:rFonts w:hint="eastAsia" w:ascii="宋体" w:hAnsi="宋体" w:cs="宋体"/>
          <w:sz w:val="24"/>
        </w:rPr>
        <w:t>4.报价出现前后不一致的，按照下列规定修正：</w:t>
      </w:r>
    </w:p>
    <w:p w14:paraId="44CE5C76">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）投标文件中报价表（开标一览表）内容与投标文件技术响应中内容明细不一致的，以报价表（开标一览表）为准；</w:t>
      </w:r>
    </w:p>
    <w:p w14:paraId="487A865C">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）投标文件中涉及大写金额和小写金额不一致的，以大写金额为准；</w:t>
      </w:r>
    </w:p>
    <w:p w14:paraId="5598E8BB">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）单价金额小数点或者百分比有明显错位的，以报价表（开标一览表）的总价为准，并修改单价；</w:t>
      </w:r>
    </w:p>
    <w:p w14:paraId="50525406">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）总价金额与按单价汇总金额不一致的，以单价金额计算结果为准。</w:t>
      </w:r>
    </w:p>
    <w:p w14:paraId="5514D7BB">
      <w:pPr>
        <w:snapToGrid w:val="0"/>
        <w:spacing w:line="360" w:lineRule="auto"/>
        <w:ind w:firstLine="470" w:firstLineChars="196"/>
        <w:outlineLvl w:val="1"/>
        <w:rPr>
          <w:rFonts w:ascii="宋体" w:hAnsi="宋体"/>
          <w:sz w:val="24"/>
        </w:rPr>
      </w:pPr>
      <w:r>
        <w:rPr>
          <w:rFonts w:hint="eastAsia" w:ascii="宋体" w:hAnsi="宋体" w:cs="宋体"/>
          <w:sz w:val="24"/>
        </w:rPr>
        <w:t>同时出现两种以上不一致的，按照前款规定的顺序修正。修正后的报价应当由投标供应商的法定代表人或其被授权人签字确认后产生约束力，投标供应商不确认的，其投标无效。</w:t>
      </w:r>
    </w:p>
    <w:p w14:paraId="071F5E83">
      <w:pPr>
        <w:snapToGrid w:val="0"/>
        <w:spacing w:line="360" w:lineRule="auto"/>
        <w:ind w:firstLine="470" w:firstLineChars="196"/>
        <w:outlineLvl w:val="1"/>
        <w:rPr>
          <w:rFonts w:ascii="宋体" w:hAnsi="宋体"/>
          <w:b/>
          <w:bCs/>
          <w:sz w:val="24"/>
        </w:rPr>
      </w:pPr>
      <w:r>
        <w:rPr>
          <w:rFonts w:hint="eastAsia" w:ascii="宋体" w:hAnsi="宋体" w:cs="宋体"/>
          <w:b/>
          <w:sz w:val="24"/>
        </w:rPr>
        <w:t>5.本项目投标</w:t>
      </w:r>
      <w:r>
        <w:rPr>
          <w:rFonts w:hint="eastAsia" w:ascii="宋体" w:hAnsi="宋体" w:cs="宋体"/>
          <w:b/>
          <w:bCs/>
          <w:sz w:val="24"/>
        </w:rPr>
        <w:t>报</w:t>
      </w:r>
      <w:r>
        <w:rPr>
          <w:rFonts w:hint="eastAsia" w:ascii="宋体" w:hAnsi="宋体" w:cs="宋体"/>
          <w:b/>
          <w:sz w:val="24"/>
        </w:rPr>
        <w:t>价应包含完成本项目的一切费用。</w:t>
      </w:r>
    </w:p>
    <w:p w14:paraId="46F1CDA5">
      <w:pPr>
        <w:snapToGrid w:val="0"/>
        <w:spacing w:line="360" w:lineRule="auto"/>
        <w:ind w:firstLine="480" w:firstLineChars="200"/>
        <w:rPr>
          <w:rFonts w:ascii="宋体" w:hAnsi="宋体" w:cs="宋体"/>
          <w:sz w:val="24"/>
        </w:rPr>
      </w:pPr>
      <w:r>
        <w:rPr>
          <w:rFonts w:hint="eastAsia" w:ascii="宋体" w:hAnsi="宋体" w:cs="宋体"/>
          <w:sz w:val="24"/>
        </w:rPr>
        <w:t>6.一次报定的投标报价为中标价，同时，中标人的中标价在合同实施期间不因市场变化因素而变动。</w:t>
      </w:r>
    </w:p>
    <w:p w14:paraId="0166BF79">
      <w:pPr>
        <w:snapToGrid w:val="0"/>
        <w:spacing w:line="360" w:lineRule="auto"/>
        <w:ind w:firstLine="480" w:firstLineChars="200"/>
        <w:rPr>
          <w:rFonts w:ascii="宋体" w:hAnsi="宋体" w:cs="宋体"/>
          <w:sz w:val="24"/>
        </w:rPr>
      </w:pPr>
      <w:r>
        <w:rPr>
          <w:rFonts w:hint="eastAsia" w:ascii="宋体" w:hAnsi="宋体" w:cs="宋体"/>
          <w:sz w:val="24"/>
        </w:rPr>
        <w:t>7.投标供应商应详细阅读招标文件的全部内容，根据采购项目需求，准确制定相关工作方案等，在合同期限内所必须的材料和配件均应列入报价清单内，本项目终验合格前若因报价清单内出现遗漏均视为赠送，不予增补。不按招标文件的要求提供投标文件，导致报价无效，按无效标处理。</w:t>
      </w:r>
    </w:p>
    <w:p w14:paraId="33B1C9F2">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六、开标与评标</w:t>
      </w:r>
      <w:bookmarkEnd w:id="74"/>
      <w:bookmarkEnd w:id="75"/>
      <w:bookmarkEnd w:id="76"/>
      <w:bookmarkEnd w:id="77"/>
    </w:p>
    <w:p w14:paraId="6BCDCE63">
      <w:pPr>
        <w:tabs>
          <w:tab w:val="left" w:pos="360"/>
        </w:tabs>
        <w:spacing w:after="60" w:line="460" w:lineRule="exact"/>
        <w:ind w:firstLine="480" w:firstLineChars="200"/>
        <w:rPr>
          <w:rFonts w:ascii="宋体" w:hAnsi="宋体" w:cs="宋体"/>
          <w:sz w:val="24"/>
        </w:rPr>
      </w:pPr>
      <w:bookmarkStart w:id="78" w:name="_Toc513029230"/>
      <w:bookmarkStart w:id="79" w:name="_Toc20823302"/>
      <w:bookmarkStart w:id="80" w:name="_Toc16938546"/>
      <w:r>
        <w:rPr>
          <w:rFonts w:hint="eastAsia" w:ascii="宋体" w:hAnsi="宋体" w:cs="宋体"/>
          <w:sz w:val="24"/>
        </w:rPr>
        <w:t>1开标</w:t>
      </w:r>
      <w:bookmarkEnd w:id="78"/>
      <w:bookmarkEnd w:id="79"/>
      <w:bookmarkEnd w:id="80"/>
    </w:p>
    <w:p w14:paraId="4B39747F">
      <w:pPr>
        <w:tabs>
          <w:tab w:val="left" w:pos="360"/>
        </w:tabs>
        <w:spacing w:after="60" w:line="460" w:lineRule="exact"/>
        <w:ind w:firstLine="480" w:firstLineChars="200"/>
        <w:rPr>
          <w:rFonts w:ascii="宋体" w:hAnsi="宋体" w:cs="宋体"/>
          <w:sz w:val="24"/>
        </w:rPr>
      </w:pPr>
      <w:r>
        <w:rPr>
          <w:rFonts w:hint="eastAsia" w:ascii="宋体" w:hAnsi="宋体" w:cs="宋体"/>
          <w:sz w:val="24"/>
        </w:rPr>
        <w:t>1.1 代理机构将在招标公告中规定的时间和地点组织公开开标。投标人应当按时在指定地点参加开标活动。</w:t>
      </w:r>
    </w:p>
    <w:p w14:paraId="773F699C">
      <w:pPr>
        <w:tabs>
          <w:tab w:val="left" w:pos="360"/>
        </w:tabs>
        <w:spacing w:after="60" w:line="460" w:lineRule="exact"/>
        <w:ind w:firstLine="480" w:firstLineChars="200"/>
        <w:rPr>
          <w:rFonts w:ascii="宋体" w:hAnsi="宋体" w:cs="宋体"/>
          <w:sz w:val="24"/>
        </w:rPr>
      </w:pPr>
      <w:r>
        <w:rPr>
          <w:rFonts w:hint="eastAsia" w:ascii="宋体" w:hAnsi="宋体" w:cs="宋体"/>
          <w:sz w:val="24"/>
        </w:rPr>
        <w:t>1.2开标仪式由代理机构组织。</w:t>
      </w:r>
    </w:p>
    <w:p w14:paraId="78C12788">
      <w:pPr>
        <w:tabs>
          <w:tab w:val="left" w:pos="360"/>
        </w:tabs>
        <w:spacing w:after="60" w:line="460" w:lineRule="exact"/>
        <w:ind w:firstLine="480" w:firstLineChars="200"/>
        <w:rPr>
          <w:rFonts w:ascii="宋体" w:hAnsi="宋体" w:cs="宋体"/>
          <w:sz w:val="24"/>
        </w:rPr>
      </w:pPr>
      <w:bookmarkStart w:id="81" w:name="_Toc20823303"/>
      <w:bookmarkStart w:id="82" w:name="_Toc513029231"/>
      <w:bookmarkStart w:id="83" w:name="_Toc16938547"/>
      <w:r>
        <w:rPr>
          <w:rFonts w:hint="eastAsia" w:ascii="宋体" w:hAnsi="宋体" w:cs="宋体"/>
          <w:sz w:val="24"/>
        </w:rPr>
        <w:t>2评标委员会</w:t>
      </w:r>
    </w:p>
    <w:p w14:paraId="0A6A36A6">
      <w:pPr>
        <w:tabs>
          <w:tab w:val="left" w:pos="360"/>
        </w:tabs>
        <w:spacing w:after="60" w:line="460" w:lineRule="exact"/>
        <w:ind w:firstLine="480" w:firstLineChars="200"/>
        <w:rPr>
          <w:rFonts w:ascii="宋体" w:hAnsi="宋体" w:cs="宋体"/>
          <w:sz w:val="24"/>
        </w:rPr>
      </w:pPr>
      <w:r>
        <w:rPr>
          <w:rFonts w:hint="eastAsia" w:ascii="宋体" w:hAnsi="宋体" w:cs="宋体"/>
          <w:sz w:val="24"/>
        </w:rPr>
        <w:t>2.1 开标后，代理机构将立即组织评标委员会（以下简称评委会）进行评标。</w:t>
      </w:r>
    </w:p>
    <w:p w14:paraId="66F1DA72">
      <w:pPr>
        <w:tabs>
          <w:tab w:val="left" w:pos="360"/>
        </w:tabs>
        <w:spacing w:after="60" w:line="46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评委会由招标人代表和有关技术、经济等方面的专家组成，且人员构成符合政府采购有关规定。</w:t>
      </w:r>
    </w:p>
    <w:p w14:paraId="7A59D7A1">
      <w:pPr>
        <w:tabs>
          <w:tab w:val="left" w:pos="360"/>
        </w:tabs>
        <w:spacing w:after="60" w:line="460" w:lineRule="exact"/>
        <w:ind w:firstLine="480" w:firstLineChars="200"/>
        <w:rPr>
          <w:rFonts w:ascii="宋体" w:hAnsi="宋体" w:cs="宋体"/>
          <w:sz w:val="24"/>
        </w:rPr>
      </w:pPr>
      <w:r>
        <w:rPr>
          <w:rFonts w:hint="eastAsia" w:ascii="宋体" w:hAnsi="宋体" w:cs="宋体"/>
          <w:sz w:val="24"/>
        </w:rPr>
        <w:t>2.3评委会独立工作，负责评审所有投标文件并确定中标侯选人。</w:t>
      </w:r>
    </w:p>
    <w:p w14:paraId="4E49A92F">
      <w:pPr>
        <w:tabs>
          <w:tab w:val="left" w:pos="360"/>
        </w:tabs>
        <w:spacing w:after="60" w:line="460" w:lineRule="exact"/>
        <w:ind w:firstLine="480" w:firstLineChars="200"/>
        <w:rPr>
          <w:rFonts w:ascii="宋体" w:hAnsi="宋体" w:cs="宋体"/>
          <w:sz w:val="24"/>
        </w:rPr>
      </w:pPr>
      <w:r>
        <w:rPr>
          <w:rFonts w:hint="eastAsia" w:ascii="宋体" w:hAnsi="宋体" w:cs="宋体"/>
          <w:sz w:val="24"/>
        </w:rPr>
        <w:t>3.评标过程的保密与公正</w:t>
      </w:r>
    </w:p>
    <w:bookmarkEnd w:id="81"/>
    <w:bookmarkEnd w:id="82"/>
    <w:bookmarkEnd w:id="83"/>
    <w:p w14:paraId="32D347C2">
      <w:pPr>
        <w:tabs>
          <w:tab w:val="left" w:pos="360"/>
        </w:tabs>
        <w:spacing w:after="60" w:line="460" w:lineRule="exact"/>
        <w:ind w:firstLine="480" w:firstLineChars="200"/>
        <w:rPr>
          <w:rFonts w:ascii="宋体" w:hAnsi="宋体" w:cs="宋体"/>
          <w:sz w:val="24"/>
        </w:rPr>
      </w:pPr>
      <w:r>
        <w:rPr>
          <w:rFonts w:hint="eastAsia" w:ascii="宋体" w:hAnsi="宋体" w:cs="宋体"/>
          <w:sz w:val="24"/>
        </w:rPr>
        <w:t>3.1公开开标后，直至向中标的投标人授予合同时止，凡是与审查、澄清、评价和比较投标的有关资料以及授标建议等，招标人、评委、代理机构均不得向投标人或与评标无关的其他人员透露。</w:t>
      </w:r>
    </w:p>
    <w:p w14:paraId="2240DC7C">
      <w:pPr>
        <w:tabs>
          <w:tab w:val="left" w:pos="360"/>
        </w:tabs>
        <w:spacing w:after="60" w:line="46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4DB39BA3">
      <w:pPr>
        <w:tabs>
          <w:tab w:val="left" w:pos="360"/>
        </w:tabs>
        <w:spacing w:after="60" w:line="46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646AC4A1">
      <w:pPr>
        <w:tabs>
          <w:tab w:val="left" w:pos="360"/>
        </w:tabs>
        <w:spacing w:after="60" w:line="46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2780CDF9">
      <w:pPr>
        <w:tabs>
          <w:tab w:val="left" w:pos="360"/>
        </w:tabs>
        <w:spacing w:after="60" w:line="460" w:lineRule="exact"/>
        <w:ind w:firstLine="480" w:firstLineChars="200"/>
        <w:rPr>
          <w:rFonts w:ascii="宋体" w:hAnsi="宋体" w:cs="宋体"/>
          <w:sz w:val="24"/>
        </w:rPr>
      </w:pPr>
      <w:bookmarkStart w:id="84" w:name="_Toc20823304"/>
      <w:bookmarkStart w:id="85" w:name="_Toc513029232"/>
      <w:bookmarkStart w:id="86" w:name="_Toc16938548"/>
      <w:r>
        <w:rPr>
          <w:rFonts w:hint="eastAsia" w:ascii="宋体" w:hAnsi="宋体" w:cs="宋体"/>
          <w:sz w:val="24"/>
        </w:rPr>
        <w:t>4.投标的澄清</w:t>
      </w:r>
      <w:bookmarkEnd w:id="84"/>
      <w:bookmarkEnd w:id="85"/>
      <w:bookmarkEnd w:id="86"/>
    </w:p>
    <w:p w14:paraId="01722DB8">
      <w:pPr>
        <w:tabs>
          <w:tab w:val="left" w:pos="360"/>
        </w:tabs>
        <w:spacing w:after="60" w:line="460" w:lineRule="exact"/>
        <w:ind w:firstLine="480" w:firstLineChars="200"/>
        <w:rPr>
          <w:rFonts w:ascii="宋体" w:hAnsi="宋体" w:cs="宋体"/>
          <w:sz w:val="24"/>
        </w:rPr>
      </w:pPr>
      <w:r>
        <w:rPr>
          <w:rFonts w:hint="eastAsia" w:ascii="宋体" w:hAnsi="宋体" w:cs="宋体"/>
          <w:sz w:val="24"/>
        </w:rPr>
        <w:t>4.1评标期间，为有助于对投标文件的审查、评价和比较，评委会有权要求投标人对其投标文件进行澄清，但并非对每个投标人都作澄清要求。</w:t>
      </w:r>
    </w:p>
    <w:p w14:paraId="4B614789">
      <w:pPr>
        <w:tabs>
          <w:tab w:val="left" w:pos="360"/>
        </w:tabs>
        <w:spacing w:after="60" w:line="46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6DFBDD6A">
      <w:pPr>
        <w:tabs>
          <w:tab w:val="left" w:pos="360"/>
        </w:tabs>
        <w:spacing w:after="60" w:line="460" w:lineRule="exact"/>
        <w:ind w:firstLine="480" w:firstLineChars="200"/>
        <w:rPr>
          <w:rFonts w:ascii="宋体" w:hAnsi="宋体" w:cs="宋体"/>
          <w:sz w:val="24"/>
        </w:rPr>
      </w:pPr>
      <w:r>
        <w:rPr>
          <w:rFonts w:hint="eastAsia" w:ascii="宋体" w:hAnsi="宋体" w:cs="宋体"/>
          <w:sz w:val="24"/>
        </w:rPr>
        <w:t>4.3 接到评委会澄清要求的投标人如未按规定做出澄清，其风险由投标人自行承担。</w:t>
      </w:r>
    </w:p>
    <w:p w14:paraId="4C7B3019">
      <w:pPr>
        <w:tabs>
          <w:tab w:val="left" w:pos="360"/>
        </w:tabs>
        <w:spacing w:after="60" w:line="460" w:lineRule="exact"/>
        <w:ind w:firstLine="480" w:firstLineChars="200"/>
        <w:rPr>
          <w:rFonts w:ascii="宋体" w:hAnsi="宋体" w:cs="宋体"/>
          <w:sz w:val="24"/>
        </w:rPr>
      </w:pPr>
      <w:bookmarkStart w:id="87" w:name="_Toc513029233"/>
      <w:bookmarkStart w:id="88" w:name="_Toc20823305"/>
      <w:bookmarkStart w:id="89" w:name="_Toc16938549"/>
      <w:r>
        <w:rPr>
          <w:rFonts w:hint="eastAsia" w:ascii="宋体" w:hAnsi="宋体" w:cs="宋体"/>
          <w:sz w:val="24"/>
        </w:rPr>
        <w:t>5对投标文件的初审</w:t>
      </w:r>
      <w:bookmarkEnd w:id="87"/>
      <w:bookmarkEnd w:id="88"/>
      <w:bookmarkEnd w:id="89"/>
    </w:p>
    <w:p w14:paraId="11EA53E7">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5.1投标文件初审分为资格审查和符合性审查。</w:t>
      </w:r>
    </w:p>
    <w:p w14:paraId="4B8F80D7">
      <w:pPr>
        <w:tabs>
          <w:tab w:val="left" w:pos="360"/>
        </w:tabs>
        <w:spacing w:after="60" w:line="460" w:lineRule="exact"/>
        <w:ind w:firstLine="480" w:firstLineChars="200"/>
        <w:rPr>
          <w:rFonts w:ascii="宋体" w:hAnsi="宋体" w:cs="宋体"/>
          <w:sz w:val="24"/>
        </w:rPr>
      </w:pPr>
      <w:r>
        <w:rPr>
          <w:rFonts w:hint="eastAsia" w:ascii="宋体" w:hAnsi="宋体" w:cs="宋体"/>
          <w:sz w:val="24"/>
        </w:rPr>
        <w:t>5.1.1 资格审查：依据法律法规和招标文件的规定，由评委会对投标文件中的资格证明文件进行审查。</w:t>
      </w:r>
    </w:p>
    <w:p w14:paraId="0B93524E">
      <w:pPr>
        <w:tabs>
          <w:tab w:val="left" w:pos="360"/>
        </w:tabs>
        <w:spacing w:after="60" w:line="460" w:lineRule="exact"/>
        <w:ind w:firstLine="480" w:firstLineChars="200"/>
        <w:rPr>
          <w:rFonts w:ascii="宋体" w:hAnsi="宋体" w:cs="宋体"/>
          <w:sz w:val="24"/>
        </w:rPr>
      </w:pPr>
      <w:r>
        <w:rPr>
          <w:rFonts w:hint="eastAsia" w:ascii="宋体" w:hAnsi="宋体" w:cs="宋体"/>
          <w:sz w:val="24"/>
        </w:rPr>
        <w:t>5.1.2 符合性审查：依据招标文件的规定，由评委会从投标文件的有效性、完整性和对招标文件的响应程度进行审查，以确定是否对招标文件的实质性要求作出响应。</w:t>
      </w:r>
    </w:p>
    <w:p w14:paraId="2FE31287">
      <w:pPr>
        <w:tabs>
          <w:tab w:val="left" w:pos="360"/>
        </w:tabs>
        <w:spacing w:after="60" w:line="460" w:lineRule="exact"/>
        <w:ind w:firstLine="480" w:firstLineChars="200"/>
        <w:rPr>
          <w:rFonts w:ascii="宋体" w:hAnsi="宋体" w:cs="宋体"/>
          <w:sz w:val="24"/>
        </w:rPr>
      </w:pPr>
      <w:r>
        <w:rPr>
          <w:rFonts w:hint="eastAsia" w:ascii="宋体" w:hAnsi="宋体" w:cs="宋体"/>
          <w:sz w:val="24"/>
        </w:rPr>
        <w:t>5.1.3 未通过资格审查或符合性审查的投标人，代理机构将告知未通过资格审查或符合性审查的原因。</w:t>
      </w:r>
    </w:p>
    <w:p w14:paraId="30EE7D54">
      <w:pPr>
        <w:tabs>
          <w:tab w:val="left" w:pos="360"/>
        </w:tabs>
        <w:spacing w:after="60" w:line="46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28AB9C1A">
      <w:pPr>
        <w:tabs>
          <w:tab w:val="left" w:pos="360"/>
        </w:tabs>
        <w:spacing w:after="60" w:line="46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3312EB61">
      <w:pPr>
        <w:tabs>
          <w:tab w:val="left" w:pos="360"/>
        </w:tabs>
        <w:spacing w:after="60" w:line="460" w:lineRule="exact"/>
        <w:ind w:firstLine="480" w:firstLineChars="200"/>
        <w:rPr>
          <w:rFonts w:ascii="宋体" w:hAnsi="宋体" w:cs="宋体"/>
          <w:sz w:val="24"/>
        </w:rPr>
      </w:pPr>
      <w:r>
        <w:rPr>
          <w:rFonts w:hint="eastAsia" w:ascii="宋体" w:hAnsi="宋体" w:cs="宋体"/>
          <w:sz w:val="24"/>
        </w:rPr>
        <w:t>5.3如果投标文件实质上没有响应招标文件的要求，评委会将予以拒绝，投标人不得通过修改或撤销不合要求的偏离或保留而使其投标成为实质性响应的投标。</w:t>
      </w:r>
    </w:p>
    <w:p w14:paraId="68A17CF4">
      <w:pPr>
        <w:tabs>
          <w:tab w:val="left" w:pos="360"/>
        </w:tabs>
        <w:spacing w:after="60" w:line="460" w:lineRule="exact"/>
        <w:ind w:firstLine="480" w:firstLineChars="200"/>
        <w:rPr>
          <w:rFonts w:ascii="宋体" w:hAnsi="宋体" w:cs="宋体"/>
          <w:sz w:val="24"/>
        </w:rPr>
      </w:pPr>
      <w:r>
        <w:rPr>
          <w:rFonts w:hint="eastAsia" w:ascii="宋体" w:hAnsi="宋体" w:cs="宋体"/>
          <w:sz w:val="24"/>
        </w:rPr>
        <w:t>5.4评委会将对确定为实质性响应的投标进行进一步审核，看其是否有计算上或累加上的算术错误，修正错误的原则如下：</w:t>
      </w:r>
    </w:p>
    <w:p w14:paraId="38C4E775">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14:paraId="6D16EC7B">
      <w:pPr>
        <w:tabs>
          <w:tab w:val="left" w:pos="360"/>
        </w:tabs>
        <w:spacing w:after="60" w:line="46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1915A2E9">
      <w:pPr>
        <w:tabs>
          <w:tab w:val="left" w:pos="360"/>
        </w:tabs>
        <w:spacing w:after="60" w:line="46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14:paraId="012418C8">
      <w:pPr>
        <w:tabs>
          <w:tab w:val="left" w:pos="360"/>
        </w:tabs>
        <w:spacing w:after="60" w:line="46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45D39384">
      <w:pPr>
        <w:tabs>
          <w:tab w:val="left" w:pos="360"/>
        </w:tabs>
        <w:spacing w:after="60" w:line="46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14:paraId="0A6FB1D1">
      <w:pPr>
        <w:tabs>
          <w:tab w:val="left" w:pos="360"/>
        </w:tabs>
        <w:spacing w:after="60" w:line="460" w:lineRule="exact"/>
        <w:ind w:firstLine="480" w:firstLineChars="200"/>
        <w:rPr>
          <w:rFonts w:ascii="宋体" w:hAnsi="宋体" w:cs="宋体"/>
          <w:sz w:val="24"/>
        </w:rPr>
      </w:pPr>
      <w:r>
        <w:rPr>
          <w:rFonts w:hint="eastAsia" w:ascii="宋体" w:hAnsi="宋体" w:cs="宋体"/>
          <w:sz w:val="24"/>
        </w:rPr>
        <w:t>5.5评委会将按上述修正错误的方法调整投标文件中的投标报价，并告知投标人，调整后的价格应对投标人具有约束力。如果投标人不接受修正后的价格，则其投标将被拒绝。</w:t>
      </w:r>
    </w:p>
    <w:p w14:paraId="0A775028">
      <w:pPr>
        <w:tabs>
          <w:tab w:val="left" w:pos="360"/>
        </w:tabs>
        <w:spacing w:after="60" w:line="460" w:lineRule="exact"/>
        <w:ind w:firstLine="480" w:firstLineChars="200"/>
        <w:rPr>
          <w:rFonts w:ascii="宋体" w:hAnsi="宋体" w:cs="宋体"/>
          <w:sz w:val="24"/>
        </w:rPr>
      </w:pPr>
      <w:r>
        <w:rPr>
          <w:rFonts w:hint="eastAsia" w:ascii="宋体" w:hAnsi="宋体" w:cs="宋体"/>
          <w:sz w:val="24"/>
        </w:rPr>
        <w:t>5.6评委会将允许修正投标文件中不构成重大偏离的、微小的、非正规的、不一致的或不规则的地方，但这些修改不能影响任何投标人相应的名次排列。</w:t>
      </w:r>
    </w:p>
    <w:p w14:paraId="3E36B6E6">
      <w:pPr>
        <w:tabs>
          <w:tab w:val="left" w:pos="360"/>
        </w:tabs>
        <w:spacing w:after="60" w:line="460" w:lineRule="exact"/>
        <w:ind w:firstLine="480" w:firstLineChars="200"/>
        <w:rPr>
          <w:rFonts w:ascii="宋体" w:hAnsi="宋体" w:cs="宋体"/>
          <w:sz w:val="24"/>
        </w:rPr>
      </w:pPr>
      <w:bookmarkStart w:id="90" w:name="_Toc20823306"/>
      <w:bookmarkStart w:id="91" w:name="_Toc16938550"/>
      <w:bookmarkStart w:id="92" w:name="_Toc513029234"/>
      <w:r>
        <w:rPr>
          <w:rFonts w:hint="eastAsia" w:ascii="宋体" w:hAnsi="宋体" w:cs="宋体"/>
          <w:sz w:val="24"/>
        </w:rPr>
        <w:t>5.7投标人在开、评标全过程中应保持通讯畅通，并安排专人与代理机构及评标委员会联系。</w:t>
      </w:r>
    </w:p>
    <w:bookmarkEnd w:id="90"/>
    <w:bookmarkEnd w:id="91"/>
    <w:bookmarkEnd w:id="92"/>
    <w:p w14:paraId="5FC62D3F">
      <w:pPr>
        <w:tabs>
          <w:tab w:val="left" w:pos="360"/>
        </w:tabs>
        <w:spacing w:after="60" w:line="460" w:lineRule="exact"/>
        <w:ind w:firstLine="480" w:firstLineChars="200"/>
        <w:rPr>
          <w:rFonts w:ascii="宋体" w:hAnsi="宋体" w:cs="宋体"/>
          <w:sz w:val="24"/>
        </w:rPr>
      </w:pPr>
      <w:r>
        <w:rPr>
          <w:rFonts w:hint="eastAsia" w:ascii="宋体" w:hAnsi="宋体" w:cs="宋体"/>
          <w:sz w:val="24"/>
        </w:rPr>
        <w:t>6.无效投标条款和废标条款</w:t>
      </w:r>
    </w:p>
    <w:p w14:paraId="739C4423">
      <w:pPr>
        <w:tabs>
          <w:tab w:val="left" w:pos="360"/>
        </w:tabs>
        <w:spacing w:after="60" w:line="460" w:lineRule="exact"/>
        <w:ind w:firstLine="480" w:firstLineChars="200"/>
        <w:rPr>
          <w:rFonts w:ascii="宋体" w:hAnsi="宋体" w:cs="宋体"/>
          <w:sz w:val="24"/>
        </w:rPr>
      </w:pPr>
      <w:bookmarkStart w:id="93" w:name="_Toc20823307"/>
      <w:bookmarkStart w:id="94" w:name="_Toc513029235"/>
      <w:bookmarkStart w:id="95" w:name="_Toc16938551"/>
      <w:r>
        <w:rPr>
          <w:rFonts w:hint="eastAsia" w:ascii="宋体" w:hAnsi="宋体" w:cs="宋体"/>
          <w:sz w:val="24"/>
        </w:rPr>
        <w:t>6.1无效投标条款</w:t>
      </w:r>
    </w:p>
    <w:p w14:paraId="0B644BF9">
      <w:pPr>
        <w:tabs>
          <w:tab w:val="left" w:pos="360"/>
        </w:tabs>
        <w:spacing w:after="60" w:line="460" w:lineRule="exact"/>
        <w:ind w:firstLine="480" w:firstLineChars="200"/>
        <w:rPr>
          <w:rFonts w:ascii="宋体" w:hAnsi="宋体" w:cs="宋体"/>
          <w:sz w:val="24"/>
        </w:rPr>
      </w:pPr>
      <w:r>
        <w:rPr>
          <w:rFonts w:hint="eastAsia" w:ascii="宋体" w:hAnsi="宋体" w:cs="宋体"/>
          <w:sz w:val="24"/>
        </w:rPr>
        <w:t>6.1.1 同一投标人提交两个（含两个）以上不同的投标报价的。</w:t>
      </w:r>
    </w:p>
    <w:p w14:paraId="46C89602">
      <w:pPr>
        <w:tabs>
          <w:tab w:val="left" w:pos="360"/>
        </w:tabs>
        <w:spacing w:after="60" w:line="460" w:lineRule="exact"/>
        <w:ind w:firstLine="480" w:firstLineChars="200"/>
        <w:rPr>
          <w:rFonts w:ascii="宋体" w:hAnsi="宋体" w:cs="宋体"/>
          <w:sz w:val="24"/>
        </w:rPr>
      </w:pPr>
      <w:r>
        <w:rPr>
          <w:rFonts w:hint="eastAsia" w:ascii="宋体" w:hAnsi="宋体" w:cs="宋体"/>
          <w:sz w:val="24"/>
        </w:rPr>
        <w:t>6.1.2投标人不具备招标文件中规定资格要求的。</w:t>
      </w:r>
    </w:p>
    <w:p w14:paraId="05C73761">
      <w:pPr>
        <w:tabs>
          <w:tab w:val="left" w:pos="360"/>
        </w:tabs>
        <w:spacing w:after="60" w:line="460" w:lineRule="exact"/>
        <w:ind w:firstLine="480" w:firstLineChars="200"/>
        <w:rPr>
          <w:rFonts w:ascii="宋体" w:hAnsi="宋体" w:cs="宋体"/>
          <w:sz w:val="24"/>
        </w:rPr>
      </w:pPr>
      <w:r>
        <w:rPr>
          <w:rFonts w:hint="eastAsia" w:ascii="宋体" w:hAnsi="宋体" w:cs="宋体"/>
          <w:sz w:val="24"/>
        </w:rPr>
        <w:t>6.1.3投标人的报价超过了采购预算或最高限价的。</w:t>
      </w:r>
    </w:p>
    <w:p w14:paraId="5477EE2C">
      <w:pPr>
        <w:tabs>
          <w:tab w:val="left" w:pos="360"/>
        </w:tabs>
        <w:spacing w:after="60" w:line="460" w:lineRule="exact"/>
        <w:ind w:firstLine="480" w:firstLineChars="200"/>
        <w:rPr>
          <w:rFonts w:ascii="宋体" w:hAnsi="宋体" w:cs="宋体"/>
          <w:sz w:val="24"/>
        </w:rPr>
      </w:pPr>
      <w:r>
        <w:rPr>
          <w:rFonts w:hint="eastAsia" w:ascii="宋体" w:hAnsi="宋体" w:cs="宋体"/>
          <w:sz w:val="24"/>
        </w:rPr>
        <w:t>6.1.4未通过符合性检查的。</w:t>
      </w:r>
    </w:p>
    <w:p w14:paraId="319AA63A">
      <w:pPr>
        <w:tabs>
          <w:tab w:val="left" w:pos="360"/>
        </w:tabs>
        <w:spacing w:after="60" w:line="460" w:lineRule="exact"/>
        <w:ind w:firstLine="480" w:firstLineChars="200"/>
        <w:rPr>
          <w:rFonts w:ascii="宋体" w:hAnsi="宋体" w:cs="宋体"/>
          <w:sz w:val="24"/>
        </w:rPr>
      </w:pPr>
      <w:r>
        <w:rPr>
          <w:rFonts w:hint="eastAsia" w:ascii="宋体" w:hAnsi="宋体" w:cs="宋体"/>
          <w:sz w:val="24"/>
        </w:rPr>
        <w:t>6.1.5不符合招标文件中规定的其他实质性要求和条件的。</w:t>
      </w:r>
    </w:p>
    <w:p w14:paraId="0E210FEF">
      <w:pPr>
        <w:tabs>
          <w:tab w:val="left" w:pos="360"/>
        </w:tabs>
        <w:spacing w:after="60" w:line="460" w:lineRule="exact"/>
        <w:ind w:firstLine="480" w:firstLineChars="200"/>
        <w:rPr>
          <w:rFonts w:ascii="宋体" w:hAnsi="宋体" w:cs="宋体"/>
          <w:sz w:val="24"/>
        </w:rPr>
      </w:pPr>
      <w:r>
        <w:rPr>
          <w:rFonts w:hint="eastAsia" w:ascii="宋体" w:hAnsi="宋体" w:cs="宋体"/>
          <w:sz w:val="24"/>
        </w:rPr>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5C0D3918">
      <w:pPr>
        <w:tabs>
          <w:tab w:val="left" w:pos="360"/>
        </w:tabs>
        <w:spacing w:after="60" w:line="460" w:lineRule="exact"/>
        <w:ind w:firstLine="480" w:firstLineChars="200"/>
        <w:rPr>
          <w:rFonts w:ascii="宋体" w:hAnsi="宋体" w:cs="宋体"/>
          <w:sz w:val="24"/>
        </w:rPr>
      </w:pPr>
      <w:r>
        <w:rPr>
          <w:rFonts w:hint="eastAsia" w:ascii="宋体" w:hAnsi="宋体" w:cs="宋体"/>
          <w:sz w:val="24"/>
        </w:rPr>
        <w:t>6.1.7本项目投标人之间被通过“天眼查或企查查”查询确认有关联性的。</w:t>
      </w:r>
    </w:p>
    <w:p w14:paraId="6CBB9262">
      <w:pPr>
        <w:tabs>
          <w:tab w:val="left" w:pos="360"/>
        </w:tabs>
        <w:spacing w:after="60" w:line="460" w:lineRule="exact"/>
        <w:ind w:firstLine="480" w:firstLineChars="200"/>
        <w:rPr>
          <w:rFonts w:ascii="宋体" w:hAnsi="宋体" w:cs="宋体"/>
          <w:sz w:val="24"/>
        </w:rPr>
      </w:pPr>
      <w:r>
        <w:rPr>
          <w:rFonts w:hint="eastAsia" w:ascii="宋体" w:hAnsi="宋体" w:cs="宋体"/>
          <w:sz w:val="24"/>
        </w:rPr>
        <w:t>6.1.8投标文件含有招标人不能接受的附加条件的 。</w:t>
      </w:r>
    </w:p>
    <w:p w14:paraId="778FA60F">
      <w:pPr>
        <w:tabs>
          <w:tab w:val="left" w:pos="360"/>
        </w:tabs>
        <w:spacing w:after="60" w:line="460" w:lineRule="exact"/>
        <w:ind w:firstLine="480" w:firstLineChars="200"/>
        <w:rPr>
          <w:rFonts w:ascii="宋体" w:hAnsi="宋体" w:cs="宋体"/>
          <w:sz w:val="24"/>
        </w:rPr>
      </w:pPr>
      <w:r>
        <w:rPr>
          <w:rFonts w:hint="eastAsia" w:ascii="宋体" w:hAnsi="宋体" w:cs="宋体"/>
          <w:sz w:val="24"/>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3618CB82">
      <w:pPr>
        <w:tabs>
          <w:tab w:val="left" w:pos="360"/>
        </w:tabs>
        <w:spacing w:after="60" w:line="460" w:lineRule="exact"/>
        <w:ind w:firstLine="480" w:firstLineChars="200"/>
        <w:rPr>
          <w:rFonts w:ascii="宋体" w:hAnsi="宋体" w:cs="宋体"/>
          <w:sz w:val="24"/>
        </w:rPr>
      </w:pPr>
      <w:r>
        <w:rPr>
          <w:rFonts w:hint="eastAsia" w:ascii="宋体" w:hAnsi="宋体" w:cs="宋体"/>
          <w:sz w:val="24"/>
        </w:rPr>
        <w:t>6.1.10投标文件未按照招标文件要求签字或盖章的。</w:t>
      </w:r>
    </w:p>
    <w:p w14:paraId="4279E93C">
      <w:pPr>
        <w:tabs>
          <w:tab w:val="left" w:pos="360"/>
        </w:tabs>
        <w:spacing w:after="60" w:line="460" w:lineRule="exact"/>
        <w:ind w:firstLine="480" w:firstLineChars="200"/>
        <w:rPr>
          <w:rFonts w:ascii="宋体" w:hAnsi="宋体" w:cs="宋体"/>
          <w:sz w:val="24"/>
        </w:rPr>
      </w:pPr>
      <w:r>
        <w:rPr>
          <w:rFonts w:hint="eastAsia" w:ascii="宋体" w:hAnsi="宋体" w:cs="宋体"/>
          <w:sz w:val="24"/>
        </w:rPr>
        <w:t>6.1.11投标人的商务技术部分得分相差悬殊，评标委员会认为得分畸低者没有实质性响应的。</w:t>
      </w:r>
    </w:p>
    <w:p w14:paraId="3622C8AD">
      <w:pPr>
        <w:tabs>
          <w:tab w:val="left" w:pos="360"/>
        </w:tabs>
        <w:spacing w:after="60" w:line="460" w:lineRule="exact"/>
        <w:ind w:firstLine="480" w:firstLineChars="200"/>
        <w:rPr>
          <w:rFonts w:ascii="宋体" w:hAnsi="宋体" w:cs="宋体"/>
          <w:sz w:val="24"/>
        </w:rPr>
      </w:pPr>
      <w:r>
        <w:rPr>
          <w:rFonts w:hint="eastAsia" w:ascii="宋体" w:hAnsi="宋体" w:cs="宋体"/>
          <w:sz w:val="24"/>
        </w:rPr>
        <w:t>6.1.12其他法律、法规及本招标文件规定的属无效投标的情形。</w:t>
      </w:r>
    </w:p>
    <w:p w14:paraId="78A2DDAD">
      <w:pPr>
        <w:tabs>
          <w:tab w:val="left" w:pos="360"/>
        </w:tabs>
        <w:spacing w:after="60" w:line="460" w:lineRule="exact"/>
        <w:ind w:firstLine="480" w:firstLineChars="200"/>
        <w:rPr>
          <w:rFonts w:ascii="宋体" w:hAnsi="宋体" w:cs="宋体"/>
          <w:sz w:val="24"/>
        </w:rPr>
      </w:pPr>
      <w:r>
        <w:rPr>
          <w:rFonts w:hint="eastAsia" w:ascii="宋体" w:hAnsi="宋体" w:cs="宋体"/>
          <w:sz w:val="24"/>
        </w:rPr>
        <w:t>6.2废标条款：</w:t>
      </w:r>
    </w:p>
    <w:p w14:paraId="61C0B130">
      <w:pPr>
        <w:tabs>
          <w:tab w:val="left" w:pos="360"/>
        </w:tabs>
        <w:spacing w:after="60" w:line="460" w:lineRule="exact"/>
        <w:ind w:firstLine="480" w:firstLineChars="200"/>
        <w:rPr>
          <w:rFonts w:ascii="宋体" w:hAnsi="宋体" w:cs="宋体"/>
          <w:sz w:val="24"/>
        </w:rPr>
      </w:pPr>
      <w:r>
        <w:rPr>
          <w:rFonts w:hint="eastAsia" w:ascii="宋体" w:hAnsi="宋体" w:cs="宋体"/>
          <w:sz w:val="24"/>
        </w:rPr>
        <w:t>6.2.1符合专业条件的供应商或者对招标文件作实质响应的供应商不足三家的。</w:t>
      </w:r>
    </w:p>
    <w:p w14:paraId="640BF53F">
      <w:pPr>
        <w:tabs>
          <w:tab w:val="left" w:pos="360"/>
        </w:tabs>
        <w:spacing w:after="60" w:line="460" w:lineRule="exact"/>
        <w:ind w:firstLine="480" w:firstLineChars="200"/>
        <w:rPr>
          <w:rFonts w:ascii="宋体" w:hAnsi="宋体" w:cs="宋体"/>
          <w:sz w:val="24"/>
        </w:rPr>
      </w:pPr>
      <w:r>
        <w:rPr>
          <w:rFonts w:hint="eastAsia" w:ascii="宋体" w:hAnsi="宋体" w:cs="宋体"/>
          <w:sz w:val="24"/>
        </w:rPr>
        <w:t>6.2.2出现影响采购公正的违法、违规行为的。</w:t>
      </w:r>
    </w:p>
    <w:p w14:paraId="7AD4E74C">
      <w:pPr>
        <w:tabs>
          <w:tab w:val="left" w:pos="360"/>
        </w:tabs>
        <w:spacing w:after="60" w:line="460" w:lineRule="exact"/>
        <w:ind w:firstLine="480" w:firstLineChars="200"/>
        <w:rPr>
          <w:rFonts w:ascii="宋体" w:hAnsi="宋体" w:cs="宋体"/>
          <w:sz w:val="24"/>
        </w:rPr>
      </w:pPr>
      <w:r>
        <w:rPr>
          <w:rFonts w:hint="eastAsia" w:ascii="宋体" w:hAnsi="宋体" w:cs="宋体"/>
          <w:sz w:val="24"/>
        </w:rPr>
        <w:t>6.2.3因重大变故，采购任务取消的。</w:t>
      </w:r>
    </w:p>
    <w:p w14:paraId="47E016C1">
      <w:pPr>
        <w:tabs>
          <w:tab w:val="left" w:pos="360"/>
        </w:tabs>
        <w:spacing w:after="60" w:line="460" w:lineRule="exact"/>
        <w:ind w:firstLine="480" w:firstLineChars="200"/>
        <w:rPr>
          <w:rFonts w:ascii="宋体" w:hAnsi="宋体" w:cs="宋体"/>
          <w:sz w:val="24"/>
        </w:rPr>
      </w:pPr>
      <w:r>
        <w:rPr>
          <w:rFonts w:hint="eastAsia" w:ascii="宋体" w:hAnsi="宋体" w:cs="宋体"/>
          <w:sz w:val="24"/>
        </w:rPr>
        <w:t>6.2.4评标委员会认定招标文件存在歧义、重大缺陷导致评审工作无法进行。</w:t>
      </w:r>
    </w:p>
    <w:p w14:paraId="56E15F0D">
      <w:pPr>
        <w:tabs>
          <w:tab w:val="left" w:pos="360"/>
        </w:tabs>
        <w:spacing w:after="60" w:line="460" w:lineRule="exact"/>
        <w:ind w:firstLine="480" w:firstLineChars="200"/>
        <w:rPr>
          <w:rFonts w:ascii="宋体" w:hAnsi="宋体" w:cs="宋体"/>
          <w:sz w:val="24"/>
        </w:rPr>
      </w:pPr>
      <w:r>
        <w:rPr>
          <w:rFonts w:hint="eastAsia" w:ascii="宋体" w:hAnsi="宋体" w:cs="宋体"/>
          <w:sz w:val="24"/>
        </w:rPr>
        <w:t>6.3 投标截止时间结束后参加投标的供应商不足三家的处理：</w:t>
      </w:r>
    </w:p>
    <w:p w14:paraId="226AE123">
      <w:pPr>
        <w:tabs>
          <w:tab w:val="left" w:pos="360"/>
        </w:tabs>
        <w:spacing w:after="60" w:line="460" w:lineRule="exact"/>
        <w:ind w:firstLine="480" w:firstLineChars="200"/>
        <w:rPr>
          <w:rFonts w:ascii="宋体" w:hAnsi="宋体" w:cs="宋体"/>
          <w:sz w:val="24"/>
        </w:rPr>
      </w:pPr>
      <w:r>
        <w:rPr>
          <w:rFonts w:hint="eastAsia" w:ascii="宋体" w:hAnsi="宋体" w:cs="宋体"/>
          <w:sz w:val="24"/>
        </w:rPr>
        <w:t>6.3.1如出现投标截止时间结束后参加投标的供应商或者在评标期间对招标文件做出实质响应的供应商不足三家情况，按政府采购相关规定执行。</w:t>
      </w:r>
    </w:p>
    <w:bookmarkEnd w:id="93"/>
    <w:bookmarkEnd w:id="94"/>
    <w:bookmarkEnd w:id="95"/>
    <w:p w14:paraId="48315392">
      <w:pPr>
        <w:tabs>
          <w:tab w:val="left" w:pos="360"/>
        </w:tabs>
        <w:spacing w:after="60" w:line="460" w:lineRule="exact"/>
        <w:ind w:firstLine="480" w:firstLineChars="200"/>
        <w:rPr>
          <w:rFonts w:ascii="宋体" w:hAnsi="宋体" w:cs="宋体"/>
          <w:b/>
          <w:bCs/>
          <w:sz w:val="24"/>
        </w:rPr>
      </w:pPr>
      <w:bookmarkStart w:id="96" w:name="_Toc120614219"/>
      <w:r>
        <w:rPr>
          <w:rFonts w:hint="eastAsia" w:ascii="宋体" w:hAnsi="宋体" w:cs="宋体"/>
          <w:b/>
          <w:bCs/>
          <w:sz w:val="24"/>
        </w:rPr>
        <w:t>七、定标</w:t>
      </w:r>
      <w:bookmarkEnd w:id="96"/>
    </w:p>
    <w:p w14:paraId="19ECF2B7">
      <w:pPr>
        <w:tabs>
          <w:tab w:val="left" w:pos="360"/>
        </w:tabs>
        <w:spacing w:after="60" w:line="460" w:lineRule="exact"/>
        <w:ind w:firstLine="480" w:firstLineChars="200"/>
        <w:rPr>
          <w:rFonts w:ascii="宋体" w:hAnsi="宋体" w:cs="宋体"/>
          <w:sz w:val="24"/>
        </w:rPr>
      </w:pPr>
      <w:bookmarkStart w:id="97" w:name="_Toc20823310"/>
      <w:bookmarkStart w:id="98" w:name="_Toc16938554"/>
      <w:r>
        <w:rPr>
          <w:rFonts w:hint="eastAsia" w:ascii="宋体" w:hAnsi="宋体" w:cs="宋体"/>
          <w:sz w:val="24"/>
        </w:rPr>
        <w:t>1.确定</w:t>
      </w:r>
      <w:bookmarkEnd w:id="97"/>
      <w:bookmarkEnd w:id="98"/>
      <w:r>
        <w:rPr>
          <w:rFonts w:hint="eastAsia" w:ascii="宋体" w:hAnsi="宋体" w:cs="宋体"/>
          <w:sz w:val="24"/>
        </w:rPr>
        <w:t>中标单位</w:t>
      </w:r>
    </w:p>
    <w:p w14:paraId="3A9290E4">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1.1中标候选人的选取原则和数量见招标文件第四部分规定。 </w:t>
      </w:r>
    </w:p>
    <w:p w14:paraId="71F51E0A">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1.2招标人授权评委会在中标候选人中直接确定中标人。</w:t>
      </w:r>
    </w:p>
    <w:p w14:paraId="46EBC969">
      <w:pPr>
        <w:tabs>
          <w:tab w:val="left" w:pos="360"/>
        </w:tabs>
        <w:spacing w:after="60" w:line="460" w:lineRule="exact"/>
        <w:ind w:firstLine="480" w:firstLineChars="200"/>
        <w:rPr>
          <w:rFonts w:ascii="宋体" w:hAnsi="宋体" w:cs="宋体"/>
          <w:sz w:val="24"/>
        </w:rPr>
      </w:pPr>
      <w:r>
        <w:rPr>
          <w:rFonts w:hint="eastAsia" w:ascii="宋体" w:hAnsi="宋体" w:cs="宋体"/>
          <w:sz w:val="24"/>
        </w:rPr>
        <w:t>1.3代理机构将在“江苏商贸职业学院网（http://www.jsbc.edu.cn/）”发布中标公告，公告期限为1个工作日。</w:t>
      </w:r>
    </w:p>
    <w:p w14:paraId="13B656B1">
      <w:pPr>
        <w:tabs>
          <w:tab w:val="left" w:pos="360"/>
        </w:tabs>
        <w:spacing w:after="60" w:line="460" w:lineRule="exact"/>
        <w:ind w:firstLine="480" w:firstLineChars="200"/>
        <w:rPr>
          <w:rFonts w:ascii="宋体" w:hAnsi="宋体" w:cs="宋体"/>
          <w:sz w:val="24"/>
        </w:rPr>
      </w:pPr>
      <w:r>
        <w:rPr>
          <w:rFonts w:hint="eastAsia" w:ascii="宋体" w:hAnsi="宋体" w:cs="宋体"/>
          <w:sz w:val="24"/>
        </w:rPr>
        <w:t>1.4若有充分证据证明，中标人出现下列情况之一的，一经查实，将被取消中标资格：</w:t>
      </w:r>
    </w:p>
    <w:p w14:paraId="2EB40BBE">
      <w:pPr>
        <w:tabs>
          <w:tab w:val="left" w:pos="360"/>
        </w:tabs>
        <w:spacing w:after="60" w:line="460" w:lineRule="exact"/>
        <w:ind w:firstLine="480" w:firstLineChars="200"/>
        <w:rPr>
          <w:rFonts w:ascii="宋体" w:hAnsi="宋体" w:cs="宋体"/>
          <w:sz w:val="24"/>
        </w:rPr>
      </w:pPr>
      <w:r>
        <w:rPr>
          <w:rFonts w:hint="eastAsia" w:ascii="宋体" w:hAnsi="宋体" w:cs="宋体"/>
          <w:sz w:val="24"/>
        </w:rPr>
        <w:t>1.4.1提供虚假材料谋取中标的。</w:t>
      </w:r>
    </w:p>
    <w:p w14:paraId="61BE0862">
      <w:pPr>
        <w:tabs>
          <w:tab w:val="left" w:pos="360"/>
        </w:tabs>
        <w:spacing w:after="60" w:line="460" w:lineRule="exact"/>
        <w:ind w:firstLine="480" w:firstLineChars="200"/>
        <w:rPr>
          <w:rFonts w:ascii="宋体" w:hAnsi="宋体" w:cs="宋体"/>
          <w:sz w:val="24"/>
        </w:rPr>
      </w:pPr>
      <w:r>
        <w:rPr>
          <w:rFonts w:hint="eastAsia" w:ascii="宋体" w:hAnsi="宋体" w:cs="宋体"/>
          <w:sz w:val="24"/>
        </w:rPr>
        <w:t>1.4.2向招标人、代理机构行贿或者提供其他不正当利益的。</w:t>
      </w:r>
    </w:p>
    <w:p w14:paraId="0E8B6A80">
      <w:pPr>
        <w:tabs>
          <w:tab w:val="left" w:pos="360"/>
        </w:tabs>
        <w:spacing w:after="60" w:line="460" w:lineRule="exact"/>
        <w:ind w:firstLine="480" w:firstLineChars="200"/>
        <w:rPr>
          <w:rFonts w:ascii="宋体" w:hAnsi="宋体" w:cs="宋体"/>
          <w:sz w:val="24"/>
        </w:rPr>
      </w:pPr>
      <w:r>
        <w:rPr>
          <w:rFonts w:hint="eastAsia" w:ascii="宋体" w:hAnsi="宋体" w:cs="宋体"/>
          <w:sz w:val="24"/>
        </w:rPr>
        <w:t>1.4.3恶意竞争，投标总报价明显低于其自身合理成本且又无法提供证明的。</w:t>
      </w:r>
    </w:p>
    <w:p w14:paraId="619D05FA">
      <w:pPr>
        <w:tabs>
          <w:tab w:val="left" w:pos="360"/>
        </w:tabs>
        <w:spacing w:after="60" w:line="460" w:lineRule="exact"/>
        <w:ind w:firstLine="480" w:firstLineChars="200"/>
        <w:rPr>
          <w:rFonts w:ascii="宋体" w:hAnsi="宋体" w:cs="宋体"/>
          <w:sz w:val="24"/>
        </w:rPr>
      </w:pPr>
      <w:r>
        <w:rPr>
          <w:rFonts w:hint="eastAsia" w:ascii="宋体" w:hAnsi="宋体" w:cs="宋体"/>
          <w:sz w:val="24"/>
        </w:rPr>
        <w:t>1.4.4属于本文件规定的无效条件，但在评标过程中又未被评委会发现的。</w:t>
      </w:r>
    </w:p>
    <w:p w14:paraId="4067D2FB">
      <w:pPr>
        <w:tabs>
          <w:tab w:val="left" w:pos="360"/>
        </w:tabs>
        <w:spacing w:after="60" w:line="460" w:lineRule="exact"/>
        <w:ind w:firstLine="480" w:firstLineChars="200"/>
        <w:rPr>
          <w:rFonts w:ascii="宋体" w:hAnsi="宋体" w:cs="宋体"/>
          <w:sz w:val="24"/>
        </w:rPr>
      </w:pPr>
      <w:r>
        <w:rPr>
          <w:rFonts w:hint="eastAsia" w:ascii="宋体" w:hAnsi="宋体" w:cs="宋体"/>
          <w:sz w:val="24"/>
        </w:rPr>
        <w:t>1.4.5与招标人或者其他供应商恶意串通的。</w:t>
      </w:r>
    </w:p>
    <w:p w14:paraId="1E57FBEC">
      <w:pPr>
        <w:tabs>
          <w:tab w:val="left" w:pos="360"/>
        </w:tabs>
        <w:spacing w:after="60" w:line="460" w:lineRule="exact"/>
        <w:ind w:firstLine="480" w:firstLineChars="200"/>
        <w:rPr>
          <w:rFonts w:ascii="宋体" w:hAnsi="宋体" w:cs="宋体"/>
          <w:sz w:val="24"/>
        </w:rPr>
      </w:pPr>
      <w:r>
        <w:rPr>
          <w:rFonts w:hint="eastAsia" w:ascii="宋体" w:hAnsi="宋体" w:cs="宋体"/>
          <w:sz w:val="24"/>
        </w:rPr>
        <w:t>1.4.6采取不正当手段诋毁、排挤其他供应商的。</w:t>
      </w:r>
    </w:p>
    <w:p w14:paraId="63119DBE">
      <w:pPr>
        <w:tabs>
          <w:tab w:val="left" w:pos="360"/>
        </w:tabs>
        <w:spacing w:after="60" w:line="460" w:lineRule="exact"/>
        <w:ind w:firstLine="480" w:firstLineChars="200"/>
        <w:rPr>
          <w:rFonts w:ascii="宋体" w:hAnsi="宋体" w:cs="宋体"/>
          <w:sz w:val="24"/>
        </w:rPr>
      </w:pPr>
      <w:bookmarkStart w:id="99" w:name="_Toc200451960"/>
      <w:r>
        <w:rPr>
          <w:rFonts w:hint="eastAsia" w:ascii="宋体" w:hAnsi="宋体" w:cs="宋体"/>
          <w:sz w:val="24"/>
        </w:rPr>
        <w:t>1.5.有下列情形之一的，视为投标人串通投标，投标无效：</w:t>
      </w:r>
    </w:p>
    <w:p w14:paraId="5F67863A">
      <w:pPr>
        <w:tabs>
          <w:tab w:val="left" w:pos="360"/>
        </w:tabs>
        <w:spacing w:after="60" w:line="460" w:lineRule="exact"/>
        <w:ind w:firstLine="480" w:firstLineChars="200"/>
        <w:rPr>
          <w:rFonts w:ascii="宋体" w:hAnsi="宋体" w:cs="宋体"/>
          <w:sz w:val="24"/>
        </w:rPr>
      </w:pPr>
      <w:r>
        <w:rPr>
          <w:rFonts w:hint="eastAsia" w:ascii="宋体" w:hAnsi="宋体" w:cs="宋体"/>
          <w:sz w:val="24"/>
        </w:rPr>
        <w:t>1.5.1不同投标人的投标文件由同一单位或者个人编制；</w:t>
      </w:r>
    </w:p>
    <w:p w14:paraId="02FBE623">
      <w:pPr>
        <w:tabs>
          <w:tab w:val="left" w:pos="360"/>
        </w:tabs>
        <w:spacing w:after="60" w:line="460" w:lineRule="exact"/>
        <w:ind w:firstLine="480" w:firstLineChars="200"/>
        <w:rPr>
          <w:rFonts w:ascii="宋体" w:hAnsi="宋体" w:cs="宋体"/>
          <w:sz w:val="24"/>
        </w:rPr>
      </w:pPr>
      <w:r>
        <w:rPr>
          <w:rFonts w:hint="eastAsia" w:ascii="宋体" w:hAnsi="宋体" w:cs="宋体"/>
          <w:sz w:val="24"/>
        </w:rPr>
        <w:t>1.5.2不同投标人委托同一单位或者个人办理投标事宜；</w:t>
      </w:r>
    </w:p>
    <w:p w14:paraId="4B62019F">
      <w:pPr>
        <w:tabs>
          <w:tab w:val="left" w:pos="360"/>
        </w:tabs>
        <w:spacing w:after="60" w:line="460" w:lineRule="exact"/>
        <w:ind w:firstLine="480" w:firstLineChars="200"/>
        <w:rPr>
          <w:rFonts w:ascii="宋体" w:hAnsi="宋体" w:cs="宋体"/>
          <w:sz w:val="24"/>
        </w:rPr>
      </w:pPr>
      <w:r>
        <w:rPr>
          <w:rFonts w:hint="eastAsia" w:ascii="宋体" w:hAnsi="宋体" w:cs="宋体"/>
          <w:sz w:val="24"/>
        </w:rPr>
        <w:t>1.5.3不同投标人的投标文件载明的项目管理成员或者联系人员为同一人；</w:t>
      </w:r>
    </w:p>
    <w:p w14:paraId="3CDC7C76">
      <w:pPr>
        <w:tabs>
          <w:tab w:val="left" w:pos="360"/>
        </w:tabs>
        <w:spacing w:after="60" w:line="460" w:lineRule="exact"/>
        <w:ind w:firstLine="480" w:firstLineChars="200"/>
        <w:rPr>
          <w:rFonts w:ascii="宋体" w:hAnsi="宋体" w:cs="宋体"/>
          <w:sz w:val="24"/>
        </w:rPr>
      </w:pPr>
      <w:r>
        <w:rPr>
          <w:rFonts w:hint="eastAsia" w:ascii="宋体" w:hAnsi="宋体" w:cs="宋体"/>
          <w:sz w:val="24"/>
        </w:rPr>
        <w:t>1.5.4不同投标人的投标文件异常一致或者投标报价呈规律性差异；</w:t>
      </w:r>
    </w:p>
    <w:p w14:paraId="6C3F6F9B">
      <w:pPr>
        <w:tabs>
          <w:tab w:val="left" w:pos="360"/>
        </w:tabs>
        <w:spacing w:after="60" w:line="460" w:lineRule="exact"/>
        <w:ind w:firstLine="480" w:firstLineChars="200"/>
        <w:rPr>
          <w:rFonts w:ascii="宋体" w:hAnsi="宋体" w:cs="宋体"/>
          <w:sz w:val="24"/>
        </w:rPr>
      </w:pPr>
      <w:r>
        <w:rPr>
          <w:rFonts w:hint="eastAsia" w:ascii="宋体" w:hAnsi="宋体" w:cs="宋体"/>
          <w:sz w:val="24"/>
        </w:rPr>
        <w:t>1.5.5不同投标人的投标文件相互混装；</w:t>
      </w:r>
    </w:p>
    <w:p w14:paraId="504496A9">
      <w:pPr>
        <w:tabs>
          <w:tab w:val="left" w:pos="360"/>
        </w:tabs>
        <w:spacing w:after="60" w:line="460" w:lineRule="exact"/>
        <w:ind w:firstLine="480" w:firstLineChars="200"/>
        <w:rPr>
          <w:rFonts w:ascii="宋体" w:hAnsi="宋体" w:cs="宋体"/>
          <w:sz w:val="24"/>
        </w:rPr>
      </w:pPr>
      <w:r>
        <w:rPr>
          <w:rFonts w:hint="eastAsia" w:ascii="宋体" w:hAnsi="宋体" w:cs="宋体"/>
          <w:sz w:val="24"/>
        </w:rPr>
        <w:t>2.质疑处理</w:t>
      </w:r>
      <w:bookmarkEnd w:id="99"/>
    </w:p>
    <w:p w14:paraId="2AB8B9BC">
      <w:pPr>
        <w:tabs>
          <w:tab w:val="left" w:pos="360"/>
        </w:tabs>
        <w:spacing w:after="60" w:line="460" w:lineRule="exact"/>
        <w:ind w:firstLine="480" w:firstLineChars="200"/>
        <w:rPr>
          <w:rFonts w:ascii="宋体" w:hAnsi="宋体" w:cs="宋体"/>
          <w:sz w:val="24"/>
        </w:rPr>
      </w:pPr>
      <w:r>
        <w:rPr>
          <w:rFonts w:hint="eastAsia" w:ascii="宋体" w:hAnsi="宋体" w:cs="宋体"/>
          <w:sz w:val="24"/>
        </w:rPr>
        <w:t>2.1 提出质疑的供应商应当是参与所质疑项目采购活动的供应商。潜在供应商依法获取其可质疑的采购文件的，可以对采购文件提出质疑。</w:t>
      </w:r>
    </w:p>
    <w:p w14:paraId="2A2B2F58">
      <w:pPr>
        <w:tabs>
          <w:tab w:val="left" w:pos="360"/>
        </w:tabs>
        <w:spacing w:after="60" w:line="460" w:lineRule="exact"/>
        <w:ind w:firstLine="480" w:firstLineChars="200"/>
        <w:rPr>
          <w:rFonts w:ascii="宋体" w:hAnsi="宋体" w:cs="宋体"/>
          <w:sz w:val="24"/>
        </w:rPr>
      </w:pPr>
      <w:r>
        <w:rPr>
          <w:rFonts w:hint="eastAsia" w:ascii="宋体" w:hAnsi="宋体" w:cs="宋体"/>
          <w:sz w:val="24"/>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23B8CC5A">
      <w:pPr>
        <w:tabs>
          <w:tab w:val="left" w:pos="360"/>
        </w:tabs>
        <w:spacing w:after="60" w:line="460" w:lineRule="exact"/>
        <w:ind w:firstLine="480" w:firstLineChars="200"/>
        <w:rPr>
          <w:rFonts w:ascii="宋体" w:hAnsi="宋体" w:cs="宋体"/>
          <w:sz w:val="24"/>
        </w:rPr>
      </w:pPr>
      <w:r>
        <w:rPr>
          <w:rFonts w:hint="eastAsia" w:ascii="宋体" w:hAnsi="宋体" w:cs="宋体"/>
          <w:sz w:val="24"/>
        </w:rPr>
        <w:t>2.2.1对可以质疑的采购文件提出质疑的，为收到采购文件之日或者采购文件公告期限届满之日；</w:t>
      </w:r>
    </w:p>
    <w:p w14:paraId="2DC52022">
      <w:pPr>
        <w:tabs>
          <w:tab w:val="left" w:pos="360"/>
        </w:tabs>
        <w:spacing w:after="60" w:line="460" w:lineRule="exact"/>
        <w:ind w:firstLine="480" w:firstLineChars="200"/>
        <w:rPr>
          <w:rFonts w:ascii="宋体" w:hAnsi="宋体" w:cs="宋体"/>
          <w:sz w:val="24"/>
        </w:rPr>
      </w:pPr>
      <w:r>
        <w:rPr>
          <w:rFonts w:hint="eastAsia" w:ascii="宋体" w:hAnsi="宋体" w:cs="宋体"/>
          <w:sz w:val="24"/>
        </w:rPr>
        <w:t>2.2.2对采购过程提出质疑的，为各采购程序环节结束之日；</w:t>
      </w:r>
    </w:p>
    <w:p w14:paraId="4B732DC0">
      <w:pPr>
        <w:tabs>
          <w:tab w:val="left" w:pos="360"/>
        </w:tabs>
        <w:spacing w:after="60" w:line="460" w:lineRule="exact"/>
        <w:ind w:firstLine="480" w:firstLineChars="200"/>
        <w:rPr>
          <w:rFonts w:ascii="宋体" w:hAnsi="宋体" w:cs="宋体"/>
          <w:sz w:val="24"/>
        </w:rPr>
      </w:pPr>
      <w:r>
        <w:rPr>
          <w:rFonts w:hint="eastAsia" w:ascii="宋体" w:hAnsi="宋体" w:cs="宋体"/>
          <w:sz w:val="24"/>
        </w:rPr>
        <w:t>2.2.3对中标或者成交结果提出质疑的，为中标或者成交结果公告期限届满之日。</w:t>
      </w:r>
    </w:p>
    <w:p w14:paraId="18A904FF">
      <w:pPr>
        <w:tabs>
          <w:tab w:val="left" w:pos="360"/>
        </w:tabs>
        <w:spacing w:after="60" w:line="460" w:lineRule="exact"/>
        <w:ind w:firstLine="480" w:firstLineChars="200"/>
        <w:rPr>
          <w:rFonts w:ascii="宋体" w:hAnsi="宋体" w:cs="宋体"/>
          <w:sz w:val="24"/>
        </w:rPr>
      </w:pPr>
      <w:r>
        <w:rPr>
          <w:rFonts w:hint="eastAsia" w:ascii="宋体" w:hAnsi="宋体" w:cs="宋体"/>
          <w:b/>
          <w:bCs/>
          <w:sz w:val="24"/>
        </w:rPr>
        <w:t>供应商应当在法定质疑期内一次性提出针对同一采购程序环节的质疑</w:t>
      </w:r>
      <w:r>
        <w:rPr>
          <w:rFonts w:hint="eastAsia" w:ascii="宋体" w:hAnsi="宋体" w:cs="宋体"/>
          <w:sz w:val="24"/>
        </w:rPr>
        <w:t>。</w:t>
      </w:r>
    </w:p>
    <w:p w14:paraId="02FEB0A1">
      <w:pPr>
        <w:tabs>
          <w:tab w:val="left" w:pos="360"/>
        </w:tabs>
        <w:spacing w:after="60" w:line="460" w:lineRule="exact"/>
        <w:ind w:firstLine="480" w:firstLineChars="200"/>
        <w:rPr>
          <w:rFonts w:ascii="宋体" w:hAnsi="宋体" w:cs="宋体"/>
          <w:sz w:val="24"/>
        </w:rPr>
      </w:pPr>
      <w:r>
        <w:rPr>
          <w:rFonts w:hint="eastAsia" w:ascii="宋体" w:hAnsi="宋体" w:cs="宋体"/>
          <w:sz w:val="24"/>
        </w:rPr>
        <w:t>2.3质疑函必须按照本招标文件中《质疑函范本》要求的格式和内容进行填写。供应商如组成联合体参加投标，则《质疑函范本》中要求签字、盖章、加盖公章之处，联合体各方均须按要求签字、盖章、加盖公章。</w:t>
      </w:r>
    </w:p>
    <w:p w14:paraId="59072B15">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供应商提起质疑采取书面形式，可以现场送达，也可以邮寄。</w:t>
      </w:r>
    </w:p>
    <w:p w14:paraId="2AC0578D">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招标人质疑接收人及联系方式，见招标文件第一章。</w:t>
      </w:r>
    </w:p>
    <w:p w14:paraId="705E37EE">
      <w:pPr>
        <w:tabs>
          <w:tab w:val="left" w:pos="360"/>
        </w:tabs>
        <w:spacing w:after="60" w:line="460" w:lineRule="exact"/>
        <w:ind w:firstLine="480" w:firstLineChars="200"/>
        <w:rPr>
          <w:rFonts w:ascii="宋体" w:hAnsi="宋体" w:cs="宋体"/>
          <w:sz w:val="24"/>
        </w:rPr>
      </w:pPr>
      <w:r>
        <w:rPr>
          <w:rFonts w:hint="eastAsia" w:ascii="宋体" w:hAnsi="宋体" w:cs="宋体"/>
          <w:sz w:val="24"/>
        </w:rPr>
        <w:t>2.5 以下情形的质疑不予受理</w:t>
      </w:r>
    </w:p>
    <w:p w14:paraId="26FC6F09">
      <w:pPr>
        <w:tabs>
          <w:tab w:val="left" w:pos="360"/>
        </w:tabs>
        <w:spacing w:after="60" w:line="460" w:lineRule="exact"/>
        <w:ind w:firstLine="480" w:firstLineChars="200"/>
        <w:rPr>
          <w:rFonts w:ascii="宋体" w:hAnsi="宋体" w:cs="宋体"/>
          <w:sz w:val="24"/>
        </w:rPr>
      </w:pPr>
      <w:r>
        <w:rPr>
          <w:rFonts w:hint="eastAsia" w:ascii="宋体" w:hAnsi="宋体" w:cs="宋体"/>
          <w:sz w:val="24"/>
        </w:rPr>
        <w:t>2.5.1 内容不符合《政府采购质疑和投诉办法》第十二条规定的质疑。</w:t>
      </w:r>
    </w:p>
    <w:p w14:paraId="19D95A76">
      <w:pPr>
        <w:tabs>
          <w:tab w:val="left" w:pos="360"/>
        </w:tabs>
        <w:spacing w:after="60" w:line="460" w:lineRule="exact"/>
        <w:ind w:firstLine="480" w:firstLineChars="200"/>
        <w:rPr>
          <w:rFonts w:ascii="宋体" w:hAnsi="宋体" w:cs="宋体"/>
          <w:sz w:val="24"/>
        </w:rPr>
      </w:pPr>
      <w:r>
        <w:rPr>
          <w:rFonts w:hint="eastAsia" w:ascii="宋体" w:hAnsi="宋体" w:cs="宋体"/>
          <w:sz w:val="24"/>
        </w:rPr>
        <w:t>2.5.2 超出政府采购法定期限的质疑。</w:t>
      </w:r>
    </w:p>
    <w:p w14:paraId="118B92A9">
      <w:pPr>
        <w:tabs>
          <w:tab w:val="left" w:pos="360"/>
        </w:tabs>
        <w:spacing w:after="60" w:line="460" w:lineRule="exact"/>
        <w:ind w:firstLine="480" w:firstLineChars="200"/>
        <w:rPr>
          <w:rFonts w:ascii="宋体" w:hAnsi="宋体" w:cs="宋体"/>
          <w:sz w:val="24"/>
        </w:rPr>
      </w:pPr>
      <w:r>
        <w:rPr>
          <w:rFonts w:hint="eastAsia" w:ascii="宋体" w:hAnsi="宋体" w:cs="宋体"/>
          <w:sz w:val="24"/>
        </w:rPr>
        <w:t>2.5.3 未参加投标活动的供应商或在投标活动中自身权益未受到损害的供应商所提出的质疑。</w:t>
      </w:r>
    </w:p>
    <w:p w14:paraId="27D97780">
      <w:pPr>
        <w:tabs>
          <w:tab w:val="left" w:pos="360"/>
        </w:tabs>
        <w:spacing w:after="60" w:line="460" w:lineRule="exact"/>
        <w:ind w:firstLine="480" w:firstLineChars="200"/>
        <w:rPr>
          <w:rFonts w:ascii="宋体" w:hAnsi="宋体" w:cs="宋体"/>
          <w:sz w:val="24"/>
        </w:rPr>
      </w:pPr>
      <w:r>
        <w:rPr>
          <w:rFonts w:hint="eastAsia" w:ascii="宋体" w:hAnsi="宋体" w:cs="宋体"/>
          <w:sz w:val="24"/>
        </w:rPr>
        <w:t>2.5.4供应商组成联合体参加投标，联合体中任何一方或多方未按要求签字、盖章、加盖公章的质疑。</w:t>
      </w:r>
    </w:p>
    <w:p w14:paraId="170CE01B">
      <w:pPr>
        <w:tabs>
          <w:tab w:val="left" w:pos="360"/>
        </w:tabs>
        <w:spacing w:after="60" w:line="460" w:lineRule="exact"/>
        <w:ind w:firstLine="480" w:firstLineChars="200"/>
        <w:rPr>
          <w:rFonts w:ascii="宋体" w:hAnsi="宋体" w:cs="宋体"/>
          <w:sz w:val="24"/>
        </w:rPr>
      </w:pPr>
      <w:r>
        <w:rPr>
          <w:rFonts w:hint="eastAsia" w:ascii="宋体" w:hAnsi="宋体" w:cs="宋体"/>
          <w:sz w:val="24"/>
        </w:rPr>
        <w:t>2.6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4C788CF5">
      <w:pPr>
        <w:tabs>
          <w:tab w:val="left" w:pos="360"/>
        </w:tabs>
        <w:spacing w:after="60" w:line="460" w:lineRule="exact"/>
        <w:ind w:firstLine="480" w:firstLineChars="200"/>
        <w:rPr>
          <w:rFonts w:ascii="宋体" w:hAnsi="宋体" w:cs="宋体"/>
          <w:sz w:val="24"/>
        </w:rPr>
      </w:pPr>
      <w:r>
        <w:rPr>
          <w:rFonts w:hint="eastAsia" w:ascii="宋体" w:hAnsi="宋体" w:cs="宋体"/>
          <w:sz w:val="24"/>
        </w:rPr>
        <w:t>3.中标通知书</w:t>
      </w:r>
    </w:p>
    <w:p w14:paraId="7B981308">
      <w:pPr>
        <w:tabs>
          <w:tab w:val="left" w:pos="360"/>
        </w:tabs>
        <w:spacing w:after="60" w:line="460" w:lineRule="exact"/>
        <w:ind w:firstLine="480" w:firstLineChars="200"/>
        <w:rPr>
          <w:rFonts w:ascii="宋体" w:hAnsi="宋体" w:cs="宋体"/>
          <w:sz w:val="24"/>
        </w:rPr>
      </w:pPr>
      <w:r>
        <w:rPr>
          <w:rFonts w:hint="eastAsia" w:ascii="宋体" w:hAnsi="宋体" w:cs="宋体"/>
          <w:sz w:val="24"/>
        </w:rPr>
        <w:t>3.l中标结果确定后，招标人将向中标供应商发出中标通知书。中标供应商应在中标结果公告期满后5个工作日内到采购代理机构办理领取中标通知书手续，否则，由此产生的后果供应商自负。</w:t>
      </w:r>
    </w:p>
    <w:p w14:paraId="068A27D7">
      <w:pPr>
        <w:tabs>
          <w:tab w:val="left" w:pos="360"/>
        </w:tabs>
        <w:spacing w:after="60" w:line="460" w:lineRule="exact"/>
        <w:ind w:firstLine="480" w:firstLineChars="200"/>
        <w:rPr>
          <w:rFonts w:ascii="宋体" w:hAnsi="宋体" w:cs="宋体"/>
          <w:sz w:val="24"/>
        </w:rPr>
      </w:pPr>
      <w:r>
        <w:rPr>
          <w:rFonts w:hint="eastAsia" w:ascii="宋体" w:hAnsi="宋体" w:cs="宋体"/>
          <w:sz w:val="24"/>
        </w:rPr>
        <w:t>3.2中标通知书将是合同的一个组成部分。对招标人和中标供应商均具有法律效力。中标通知书发出后，招标人改变中标结果的，或者中标供应商放弃中标项目的，应当依法承担法律责任。</w:t>
      </w:r>
    </w:p>
    <w:p w14:paraId="75A23D06">
      <w:pPr>
        <w:tabs>
          <w:tab w:val="left" w:pos="360"/>
        </w:tabs>
        <w:spacing w:after="60" w:line="460" w:lineRule="exact"/>
        <w:ind w:firstLine="480" w:firstLineChars="200"/>
        <w:rPr>
          <w:rFonts w:ascii="宋体" w:hAnsi="宋体" w:cs="宋体"/>
          <w:b/>
          <w:bCs/>
          <w:sz w:val="24"/>
        </w:rPr>
      </w:pPr>
      <w:bookmarkStart w:id="100" w:name="_Toc120614220"/>
      <w:bookmarkStart w:id="101" w:name="_Toc513029236"/>
      <w:bookmarkStart w:id="102" w:name="_Toc20823308"/>
      <w:bookmarkStart w:id="103" w:name="_Toc16938552"/>
      <w:r>
        <w:rPr>
          <w:rFonts w:hint="eastAsia" w:ascii="宋体" w:hAnsi="宋体" w:cs="宋体"/>
          <w:b/>
          <w:bCs/>
          <w:sz w:val="24"/>
        </w:rPr>
        <w:t>八、授予合同</w:t>
      </w:r>
      <w:bookmarkEnd w:id="100"/>
    </w:p>
    <w:bookmarkEnd w:id="101"/>
    <w:bookmarkEnd w:id="102"/>
    <w:bookmarkEnd w:id="103"/>
    <w:p w14:paraId="0218BAFC">
      <w:pPr>
        <w:tabs>
          <w:tab w:val="left" w:pos="360"/>
        </w:tabs>
        <w:spacing w:after="60" w:line="460" w:lineRule="exact"/>
        <w:ind w:firstLine="480" w:firstLineChars="200"/>
        <w:rPr>
          <w:rFonts w:ascii="宋体" w:hAnsi="宋体" w:cs="宋体"/>
          <w:sz w:val="24"/>
        </w:rPr>
      </w:pPr>
      <w:bookmarkStart w:id="104" w:name="_Toc20823309"/>
      <w:bookmarkStart w:id="105" w:name="_Toc513029237"/>
      <w:bookmarkStart w:id="106" w:name="_Toc16938553"/>
      <w:r>
        <w:rPr>
          <w:rFonts w:hint="eastAsia" w:ascii="宋体" w:hAnsi="宋体" w:cs="宋体"/>
          <w:sz w:val="24"/>
        </w:rPr>
        <w:t>1.签订合同</w:t>
      </w:r>
    </w:p>
    <w:p w14:paraId="7E3FEA0B">
      <w:pPr>
        <w:tabs>
          <w:tab w:val="left" w:pos="360"/>
        </w:tabs>
        <w:spacing w:after="60" w:line="460" w:lineRule="exact"/>
        <w:ind w:firstLine="480" w:firstLineChars="200"/>
        <w:rPr>
          <w:rFonts w:ascii="宋体" w:hAnsi="宋体" w:cs="宋体"/>
          <w:sz w:val="24"/>
        </w:rPr>
      </w:pPr>
      <w:r>
        <w:rPr>
          <w:rFonts w:hint="eastAsia" w:ascii="宋体" w:hAnsi="宋体" w:cs="宋体"/>
          <w:sz w:val="24"/>
        </w:rPr>
        <w:t>1.l中标人应当在中标通知书发出之日起三十日内，按照招标文件确定的事项与招标人签订政府采购合同。</w:t>
      </w:r>
    </w:p>
    <w:p w14:paraId="62C44E7A">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1.2招标文件、中标人的投标文件及招标过程中有关澄清、承诺文件均应作为合同附件。</w:t>
      </w:r>
    </w:p>
    <w:p w14:paraId="2F901D9C">
      <w:pPr>
        <w:tabs>
          <w:tab w:val="left" w:pos="360"/>
        </w:tabs>
        <w:spacing w:after="60" w:line="460" w:lineRule="exact"/>
        <w:ind w:firstLine="480" w:firstLineChars="200"/>
        <w:rPr>
          <w:rFonts w:ascii="宋体" w:hAnsi="宋体" w:cs="宋体"/>
          <w:sz w:val="24"/>
        </w:rPr>
      </w:pPr>
      <w:r>
        <w:rPr>
          <w:rFonts w:hint="eastAsia" w:ascii="宋体" w:hAnsi="宋体" w:cs="宋体"/>
          <w:sz w:val="24"/>
        </w:rPr>
        <w:t>1.3签订合同后，中标人不得将货物及其他相关服务进行转包。未经招标人同意，中标人也不得采用分包的形式履行合同，否则招标人有权终止合同。政府采购合同分包履行的，中标、中标供应商就采购项目和分包项目向招标人负责，分包供应商就分包项目承担责任。转包或分包造成招标人损失的，中标人应承担相应赔偿责任。</w:t>
      </w:r>
    </w:p>
    <w:p w14:paraId="41F0F0A6">
      <w:pPr>
        <w:tabs>
          <w:tab w:val="left" w:pos="360"/>
        </w:tabs>
        <w:spacing w:after="60" w:line="460" w:lineRule="exact"/>
        <w:ind w:firstLine="480" w:firstLineChars="200"/>
        <w:rPr>
          <w:rFonts w:ascii="宋体" w:hAnsi="宋体" w:cs="宋体"/>
          <w:sz w:val="24"/>
        </w:rPr>
      </w:pPr>
      <w:r>
        <w:rPr>
          <w:rFonts w:hint="eastAsia" w:ascii="宋体" w:hAnsi="宋体" w:cs="宋体"/>
          <w:sz w:val="24"/>
        </w:rPr>
        <w:t>2.货物和服务的追加、减少和添购。</w:t>
      </w:r>
    </w:p>
    <w:p w14:paraId="71451ADB">
      <w:pPr>
        <w:tabs>
          <w:tab w:val="left" w:pos="360"/>
        </w:tabs>
        <w:spacing w:after="60" w:line="460" w:lineRule="exact"/>
        <w:ind w:firstLine="480" w:firstLineChars="200"/>
        <w:rPr>
          <w:rFonts w:ascii="宋体" w:hAnsi="宋体" w:cs="宋体"/>
          <w:sz w:val="24"/>
        </w:rPr>
      </w:pPr>
      <w:r>
        <w:rPr>
          <w:rFonts w:hint="eastAsia" w:ascii="宋体" w:hAnsi="宋体" w:cs="宋体"/>
          <w:sz w:val="24"/>
        </w:rPr>
        <w:t>2.1政府采购合同履行中，招标人需追加与合同标的相同的货物和服务的，在不改变合同其他条款的前提下，可以与中标人协商签订补充合同，但所有补充合同的采购金额不超过原合同金额10%。</w:t>
      </w:r>
    </w:p>
    <w:p w14:paraId="1BA69649">
      <w:pPr>
        <w:tabs>
          <w:tab w:val="left" w:pos="360"/>
        </w:tabs>
        <w:spacing w:after="60" w:line="460" w:lineRule="exact"/>
        <w:ind w:firstLine="480" w:firstLineChars="200"/>
        <w:rPr>
          <w:rFonts w:ascii="宋体" w:hAnsi="宋体" w:cs="宋体"/>
          <w:sz w:val="24"/>
        </w:rPr>
      </w:pPr>
      <w:r>
        <w:rPr>
          <w:rFonts w:hint="eastAsia" w:ascii="宋体" w:hAnsi="宋体" w:cs="宋体"/>
          <w:sz w:val="24"/>
        </w:rPr>
        <w:t>2.2采购结束后，招标人若由于各种客观原因，必须对采购项目所牵涉的货物和服务进行适当的减少时，在双方协商一致的前提下，可以按照招标采购时的价格水平做相应的调减，并据此签订补充合同。</w:t>
      </w:r>
    </w:p>
    <w:p w14:paraId="467AF4F3">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九、未尽事宜</w:t>
      </w:r>
    </w:p>
    <w:p w14:paraId="17BA3FD6">
      <w:pPr>
        <w:tabs>
          <w:tab w:val="left" w:pos="360"/>
        </w:tabs>
        <w:spacing w:after="60" w:line="460" w:lineRule="exact"/>
        <w:ind w:firstLine="480" w:firstLineChars="200"/>
        <w:rPr>
          <w:rFonts w:ascii="宋体" w:hAnsi="宋体" w:cs="宋体"/>
          <w:sz w:val="24"/>
        </w:rPr>
      </w:pPr>
      <w:r>
        <w:rPr>
          <w:rFonts w:hint="eastAsia" w:ascii="宋体" w:hAnsi="宋体" w:cs="宋体"/>
          <w:sz w:val="24"/>
        </w:rPr>
        <w:t>参照《中华人民共和国采购法》及其他有关的法律法规的规定及按江苏商贸职业学院采购管理规定执行。</w:t>
      </w:r>
    </w:p>
    <w:p w14:paraId="186A8EDB">
      <w:pPr>
        <w:pStyle w:val="18"/>
        <w:rPr>
          <w:rFonts w:ascii="宋体" w:hAnsi="宋体" w:eastAsia="宋体"/>
        </w:rPr>
      </w:pPr>
    </w:p>
    <w:bookmarkEnd w:id="104"/>
    <w:bookmarkEnd w:id="105"/>
    <w:bookmarkEnd w:id="106"/>
    <w:p w14:paraId="72C88049">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第三部分  项目需求</w:t>
      </w:r>
    </w:p>
    <w:bookmarkEnd w:id="0"/>
    <w:bookmarkEnd w:id="1"/>
    <w:bookmarkEnd w:id="2"/>
    <w:p w14:paraId="14966C87">
      <w:pPr>
        <w:snapToGrid w:val="0"/>
        <w:spacing w:line="460" w:lineRule="exact"/>
        <w:ind w:firstLine="480" w:firstLineChars="200"/>
        <w:rPr>
          <w:rFonts w:ascii="宋体" w:hAnsi="宋体" w:cs="宋体"/>
          <w:sz w:val="24"/>
        </w:rPr>
      </w:pPr>
      <w:bookmarkStart w:id="107" w:name="_Toc182848971"/>
      <w:bookmarkStart w:id="108" w:name="OLE_LINK51"/>
      <w:bookmarkStart w:id="109" w:name="OLE_LINK52"/>
      <w:r>
        <w:rPr>
          <w:rFonts w:hint="eastAsia" w:ascii="宋体" w:hAnsi="宋体" w:cs="宋体"/>
          <w:sz w:val="24"/>
          <w:lang w:val="zh-CN"/>
        </w:rPr>
        <w:t>请投标供应商在报名前和制作投标文件时仔细研究项目需求说明。投标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投标供应商提供的货物和服务同采购单位提出的项目需求说明中的技术、商务要求不同的，必须在《技术条款响应一览表》上明</w:t>
      </w:r>
      <w:r>
        <w:rPr>
          <w:rFonts w:hint="eastAsia" w:ascii="宋体" w:hAnsi="宋体" w:cs="宋体"/>
          <w:sz w:val="24"/>
        </w:rPr>
        <w:t>示，如不明示的视同完全响应</w:t>
      </w:r>
      <w:r>
        <w:rPr>
          <w:rFonts w:hint="eastAsia" w:ascii="宋体" w:hAnsi="宋体" w:cs="宋体"/>
          <w:sz w:val="24"/>
          <w:lang w:val="zh-CN"/>
        </w:rPr>
        <w:t>。</w:t>
      </w:r>
      <w:bookmarkEnd w:id="107"/>
    </w:p>
    <w:p w14:paraId="70250E08">
      <w:pPr>
        <w:snapToGrid w:val="0"/>
        <w:spacing w:line="460" w:lineRule="exact"/>
        <w:ind w:firstLine="198"/>
        <w:contextualSpacing/>
        <w:rPr>
          <w:rFonts w:ascii="宋体" w:hAnsi="宋体"/>
          <w:b/>
          <w:sz w:val="24"/>
        </w:rPr>
      </w:pPr>
      <w:r>
        <w:rPr>
          <w:rFonts w:hint="eastAsia" w:ascii="宋体" w:hAnsi="宋体"/>
          <w:b/>
          <w:sz w:val="24"/>
        </w:rPr>
        <w:t>一、背景概述、实现功能要求</w:t>
      </w:r>
    </w:p>
    <w:p w14:paraId="02D2B456">
      <w:pPr>
        <w:snapToGrid w:val="0"/>
        <w:spacing w:line="460" w:lineRule="exact"/>
        <w:ind w:firstLine="198"/>
        <w:contextualSpacing/>
        <w:rPr>
          <w:rFonts w:ascii="宋体" w:hAnsi="宋体"/>
          <w:sz w:val="24"/>
        </w:rPr>
      </w:pPr>
      <w:r>
        <w:rPr>
          <w:rFonts w:hint="eastAsia" w:ascii="宋体" w:hAnsi="宋体"/>
          <w:sz w:val="24"/>
        </w:rPr>
        <w:t>1.地理位置：江苏商贸职业学院（江苏省南通市江通路48号）</w:t>
      </w:r>
    </w:p>
    <w:p w14:paraId="1666F65D">
      <w:pPr>
        <w:snapToGrid w:val="0"/>
        <w:spacing w:line="460" w:lineRule="exact"/>
        <w:ind w:firstLine="198"/>
        <w:contextualSpacing/>
        <w:rPr>
          <w:rFonts w:ascii="宋体" w:hAnsi="宋体"/>
          <w:sz w:val="24"/>
        </w:rPr>
      </w:pPr>
      <w:r>
        <w:rPr>
          <w:rFonts w:hint="eastAsia" w:ascii="宋体" w:hAnsi="宋体"/>
          <w:sz w:val="24"/>
        </w:rPr>
        <w:t>2.项目内容：</w:t>
      </w:r>
    </w:p>
    <w:p w14:paraId="3E487625">
      <w:pPr>
        <w:snapToGrid w:val="0"/>
        <w:spacing w:line="460" w:lineRule="exact"/>
        <w:ind w:firstLine="198"/>
        <w:contextualSpacing/>
        <w:rPr>
          <w:rFonts w:ascii="宋体" w:hAnsi="宋体"/>
          <w:kern w:val="0"/>
          <w:sz w:val="24"/>
        </w:rPr>
      </w:pPr>
      <w:r>
        <w:rPr>
          <w:rFonts w:hint="eastAsia" w:ascii="宋体" w:hAnsi="宋体"/>
          <w:sz w:val="24"/>
        </w:rPr>
        <w:t>（1）开发：</w:t>
      </w:r>
      <w:r>
        <w:rPr>
          <w:rFonts w:hint="eastAsia" w:ascii="宋体" w:hAnsi="宋体"/>
          <w:kern w:val="0"/>
          <w:sz w:val="24"/>
        </w:rPr>
        <w:t>光谱分析及光谱建模平台；</w:t>
      </w:r>
    </w:p>
    <w:p w14:paraId="5BBE8C84">
      <w:pPr>
        <w:snapToGrid w:val="0"/>
        <w:spacing w:line="460" w:lineRule="exact"/>
        <w:ind w:firstLine="198"/>
        <w:contextualSpacing/>
        <w:rPr>
          <w:rFonts w:ascii="宋体"/>
          <w:sz w:val="23"/>
          <w:szCs w:val="23"/>
        </w:rPr>
      </w:pPr>
      <w:r>
        <w:rPr>
          <w:rFonts w:hint="eastAsia" w:ascii="宋体" w:hAnsi="宋体"/>
          <w:sz w:val="24"/>
        </w:rPr>
        <w:t>（2）租赁：无人机2台，云台相机1台，</w:t>
      </w:r>
      <w:r>
        <w:rPr>
          <w:rFonts w:hint="eastAsia" w:ascii="宋体"/>
          <w:sz w:val="23"/>
          <w:szCs w:val="23"/>
        </w:rPr>
        <w:t>无人机取水器</w:t>
      </w:r>
      <w:r>
        <w:rPr>
          <w:rFonts w:hint="eastAsia" w:ascii="宋体" w:hAnsi="宋体"/>
          <w:sz w:val="24"/>
        </w:rPr>
        <w:t>1台、</w:t>
      </w:r>
      <w:r>
        <w:rPr>
          <w:rFonts w:hint="eastAsia" w:ascii="宋体" w:hAnsi="宋体" w:cs="宋体"/>
          <w:sz w:val="24"/>
        </w:rPr>
        <w:t>无人机多参数气体</w:t>
      </w:r>
      <w:r>
        <w:rPr>
          <w:rFonts w:hint="eastAsia" w:ascii="宋体" w:hAnsi="宋体"/>
          <w:sz w:val="24"/>
        </w:rPr>
        <w:t>1台</w:t>
      </w:r>
      <w:r>
        <w:rPr>
          <w:rFonts w:hint="eastAsia" w:ascii="宋体" w:hAnsi="宋体" w:cs="宋体"/>
          <w:sz w:val="24"/>
        </w:rPr>
        <w:t>、</w:t>
      </w:r>
      <w:r>
        <w:rPr>
          <w:rFonts w:ascii="宋体"/>
          <w:sz w:val="23"/>
          <w:szCs w:val="23"/>
        </w:rPr>
        <w:t>无人机载光谱水质测试仪</w:t>
      </w:r>
      <w:r>
        <w:rPr>
          <w:rFonts w:hint="eastAsia" w:ascii="宋体" w:hAnsi="宋体"/>
          <w:sz w:val="24"/>
        </w:rPr>
        <w:t>1台</w:t>
      </w:r>
      <w:r>
        <w:rPr>
          <w:rFonts w:hint="eastAsia" w:ascii="宋体"/>
          <w:sz w:val="23"/>
          <w:szCs w:val="23"/>
        </w:rPr>
        <w:t>、高性能工作站1台；</w:t>
      </w:r>
    </w:p>
    <w:p w14:paraId="458D3032">
      <w:pPr>
        <w:snapToGrid w:val="0"/>
        <w:spacing w:line="460" w:lineRule="exact"/>
        <w:ind w:firstLine="198"/>
        <w:contextualSpacing/>
        <w:rPr>
          <w:rFonts w:ascii="宋体" w:hAnsi="宋体"/>
          <w:sz w:val="24"/>
        </w:rPr>
      </w:pPr>
      <w:r>
        <w:rPr>
          <w:rFonts w:hint="eastAsia" w:ascii="宋体" w:hAnsi="宋体"/>
          <w:sz w:val="24"/>
        </w:rPr>
        <w:t>3.分期情况：一次性供货。</w:t>
      </w:r>
    </w:p>
    <w:p w14:paraId="5757E47C">
      <w:pPr>
        <w:tabs>
          <w:tab w:val="left" w:pos="5325"/>
        </w:tabs>
        <w:autoSpaceDE w:val="0"/>
        <w:autoSpaceDN w:val="0"/>
        <w:adjustRightInd w:val="0"/>
        <w:snapToGrid w:val="0"/>
        <w:spacing w:line="460" w:lineRule="exact"/>
        <w:ind w:firstLine="198"/>
        <w:contextualSpacing/>
        <w:rPr>
          <w:rFonts w:ascii="宋体" w:hAnsi="宋体"/>
          <w:sz w:val="24"/>
          <w:lang w:val="zh-CN"/>
        </w:rPr>
      </w:pPr>
      <w:r>
        <w:rPr>
          <w:rFonts w:hint="eastAsia" w:ascii="宋体" w:hAnsi="宋体"/>
          <w:b/>
          <w:sz w:val="24"/>
        </w:rPr>
        <w:t>二、付款方式</w:t>
      </w:r>
    </w:p>
    <w:p w14:paraId="6AD73354">
      <w:pPr>
        <w:snapToGrid w:val="0"/>
        <w:spacing w:line="460" w:lineRule="exact"/>
        <w:ind w:firstLine="198"/>
        <w:contextualSpacing/>
        <w:rPr>
          <w:rFonts w:ascii="宋体" w:hAnsi="宋体"/>
          <w:sz w:val="24"/>
        </w:rPr>
      </w:pPr>
      <w:r>
        <w:rPr>
          <w:rFonts w:hint="eastAsia" w:ascii="宋体" w:hAnsi="宋体"/>
          <w:sz w:val="24"/>
        </w:rPr>
        <w:t>项目完成验收合格提供发票后1个月内付清全部款项。</w:t>
      </w:r>
    </w:p>
    <w:p w14:paraId="7D8AB61E">
      <w:pPr>
        <w:snapToGrid w:val="0"/>
        <w:spacing w:line="460" w:lineRule="exact"/>
        <w:ind w:firstLine="198"/>
        <w:contextualSpacing/>
        <w:rPr>
          <w:rFonts w:ascii="宋体" w:hAnsi="宋体"/>
          <w:b/>
          <w:sz w:val="24"/>
        </w:rPr>
      </w:pPr>
      <w:r>
        <w:rPr>
          <w:rFonts w:hint="eastAsia" w:ascii="宋体" w:hAnsi="宋体"/>
          <w:b/>
          <w:sz w:val="24"/>
        </w:rPr>
        <w:t>三、项目需求</w:t>
      </w:r>
    </w:p>
    <w:p w14:paraId="5A3F8268">
      <w:pPr>
        <w:snapToGrid w:val="0"/>
        <w:spacing w:line="460" w:lineRule="exact"/>
        <w:ind w:firstLine="198"/>
        <w:contextualSpacing/>
        <w:rPr>
          <w:rFonts w:ascii="宋体" w:hAnsi="宋体"/>
          <w:sz w:val="24"/>
        </w:rPr>
      </w:pPr>
      <w:r>
        <w:rPr>
          <w:rFonts w:ascii="宋体" w:hAnsi="宋体"/>
          <w:sz w:val="24"/>
        </w:rPr>
        <w:t>1</w:t>
      </w:r>
      <w:r>
        <w:rPr>
          <w:rFonts w:hint="eastAsia" w:ascii="宋体" w:hAnsi="宋体"/>
          <w:sz w:val="24"/>
        </w:rPr>
        <w:t>.按大赛要求提供项目内容约定的合格设备供大赛使用；</w:t>
      </w:r>
    </w:p>
    <w:p w14:paraId="7BBB86A7">
      <w:pPr>
        <w:snapToGrid w:val="0"/>
        <w:spacing w:line="460" w:lineRule="exact"/>
        <w:ind w:firstLine="198"/>
        <w:contextualSpacing/>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出租方负责运输、安装调试和拆除；</w:t>
      </w:r>
    </w:p>
    <w:p w14:paraId="4B6B87E5">
      <w:pPr>
        <w:snapToGrid w:val="0"/>
        <w:spacing w:line="460" w:lineRule="exact"/>
        <w:ind w:firstLine="198"/>
        <w:contextualSpacing/>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比赛日期预计是202</w:t>
      </w:r>
      <w:r>
        <w:rPr>
          <w:rFonts w:ascii="宋体" w:hAnsi="宋体"/>
          <w:color w:val="auto"/>
          <w:sz w:val="24"/>
          <w:highlight w:val="none"/>
        </w:rPr>
        <w:t>5</w:t>
      </w:r>
      <w:r>
        <w:rPr>
          <w:rFonts w:hint="eastAsia" w:ascii="宋体" w:hAnsi="宋体"/>
          <w:color w:val="auto"/>
          <w:sz w:val="24"/>
          <w:highlight w:val="none"/>
        </w:rPr>
        <w:t>年8月20日到8月31日，此期间出租方必须负责保障设备良好运行，提供全程技术支持；</w:t>
      </w:r>
    </w:p>
    <w:p w14:paraId="5FF5EDAB">
      <w:pPr>
        <w:snapToGrid w:val="0"/>
        <w:spacing w:line="460" w:lineRule="exact"/>
        <w:ind w:firstLine="198"/>
        <w:contextualSpacing/>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设备需在2025年8月20号之前安装调试到位，2025年9月1日之后拆除运出。</w:t>
      </w:r>
    </w:p>
    <w:p w14:paraId="4541EFE9">
      <w:pPr>
        <w:snapToGrid w:val="0"/>
        <w:spacing w:line="460" w:lineRule="exact"/>
        <w:ind w:firstLine="198"/>
        <w:contextualSpacing/>
        <w:rPr>
          <w:rFonts w:ascii="宋体" w:hAnsi="宋体"/>
          <w:b/>
          <w:sz w:val="24"/>
        </w:rPr>
      </w:pPr>
      <w:r>
        <w:rPr>
          <w:rFonts w:hint="eastAsia" w:ascii="宋体" w:hAnsi="宋体"/>
          <w:b/>
          <w:sz w:val="24"/>
        </w:rPr>
        <w:t>四、其他</w:t>
      </w:r>
    </w:p>
    <w:p w14:paraId="3C75D8A4">
      <w:pPr>
        <w:widowControl/>
        <w:snapToGrid w:val="0"/>
        <w:spacing w:line="460" w:lineRule="exact"/>
        <w:ind w:firstLine="198"/>
        <w:contextualSpacing/>
        <w:rPr>
          <w:rFonts w:ascii="宋体" w:hAnsi="宋体"/>
          <w:b/>
          <w:sz w:val="24"/>
          <w:highlight w:val="none"/>
        </w:rPr>
      </w:pPr>
      <w:r>
        <w:rPr>
          <w:rFonts w:hint="eastAsia" w:ascii="宋体" w:hAnsi="宋体"/>
          <w:b/>
          <w:sz w:val="24"/>
          <w:highlight w:val="none"/>
        </w:rPr>
        <w:t>1.交货期（服务时间）：</w:t>
      </w:r>
      <w:r>
        <w:rPr>
          <w:rFonts w:hint="eastAsia" w:ascii="宋体" w:hAnsi="宋体"/>
          <w:kern w:val="0"/>
          <w:sz w:val="24"/>
          <w:highlight w:val="none"/>
        </w:rPr>
        <w:t>202</w:t>
      </w:r>
      <w:r>
        <w:rPr>
          <w:rFonts w:ascii="宋体" w:hAnsi="宋体"/>
          <w:kern w:val="0"/>
          <w:sz w:val="24"/>
          <w:highlight w:val="none"/>
        </w:rPr>
        <w:t>5</w:t>
      </w:r>
      <w:r>
        <w:rPr>
          <w:rFonts w:hint="eastAsia" w:ascii="宋体" w:hAnsi="宋体"/>
          <w:kern w:val="0"/>
          <w:sz w:val="24"/>
          <w:highlight w:val="none"/>
        </w:rPr>
        <w:t>年8月20日-202</w:t>
      </w:r>
      <w:r>
        <w:rPr>
          <w:rFonts w:ascii="宋体" w:hAnsi="宋体"/>
          <w:kern w:val="0"/>
          <w:sz w:val="24"/>
          <w:highlight w:val="none"/>
        </w:rPr>
        <w:t>5</w:t>
      </w:r>
      <w:r>
        <w:rPr>
          <w:rFonts w:hint="eastAsia" w:ascii="宋体" w:hAnsi="宋体"/>
          <w:kern w:val="0"/>
          <w:sz w:val="24"/>
          <w:highlight w:val="none"/>
        </w:rPr>
        <w:t>年8月31日</w:t>
      </w:r>
    </w:p>
    <w:p w14:paraId="09BB6B5A">
      <w:pPr>
        <w:widowControl/>
        <w:snapToGrid w:val="0"/>
        <w:spacing w:line="460" w:lineRule="exact"/>
        <w:ind w:firstLine="198"/>
        <w:contextualSpacing/>
        <w:rPr>
          <w:rFonts w:ascii="宋体" w:hAnsi="宋体"/>
          <w:sz w:val="24"/>
        </w:rPr>
      </w:pPr>
      <w:r>
        <w:rPr>
          <w:rFonts w:hint="eastAsia" w:ascii="宋体" w:hAnsi="宋体"/>
          <w:b/>
          <w:sz w:val="24"/>
        </w:rPr>
        <w:t>2.交货（服务）地点：</w:t>
      </w:r>
      <w:r>
        <w:rPr>
          <w:rFonts w:hint="eastAsia" w:ascii="宋体" w:hAnsi="宋体"/>
          <w:sz w:val="24"/>
        </w:rPr>
        <w:t>江苏商贸职业学院指定地点</w:t>
      </w:r>
      <w:r>
        <w:rPr>
          <w:rFonts w:ascii="宋体" w:hAnsi="宋体"/>
          <w:sz w:val="24"/>
        </w:rPr>
        <w:t>。</w:t>
      </w:r>
    </w:p>
    <w:p w14:paraId="6347F41D">
      <w:pPr>
        <w:widowControl/>
        <w:snapToGrid w:val="0"/>
        <w:spacing w:line="460" w:lineRule="exact"/>
        <w:ind w:firstLine="198"/>
        <w:rPr>
          <w:rFonts w:ascii="宋体" w:hAnsi="宋体"/>
          <w:sz w:val="24"/>
        </w:rPr>
      </w:pPr>
      <w:r>
        <w:rPr>
          <w:rFonts w:hint="eastAsia" w:ascii="宋体" w:hAnsi="宋体"/>
          <w:b/>
          <w:sz w:val="24"/>
        </w:rPr>
        <w:t>3.验收的具体方案：</w:t>
      </w:r>
      <w:r>
        <w:rPr>
          <w:rFonts w:hint="eastAsia" w:ascii="宋体" w:hAnsi="宋体"/>
          <w:sz w:val="24"/>
        </w:rPr>
        <w:t>比赛顺利结束以后，学校相关部门按验收工作流程组织相关专业技术人员，必要时相关部门共同参与验收，并出具验收报告，作为支付款项的依据。</w:t>
      </w:r>
    </w:p>
    <w:p w14:paraId="42CE8C09">
      <w:pPr>
        <w:snapToGrid w:val="0"/>
        <w:spacing w:line="460" w:lineRule="exact"/>
        <w:ind w:firstLine="198"/>
        <w:contextualSpacing/>
        <w:rPr>
          <w:rFonts w:ascii="宋体" w:hAnsi="宋体"/>
          <w:b/>
          <w:sz w:val="24"/>
        </w:rPr>
      </w:pPr>
      <w:r>
        <w:rPr>
          <w:rFonts w:hint="eastAsia" w:ascii="宋体" w:hAnsi="宋体"/>
          <w:b/>
          <w:sz w:val="24"/>
        </w:rPr>
        <w:t>五、单套设备要求如下</w:t>
      </w:r>
    </w:p>
    <w:p w14:paraId="3FC4E1A3">
      <w:pPr>
        <w:spacing w:line="400" w:lineRule="exact"/>
        <w:jc w:val="center"/>
        <w:rPr>
          <w:rFonts w:ascii="宋体" w:hAnsi="宋体"/>
          <w:b/>
          <w:bCs/>
          <w:sz w:val="23"/>
          <w:szCs w:val="23"/>
        </w:rPr>
      </w:pPr>
    </w:p>
    <w:tbl>
      <w:tblPr>
        <w:tblStyle w:val="39"/>
        <w:tblW w:w="9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22"/>
        <w:gridCol w:w="5357"/>
        <w:gridCol w:w="709"/>
        <w:gridCol w:w="709"/>
        <w:gridCol w:w="850"/>
      </w:tblGrid>
      <w:tr w14:paraId="34FE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8" w:type="dxa"/>
            <w:vAlign w:val="center"/>
          </w:tcPr>
          <w:p w14:paraId="18CFB23D">
            <w:pPr>
              <w:spacing w:line="400" w:lineRule="exact"/>
              <w:jc w:val="center"/>
              <w:rPr>
                <w:rFonts w:ascii="宋体" w:hAnsi="宋体"/>
                <w:b/>
                <w:bCs/>
                <w:sz w:val="23"/>
                <w:szCs w:val="23"/>
              </w:rPr>
            </w:pPr>
            <w:r>
              <w:rPr>
                <w:rFonts w:ascii="宋体" w:hAnsi="宋体"/>
                <w:b/>
                <w:bCs/>
                <w:sz w:val="23"/>
                <w:szCs w:val="23"/>
              </w:rPr>
              <w:t>序号</w:t>
            </w:r>
          </w:p>
        </w:tc>
        <w:tc>
          <w:tcPr>
            <w:tcW w:w="1622" w:type="dxa"/>
            <w:vAlign w:val="center"/>
          </w:tcPr>
          <w:p w14:paraId="169B2E7A">
            <w:pPr>
              <w:spacing w:line="400" w:lineRule="exact"/>
              <w:jc w:val="center"/>
              <w:rPr>
                <w:rFonts w:ascii="宋体" w:hAnsi="宋体"/>
                <w:b/>
                <w:bCs/>
                <w:sz w:val="23"/>
                <w:szCs w:val="23"/>
              </w:rPr>
            </w:pPr>
            <w:r>
              <w:rPr>
                <w:rFonts w:ascii="宋体" w:hAnsi="宋体"/>
                <w:b/>
                <w:bCs/>
                <w:sz w:val="23"/>
                <w:szCs w:val="23"/>
              </w:rPr>
              <w:t>器材名称</w:t>
            </w:r>
          </w:p>
        </w:tc>
        <w:tc>
          <w:tcPr>
            <w:tcW w:w="5357" w:type="dxa"/>
            <w:vAlign w:val="center"/>
          </w:tcPr>
          <w:p w14:paraId="1BB98A83">
            <w:pPr>
              <w:spacing w:line="400" w:lineRule="exact"/>
              <w:jc w:val="center"/>
              <w:rPr>
                <w:rFonts w:ascii="宋体" w:hAnsi="宋体"/>
                <w:b/>
                <w:bCs/>
                <w:sz w:val="23"/>
                <w:szCs w:val="23"/>
              </w:rPr>
            </w:pPr>
            <w:r>
              <w:rPr>
                <w:rFonts w:ascii="宋体" w:hAnsi="宋体"/>
                <w:b/>
                <w:bCs/>
                <w:sz w:val="23"/>
                <w:szCs w:val="23"/>
              </w:rPr>
              <w:t>器材</w:t>
            </w:r>
            <w:r>
              <w:rPr>
                <w:rFonts w:hint="eastAsia" w:ascii="宋体" w:hAnsi="宋体"/>
                <w:b/>
                <w:bCs/>
                <w:sz w:val="23"/>
                <w:szCs w:val="23"/>
              </w:rPr>
              <w:t>、</w:t>
            </w:r>
            <w:r>
              <w:rPr>
                <w:rFonts w:ascii="宋体" w:hAnsi="宋体"/>
                <w:b/>
                <w:bCs/>
                <w:sz w:val="23"/>
                <w:szCs w:val="23"/>
              </w:rPr>
              <w:t>规格</w:t>
            </w:r>
            <w:r>
              <w:rPr>
                <w:rFonts w:hint="eastAsia" w:ascii="宋体" w:hAnsi="宋体"/>
                <w:b/>
                <w:bCs/>
                <w:sz w:val="23"/>
                <w:szCs w:val="23"/>
              </w:rPr>
              <w:t>说明</w:t>
            </w:r>
          </w:p>
        </w:tc>
        <w:tc>
          <w:tcPr>
            <w:tcW w:w="709" w:type="dxa"/>
            <w:vAlign w:val="center"/>
          </w:tcPr>
          <w:p w14:paraId="6AD8A6B1">
            <w:pPr>
              <w:spacing w:line="400" w:lineRule="exact"/>
              <w:jc w:val="center"/>
              <w:rPr>
                <w:rFonts w:ascii="宋体" w:hAnsi="宋体"/>
                <w:b/>
                <w:bCs/>
                <w:sz w:val="23"/>
                <w:szCs w:val="23"/>
              </w:rPr>
            </w:pPr>
            <w:r>
              <w:rPr>
                <w:rFonts w:ascii="宋体" w:hAnsi="宋体"/>
                <w:b/>
                <w:bCs/>
                <w:sz w:val="23"/>
                <w:szCs w:val="23"/>
              </w:rPr>
              <w:t>数量</w:t>
            </w:r>
          </w:p>
        </w:tc>
        <w:tc>
          <w:tcPr>
            <w:tcW w:w="709" w:type="dxa"/>
            <w:vAlign w:val="center"/>
          </w:tcPr>
          <w:p w14:paraId="6B219DCF">
            <w:pPr>
              <w:spacing w:line="400" w:lineRule="exact"/>
              <w:jc w:val="center"/>
              <w:rPr>
                <w:rFonts w:ascii="宋体" w:hAnsi="宋体"/>
                <w:b/>
                <w:bCs/>
                <w:sz w:val="23"/>
                <w:szCs w:val="23"/>
              </w:rPr>
            </w:pPr>
            <w:r>
              <w:rPr>
                <w:rFonts w:ascii="宋体" w:hAnsi="宋体"/>
                <w:b/>
                <w:bCs/>
                <w:sz w:val="23"/>
                <w:szCs w:val="23"/>
              </w:rPr>
              <w:t>单位</w:t>
            </w:r>
          </w:p>
        </w:tc>
        <w:tc>
          <w:tcPr>
            <w:tcW w:w="850" w:type="dxa"/>
            <w:vAlign w:val="center"/>
          </w:tcPr>
          <w:p w14:paraId="5CE049B6">
            <w:pPr>
              <w:spacing w:line="400" w:lineRule="exact"/>
              <w:jc w:val="center"/>
              <w:rPr>
                <w:rFonts w:ascii="宋体" w:hAnsi="宋体"/>
                <w:b/>
                <w:bCs/>
                <w:sz w:val="23"/>
                <w:szCs w:val="23"/>
              </w:rPr>
            </w:pPr>
            <w:r>
              <w:rPr>
                <w:rFonts w:ascii="宋体" w:hAnsi="宋体"/>
                <w:b/>
                <w:bCs/>
                <w:sz w:val="23"/>
                <w:szCs w:val="23"/>
              </w:rPr>
              <w:t>备注</w:t>
            </w:r>
          </w:p>
        </w:tc>
      </w:tr>
      <w:tr w14:paraId="5075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8" w:type="dxa"/>
            <w:vAlign w:val="center"/>
          </w:tcPr>
          <w:p w14:paraId="20869EEE">
            <w:pPr>
              <w:widowControl/>
              <w:numPr>
                <w:ilvl w:val="0"/>
                <w:numId w:val="1"/>
              </w:numPr>
              <w:adjustRightInd w:val="0"/>
              <w:snapToGrid w:val="0"/>
              <w:spacing w:line="400" w:lineRule="exact"/>
              <w:jc w:val="center"/>
              <w:rPr>
                <w:rFonts w:ascii="宋体" w:hAnsi="宋体"/>
                <w:sz w:val="23"/>
                <w:szCs w:val="23"/>
              </w:rPr>
            </w:pPr>
          </w:p>
        </w:tc>
        <w:tc>
          <w:tcPr>
            <w:tcW w:w="1622" w:type="dxa"/>
            <w:vAlign w:val="center"/>
          </w:tcPr>
          <w:p w14:paraId="2D13FAE1">
            <w:pPr>
              <w:widowControl/>
              <w:adjustRightInd w:val="0"/>
              <w:snapToGrid w:val="0"/>
              <w:jc w:val="center"/>
              <w:rPr>
                <w:rFonts w:ascii="宋体"/>
                <w:kern w:val="0"/>
                <w:sz w:val="23"/>
                <w:szCs w:val="23"/>
              </w:rPr>
            </w:pPr>
            <w:r>
              <w:rPr>
                <w:rFonts w:hint="eastAsia" w:ascii="宋体"/>
                <w:kern w:val="0"/>
                <w:sz w:val="24"/>
                <w:szCs w:val="20"/>
              </w:rPr>
              <w:t>光谱分析</w:t>
            </w:r>
          </w:p>
        </w:tc>
        <w:tc>
          <w:tcPr>
            <w:tcW w:w="5357" w:type="dxa"/>
          </w:tcPr>
          <w:p w14:paraId="6C53EFF4">
            <w:pPr>
              <w:numPr>
                <w:ilvl w:val="0"/>
                <w:numId w:val="2"/>
              </w:numPr>
              <w:rPr>
                <w:rFonts w:ascii="宋体" w:hAnsi="宋体" w:cs="宋体"/>
                <w:kern w:val="0"/>
                <w:sz w:val="24"/>
              </w:rPr>
            </w:pPr>
            <w:r>
              <w:rPr>
                <w:rFonts w:hint="eastAsia" w:ascii="宋体" w:hAnsi="宋体" w:cs="宋体"/>
                <w:kern w:val="0"/>
                <w:sz w:val="24"/>
              </w:rPr>
              <w:t>具备分布式光谱数据预处理功能，可是实现对光谱影像数据去马赛克、几何校正和图像拼接，获得测试区域的拼接影像；</w:t>
            </w:r>
          </w:p>
          <w:p w14:paraId="60D763B6">
            <w:pPr>
              <w:numPr>
                <w:ilvl w:val="0"/>
                <w:numId w:val="2"/>
              </w:numPr>
              <w:rPr>
                <w:rFonts w:ascii="宋体" w:hAnsi="宋体" w:cs="宋体"/>
                <w:kern w:val="0"/>
                <w:sz w:val="24"/>
              </w:rPr>
            </w:pPr>
            <w:r>
              <w:rPr>
                <w:rFonts w:hint="eastAsia" w:ascii="宋体" w:hAnsi="宋体" w:cs="宋体"/>
                <w:kern w:val="0"/>
                <w:sz w:val="24"/>
              </w:rPr>
              <w:t>具备一键式拼接，选择输入光谱文件后，无需交互式操作，直接获得测试区域的光谱拼接影像</w:t>
            </w:r>
          </w:p>
          <w:p w14:paraId="1CD29015">
            <w:pPr>
              <w:numPr>
                <w:ilvl w:val="0"/>
                <w:numId w:val="2"/>
              </w:numPr>
              <w:rPr>
                <w:rFonts w:ascii="宋体" w:hAnsi="宋体" w:cs="宋体"/>
                <w:kern w:val="0"/>
                <w:sz w:val="24"/>
              </w:rPr>
            </w:pPr>
            <w:r>
              <w:rPr>
                <w:rFonts w:hint="eastAsia" w:ascii="宋体" w:hAnsi="宋体" w:cs="宋体"/>
                <w:kern w:val="0"/>
                <w:sz w:val="24"/>
              </w:rPr>
              <w:t>支持打开多种类型文件—影像数据、矢量文件；</w:t>
            </w:r>
          </w:p>
          <w:p w14:paraId="3797220C">
            <w:pPr>
              <w:numPr>
                <w:ilvl w:val="0"/>
                <w:numId w:val="2"/>
              </w:numPr>
              <w:rPr>
                <w:rFonts w:ascii="宋体" w:hAnsi="宋体" w:cs="宋体"/>
                <w:kern w:val="0"/>
                <w:sz w:val="24"/>
              </w:rPr>
            </w:pPr>
            <w:r>
              <w:rPr>
                <w:rFonts w:hint="eastAsia" w:ascii="宋体" w:hAnsi="宋体" w:cs="宋体"/>
                <w:kern w:val="0"/>
                <w:sz w:val="24"/>
              </w:rPr>
              <w:t>可加载在线地图软件中可选择放大及缩小鹰眼显示，光谱数据可任意放大及缩小，展示数据不同尺度细节；</w:t>
            </w:r>
          </w:p>
          <w:p w14:paraId="4DEC7299">
            <w:pPr>
              <w:numPr>
                <w:ilvl w:val="0"/>
                <w:numId w:val="2"/>
              </w:numPr>
              <w:rPr>
                <w:rFonts w:ascii="宋体" w:hAnsi="宋体" w:cs="宋体"/>
                <w:kern w:val="0"/>
                <w:sz w:val="24"/>
              </w:rPr>
            </w:pPr>
            <w:r>
              <w:rPr>
                <w:rFonts w:hint="eastAsia" w:ascii="宋体" w:hAnsi="宋体" w:cs="宋体"/>
                <w:kern w:val="0"/>
                <w:sz w:val="24"/>
              </w:rPr>
              <w:t>可在地图上任意选择空间书签进行标点，记录标点的经纬度坐标，可选择多种坐标参考系；</w:t>
            </w:r>
          </w:p>
          <w:p w14:paraId="13C18D23">
            <w:pPr>
              <w:numPr>
                <w:ilvl w:val="0"/>
                <w:numId w:val="2"/>
              </w:numPr>
              <w:rPr>
                <w:rFonts w:ascii="宋体" w:hAnsi="宋体" w:cs="宋体"/>
                <w:kern w:val="0"/>
                <w:sz w:val="24"/>
              </w:rPr>
            </w:pPr>
            <w:r>
              <w:rPr>
                <w:rFonts w:hint="eastAsia" w:ascii="宋体" w:hAnsi="宋体" w:cs="宋体"/>
                <w:kern w:val="0"/>
                <w:sz w:val="24"/>
              </w:rPr>
              <w:t>具有测距、面积测量、统计功能，可实现河道长度的侧量以及面积的计算；</w:t>
            </w:r>
          </w:p>
          <w:p w14:paraId="2F275BC2">
            <w:pPr>
              <w:numPr>
                <w:ilvl w:val="0"/>
                <w:numId w:val="2"/>
              </w:numPr>
              <w:rPr>
                <w:rFonts w:ascii="宋体" w:hAnsi="宋体" w:cs="宋体"/>
                <w:kern w:val="0"/>
                <w:sz w:val="24"/>
              </w:rPr>
            </w:pPr>
            <w:r>
              <w:rPr>
                <w:rFonts w:hint="eastAsia" w:ascii="宋体" w:hAnsi="宋体" w:cs="宋体"/>
                <w:kern w:val="0"/>
                <w:sz w:val="24"/>
              </w:rPr>
              <w:t>可对光谱数据进行调整波段显示、色彩拉伸、查看光谱动画以及光谱曲线，导出光谱曲线；</w:t>
            </w:r>
          </w:p>
          <w:p w14:paraId="0139E2FC">
            <w:pPr>
              <w:numPr>
                <w:ilvl w:val="0"/>
                <w:numId w:val="2"/>
              </w:numPr>
              <w:rPr>
                <w:rFonts w:ascii="宋体" w:hAnsi="宋体" w:cs="宋体"/>
                <w:kern w:val="0"/>
                <w:sz w:val="24"/>
              </w:rPr>
            </w:pPr>
            <w:r>
              <w:rPr>
                <w:rFonts w:hint="eastAsia" w:ascii="宋体" w:hAnsi="宋体" w:cs="宋体"/>
                <w:kern w:val="0"/>
                <w:sz w:val="24"/>
              </w:rPr>
              <w:t>可应用于各种行业应用水资源、土壤、植被指数、作物长势等。</w:t>
            </w:r>
          </w:p>
          <w:p w14:paraId="1086CBC6">
            <w:pPr>
              <w:numPr>
                <w:ilvl w:val="0"/>
                <w:numId w:val="2"/>
              </w:numPr>
              <w:rPr>
                <w:rFonts w:ascii="宋体" w:hAnsi="宋体" w:cs="宋体"/>
                <w:kern w:val="0"/>
                <w:sz w:val="24"/>
              </w:rPr>
            </w:pPr>
            <w:r>
              <w:rPr>
                <w:rFonts w:hint="eastAsia" w:ascii="宋体" w:hAnsi="宋体" w:cs="宋体"/>
                <w:kern w:val="0"/>
                <w:sz w:val="24"/>
              </w:rPr>
              <w:t>可通过光谱对河道湖泊水质进行反演，指标包含总氮、总磷、高锰酸盐指数、叶绿素a、氨氮、溶解氧等指标；</w:t>
            </w:r>
          </w:p>
          <w:p w14:paraId="3C33179C">
            <w:pPr>
              <w:rPr>
                <w:rFonts w:ascii="宋体" w:hAnsi="宋体" w:cs="宋体"/>
                <w:kern w:val="0"/>
                <w:sz w:val="24"/>
              </w:rPr>
            </w:pPr>
            <w:r>
              <w:rPr>
                <w:rFonts w:hint="eastAsia" w:ascii="宋体" w:cs="宋体"/>
                <w:kern w:val="0"/>
                <w:sz w:val="24"/>
              </w:rPr>
              <w:t>10.</w:t>
            </w:r>
            <w:r>
              <w:rPr>
                <w:rFonts w:hint="eastAsia" w:ascii="宋体" w:hAnsi="宋体" w:cs="宋体"/>
                <w:kern w:val="0"/>
                <w:sz w:val="24"/>
              </w:rPr>
              <w:t>可对反演的水质指标高值区进行识别，标出疑似污染源；</w:t>
            </w:r>
          </w:p>
          <w:p w14:paraId="01A51EE3">
            <w:pPr>
              <w:rPr>
                <w:rFonts w:ascii="宋体"/>
                <w:kern w:val="0"/>
                <w:sz w:val="23"/>
                <w:szCs w:val="23"/>
              </w:rPr>
            </w:pPr>
            <w:r>
              <w:rPr>
                <w:rFonts w:hint="eastAsia" w:ascii="宋体" w:cs="宋体"/>
                <w:kern w:val="0"/>
                <w:sz w:val="24"/>
              </w:rPr>
              <w:t>11.</w:t>
            </w:r>
            <w:r>
              <w:rPr>
                <w:rFonts w:hint="eastAsia" w:ascii="宋体" w:hAnsi="宋体" w:cs="宋体"/>
                <w:kern w:val="0"/>
                <w:sz w:val="24"/>
              </w:rPr>
              <w:t>可通过输入采样的化学指标对反演模型进行标定对比，优化现有模型。</w:t>
            </w:r>
          </w:p>
        </w:tc>
        <w:tc>
          <w:tcPr>
            <w:tcW w:w="709" w:type="dxa"/>
            <w:vAlign w:val="center"/>
          </w:tcPr>
          <w:p w14:paraId="0E1D1030">
            <w:pPr>
              <w:widowControl/>
              <w:adjustRightInd w:val="0"/>
              <w:snapToGrid w:val="0"/>
              <w:jc w:val="center"/>
              <w:rPr>
                <w:rFonts w:ascii="宋体"/>
                <w:kern w:val="0"/>
                <w:sz w:val="23"/>
                <w:szCs w:val="23"/>
              </w:rPr>
            </w:pPr>
            <w:r>
              <w:rPr>
                <w:rFonts w:ascii="宋体"/>
                <w:kern w:val="0"/>
                <w:sz w:val="23"/>
                <w:szCs w:val="23"/>
              </w:rPr>
              <w:t>1</w:t>
            </w:r>
          </w:p>
        </w:tc>
        <w:tc>
          <w:tcPr>
            <w:tcW w:w="709" w:type="dxa"/>
            <w:vAlign w:val="center"/>
          </w:tcPr>
          <w:p w14:paraId="0DBE0D3E">
            <w:pPr>
              <w:widowControl/>
              <w:adjustRightInd w:val="0"/>
              <w:snapToGrid w:val="0"/>
              <w:jc w:val="center"/>
              <w:rPr>
                <w:rFonts w:ascii="宋体"/>
                <w:kern w:val="0"/>
                <w:sz w:val="23"/>
                <w:szCs w:val="23"/>
              </w:rPr>
            </w:pPr>
            <w:r>
              <w:rPr>
                <w:rFonts w:ascii="宋体"/>
                <w:kern w:val="0"/>
                <w:sz w:val="23"/>
                <w:szCs w:val="23"/>
              </w:rPr>
              <w:t>套</w:t>
            </w:r>
          </w:p>
        </w:tc>
        <w:tc>
          <w:tcPr>
            <w:tcW w:w="850" w:type="dxa"/>
            <w:vAlign w:val="center"/>
          </w:tcPr>
          <w:p w14:paraId="7C81D8D6">
            <w:pPr>
              <w:widowControl/>
              <w:adjustRightInd w:val="0"/>
              <w:snapToGrid w:val="0"/>
              <w:jc w:val="center"/>
              <w:rPr>
                <w:rFonts w:ascii="宋体"/>
                <w:kern w:val="0"/>
                <w:sz w:val="23"/>
                <w:szCs w:val="23"/>
              </w:rPr>
            </w:pPr>
          </w:p>
        </w:tc>
      </w:tr>
      <w:tr w14:paraId="5669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8" w:type="dxa"/>
            <w:vAlign w:val="center"/>
          </w:tcPr>
          <w:p w14:paraId="6F8BD804">
            <w:pPr>
              <w:widowControl/>
              <w:numPr>
                <w:ilvl w:val="0"/>
                <w:numId w:val="1"/>
              </w:numPr>
              <w:adjustRightInd w:val="0"/>
              <w:snapToGrid w:val="0"/>
              <w:spacing w:line="400" w:lineRule="exact"/>
              <w:jc w:val="center"/>
              <w:rPr>
                <w:rFonts w:ascii="宋体" w:hAnsi="宋体"/>
                <w:sz w:val="23"/>
                <w:szCs w:val="23"/>
              </w:rPr>
            </w:pPr>
          </w:p>
        </w:tc>
        <w:tc>
          <w:tcPr>
            <w:tcW w:w="1622" w:type="dxa"/>
            <w:vAlign w:val="center"/>
          </w:tcPr>
          <w:p w14:paraId="25E06800">
            <w:pPr>
              <w:widowControl/>
              <w:adjustRightInd w:val="0"/>
              <w:snapToGrid w:val="0"/>
              <w:jc w:val="center"/>
              <w:rPr>
                <w:rFonts w:ascii="宋体"/>
                <w:kern w:val="0"/>
                <w:sz w:val="23"/>
                <w:szCs w:val="23"/>
              </w:rPr>
            </w:pPr>
            <w:r>
              <w:rPr>
                <w:rFonts w:hint="eastAsia" w:ascii="宋体" w:cs="宋体"/>
                <w:kern w:val="0"/>
                <w:sz w:val="24"/>
              </w:rPr>
              <w:t>光谱建模</w:t>
            </w:r>
          </w:p>
        </w:tc>
        <w:tc>
          <w:tcPr>
            <w:tcW w:w="5357" w:type="dxa"/>
          </w:tcPr>
          <w:p w14:paraId="7B458721">
            <w:pPr>
              <w:rPr>
                <w:rFonts w:ascii="宋体" w:cs="宋体"/>
                <w:kern w:val="0"/>
                <w:sz w:val="24"/>
              </w:rPr>
            </w:pPr>
            <w:r>
              <w:rPr>
                <w:rFonts w:hint="eastAsia" w:ascii="宋体" w:cs="宋体"/>
                <w:kern w:val="0"/>
                <w:sz w:val="24"/>
              </w:rPr>
              <w:t>1.具备数据管理功能，可对标签数据，数据来源进行分类管理。并对已有数据进行统计。</w:t>
            </w:r>
          </w:p>
          <w:p w14:paraId="205A82A4">
            <w:pPr>
              <w:rPr>
                <w:rFonts w:ascii="宋体" w:cs="宋体"/>
                <w:kern w:val="0"/>
                <w:sz w:val="24"/>
              </w:rPr>
            </w:pPr>
            <w:r>
              <w:rPr>
                <w:rFonts w:hint="eastAsia" w:ascii="宋体" w:cs="宋体"/>
                <w:kern w:val="0"/>
                <w:sz w:val="24"/>
              </w:rPr>
              <w:t>2.具备算法工厂可对光谱数据进行模型构建，模型的构建须包含数据的预处理以及模型构建两部分。</w:t>
            </w:r>
          </w:p>
          <w:p w14:paraId="0D6D7325">
            <w:pPr>
              <w:widowControl/>
              <w:jc w:val="left"/>
              <w:rPr>
                <w:rFonts w:ascii="宋体" w:cs="宋体"/>
                <w:kern w:val="0"/>
                <w:sz w:val="24"/>
              </w:rPr>
            </w:pPr>
            <w:r>
              <w:rPr>
                <w:rFonts w:hint="eastAsia" w:ascii="宋体" w:cs="宋体"/>
                <w:kern w:val="0"/>
                <w:sz w:val="24"/>
              </w:rPr>
              <w:t>3.数据预处理模块至少须包含</w:t>
            </w:r>
            <w:r>
              <w:rPr>
                <w:rFonts w:hint="eastAsia" w:ascii="宋体" w:hAnsi="宋体" w:cs="宋体"/>
                <w:color w:val="000000"/>
                <w:kern w:val="0"/>
                <w:sz w:val="24"/>
              </w:rPr>
              <w:t>预处理方法包括数据筛选叶欧氏距离法、光谱重采样、光谱处理叶SG 平滑、多元散射校准、 一阶导、二阶导、基线校准、标准正态变换、最大值最小值归一化、特征波长选择。</w:t>
            </w:r>
          </w:p>
          <w:p w14:paraId="30DDCC5C">
            <w:pPr>
              <w:rPr>
                <w:rFonts w:ascii="宋体" w:cs="宋体"/>
                <w:kern w:val="0"/>
                <w:sz w:val="24"/>
              </w:rPr>
            </w:pPr>
            <w:r>
              <w:rPr>
                <w:rFonts w:hint="eastAsia" w:ascii="宋体" w:cs="宋体"/>
                <w:kern w:val="0"/>
                <w:sz w:val="24"/>
              </w:rPr>
              <w:t>4.构建的模型可以进行管理以及验证，可导出模型结果以及与实际采集数据的对比图表。</w:t>
            </w:r>
          </w:p>
          <w:p w14:paraId="105F70D6">
            <w:pPr>
              <w:rPr>
                <w:rFonts w:ascii="宋体" w:cs="宋体"/>
                <w:kern w:val="0"/>
                <w:sz w:val="24"/>
              </w:rPr>
            </w:pPr>
            <w:r>
              <w:rPr>
                <w:rFonts w:hint="eastAsia" w:ascii="宋体" w:cs="宋体"/>
                <w:kern w:val="0"/>
                <w:sz w:val="24"/>
              </w:rPr>
              <w:t>5.可导入光谱数据对自建的模型进行验证，且能基于模型算法生成反演值热力图。</w:t>
            </w:r>
          </w:p>
        </w:tc>
        <w:tc>
          <w:tcPr>
            <w:tcW w:w="709" w:type="dxa"/>
            <w:vAlign w:val="center"/>
          </w:tcPr>
          <w:p w14:paraId="0F92D610">
            <w:pPr>
              <w:widowControl/>
              <w:adjustRightInd w:val="0"/>
              <w:snapToGrid w:val="0"/>
              <w:jc w:val="center"/>
              <w:rPr>
                <w:rFonts w:ascii="宋体"/>
                <w:kern w:val="0"/>
                <w:sz w:val="23"/>
                <w:szCs w:val="23"/>
              </w:rPr>
            </w:pPr>
            <w:r>
              <w:rPr>
                <w:rFonts w:ascii="宋体"/>
                <w:kern w:val="0"/>
                <w:sz w:val="23"/>
                <w:szCs w:val="23"/>
              </w:rPr>
              <w:t>1</w:t>
            </w:r>
          </w:p>
        </w:tc>
        <w:tc>
          <w:tcPr>
            <w:tcW w:w="709" w:type="dxa"/>
            <w:vAlign w:val="center"/>
          </w:tcPr>
          <w:p w14:paraId="0E2FF998">
            <w:pPr>
              <w:widowControl/>
              <w:adjustRightInd w:val="0"/>
              <w:snapToGrid w:val="0"/>
              <w:jc w:val="center"/>
              <w:rPr>
                <w:rFonts w:ascii="宋体"/>
                <w:kern w:val="0"/>
                <w:sz w:val="23"/>
                <w:szCs w:val="23"/>
              </w:rPr>
            </w:pPr>
            <w:r>
              <w:rPr>
                <w:rFonts w:ascii="宋体"/>
                <w:kern w:val="0"/>
                <w:sz w:val="23"/>
                <w:szCs w:val="23"/>
              </w:rPr>
              <w:t>套</w:t>
            </w:r>
          </w:p>
        </w:tc>
        <w:tc>
          <w:tcPr>
            <w:tcW w:w="850" w:type="dxa"/>
            <w:vAlign w:val="center"/>
          </w:tcPr>
          <w:p w14:paraId="0B0C468A">
            <w:pPr>
              <w:widowControl/>
              <w:adjustRightInd w:val="0"/>
              <w:snapToGrid w:val="0"/>
              <w:jc w:val="center"/>
              <w:rPr>
                <w:rFonts w:ascii="宋体"/>
                <w:kern w:val="0"/>
                <w:sz w:val="23"/>
                <w:szCs w:val="23"/>
              </w:rPr>
            </w:pPr>
          </w:p>
        </w:tc>
      </w:tr>
      <w:tr w14:paraId="0589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8" w:type="dxa"/>
            <w:vAlign w:val="center"/>
          </w:tcPr>
          <w:p w14:paraId="67B0FE22">
            <w:pPr>
              <w:widowControl/>
              <w:numPr>
                <w:ilvl w:val="0"/>
                <w:numId w:val="1"/>
              </w:numPr>
              <w:adjustRightInd w:val="0"/>
              <w:snapToGrid w:val="0"/>
              <w:spacing w:line="400" w:lineRule="exact"/>
              <w:jc w:val="center"/>
              <w:rPr>
                <w:rFonts w:ascii="宋体" w:hAnsi="宋体"/>
                <w:sz w:val="23"/>
                <w:szCs w:val="23"/>
              </w:rPr>
            </w:pPr>
          </w:p>
        </w:tc>
        <w:tc>
          <w:tcPr>
            <w:tcW w:w="1622" w:type="dxa"/>
            <w:vAlign w:val="center"/>
          </w:tcPr>
          <w:p w14:paraId="46158F77">
            <w:pPr>
              <w:widowControl/>
              <w:adjustRightInd w:val="0"/>
              <w:snapToGrid w:val="0"/>
              <w:jc w:val="center"/>
              <w:rPr>
                <w:rFonts w:ascii="宋体"/>
                <w:kern w:val="0"/>
                <w:sz w:val="23"/>
                <w:szCs w:val="23"/>
              </w:rPr>
            </w:pPr>
            <w:r>
              <w:rPr>
                <w:rFonts w:hint="eastAsia" w:ascii="宋体" w:cs="宋体"/>
                <w:kern w:val="0"/>
                <w:sz w:val="24"/>
              </w:rPr>
              <w:t>无人机</w:t>
            </w:r>
          </w:p>
        </w:tc>
        <w:tc>
          <w:tcPr>
            <w:tcW w:w="5357" w:type="dxa"/>
          </w:tcPr>
          <w:p w14:paraId="7D387124">
            <w:pPr>
              <w:rPr>
                <w:rFonts w:ascii="宋体" w:cs="宋体"/>
                <w:kern w:val="0"/>
                <w:sz w:val="24"/>
              </w:rPr>
            </w:pPr>
            <w:r>
              <w:rPr>
                <w:rFonts w:ascii="宋体" w:hAnsi="宋体" w:cs="宋体"/>
                <w:sz w:val="24"/>
              </w:rPr>
              <w:t>1.</w:t>
            </w:r>
            <w:r>
              <w:rPr>
                <w:rFonts w:ascii="宋体" w:cs="宋体"/>
                <w:kern w:val="0"/>
                <w:sz w:val="24"/>
              </w:rPr>
              <w:t>裸机重量（含电池）</w:t>
            </w:r>
            <w:r>
              <w:rPr>
                <w:rFonts w:hint="eastAsia" w:ascii="宋体" w:cs="宋体"/>
                <w:kern w:val="0"/>
                <w:sz w:val="24"/>
              </w:rPr>
              <w:t>:</w:t>
            </w:r>
            <w:r>
              <w:rPr>
                <w:rFonts w:ascii="宋体" w:cs="宋体"/>
                <w:kern w:val="0"/>
                <w:sz w:val="24"/>
              </w:rPr>
              <w:t>＜10千克</w:t>
            </w:r>
          </w:p>
          <w:p w14:paraId="4C339DA8">
            <w:pPr>
              <w:rPr>
                <w:rFonts w:ascii="宋体" w:cs="宋体"/>
                <w:kern w:val="0"/>
                <w:sz w:val="24"/>
              </w:rPr>
            </w:pPr>
            <w:r>
              <w:rPr>
                <w:rFonts w:ascii="宋体" w:hAnsi="宋体" w:cs="宋体"/>
                <w:sz w:val="24"/>
              </w:rPr>
              <w:t>2.</w:t>
            </w:r>
            <w:r>
              <w:rPr>
                <w:rFonts w:ascii="宋体" w:cs="宋体"/>
                <w:kern w:val="0"/>
                <w:sz w:val="24"/>
              </w:rPr>
              <w:t>尺寸</w:t>
            </w:r>
            <w:r>
              <w:rPr>
                <w:rFonts w:hint="eastAsia" w:ascii="宋体" w:cs="宋体"/>
                <w:kern w:val="0"/>
                <w:sz w:val="24"/>
              </w:rPr>
              <w:t>:</w:t>
            </w:r>
            <w:r>
              <w:rPr>
                <w:rFonts w:ascii="宋体" w:cs="宋体"/>
                <w:kern w:val="0"/>
                <w:sz w:val="24"/>
              </w:rPr>
              <w:t>"展开尺寸＜1000mm * 800 mm* 500 mm（含脚架）</w:t>
            </w:r>
          </w:p>
          <w:p w14:paraId="66B98856">
            <w:pPr>
              <w:rPr>
                <w:rFonts w:ascii="宋体" w:cs="宋体"/>
                <w:kern w:val="0"/>
                <w:sz w:val="24"/>
              </w:rPr>
            </w:pPr>
            <w:r>
              <w:rPr>
                <w:rFonts w:ascii="宋体" w:hAnsi="宋体" w:cs="宋体"/>
                <w:sz w:val="24"/>
              </w:rPr>
              <w:t>3.</w:t>
            </w:r>
            <w:r>
              <w:rPr>
                <w:rFonts w:ascii="宋体" w:cs="宋体"/>
                <w:kern w:val="0"/>
                <w:sz w:val="24"/>
              </w:rPr>
              <w:t>折叠尺寸＜500 mm*500mm *500 mm（含脚架及云台）"</w:t>
            </w:r>
          </w:p>
          <w:p w14:paraId="564FD9FD">
            <w:pPr>
              <w:rPr>
                <w:rFonts w:ascii="宋体" w:cs="宋体"/>
                <w:kern w:val="0"/>
                <w:sz w:val="24"/>
              </w:rPr>
            </w:pPr>
            <w:r>
              <w:rPr>
                <w:rFonts w:ascii="宋体" w:hAnsi="宋体" w:cs="宋体"/>
                <w:sz w:val="24"/>
              </w:rPr>
              <w:t>4.</w:t>
            </w:r>
            <w:r>
              <w:rPr>
                <w:rFonts w:ascii="宋体" w:cs="宋体"/>
                <w:kern w:val="0"/>
                <w:sz w:val="24"/>
              </w:rPr>
              <w:t>最大载重</w:t>
            </w:r>
            <w:r>
              <w:rPr>
                <w:rFonts w:hint="eastAsia" w:ascii="宋体" w:cs="宋体"/>
                <w:kern w:val="0"/>
                <w:sz w:val="24"/>
              </w:rPr>
              <w:t>:</w:t>
            </w:r>
            <w:r>
              <w:rPr>
                <w:rFonts w:ascii="宋体" w:cs="宋体"/>
                <w:kern w:val="0"/>
                <w:sz w:val="24"/>
              </w:rPr>
              <w:t>≥6 千克</w:t>
            </w:r>
          </w:p>
          <w:p w14:paraId="004320E7">
            <w:pPr>
              <w:rPr>
                <w:rFonts w:ascii="宋体" w:cs="宋体"/>
                <w:kern w:val="0"/>
                <w:sz w:val="24"/>
              </w:rPr>
            </w:pPr>
            <w:r>
              <w:rPr>
                <w:rFonts w:ascii="宋体" w:hAnsi="宋体" w:cs="宋体"/>
                <w:sz w:val="24"/>
              </w:rPr>
              <w:t>5.</w:t>
            </w:r>
            <w:r>
              <w:rPr>
                <w:rFonts w:ascii="宋体" w:cs="宋体"/>
                <w:kern w:val="0"/>
                <w:sz w:val="24"/>
              </w:rPr>
              <w:t>最大起飞重量</w:t>
            </w:r>
            <w:r>
              <w:rPr>
                <w:rFonts w:hint="eastAsia" w:ascii="宋体" w:cs="宋体"/>
                <w:kern w:val="0"/>
                <w:sz w:val="24"/>
              </w:rPr>
              <w:t>:</w:t>
            </w:r>
            <w:r>
              <w:rPr>
                <w:rFonts w:ascii="宋体" w:cs="宋体"/>
                <w:kern w:val="0"/>
                <w:sz w:val="24"/>
              </w:rPr>
              <w:t>≥15 千克</w:t>
            </w:r>
          </w:p>
          <w:p w14:paraId="5DC0B80B">
            <w:pPr>
              <w:rPr>
                <w:rFonts w:ascii="宋体" w:cs="宋体"/>
                <w:kern w:val="0"/>
                <w:sz w:val="24"/>
              </w:rPr>
            </w:pPr>
            <w:r>
              <w:rPr>
                <w:rFonts w:ascii="宋体" w:hAnsi="宋体" w:cs="宋体"/>
                <w:sz w:val="24"/>
              </w:rPr>
              <w:t>6.</w:t>
            </w:r>
            <w:r>
              <w:rPr>
                <w:rFonts w:ascii="宋体" w:cs="宋体"/>
                <w:kern w:val="0"/>
                <w:sz w:val="24"/>
              </w:rPr>
              <w:t>对角线轴距</w:t>
            </w:r>
            <w:r>
              <w:rPr>
                <w:rFonts w:hint="eastAsia" w:ascii="宋体" w:cs="宋体"/>
                <w:kern w:val="0"/>
                <w:sz w:val="24"/>
              </w:rPr>
              <w:t>:</w:t>
            </w:r>
            <w:r>
              <w:rPr>
                <w:rFonts w:ascii="宋体" w:cs="宋体"/>
                <w:kern w:val="0"/>
                <w:sz w:val="24"/>
              </w:rPr>
              <w:t>≤1100 mm</w:t>
            </w:r>
          </w:p>
          <w:p w14:paraId="7C5B8FDD">
            <w:pPr>
              <w:rPr>
                <w:rFonts w:ascii="宋体" w:cs="宋体"/>
                <w:kern w:val="0"/>
                <w:sz w:val="24"/>
              </w:rPr>
            </w:pPr>
            <w:r>
              <w:rPr>
                <w:rFonts w:ascii="宋体" w:hAnsi="宋体" w:cs="宋体"/>
                <w:sz w:val="24"/>
              </w:rPr>
              <w:t>7.</w:t>
            </w:r>
            <w:r>
              <w:rPr>
                <w:rFonts w:ascii="宋体" w:cs="宋体"/>
                <w:kern w:val="0"/>
                <w:sz w:val="24"/>
              </w:rPr>
              <w:t>最大上升速度</w:t>
            </w:r>
            <w:r>
              <w:rPr>
                <w:rFonts w:hint="eastAsia" w:ascii="宋体" w:cs="宋体"/>
                <w:kern w:val="0"/>
                <w:sz w:val="24"/>
              </w:rPr>
              <w:t>:</w:t>
            </w:r>
            <w:r>
              <w:rPr>
                <w:rFonts w:ascii="宋体" w:cs="宋体"/>
                <w:kern w:val="0"/>
                <w:sz w:val="24"/>
              </w:rPr>
              <w:t>≥10 米/秒</w:t>
            </w:r>
          </w:p>
          <w:p w14:paraId="59AB8AE9">
            <w:pPr>
              <w:rPr>
                <w:rFonts w:ascii="宋体" w:cs="宋体"/>
                <w:kern w:val="0"/>
                <w:sz w:val="24"/>
              </w:rPr>
            </w:pPr>
            <w:r>
              <w:rPr>
                <w:rFonts w:ascii="宋体" w:hAnsi="宋体" w:cs="宋体"/>
                <w:sz w:val="24"/>
              </w:rPr>
              <w:t>8.</w:t>
            </w:r>
            <w:r>
              <w:rPr>
                <w:rFonts w:ascii="宋体" w:cs="宋体"/>
                <w:kern w:val="0"/>
                <w:sz w:val="24"/>
              </w:rPr>
              <w:t>最大下降速度</w:t>
            </w:r>
            <w:r>
              <w:rPr>
                <w:rFonts w:hint="eastAsia" w:ascii="宋体" w:cs="宋体"/>
                <w:kern w:val="0"/>
                <w:sz w:val="24"/>
              </w:rPr>
              <w:t>:</w:t>
            </w:r>
            <w:r>
              <w:rPr>
                <w:rFonts w:ascii="宋体" w:cs="宋体"/>
                <w:kern w:val="0"/>
                <w:sz w:val="24"/>
              </w:rPr>
              <w:t>≥8 米/秒</w:t>
            </w:r>
          </w:p>
          <w:p w14:paraId="616373A6">
            <w:pPr>
              <w:rPr>
                <w:rFonts w:ascii="宋体" w:cs="宋体"/>
                <w:kern w:val="0"/>
                <w:sz w:val="24"/>
              </w:rPr>
            </w:pPr>
            <w:r>
              <w:rPr>
                <w:rFonts w:ascii="宋体" w:hAnsi="宋体" w:cs="宋体"/>
                <w:sz w:val="24"/>
              </w:rPr>
              <w:t>9.</w:t>
            </w:r>
            <w:r>
              <w:rPr>
                <w:rFonts w:ascii="宋体" w:cs="宋体"/>
                <w:kern w:val="0"/>
                <w:sz w:val="24"/>
              </w:rPr>
              <w:t>最大水平飞行速度（海平面附近无风）</w:t>
            </w:r>
            <w:r>
              <w:rPr>
                <w:rFonts w:hint="eastAsia" w:ascii="宋体" w:cs="宋体"/>
                <w:kern w:val="0"/>
                <w:sz w:val="24"/>
              </w:rPr>
              <w:t>:</w:t>
            </w:r>
            <w:r>
              <w:rPr>
                <w:rFonts w:ascii="宋体" w:cs="宋体"/>
                <w:kern w:val="0"/>
                <w:sz w:val="24"/>
              </w:rPr>
              <w:t>≥25 米/秒</w:t>
            </w:r>
          </w:p>
          <w:p w14:paraId="742852ED">
            <w:pPr>
              <w:rPr>
                <w:rFonts w:ascii="宋体" w:cs="宋体"/>
                <w:kern w:val="0"/>
                <w:sz w:val="24"/>
              </w:rPr>
            </w:pPr>
            <w:r>
              <w:rPr>
                <w:rFonts w:ascii="宋体" w:hAnsi="宋体" w:cs="宋体"/>
                <w:sz w:val="24"/>
              </w:rPr>
              <w:t>10.</w:t>
            </w:r>
            <w:r>
              <w:rPr>
                <w:rFonts w:ascii="宋体" w:cs="宋体"/>
                <w:kern w:val="0"/>
                <w:sz w:val="24"/>
              </w:rPr>
              <w:t>最长飞行时间（带负载无风环境）</w:t>
            </w:r>
            <w:r>
              <w:rPr>
                <w:rFonts w:hint="eastAsia" w:ascii="宋体" w:cs="宋体"/>
                <w:kern w:val="0"/>
                <w:sz w:val="24"/>
              </w:rPr>
              <w:t>:</w:t>
            </w:r>
            <w:r>
              <w:rPr>
                <w:rFonts w:ascii="宋体" w:cs="宋体"/>
                <w:kern w:val="0"/>
                <w:sz w:val="24"/>
              </w:rPr>
              <w:t>≥59 分钟</w:t>
            </w:r>
          </w:p>
          <w:p w14:paraId="1F95D46B">
            <w:pPr>
              <w:rPr>
                <w:rFonts w:ascii="宋体" w:cs="宋体"/>
                <w:kern w:val="0"/>
                <w:sz w:val="24"/>
              </w:rPr>
            </w:pPr>
            <w:r>
              <w:rPr>
                <w:rFonts w:ascii="宋体" w:hAnsi="宋体" w:cs="宋体"/>
                <w:sz w:val="24"/>
              </w:rPr>
              <w:t>10.</w:t>
            </w:r>
            <w:r>
              <w:rPr>
                <w:rFonts w:ascii="宋体" w:cs="宋体"/>
                <w:kern w:val="0"/>
                <w:sz w:val="24"/>
              </w:rPr>
              <w:t>最大抗风速度</w:t>
            </w:r>
            <w:r>
              <w:rPr>
                <w:rFonts w:hint="eastAsia" w:ascii="宋体" w:cs="宋体"/>
                <w:kern w:val="0"/>
                <w:sz w:val="24"/>
              </w:rPr>
              <w:t>:</w:t>
            </w:r>
            <w:r>
              <w:rPr>
                <w:rFonts w:ascii="宋体" w:cs="宋体"/>
                <w:kern w:val="0"/>
                <w:sz w:val="24"/>
              </w:rPr>
              <w:t>≥12 米/秒</w:t>
            </w:r>
          </w:p>
          <w:p w14:paraId="63E7FE00">
            <w:pPr>
              <w:rPr>
                <w:rFonts w:ascii="宋体" w:cs="宋体"/>
                <w:kern w:val="0"/>
                <w:sz w:val="24"/>
              </w:rPr>
            </w:pPr>
            <w:r>
              <w:rPr>
                <w:rFonts w:ascii="宋体" w:hAnsi="宋体" w:cs="宋体"/>
                <w:sz w:val="24"/>
              </w:rPr>
              <w:t>12.</w:t>
            </w:r>
            <w:r>
              <w:rPr>
                <w:rFonts w:ascii="宋体" w:cs="宋体"/>
                <w:kern w:val="0"/>
                <w:sz w:val="24"/>
              </w:rPr>
              <w:t>工作环境温度</w:t>
            </w:r>
            <w:r>
              <w:rPr>
                <w:rFonts w:hint="eastAsia" w:ascii="宋体" w:cs="宋体"/>
                <w:kern w:val="0"/>
                <w:sz w:val="24"/>
              </w:rPr>
              <w:t>:</w:t>
            </w:r>
            <w:r>
              <w:rPr>
                <w:rFonts w:ascii="宋体" w:cs="宋体"/>
                <w:kern w:val="0"/>
                <w:sz w:val="24"/>
              </w:rPr>
              <w:t>≥-20°C 至 50°C</w:t>
            </w:r>
          </w:p>
          <w:p w14:paraId="33B032E1">
            <w:pPr>
              <w:rPr>
                <w:rFonts w:ascii="宋体" w:cs="宋体"/>
                <w:kern w:val="0"/>
                <w:sz w:val="24"/>
              </w:rPr>
            </w:pPr>
            <w:r>
              <w:rPr>
                <w:rFonts w:ascii="宋体" w:hAnsi="宋体" w:cs="宋体"/>
                <w:sz w:val="24"/>
              </w:rPr>
              <w:t>13.</w:t>
            </w:r>
            <w:r>
              <w:rPr>
                <w:rFonts w:ascii="宋体" w:cs="宋体"/>
                <w:kern w:val="0"/>
                <w:sz w:val="24"/>
              </w:rPr>
              <w:t>防护等级</w:t>
            </w:r>
            <w:r>
              <w:rPr>
                <w:rFonts w:hint="eastAsia" w:ascii="宋体" w:cs="宋体"/>
                <w:kern w:val="0"/>
                <w:sz w:val="24"/>
              </w:rPr>
              <w:t>:</w:t>
            </w:r>
            <w:r>
              <w:rPr>
                <w:rFonts w:ascii="宋体" w:cs="宋体"/>
                <w:kern w:val="0"/>
                <w:sz w:val="24"/>
              </w:rPr>
              <w:t>≥IP55</w:t>
            </w:r>
          </w:p>
          <w:p w14:paraId="25A79908">
            <w:pPr>
              <w:rPr>
                <w:rFonts w:ascii="宋体" w:cs="宋体"/>
                <w:kern w:val="0"/>
                <w:sz w:val="24"/>
              </w:rPr>
            </w:pPr>
            <w:r>
              <w:rPr>
                <w:rFonts w:ascii="宋体" w:hAnsi="宋体" w:cs="宋体"/>
                <w:sz w:val="24"/>
              </w:rPr>
              <w:t>14.</w:t>
            </w:r>
            <w:r>
              <w:rPr>
                <w:rFonts w:ascii="宋体" w:cs="宋体"/>
                <w:kern w:val="0"/>
                <w:sz w:val="24"/>
              </w:rPr>
              <w:t>GNSS</w:t>
            </w:r>
            <w:r>
              <w:rPr>
                <w:rFonts w:hint="eastAsia" w:ascii="宋体" w:cs="宋体"/>
                <w:kern w:val="0"/>
                <w:sz w:val="24"/>
              </w:rPr>
              <w:t>:</w:t>
            </w:r>
            <w:r>
              <w:rPr>
                <w:rFonts w:ascii="宋体" w:cs="宋体"/>
                <w:kern w:val="0"/>
                <w:sz w:val="24"/>
              </w:rPr>
              <w:t>需支持GPS + Galileo + BeiDou + GLONASS</w:t>
            </w:r>
          </w:p>
          <w:p w14:paraId="33BB8BB7">
            <w:pPr>
              <w:rPr>
                <w:rFonts w:ascii="宋体" w:cs="宋体"/>
                <w:kern w:val="0"/>
                <w:sz w:val="24"/>
              </w:rPr>
            </w:pPr>
            <w:r>
              <w:rPr>
                <w:rFonts w:ascii="宋体" w:hAnsi="宋体" w:cs="宋体"/>
                <w:sz w:val="24"/>
              </w:rPr>
              <w:t>15.</w:t>
            </w:r>
            <w:r>
              <w:rPr>
                <w:rFonts w:ascii="宋体" w:cs="宋体"/>
                <w:kern w:val="0"/>
                <w:sz w:val="24"/>
              </w:rPr>
              <w:t>支持RTK定位</w:t>
            </w:r>
            <w:r>
              <w:rPr>
                <w:rFonts w:hint="eastAsia" w:ascii="宋体" w:cs="宋体"/>
                <w:kern w:val="0"/>
                <w:sz w:val="24"/>
              </w:rPr>
              <w:t>:</w:t>
            </w:r>
            <w:r>
              <w:rPr>
                <w:rFonts w:ascii="宋体" w:cs="宋体"/>
                <w:kern w:val="0"/>
                <w:sz w:val="24"/>
              </w:rPr>
              <w:t>飞行器需内置有RTK模块，具备RTK定位能力，支持通过遥控器连接到网络RTK服务或RTK移动站，获取高精度的位置信息。</w:t>
            </w:r>
          </w:p>
          <w:p w14:paraId="690D2D74">
            <w:pPr>
              <w:rPr>
                <w:rFonts w:ascii="宋体" w:cs="宋体"/>
                <w:kern w:val="0"/>
                <w:sz w:val="24"/>
              </w:rPr>
            </w:pPr>
            <w:r>
              <w:rPr>
                <w:rFonts w:ascii="宋体" w:hAnsi="宋体" w:cs="宋体"/>
                <w:sz w:val="24"/>
              </w:rPr>
              <w:t>16.</w:t>
            </w:r>
            <w:r>
              <w:rPr>
                <w:rFonts w:ascii="宋体" w:cs="宋体"/>
                <w:kern w:val="0"/>
                <w:sz w:val="24"/>
              </w:rPr>
              <w:t>机身负载接口</w:t>
            </w:r>
            <w:r>
              <w:rPr>
                <w:rFonts w:hint="eastAsia" w:ascii="宋体" w:cs="宋体"/>
                <w:kern w:val="0"/>
                <w:sz w:val="24"/>
              </w:rPr>
              <w:t>:</w:t>
            </w:r>
            <w:r>
              <w:rPr>
                <w:rFonts w:ascii="宋体" w:cs="宋体"/>
                <w:kern w:val="0"/>
                <w:sz w:val="24"/>
              </w:rPr>
              <w:t>≥4个</w:t>
            </w:r>
          </w:p>
          <w:p w14:paraId="54275299">
            <w:pPr>
              <w:rPr>
                <w:rFonts w:ascii="宋体" w:cs="宋体"/>
                <w:kern w:val="0"/>
                <w:sz w:val="24"/>
              </w:rPr>
            </w:pPr>
            <w:r>
              <w:rPr>
                <w:rFonts w:ascii="宋体" w:hAnsi="宋体" w:cs="宋体"/>
                <w:sz w:val="24"/>
              </w:rPr>
              <w:t>17.</w:t>
            </w:r>
            <w:r>
              <w:rPr>
                <w:rFonts w:ascii="宋体" w:cs="宋体"/>
                <w:kern w:val="0"/>
                <w:sz w:val="24"/>
              </w:rPr>
              <w:t>夜航灯数量</w:t>
            </w:r>
            <w:r>
              <w:rPr>
                <w:rFonts w:hint="eastAsia" w:ascii="宋体" w:cs="宋体"/>
                <w:kern w:val="0"/>
                <w:sz w:val="24"/>
              </w:rPr>
              <w:t>:</w:t>
            </w:r>
            <w:r>
              <w:rPr>
                <w:rFonts w:ascii="宋体" w:cs="宋体"/>
                <w:kern w:val="0"/>
                <w:sz w:val="24"/>
              </w:rPr>
              <w:t>≥2</w:t>
            </w:r>
          </w:p>
          <w:p w14:paraId="4A67F8F5">
            <w:pPr>
              <w:rPr>
                <w:rFonts w:ascii="宋体" w:cs="宋体"/>
                <w:kern w:val="0"/>
                <w:sz w:val="24"/>
              </w:rPr>
            </w:pPr>
            <w:r>
              <w:rPr>
                <w:rFonts w:ascii="宋体" w:hAnsi="宋体" w:cs="宋体"/>
                <w:sz w:val="24"/>
              </w:rPr>
              <w:t>18.</w:t>
            </w:r>
            <w:r>
              <w:rPr>
                <w:rFonts w:ascii="宋体" w:cs="宋体"/>
                <w:kern w:val="0"/>
                <w:sz w:val="24"/>
              </w:rPr>
              <w:t>电线级避障能力</w:t>
            </w:r>
            <w:r>
              <w:rPr>
                <w:rFonts w:hint="eastAsia" w:ascii="宋体" w:cs="宋体"/>
                <w:kern w:val="0"/>
                <w:sz w:val="24"/>
              </w:rPr>
              <w:t>:</w:t>
            </w:r>
            <w:r>
              <w:rPr>
                <w:rFonts w:ascii="宋体" w:cs="宋体"/>
                <w:kern w:val="0"/>
                <w:sz w:val="24"/>
              </w:rPr>
              <w:t>支持</w:t>
            </w:r>
          </w:p>
          <w:p w14:paraId="21629560">
            <w:pPr>
              <w:rPr>
                <w:rFonts w:ascii="宋体" w:cs="宋体"/>
                <w:kern w:val="0"/>
                <w:sz w:val="24"/>
              </w:rPr>
            </w:pPr>
            <w:r>
              <w:rPr>
                <w:rFonts w:ascii="宋体" w:hAnsi="宋体" w:cs="宋体"/>
                <w:sz w:val="24"/>
              </w:rPr>
              <w:t>19.</w:t>
            </w:r>
            <w:r>
              <w:rPr>
                <w:rFonts w:ascii="宋体" w:cs="宋体"/>
                <w:kern w:val="0"/>
                <w:sz w:val="24"/>
              </w:rPr>
              <w:t>机臂到位检测</w:t>
            </w:r>
            <w:r>
              <w:rPr>
                <w:rFonts w:hint="eastAsia" w:ascii="宋体" w:cs="宋体"/>
                <w:kern w:val="0"/>
                <w:sz w:val="24"/>
              </w:rPr>
              <w:t>:</w:t>
            </w:r>
            <w:r>
              <w:rPr>
                <w:rFonts w:ascii="宋体" w:cs="宋体"/>
                <w:kern w:val="0"/>
                <w:sz w:val="24"/>
              </w:rPr>
              <w:t>支持机臂到位检测，能够检测机臂套筒是否拧紧到位，如未拧紧能够在遥控器端进行告警提示</w:t>
            </w:r>
          </w:p>
          <w:p w14:paraId="6BAA4C0D">
            <w:pPr>
              <w:rPr>
                <w:rFonts w:ascii="宋体" w:cs="宋体"/>
                <w:kern w:val="0"/>
                <w:sz w:val="24"/>
              </w:rPr>
            </w:pPr>
            <w:r>
              <w:rPr>
                <w:rFonts w:ascii="宋体" w:hAnsi="宋体" w:cs="宋体"/>
                <w:sz w:val="24"/>
              </w:rPr>
              <w:t>20.</w:t>
            </w:r>
            <w:r>
              <w:rPr>
                <w:rFonts w:ascii="宋体" w:cs="宋体"/>
                <w:kern w:val="0"/>
                <w:sz w:val="24"/>
              </w:rPr>
              <w:t>飞行器自检功能</w:t>
            </w:r>
            <w:r>
              <w:rPr>
                <w:rFonts w:hint="eastAsia" w:ascii="宋体" w:cs="宋体"/>
                <w:kern w:val="0"/>
                <w:sz w:val="24"/>
              </w:rPr>
              <w:t>:</w:t>
            </w:r>
            <w:r>
              <w:rPr>
                <w:rFonts w:ascii="宋体" w:cs="宋体"/>
                <w:kern w:val="0"/>
                <w:sz w:val="24"/>
              </w:rPr>
              <w:t>具备飞行器自检功能</w:t>
            </w:r>
          </w:p>
          <w:p w14:paraId="49FD4FF8">
            <w:pPr>
              <w:rPr>
                <w:rFonts w:ascii="宋体" w:cs="宋体"/>
                <w:kern w:val="0"/>
                <w:sz w:val="24"/>
              </w:rPr>
            </w:pPr>
            <w:r>
              <w:rPr>
                <w:rFonts w:ascii="宋体" w:hAnsi="宋体" w:cs="宋体"/>
                <w:sz w:val="24"/>
              </w:rPr>
              <w:t>21.</w:t>
            </w:r>
            <w:r>
              <w:rPr>
                <w:rFonts w:ascii="宋体" w:cs="宋体"/>
                <w:kern w:val="0"/>
                <w:sz w:val="24"/>
              </w:rPr>
              <w:t>低电量自动返航</w:t>
            </w:r>
            <w:r>
              <w:rPr>
                <w:rFonts w:hint="eastAsia" w:ascii="宋体" w:cs="宋体"/>
                <w:kern w:val="0"/>
                <w:sz w:val="24"/>
              </w:rPr>
              <w:t>:</w:t>
            </w:r>
            <w:r>
              <w:rPr>
                <w:rFonts w:ascii="宋体" w:cs="宋体"/>
                <w:kern w:val="0"/>
                <w:sz w:val="24"/>
              </w:rPr>
              <w:t>具备低电量自动返航功能</w:t>
            </w:r>
          </w:p>
          <w:p w14:paraId="307B2228">
            <w:pPr>
              <w:rPr>
                <w:rFonts w:ascii="宋体" w:cs="宋体"/>
                <w:kern w:val="0"/>
                <w:sz w:val="24"/>
              </w:rPr>
            </w:pPr>
            <w:r>
              <w:rPr>
                <w:rFonts w:ascii="宋体" w:hAnsi="宋体" w:cs="宋体"/>
                <w:sz w:val="24"/>
              </w:rPr>
              <w:t>22.</w:t>
            </w:r>
            <w:r>
              <w:rPr>
                <w:rFonts w:ascii="宋体" w:cs="宋体"/>
                <w:kern w:val="0"/>
                <w:sz w:val="24"/>
              </w:rPr>
              <w:t>信号丢失自动返航</w:t>
            </w:r>
            <w:r>
              <w:rPr>
                <w:rFonts w:hint="eastAsia" w:ascii="宋体" w:cs="宋体"/>
                <w:kern w:val="0"/>
                <w:sz w:val="24"/>
              </w:rPr>
              <w:t>:</w:t>
            </w:r>
            <w:r>
              <w:rPr>
                <w:rFonts w:ascii="宋体" w:cs="宋体"/>
                <w:kern w:val="0"/>
                <w:sz w:val="24"/>
              </w:rPr>
              <w:t>具备信号丢失自动返航功能</w:t>
            </w:r>
          </w:p>
          <w:p w14:paraId="4563935C">
            <w:pPr>
              <w:rPr>
                <w:rFonts w:ascii="宋体" w:cs="宋体"/>
                <w:kern w:val="0"/>
                <w:sz w:val="24"/>
              </w:rPr>
            </w:pPr>
            <w:r>
              <w:rPr>
                <w:rFonts w:ascii="宋体" w:hAnsi="宋体" w:cs="宋体"/>
                <w:sz w:val="24"/>
              </w:rPr>
              <w:t>23.</w:t>
            </w:r>
            <w:r>
              <w:rPr>
                <w:rFonts w:ascii="宋体" w:cs="宋体"/>
                <w:kern w:val="0"/>
                <w:sz w:val="24"/>
              </w:rPr>
              <w:t>FPV 相机</w:t>
            </w:r>
            <w:r>
              <w:rPr>
                <w:rFonts w:hint="eastAsia" w:ascii="宋体" w:cs="宋体"/>
                <w:kern w:val="0"/>
                <w:sz w:val="24"/>
              </w:rPr>
              <w:t>:</w:t>
            </w:r>
            <w:r>
              <w:rPr>
                <w:rFonts w:ascii="宋体" w:cs="宋体"/>
                <w:kern w:val="0"/>
                <w:sz w:val="24"/>
              </w:rPr>
              <w:t>飞行器机身应具备FPV相机</w:t>
            </w:r>
          </w:p>
          <w:p w14:paraId="181C3EE6">
            <w:pPr>
              <w:rPr>
                <w:rFonts w:ascii="宋体" w:cs="宋体"/>
                <w:kern w:val="0"/>
                <w:sz w:val="24"/>
              </w:rPr>
            </w:pPr>
            <w:r>
              <w:rPr>
                <w:rFonts w:ascii="宋体" w:hAnsi="宋体" w:cs="宋体"/>
                <w:sz w:val="24"/>
              </w:rPr>
              <w:t>24.</w:t>
            </w:r>
            <w:r>
              <w:rPr>
                <w:rFonts w:ascii="宋体" w:cs="宋体"/>
                <w:kern w:val="0"/>
                <w:sz w:val="24"/>
              </w:rPr>
              <w:t>最大信号有效距离（无干扰、无遮挡）</w:t>
            </w:r>
            <w:r>
              <w:rPr>
                <w:rFonts w:hint="eastAsia" w:ascii="宋体" w:cs="宋体"/>
                <w:kern w:val="0"/>
                <w:sz w:val="24"/>
              </w:rPr>
              <w:t>:</w:t>
            </w:r>
            <w:r>
              <w:rPr>
                <w:rFonts w:ascii="宋体" w:cs="宋体"/>
                <w:kern w:val="0"/>
                <w:sz w:val="24"/>
              </w:rPr>
              <w:t>≥40 公里</w:t>
            </w:r>
          </w:p>
          <w:p w14:paraId="455D0E26">
            <w:pPr>
              <w:rPr>
                <w:rFonts w:ascii="宋体" w:cs="宋体"/>
                <w:kern w:val="0"/>
                <w:sz w:val="24"/>
              </w:rPr>
            </w:pPr>
            <w:r>
              <w:rPr>
                <w:rFonts w:ascii="宋体" w:hAnsi="宋体" w:cs="宋体"/>
                <w:sz w:val="24"/>
              </w:rPr>
              <w:t>25.</w:t>
            </w:r>
            <w:r>
              <w:rPr>
                <w:rFonts w:ascii="宋体" w:cs="宋体"/>
                <w:kern w:val="0"/>
                <w:sz w:val="24"/>
              </w:rPr>
              <w:t>机载中继</w:t>
            </w:r>
            <w:r>
              <w:rPr>
                <w:rFonts w:hint="eastAsia" w:ascii="宋体" w:cs="宋体"/>
                <w:kern w:val="0"/>
                <w:sz w:val="24"/>
              </w:rPr>
              <w:t>:</w:t>
            </w:r>
            <w:r>
              <w:rPr>
                <w:rFonts w:ascii="宋体" w:cs="宋体"/>
                <w:kern w:val="0"/>
                <w:sz w:val="24"/>
              </w:rPr>
              <w:t>需内置图传中继模块，可为另一台作业机提供中继信号</w:t>
            </w:r>
          </w:p>
          <w:p w14:paraId="18196ACA">
            <w:pPr>
              <w:rPr>
                <w:rFonts w:ascii="宋体" w:cs="宋体"/>
                <w:kern w:val="0"/>
                <w:sz w:val="24"/>
              </w:rPr>
            </w:pPr>
            <w:r>
              <w:rPr>
                <w:rFonts w:ascii="宋体" w:hAnsi="宋体" w:cs="宋体"/>
                <w:sz w:val="24"/>
              </w:rPr>
              <w:t>26.</w:t>
            </w:r>
            <w:r>
              <w:rPr>
                <w:rFonts w:ascii="宋体" w:cs="宋体"/>
                <w:kern w:val="0"/>
                <w:sz w:val="24"/>
              </w:rPr>
              <w:t>4G模块</w:t>
            </w:r>
            <w:r>
              <w:rPr>
                <w:rFonts w:hint="eastAsia" w:ascii="宋体" w:cs="宋体"/>
                <w:kern w:val="0"/>
                <w:sz w:val="24"/>
              </w:rPr>
              <w:t>:</w:t>
            </w:r>
            <w:r>
              <w:rPr>
                <w:rFonts w:ascii="宋体" w:cs="宋体"/>
                <w:kern w:val="0"/>
                <w:sz w:val="24"/>
              </w:rPr>
              <w:t>机身支持装载≥2个</w:t>
            </w:r>
          </w:p>
          <w:p w14:paraId="47C30AB3">
            <w:pPr>
              <w:rPr>
                <w:rFonts w:ascii="宋体" w:cs="宋体"/>
                <w:kern w:val="0"/>
                <w:sz w:val="24"/>
              </w:rPr>
            </w:pPr>
            <w:r>
              <w:rPr>
                <w:rFonts w:ascii="宋体" w:hAnsi="宋体" w:cs="宋体"/>
                <w:sz w:val="24"/>
              </w:rPr>
              <w:t>27.</w:t>
            </w:r>
            <w:r>
              <w:rPr>
                <w:rFonts w:ascii="宋体" w:cs="宋体"/>
                <w:kern w:val="0"/>
                <w:sz w:val="24"/>
              </w:rPr>
              <w:t>ADS-B功能</w:t>
            </w:r>
            <w:r>
              <w:rPr>
                <w:rFonts w:hint="eastAsia" w:ascii="宋体" w:cs="宋体"/>
                <w:kern w:val="0"/>
                <w:sz w:val="24"/>
              </w:rPr>
              <w:t>:</w:t>
            </w:r>
            <w:r>
              <w:rPr>
                <w:rFonts w:ascii="宋体" w:cs="宋体"/>
                <w:kern w:val="0"/>
                <w:sz w:val="24"/>
              </w:rPr>
              <w:t>能够接收民航客机的ADS-B广播信息，并能过地面端软件向用户发出附近民航客机预警信息</w:t>
            </w:r>
          </w:p>
          <w:p w14:paraId="58706436">
            <w:pPr>
              <w:rPr>
                <w:rFonts w:ascii="宋体" w:cs="宋体"/>
                <w:kern w:val="0"/>
                <w:sz w:val="24"/>
              </w:rPr>
            </w:pPr>
            <w:r>
              <w:rPr>
                <w:rFonts w:ascii="宋体" w:hAnsi="宋体" w:cs="宋体"/>
                <w:sz w:val="24"/>
              </w:rPr>
              <w:t>28.</w:t>
            </w:r>
            <w:r>
              <w:rPr>
                <w:rFonts w:ascii="宋体" w:cs="宋体"/>
                <w:kern w:val="0"/>
                <w:sz w:val="24"/>
              </w:rPr>
              <w:t>双控模式</w:t>
            </w:r>
            <w:r>
              <w:rPr>
                <w:rFonts w:hint="eastAsia" w:ascii="宋体" w:cs="宋体"/>
                <w:kern w:val="0"/>
                <w:sz w:val="24"/>
              </w:rPr>
              <w:t>:</w:t>
            </w:r>
            <w:r>
              <w:rPr>
                <w:rFonts w:ascii="宋体" w:cs="宋体"/>
                <w:kern w:val="0"/>
                <w:sz w:val="24"/>
              </w:rPr>
              <w:t xml:space="preserve">支持 </w:t>
            </w:r>
          </w:p>
          <w:p w14:paraId="1A7DC741">
            <w:pPr>
              <w:rPr>
                <w:rFonts w:ascii="宋体" w:cs="宋体"/>
                <w:kern w:val="0"/>
                <w:sz w:val="24"/>
              </w:rPr>
            </w:pPr>
            <w:r>
              <w:rPr>
                <w:rFonts w:ascii="宋体" w:hAnsi="宋体" w:cs="宋体"/>
                <w:sz w:val="24"/>
              </w:rPr>
              <w:t>29.</w:t>
            </w:r>
            <w:r>
              <w:rPr>
                <w:rFonts w:ascii="宋体" w:cs="宋体"/>
                <w:kern w:val="0"/>
                <w:sz w:val="24"/>
              </w:rPr>
              <w:t>飞行辅助影像</w:t>
            </w:r>
            <w:r>
              <w:rPr>
                <w:rFonts w:hint="eastAsia" w:ascii="宋体" w:cs="宋体"/>
                <w:kern w:val="0"/>
                <w:sz w:val="24"/>
              </w:rPr>
              <w:t>:</w:t>
            </w:r>
            <w:r>
              <w:rPr>
                <w:rFonts w:ascii="宋体" w:cs="宋体"/>
                <w:kern w:val="0"/>
                <w:sz w:val="24"/>
              </w:rPr>
              <w:t>需支持前、后、左、右四个方向的彩色飞行辅助影像</w:t>
            </w:r>
          </w:p>
          <w:p w14:paraId="2D349183">
            <w:pPr>
              <w:rPr>
                <w:rFonts w:ascii="宋体" w:cs="宋体"/>
                <w:kern w:val="0"/>
                <w:sz w:val="24"/>
              </w:rPr>
            </w:pPr>
            <w:r>
              <w:rPr>
                <w:rFonts w:ascii="宋体" w:hAnsi="宋体" w:cs="宋体"/>
                <w:sz w:val="24"/>
              </w:rPr>
              <w:t>30.</w:t>
            </w:r>
            <w:r>
              <w:rPr>
                <w:rFonts w:ascii="宋体" w:cs="宋体"/>
                <w:kern w:val="0"/>
                <w:sz w:val="24"/>
              </w:rPr>
              <w:t>AR 地图功能</w:t>
            </w:r>
            <w:r>
              <w:rPr>
                <w:rFonts w:hint="eastAsia" w:ascii="宋体" w:cs="宋体"/>
                <w:kern w:val="0"/>
                <w:sz w:val="24"/>
              </w:rPr>
              <w:t>:</w:t>
            </w:r>
            <w:r>
              <w:rPr>
                <w:rFonts w:ascii="宋体" w:cs="宋体"/>
                <w:kern w:val="0"/>
                <w:sz w:val="24"/>
              </w:rPr>
              <w:t>需支持遥控器的画面上实时显示建筑、地标等名称，并以显眼线条标记核心道路</w:t>
            </w:r>
          </w:p>
          <w:p w14:paraId="69EC4AFB">
            <w:pPr>
              <w:rPr>
                <w:rFonts w:ascii="宋体" w:cs="宋体"/>
                <w:kern w:val="0"/>
                <w:sz w:val="24"/>
              </w:rPr>
            </w:pPr>
            <w:r>
              <w:rPr>
                <w:rFonts w:ascii="宋体" w:hAnsi="宋体" w:cs="宋体"/>
                <w:sz w:val="24"/>
              </w:rPr>
              <w:t>31.</w:t>
            </w:r>
            <w:r>
              <w:rPr>
                <w:rFonts w:ascii="宋体" w:cs="宋体"/>
                <w:kern w:val="0"/>
                <w:sz w:val="24"/>
              </w:rPr>
              <w:t>AR 飞行轨迹</w:t>
            </w:r>
            <w:r>
              <w:rPr>
                <w:rFonts w:hint="eastAsia" w:ascii="宋体" w:cs="宋体"/>
                <w:kern w:val="0"/>
                <w:sz w:val="24"/>
              </w:rPr>
              <w:t>:</w:t>
            </w:r>
            <w:r>
              <w:rPr>
                <w:rFonts w:ascii="宋体" w:cs="宋体"/>
                <w:kern w:val="0"/>
                <w:sz w:val="24"/>
              </w:rPr>
              <w:t>需支持在返航、绕障及飞向目标点的过程中，实时显示无人机的路线规划。降落时还需显示无人机近地投影，帮助操作人员确认目标降落位置</w:t>
            </w:r>
          </w:p>
          <w:p w14:paraId="3B6649B4">
            <w:pPr>
              <w:rPr>
                <w:rFonts w:ascii="宋体" w:cs="宋体"/>
                <w:kern w:val="0"/>
                <w:sz w:val="24"/>
              </w:rPr>
            </w:pPr>
            <w:r>
              <w:rPr>
                <w:rFonts w:ascii="宋体" w:hAnsi="宋体" w:cs="宋体"/>
                <w:sz w:val="24"/>
              </w:rPr>
              <w:t>32.</w:t>
            </w:r>
            <w:r>
              <w:rPr>
                <w:rFonts w:ascii="宋体" w:cs="宋体"/>
                <w:kern w:val="0"/>
                <w:sz w:val="24"/>
              </w:rPr>
              <w:t>AR 电线显示</w:t>
            </w:r>
            <w:r>
              <w:rPr>
                <w:rFonts w:hint="eastAsia" w:ascii="宋体" w:cs="宋体"/>
                <w:kern w:val="0"/>
                <w:sz w:val="24"/>
              </w:rPr>
              <w:t>:</w:t>
            </w:r>
            <w:r>
              <w:rPr>
                <w:rFonts w:ascii="宋体" w:cs="宋体"/>
                <w:kern w:val="0"/>
                <w:sz w:val="24"/>
              </w:rPr>
              <w:t>需支持避障系统自动检测无人机前方的电线障碍物，并以方便辨认的 AR 线条投射在遥控器画面上</w:t>
            </w:r>
          </w:p>
          <w:p w14:paraId="4C1E3E86">
            <w:pPr>
              <w:rPr>
                <w:rFonts w:ascii="宋体" w:cs="宋体"/>
                <w:kern w:val="0"/>
                <w:sz w:val="24"/>
              </w:rPr>
            </w:pPr>
            <w:r>
              <w:rPr>
                <w:rFonts w:ascii="宋体" w:hAnsi="宋体" w:cs="宋体"/>
                <w:sz w:val="24"/>
              </w:rPr>
              <w:t>33.</w:t>
            </w:r>
            <w:r>
              <w:rPr>
                <w:rFonts w:ascii="宋体" w:cs="宋体"/>
                <w:kern w:val="0"/>
                <w:sz w:val="24"/>
              </w:rPr>
              <w:t>实时仿地</w:t>
            </w:r>
            <w:r>
              <w:rPr>
                <w:rFonts w:hint="eastAsia" w:ascii="宋体" w:cs="宋体"/>
                <w:kern w:val="0"/>
                <w:sz w:val="24"/>
              </w:rPr>
              <w:t>:</w:t>
            </w:r>
            <w:r>
              <w:rPr>
                <w:rFonts w:ascii="宋体" w:cs="宋体"/>
                <w:kern w:val="0"/>
                <w:sz w:val="24"/>
              </w:rPr>
              <w:t>支持任意水平方向的实时仿地飞行功能。在手动飞行和航线作业时，都能开启实时仿地，保持对地面的相对高度稳定。</w:t>
            </w:r>
          </w:p>
          <w:p w14:paraId="5B762C36">
            <w:pPr>
              <w:rPr>
                <w:rFonts w:ascii="宋体" w:cs="宋体"/>
                <w:kern w:val="0"/>
                <w:sz w:val="24"/>
              </w:rPr>
            </w:pPr>
            <w:r>
              <w:rPr>
                <w:rFonts w:ascii="宋体" w:hAnsi="宋体" w:cs="宋体"/>
                <w:sz w:val="24"/>
              </w:rPr>
              <w:t>34.</w:t>
            </w:r>
            <w:r>
              <w:rPr>
                <w:rFonts w:ascii="宋体" w:cs="宋体"/>
                <w:kern w:val="0"/>
                <w:sz w:val="24"/>
              </w:rPr>
              <w:t>船上起降</w:t>
            </w:r>
            <w:r>
              <w:rPr>
                <w:rFonts w:hint="eastAsia" w:ascii="宋体" w:cs="宋体"/>
                <w:kern w:val="0"/>
                <w:sz w:val="24"/>
              </w:rPr>
              <w:t>:</w:t>
            </w:r>
            <w:r>
              <w:rPr>
                <w:rFonts w:ascii="宋体" w:cs="宋体"/>
                <w:kern w:val="0"/>
                <w:sz w:val="24"/>
              </w:rPr>
              <w:t>支持静态船舶起飞及动态船舶降落，可辨认船板上的降落点图案，安全降落。</w:t>
            </w:r>
          </w:p>
          <w:p w14:paraId="7A03978C">
            <w:pPr>
              <w:rPr>
                <w:rFonts w:ascii="宋体" w:cs="宋体"/>
                <w:kern w:val="0"/>
                <w:sz w:val="24"/>
              </w:rPr>
            </w:pPr>
            <w:r>
              <w:rPr>
                <w:rFonts w:ascii="宋体" w:hAnsi="宋体" w:cs="宋体"/>
                <w:sz w:val="24"/>
              </w:rPr>
              <w:t>35.</w:t>
            </w:r>
            <w:r>
              <w:rPr>
                <w:rFonts w:ascii="宋体" w:cs="宋体"/>
                <w:kern w:val="0"/>
                <w:sz w:val="24"/>
              </w:rPr>
              <w:t>导线巡检</w:t>
            </w:r>
            <w:r>
              <w:rPr>
                <w:rFonts w:hint="eastAsia" w:ascii="宋体" w:cs="宋体"/>
                <w:kern w:val="0"/>
                <w:sz w:val="24"/>
              </w:rPr>
              <w:t>:</w:t>
            </w:r>
            <w:r>
              <w:rPr>
                <w:rFonts w:ascii="宋体" w:cs="宋体"/>
                <w:kern w:val="0"/>
                <w:sz w:val="24"/>
              </w:rPr>
              <w:t>需支持检测并锁定目标导地线，并保持机身与导地线的距离，以设定好的速度侧向飞行，同时连续拍摄导线照片。</w:t>
            </w:r>
          </w:p>
          <w:p w14:paraId="41CDD2AC">
            <w:pPr>
              <w:rPr>
                <w:rFonts w:ascii="宋体" w:cs="宋体"/>
                <w:kern w:val="0"/>
                <w:sz w:val="24"/>
              </w:rPr>
            </w:pPr>
            <w:r>
              <w:rPr>
                <w:rFonts w:ascii="宋体" w:hAnsi="宋体" w:cs="宋体"/>
                <w:sz w:val="24"/>
              </w:rPr>
              <w:t>36.</w:t>
            </w:r>
            <w:r>
              <w:rPr>
                <w:rFonts w:ascii="宋体" w:cs="宋体"/>
                <w:kern w:val="0"/>
                <w:sz w:val="24"/>
              </w:rPr>
              <w:t>容量</w:t>
            </w:r>
            <w:r>
              <w:rPr>
                <w:rFonts w:hint="eastAsia" w:ascii="宋体" w:cs="宋体"/>
                <w:kern w:val="0"/>
                <w:sz w:val="24"/>
              </w:rPr>
              <w:t>:</w:t>
            </w:r>
            <w:r>
              <w:rPr>
                <w:rFonts w:ascii="宋体" w:cs="宋体"/>
                <w:kern w:val="0"/>
                <w:sz w:val="24"/>
              </w:rPr>
              <w:t>≥20000毫安时</w:t>
            </w:r>
          </w:p>
          <w:p w14:paraId="42B34D01">
            <w:pPr>
              <w:rPr>
                <w:rFonts w:ascii="宋体" w:cs="宋体"/>
                <w:kern w:val="0"/>
                <w:sz w:val="24"/>
              </w:rPr>
            </w:pPr>
            <w:r>
              <w:rPr>
                <w:rFonts w:ascii="宋体" w:hAnsi="宋体" w:cs="宋体"/>
                <w:sz w:val="24"/>
              </w:rPr>
              <w:t>37.</w:t>
            </w:r>
            <w:r>
              <w:rPr>
                <w:rFonts w:ascii="宋体" w:cs="宋体"/>
                <w:kern w:val="0"/>
                <w:sz w:val="24"/>
              </w:rPr>
              <w:t>能量</w:t>
            </w:r>
            <w:r>
              <w:rPr>
                <w:rFonts w:hint="eastAsia" w:ascii="宋体" w:cs="宋体"/>
                <w:kern w:val="0"/>
                <w:sz w:val="24"/>
              </w:rPr>
              <w:t>:</w:t>
            </w:r>
            <w:r>
              <w:rPr>
                <w:rFonts w:ascii="宋体" w:cs="宋体"/>
                <w:kern w:val="0"/>
                <w:sz w:val="24"/>
              </w:rPr>
              <w:t>≥900 瓦时</w:t>
            </w:r>
          </w:p>
          <w:p w14:paraId="1CE69BF8">
            <w:pPr>
              <w:rPr>
                <w:rFonts w:ascii="宋体" w:cs="宋体"/>
                <w:kern w:val="0"/>
                <w:sz w:val="24"/>
              </w:rPr>
            </w:pPr>
            <w:r>
              <w:rPr>
                <w:rFonts w:ascii="宋体" w:hAnsi="宋体" w:cs="宋体"/>
                <w:sz w:val="24"/>
              </w:rPr>
              <w:t>38.</w:t>
            </w:r>
            <w:r>
              <w:rPr>
                <w:rFonts w:ascii="宋体" w:cs="宋体"/>
                <w:kern w:val="0"/>
                <w:sz w:val="24"/>
              </w:rPr>
              <w:t>重量</w:t>
            </w:r>
            <w:r>
              <w:rPr>
                <w:rFonts w:hint="eastAsia" w:ascii="宋体" w:cs="宋体"/>
                <w:kern w:val="0"/>
                <w:sz w:val="24"/>
              </w:rPr>
              <w:t>:</w:t>
            </w:r>
            <w:r>
              <w:rPr>
                <w:rFonts w:ascii="宋体" w:cs="宋体"/>
                <w:kern w:val="0"/>
                <w:sz w:val="24"/>
              </w:rPr>
              <w:t>≤5000克</w:t>
            </w:r>
          </w:p>
          <w:p w14:paraId="236AB1BF">
            <w:pPr>
              <w:rPr>
                <w:rFonts w:ascii="宋体" w:cs="宋体"/>
                <w:kern w:val="0"/>
                <w:sz w:val="24"/>
              </w:rPr>
            </w:pPr>
            <w:r>
              <w:rPr>
                <w:rFonts w:ascii="宋体" w:hAnsi="宋体" w:cs="宋体"/>
                <w:sz w:val="24"/>
              </w:rPr>
              <w:t>39.</w:t>
            </w:r>
            <w:r>
              <w:rPr>
                <w:rFonts w:ascii="宋体" w:cs="宋体"/>
                <w:kern w:val="0"/>
                <w:sz w:val="24"/>
              </w:rPr>
              <w:t>充电箱充电通道数量</w:t>
            </w:r>
            <w:r>
              <w:rPr>
                <w:rFonts w:hint="eastAsia" w:ascii="宋体" w:cs="宋体"/>
                <w:kern w:val="0"/>
                <w:sz w:val="24"/>
              </w:rPr>
              <w:t>:</w:t>
            </w:r>
            <w:r>
              <w:rPr>
                <w:rFonts w:ascii="宋体" w:cs="宋体"/>
                <w:kern w:val="0"/>
                <w:sz w:val="24"/>
              </w:rPr>
              <w:t>"飞机电池数量≥3</w:t>
            </w:r>
          </w:p>
          <w:p w14:paraId="41CF69FB">
            <w:pPr>
              <w:rPr>
                <w:rFonts w:ascii="宋体" w:cs="宋体"/>
                <w:kern w:val="0"/>
                <w:sz w:val="24"/>
              </w:rPr>
            </w:pPr>
            <w:r>
              <w:rPr>
                <w:rFonts w:ascii="宋体" w:hAnsi="宋体" w:cs="宋体"/>
                <w:sz w:val="24"/>
              </w:rPr>
              <w:t>40.</w:t>
            </w:r>
            <w:r>
              <w:rPr>
                <w:rFonts w:ascii="宋体" w:cs="宋体"/>
                <w:kern w:val="0"/>
                <w:sz w:val="24"/>
              </w:rPr>
              <w:t>遥控器电池数量≥2</w:t>
            </w:r>
          </w:p>
          <w:p w14:paraId="0B369FF9">
            <w:pPr>
              <w:rPr>
                <w:rFonts w:ascii="宋体" w:cs="宋体"/>
                <w:kern w:val="0"/>
                <w:sz w:val="24"/>
              </w:rPr>
            </w:pPr>
            <w:r>
              <w:rPr>
                <w:rFonts w:ascii="宋体" w:hAnsi="宋体" w:cs="宋体"/>
                <w:sz w:val="24"/>
              </w:rPr>
              <w:t>41.</w:t>
            </w:r>
            <w:r>
              <w:rPr>
                <w:rFonts w:ascii="宋体" w:cs="宋体"/>
                <w:kern w:val="0"/>
                <w:sz w:val="24"/>
              </w:rPr>
              <w:t>充电箱充电模式</w:t>
            </w:r>
            <w:r>
              <w:rPr>
                <w:rFonts w:hint="eastAsia" w:ascii="宋体" w:cs="宋体"/>
                <w:kern w:val="0"/>
                <w:sz w:val="24"/>
              </w:rPr>
              <w:t>:</w:t>
            </w:r>
            <w:r>
              <w:rPr>
                <w:rFonts w:ascii="宋体" w:cs="宋体"/>
                <w:kern w:val="0"/>
                <w:sz w:val="24"/>
              </w:rPr>
              <w:t>需支持待命模式 90%、标准模式 100%</w:t>
            </w:r>
          </w:p>
          <w:p w14:paraId="60012FDE">
            <w:pPr>
              <w:rPr>
                <w:rFonts w:ascii="宋体" w:cs="宋体"/>
                <w:kern w:val="0"/>
                <w:sz w:val="24"/>
              </w:rPr>
            </w:pPr>
            <w:r>
              <w:rPr>
                <w:rFonts w:ascii="宋体" w:hAnsi="宋体" w:cs="宋体"/>
                <w:sz w:val="24"/>
              </w:rPr>
              <w:t>42.</w:t>
            </w:r>
            <w:r>
              <w:rPr>
                <w:rFonts w:ascii="宋体" w:cs="宋体"/>
                <w:kern w:val="0"/>
                <w:sz w:val="24"/>
              </w:rPr>
              <w:t>需支持极速模式、静音模式"</w:t>
            </w:r>
          </w:p>
          <w:p w14:paraId="42E26F36">
            <w:pPr>
              <w:rPr>
                <w:rFonts w:ascii="宋体" w:cs="宋体"/>
                <w:kern w:val="0"/>
                <w:sz w:val="24"/>
              </w:rPr>
            </w:pPr>
            <w:r>
              <w:rPr>
                <w:rFonts w:ascii="宋体" w:hAnsi="宋体" w:cs="宋体"/>
                <w:sz w:val="24"/>
              </w:rPr>
              <w:t>43.</w:t>
            </w:r>
            <w:r>
              <w:rPr>
                <w:rFonts w:ascii="宋体" w:cs="宋体"/>
                <w:kern w:val="0"/>
                <w:sz w:val="24"/>
              </w:rPr>
              <w:t>充电箱充电时间（电量从 0% 至 100%）</w:t>
            </w:r>
            <w:r>
              <w:rPr>
                <w:rFonts w:hint="eastAsia" w:ascii="宋体" w:cs="宋体"/>
                <w:kern w:val="0"/>
                <w:sz w:val="24"/>
              </w:rPr>
              <w:t>:</w:t>
            </w:r>
            <w:r>
              <w:rPr>
                <w:rFonts w:ascii="宋体" w:cs="宋体"/>
                <w:kern w:val="0"/>
                <w:sz w:val="24"/>
              </w:rPr>
              <w:t>≤45 分钟</w:t>
            </w:r>
          </w:p>
          <w:p w14:paraId="47F730F8">
            <w:pPr>
              <w:rPr>
                <w:rFonts w:ascii="宋体" w:cs="宋体"/>
                <w:kern w:val="0"/>
                <w:sz w:val="24"/>
              </w:rPr>
            </w:pPr>
            <w:r>
              <w:rPr>
                <w:rFonts w:ascii="宋体" w:hAnsi="宋体" w:cs="宋体"/>
                <w:sz w:val="24"/>
              </w:rPr>
              <w:t>44.</w:t>
            </w:r>
            <w:r>
              <w:rPr>
                <w:rFonts w:ascii="宋体" w:cs="宋体"/>
                <w:kern w:val="0"/>
                <w:sz w:val="24"/>
              </w:rPr>
              <w:t>遥控器尺寸</w:t>
            </w:r>
            <w:r>
              <w:rPr>
                <w:rFonts w:ascii="宋体" w:cs="宋体"/>
                <w:kern w:val="0"/>
                <w:sz w:val="24"/>
              </w:rPr>
              <w:tab/>
            </w:r>
            <w:r>
              <w:rPr>
                <w:rFonts w:hint="eastAsia" w:ascii="宋体" w:cs="宋体"/>
                <w:kern w:val="0"/>
                <w:sz w:val="24"/>
              </w:rPr>
              <w:t>:</w:t>
            </w:r>
            <w:r>
              <w:rPr>
                <w:rFonts w:ascii="宋体" w:cs="宋体"/>
                <w:kern w:val="0"/>
                <w:sz w:val="24"/>
              </w:rPr>
              <w:t>≤300×200×100mm（L×W×H）</w:t>
            </w:r>
          </w:p>
          <w:p w14:paraId="1BAA1682">
            <w:pPr>
              <w:rPr>
                <w:rFonts w:ascii="宋体" w:cs="宋体"/>
                <w:kern w:val="0"/>
                <w:sz w:val="24"/>
              </w:rPr>
            </w:pPr>
            <w:r>
              <w:rPr>
                <w:rFonts w:ascii="宋体" w:hAnsi="宋体" w:cs="宋体"/>
                <w:sz w:val="24"/>
              </w:rPr>
              <w:t>45.</w:t>
            </w:r>
            <w:r>
              <w:rPr>
                <w:rFonts w:ascii="宋体" w:cs="宋体"/>
                <w:kern w:val="0"/>
                <w:sz w:val="24"/>
              </w:rPr>
              <w:t>屏幕尺寸</w:t>
            </w:r>
            <w:r>
              <w:rPr>
                <w:rFonts w:hint="eastAsia" w:ascii="宋体" w:cs="宋体"/>
                <w:kern w:val="0"/>
                <w:sz w:val="24"/>
              </w:rPr>
              <w:t>:</w:t>
            </w:r>
            <w:r>
              <w:rPr>
                <w:rFonts w:ascii="宋体" w:cs="宋体"/>
                <w:kern w:val="0"/>
                <w:sz w:val="24"/>
              </w:rPr>
              <w:t>≥7英寸</w:t>
            </w:r>
          </w:p>
          <w:p w14:paraId="43FE461E">
            <w:pPr>
              <w:rPr>
                <w:rFonts w:ascii="宋体" w:cs="宋体"/>
                <w:kern w:val="0"/>
                <w:sz w:val="24"/>
              </w:rPr>
            </w:pPr>
            <w:r>
              <w:rPr>
                <w:rFonts w:ascii="宋体" w:hAnsi="宋体" w:cs="宋体"/>
                <w:sz w:val="24"/>
              </w:rPr>
              <w:t>46.</w:t>
            </w:r>
            <w:r>
              <w:rPr>
                <w:rFonts w:ascii="宋体" w:cs="宋体"/>
                <w:kern w:val="0"/>
                <w:sz w:val="24"/>
              </w:rPr>
              <w:t>一体化设计</w:t>
            </w:r>
            <w:r>
              <w:rPr>
                <w:rFonts w:hint="eastAsia" w:ascii="宋体" w:cs="宋体"/>
                <w:kern w:val="0"/>
                <w:sz w:val="24"/>
              </w:rPr>
              <w:t>:</w:t>
            </w:r>
            <w:r>
              <w:rPr>
                <w:rFonts w:ascii="宋体" w:cs="宋体"/>
                <w:kern w:val="0"/>
                <w:sz w:val="24"/>
              </w:rPr>
              <w:t>具备遥控器和显示屏一体化设计</w:t>
            </w:r>
          </w:p>
          <w:p w14:paraId="5793D9CF">
            <w:pPr>
              <w:rPr>
                <w:rFonts w:ascii="宋体" w:cs="宋体"/>
                <w:kern w:val="0"/>
                <w:sz w:val="24"/>
              </w:rPr>
            </w:pPr>
            <w:r>
              <w:rPr>
                <w:rFonts w:ascii="宋体" w:hAnsi="宋体" w:cs="宋体"/>
                <w:sz w:val="24"/>
              </w:rPr>
              <w:t>47.</w:t>
            </w:r>
            <w:r>
              <w:rPr>
                <w:rFonts w:ascii="宋体" w:cs="宋体"/>
                <w:kern w:val="0"/>
                <w:sz w:val="24"/>
              </w:rPr>
              <w:t>显示器分辨率</w:t>
            </w:r>
            <w:r>
              <w:rPr>
                <w:rFonts w:hint="eastAsia" w:ascii="宋体" w:cs="宋体"/>
                <w:kern w:val="0"/>
                <w:sz w:val="24"/>
              </w:rPr>
              <w:t>:</w:t>
            </w:r>
            <w:r>
              <w:rPr>
                <w:rFonts w:ascii="宋体" w:cs="宋体"/>
                <w:kern w:val="0"/>
                <w:sz w:val="24"/>
              </w:rPr>
              <w:t>≥1920*1080p</w:t>
            </w:r>
          </w:p>
          <w:p w14:paraId="63511866">
            <w:pPr>
              <w:rPr>
                <w:rFonts w:ascii="宋体" w:cs="宋体"/>
                <w:kern w:val="0"/>
                <w:sz w:val="24"/>
              </w:rPr>
            </w:pPr>
            <w:r>
              <w:rPr>
                <w:rFonts w:ascii="宋体" w:hAnsi="宋体" w:cs="宋体"/>
                <w:sz w:val="24"/>
              </w:rPr>
              <w:t>48.</w:t>
            </w:r>
            <w:r>
              <w:rPr>
                <w:rFonts w:ascii="宋体" w:cs="宋体"/>
                <w:kern w:val="0"/>
                <w:sz w:val="24"/>
              </w:rPr>
              <w:t>显示器亮度</w:t>
            </w:r>
            <w:r>
              <w:rPr>
                <w:rFonts w:hint="eastAsia" w:ascii="宋体" w:cs="宋体"/>
                <w:kern w:val="0"/>
                <w:sz w:val="24"/>
              </w:rPr>
              <w:t>:</w:t>
            </w:r>
            <w:r>
              <w:rPr>
                <w:rFonts w:ascii="宋体" w:cs="宋体"/>
                <w:kern w:val="0"/>
                <w:sz w:val="24"/>
              </w:rPr>
              <w:tab/>
            </w:r>
            <w:r>
              <w:rPr>
                <w:rFonts w:ascii="宋体" w:cs="宋体"/>
                <w:kern w:val="0"/>
                <w:sz w:val="24"/>
              </w:rPr>
              <w:t>≥1400尼特</w:t>
            </w:r>
          </w:p>
          <w:p w14:paraId="5C110256">
            <w:pPr>
              <w:rPr>
                <w:rFonts w:ascii="宋体" w:cs="宋体"/>
                <w:kern w:val="0"/>
                <w:sz w:val="24"/>
              </w:rPr>
            </w:pPr>
            <w:r>
              <w:rPr>
                <w:rFonts w:ascii="宋体" w:hAnsi="宋体" w:cs="宋体"/>
                <w:sz w:val="24"/>
              </w:rPr>
              <w:t>49.</w:t>
            </w:r>
            <w:r>
              <w:rPr>
                <w:rFonts w:ascii="宋体" w:cs="宋体"/>
                <w:kern w:val="0"/>
                <w:sz w:val="24"/>
              </w:rPr>
              <w:t>天线</w:t>
            </w:r>
            <w:r>
              <w:rPr>
                <w:rFonts w:hint="eastAsia" w:ascii="宋体" w:cs="宋体"/>
                <w:kern w:val="0"/>
                <w:sz w:val="24"/>
              </w:rPr>
              <w:t>:</w:t>
            </w:r>
            <w:r>
              <w:rPr>
                <w:rFonts w:ascii="宋体" w:cs="宋体"/>
                <w:kern w:val="0"/>
                <w:sz w:val="24"/>
              </w:rPr>
              <w:t>需支持2.4GHz/5.8GHz 多波束高增益天线：2 发 4 收</w:t>
            </w:r>
          </w:p>
          <w:p w14:paraId="3C2E968D">
            <w:pPr>
              <w:rPr>
                <w:rFonts w:ascii="宋体" w:cs="宋体"/>
                <w:kern w:val="0"/>
                <w:sz w:val="24"/>
              </w:rPr>
            </w:pPr>
            <w:r>
              <w:rPr>
                <w:rFonts w:ascii="宋体" w:hAnsi="宋体" w:cs="宋体"/>
                <w:sz w:val="24"/>
              </w:rPr>
              <w:t>50.</w:t>
            </w:r>
            <w:r>
              <w:rPr>
                <w:rFonts w:ascii="宋体" w:cs="宋体"/>
                <w:kern w:val="0"/>
                <w:sz w:val="24"/>
              </w:rPr>
              <w:t>需支持安装sub2G 模块：2 发 2 收</w:t>
            </w:r>
          </w:p>
          <w:p w14:paraId="713D3C7E">
            <w:pPr>
              <w:rPr>
                <w:rFonts w:ascii="宋体" w:cs="宋体"/>
                <w:kern w:val="0"/>
                <w:sz w:val="24"/>
              </w:rPr>
            </w:pPr>
            <w:r>
              <w:rPr>
                <w:rFonts w:ascii="宋体" w:hAnsi="宋体" w:cs="宋体"/>
                <w:sz w:val="24"/>
              </w:rPr>
              <w:t>51.</w:t>
            </w:r>
            <w:r>
              <w:rPr>
                <w:rFonts w:ascii="宋体" w:cs="宋体"/>
                <w:kern w:val="0"/>
                <w:sz w:val="24"/>
              </w:rPr>
              <w:t>遥控器4G增强图传</w:t>
            </w:r>
            <w:r>
              <w:rPr>
                <w:rFonts w:hint="eastAsia" w:ascii="宋体" w:cs="宋体"/>
                <w:kern w:val="0"/>
                <w:sz w:val="24"/>
              </w:rPr>
              <w:t>:</w:t>
            </w:r>
            <w:r>
              <w:rPr>
                <w:rFonts w:ascii="宋体" w:cs="宋体"/>
                <w:kern w:val="0"/>
                <w:sz w:val="24"/>
              </w:rPr>
              <w:t>需支持安装4G增强图传模块，支持eSIM卡</w:t>
            </w:r>
          </w:p>
          <w:p w14:paraId="2614D603">
            <w:pPr>
              <w:rPr>
                <w:rFonts w:ascii="宋体" w:cs="宋体"/>
                <w:kern w:val="0"/>
                <w:sz w:val="24"/>
              </w:rPr>
            </w:pPr>
            <w:r>
              <w:rPr>
                <w:rFonts w:ascii="宋体" w:hAnsi="宋体" w:cs="宋体"/>
                <w:sz w:val="24"/>
              </w:rPr>
              <w:t>52.</w:t>
            </w:r>
            <w:r>
              <w:rPr>
                <w:rFonts w:ascii="宋体" w:cs="宋体"/>
                <w:kern w:val="0"/>
                <w:sz w:val="24"/>
              </w:rPr>
              <w:t>遥控器重量</w:t>
            </w:r>
            <w:r>
              <w:rPr>
                <w:rFonts w:hint="eastAsia" w:ascii="宋体" w:cs="宋体"/>
                <w:kern w:val="0"/>
                <w:sz w:val="24"/>
              </w:rPr>
              <w:t>:</w:t>
            </w:r>
            <w:r>
              <w:rPr>
                <w:rFonts w:ascii="宋体" w:cs="宋体"/>
                <w:kern w:val="0"/>
                <w:sz w:val="24"/>
              </w:rPr>
              <w:t>≤1.2kg</w:t>
            </w:r>
          </w:p>
          <w:p w14:paraId="30EA6508">
            <w:pPr>
              <w:rPr>
                <w:rFonts w:ascii="宋体" w:cs="宋体"/>
                <w:kern w:val="0"/>
                <w:sz w:val="24"/>
              </w:rPr>
            </w:pPr>
            <w:r>
              <w:rPr>
                <w:rFonts w:ascii="宋体" w:hAnsi="宋体" w:cs="宋体"/>
                <w:sz w:val="24"/>
              </w:rPr>
              <w:t>53.</w:t>
            </w:r>
            <w:r>
              <w:rPr>
                <w:rFonts w:ascii="宋体" w:cs="宋体"/>
                <w:kern w:val="0"/>
                <w:sz w:val="24"/>
              </w:rPr>
              <w:t>接口支持接口类型需包括：HDMI视频输出接口、SD卡槽，Type-C接口</w:t>
            </w:r>
          </w:p>
          <w:p w14:paraId="0027C839">
            <w:pPr>
              <w:rPr>
                <w:rFonts w:ascii="宋体" w:cs="宋体"/>
                <w:kern w:val="0"/>
                <w:sz w:val="24"/>
              </w:rPr>
            </w:pPr>
            <w:r>
              <w:rPr>
                <w:rFonts w:ascii="宋体" w:hAnsi="宋体" w:cs="宋体"/>
                <w:sz w:val="24"/>
              </w:rPr>
              <w:t>54.</w:t>
            </w:r>
            <w:r>
              <w:rPr>
                <w:rFonts w:ascii="宋体" w:cs="宋体"/>
                <w:kern w:val="0"/>
                <w:sz w:val="24"/>
              </w:rPr>
              <w:t>遥控器外置电池</w:t>
            </w:r>
            <w:r>
              <w:rPr>
                <w:rFonts w:hint="eastAsia" w:ascii="宋体" w:cs="宋体"/>
                <w:kern w:val="0"/>
                <w:sz w:val="24"/>
              </w:rPr>
              <w:t>:</w:t>
            </w:r>
            <w:r>
              <w:rPr>
                <w:rFonts w:ascii="宋体" w:cs="宋体"/>
                <w:kern w:val="0"/>
                <w:sz w:val="24"/>
              </w:rPr>
              <w:t>遥控器支持安装外置电池</w:t>
            </w:r>
          </w:p>
          <w:p w14:paraId="2D8E378A">
            <w:pPr>
              <w:rPr>
                <w:rFonts w:ascii="宋体" w:cs="宋体"/>
                <w:kern w:val="0"/>
                <w:sz w:val="24"/>
              </w:rPr>
            </w:pPr>
            <w:r>
              <w:rPr>
                <w:rFonts w:ascii="宋体" w:hAnsi="宋体" w:cs="宋体"/>
                <w:sz w:val="24"/>
              </w:rPr>
              <w:t>55.</w:t>
            </w:r>
            <w:r>
              <w:rPr>
                <w:rFonts w:ascii="宋体" w:cs="宋体"/>
                <w:kern w:val="0"/>
                <w:sz w:val="24"/>
              </w:rPr>
              <w:t>遥控器防护等级</w:t>
            </w:r>
            <w:r>
              <w:rPr>
                <w:rFonts w:hint="eastAsia" w:ascii="宋体" w:cs="宋体"/>
                <w:kern w:val="0"/>
                <w:sz w:val="24"/>
              </w:rPr>
              <w:t>：</w:t>
            </w:r>
            <w:r>
              <w:rPr>
                <w:rFonts w:ascii="宋体" w:cs="宋体"/>
                <w:kern w:val="0"/>
                <w:sz w:val="24"/>
              </w:rPr>
              <w:t>≥IP54</w:t>
            </w:r>
          </w:p>
          <w:p w14:paraId="4D033D98">
            <w:pPr>
              <w:rPr>
                <w:rFonts w:ascii="宋体"/>
                <w:kern w:val="0"/>
                <w:sz w:val="23"/>
                <w:szCs w:val="23"/>
              </w:rPr>
            </w:pPr>
            <w:r>
              <w:rPr>
                <w:rFonts w:ascii="宋体" w:hAnsi="宋体" w:cs="宋体"/>
                <w:sz w:val="24"/>
              </w:rPr>
              <w:t>56.</w:t>
            </w:r>
            <w:r>
              <w:rPr>
                <w:rFonts w:ascii="宋体" w:cs="宋体"/>
                <w:kern w:val="0"/>
                <w:sz w:val="24"/>
              </w:rPr>
              <w:t>遥控器按键</w:t>
            </w:r>
            <w:r>
              <w:rPr>
                <w:rFonts w:hint="eastAsia" w:ascii="宋体" w:cs="宋体"/>
                <w:kern w:val="0"/>
                <w:sz w:val="24"/>
              </w:rPr>
              <w:t>：</w:t>
            </w:r>
            <w:r>
              <w:rPr>
                <w:rFonts w:ascii="宋体" w:cs="宋体"/>
                <w:kern w:val="0"/>
                <w:sz w:val="24"/>
              </w:rPr>
              <w:t>需支持背光按键</w:t>
            </w:r>
          </w:p>
        </w:tc>
        <w:tc>
          <w:tcPr>
            <w:tcW w:w="709" w:type="dxa"/>
            <w:vAlign w:val="center"/>
          </w:tcPr>
          <w:p w14:paraId="1080EAC4">
            <w:pPr>
              <w:widowControl/>
              <w:adjustRightInd w:val="0"/>
              <w:snapToGrid w:val="0"/>
              <w:jc w:val="center"/>
              <w:rPr>
                <w:rFonts w:ascii="宋体"/>
                <w:kern w:val="0"/>
                <w:sz w:val="23"/>
                <w:szCs w:val="23"/>
              </w:rPr>
            </w:pPr>
            <w:r>
              <w:rPr>
                <w:rFonts w:ascii="宋体"/>
                <w:kern w:val="0"/>
                <w:sz w:val="23"/>
                <w:szCs w:val="23"/>
              </w:rPr>
              <w:t>1</w:t>
            </w:r>
          </w:p>
        </w:tc>
        <w:tc>
          <w:tcPr>
            <w:tcW w:w="709" w:type="dxa"/>
            <w:vAlign w:val="center"/>
          </w:tcPr>
          <w:p w14:paraId="370CFB36">
            <w:pPr>
              <w:widowControl/>
              <w:adjustRightInd w:val="0"/>
              <w:snapToGrid w:val="0"/>
              <w:jc w:val="center"/>
              <w:rPr>
                <w:rFonts w:ascii="宋体"/>
                <w:kern w:val="0"/>
                <w:sz w:val="23"/>
                <w:szCs w:val="23"/>
              </w:rPr>
            </w:pPr>
            <w:r>
              <w:rPr>
                <w:rFonts w:hint="eastAsia" w:ascii="宋体"/>
                <w:kern w:val="0"/>
                <w:sz w:val="23"/>
                <w:szCs w:val="23"/>
              </w:rPr>
              <w:t>台</w:t>
            </w:r>
          </w:p>
        </w:tc>
        <w:tc>
          <w:tcPr>
            <w:tcW w:w="850" w:type="dxa"/>
            <w:vAlign w:val="center"/>
          </w:tcPr>
          <w:p w14:paraId="5C096BD8">
            <w:pPr>
              <w:widowControl/>
              <w:adjustRightInd w:val="0"/>
              <w:snapToGrid w:val="0"/>
              <w:jc w:val="center"/>
              <w:rPr>
                <w:rFonts w:ascii="宋体"/>
                <w:kern w:val="0"/>
                <w:sz w:val="23"/>
                <w:szCs w:val="23"/>
              </w:rPr>
            </w:pPr>
          </w:p>
        </w:tc>
      </w:tr>
      <w:tr w14:paraId="4F54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8" w:type="dxa"/>
            <w:vAlign w:val="center"/>
          </w:tcPr>
          <w:p w14:paraId="59137101">
            <w:pPr>
              <w:widowControl/>
              <w:numPr>
                <w:ilvl w:val="0"/>
                <w:numId w:val="1"/>
              </w:numPr>
              <w:adjustRightInd w:val="0"/>
              <w:snapToGrid w:val="0"/>
              <w:spacing w:line="400" w:lineRule="exact"/>
              <w:jc w:val="center"/>
              <w:rPr>
                <w:rFonts w:ascii="宋体" w:hAnsi="宋体"/>
                <w:kern w:val="0"/>
                <w:sz w:val="23"/>
                <w:szCs w:val="23"/>
              </w:rPr>
            </w:pPr>
          </w:p>
        </w:tc>
        <w:tc>
          <w:tcPr>
            <w:tcW w:w="1622" w:type="dxa"/>
            <w:vAlign w:val="center"/>
          </w:tcPr>
          <w:p w14:paraId="09E2E7F2">
            <w:pPr>
              <w:widowControl/>
              <w:adjustRightInd w:val="0"/>
              <w:snapToGrid w:val="0"/>
              <w:jc w:val="center"/>
              <w:rPr>
                <w:rFonts w:ascii="宋体"/>
                <w:kern w:val="0"/>
                <w:sz w:val="23"/>
                <w:szCs w:val="23"/>
              </w:rPr>
            </w:pPr>
            <w:r>
              <w:rPr>
                <w:rFonts w:hint="eastAsia" w:ascii="宋体" w:cs="宋体"/>
                <w:kern w:val="0"/>
                <w:sz w:val="24"/>
              </w:rPr>
              <w:t>无人机</w:t>
            </w:r>
          </w:p>
        </w:tc>
        <w:tc>
          <w:tcPr>
            <w:tcW w:w="5357" w:type="dxa"/>
            <w:vAlign w:val="center"/>
          </w:tcPr>
          <w:p w14:paraId="269B07A7">
            <w:pPr>
              <w:tabs>
                <w:tab w:val="left" w:pos="447"/>
              </w:tabs>
              <w:jc w:val="left"/>
              <w:rPr>
                <w:rFonts w:ascii="宋体" w:hAnsi="宋体" w:cs="宋体"/>
                <w:sz w:val="24"/>
              </w:rPr>
            </w:pPr>
            <w:r>
              <w:rPr>
                <w:rFonts w:ascii="宋体" w:hAnsi="宋体" w:cs="宋体"/>
                <w:sz w:val="24"/>
              </w:rPr>
              <w:t>1.起飞重量（含电池、普通桨叶和 microSD 卡、无配件）</w:t>
            </w:r>
            <w:r>
              <w:rPr>
                <w:rFonts w:hint="eastAsia" w:ascii="宋体" w:cs="宋体"/>
                <w:sz w:val="24"/>
              </w:rPr>
              <w:t>:</w:t>
            </w:r>
            <w:r>
              <w:rPr>
                <w:rFonts w:ascii="宋体" w:hAnsi="宋体" w:cs="宋体"/>
                <w:sz w:val="24"/>
              </w:rPr>
              <w:t>≤1250 g</w:t>
            </w:r>
          </w:p>
          <w:p w14:paraId="5FEE47AC">
            <w:pPr>
              <w:tabs>
                <w:tab w:val="left" w:pos="447"/>
              </w:tabs>
              <w:jc w:val="left"/>
              <w:rPr>
                <w:rFonts w:ascii="宋体" w:hAnsi="宋体" w:cs="宋体"/>
                <w:sz w:val="24"/>
              </w:rPr>
            </w:pPr>
            <w:r>
              <w:rPr>
                <w:rFonts w:ascii="宋体" w:hAnsi="宋体" w:cs="宋体"/>
                <w:sz w:val="24"/>
              </w:rPr>
              <w:t>2.起飞重量（含电池、静音桨叶和 microSD 卡、无配件）</w:t>
            </w:r>
            <w:r>
              <w:rPr>
                <w:rFonts w:hint="eastAsia" w:ascii="宋体" w:cs="宋体"/>
                <w:sz w:val="24"/>
              </w:rPr>
              <w:t>:</w:t>
            </w:r>
            <w:r>
              <w:rPr>
                <w:rFonts w:ascii="宋体" w:hAnsi="宋体" w:cs="宋体"/>
                <w:sz w:val="24"/>
              </w:rPr>
              <w:t>≤1250 g</w:t>
            </w:r>
          </w:p>
          <w:p w14:paraId="5AA99963">
            <w:pPr>
              <w:tabs>
                <w:tab w:val="left" w:pos="447"/>
              </w:tabs>
              <w:jc w:val="left"/>
              <w:rPr>
                <w:rFonts w:ascii="宋体" w:hAnsi="宋体" w:cs="宋体"/>
                <w:sz w:val="24"/>
              </w:rPr>
            </w:pPr>
            <w:r>
              <w:rPr>
                <w:rFonts w:ascii="宋体" w:hAnsi="宋体" w:cs="宋体"/>
                <w:sz w:val="24"/>
              </w:rPr>
              <w:t>3.最大起飞重量</w:t>
            </w:r>
            <w:r>
              <w:rPr>
                <w:rFonts w:hint="eastAsia" w:ascii="宋体" w:cs="宋体"/>
                <w:sz w:val="24"/>
              </w:rPr>
              <w:t>:</w:t>
            </w:r>
            <w:r>
              <w:rPr>
                <w:rFonts w:ascii="宋体" w:hAnsi="宋体" w:cs="宋体"/>
                <w:sz w:val="24"/>
              </w:rPr>
              <w:t>≤1450 g</w:t>
            </w:r>
          </w:p>
          <w:p w14:paraId="081A011D">
            <w:pPr>
              <w:tabs>
                <w:tab w:val="left" w:pos="447"/>
              </w:tabs>
              <w:jc w:val="left"/>
              <w:rPr>
                <w:rFonts w:ascii="宋体" w:hAnsi="宋体" w:cs="宋体"/>
                <w:sz w:val="24"/>
              </w:rPr>
            </w:pPr>
            <w:r>
              <w:rPr>
                <w:rFonts w:ascii="宋体" w:hAnsi="宋体" w:cs="宋体"/>
                <w:sz w:val="24"/>
              </w:rPr>
              <w:t>4.折叠后尺寸（长×宽×高）</w:t>
            </w:r>
            <w:r>
              <w:rPr>
                <w:rFonts w:hint="eastAsia" w:ascii="宋体" w:cs="宋体"/>
                <w:sz w:val="24"/>
              </w:rPr>
              <w:t>:</w:t>
            </w:r>
            <w:r>
              <w:rPr>
                <w:rFonts w:ascii="宋体" w:hAnsi="宋体" w:cs="宋体"/>
                <w:sz w:val="24"/>
              </w:rPr>
              <w:t>≤265×118×143mm</w:t>
            </w:r>
          </w:p>
          <w:p w14:paraId="7EF96ED3">
            <w:pPr>
              <w:tabs>
                <w:tab w:val="left" w:pos="447"/>
              </w:tabs>
              <w:jc w:val="left"/>
              <w:rPr>
                <w:rFonts w:ascii="宋体" w:hAnsi="宋体" w:cs="宋体"/>
                <w:sz w:val="24"/>
              </w:rPr>
            </w:pPr>
            <w:r>
              <w:rPr>
                <w:rFonts w:ascii="宋体" w:hAnsi="宋体" w:cs="宋体"/>
                <w:sz w:val="24"/>
              </w:rPr>
              <w:t>5.对角线轴距</w:t>
            </w:r>
            <w:r>
              <w:rPr>
                <w:rFonts w:hint="eastAsia" w:ascii="宋体" w:cs="宋体"/>
                <w:sz w:val="24"/>
              </w:rPr>
              <w:t>:</w:t>
            </w:r>
            <w:r>
              <w:rPr>
                <w:rFonts w:ascii="宋体" w:hAnsi="宋体" w:cs="宋体"/>
                <w:sz w:val="24"/>
              </w:rPr>
              <w:t>≤443 mm</w:t>
            </w:r>
          </w:p>
          <w:p w14:paraId="6D5EDE2E">
            <w:pPr>
              <w:tabs>
                <w:tab w:val="left" w:pos="447"/>
              </w:tabs>
              <w:jc w:val="left"/>
              <w:rPr>
                <w:rFonts w:ascii="宋体" w:hAnsi="宋体" w:cs="宋体"/>
                <w:sz w:val="24"/>
              </w:rPr>
            </w:pPr>
            <w:r>
              <w:rPr>
                <w:rFonts w:ascii="宋体" w:hAnsi="宋体" w:cs="宋体"/>
                <w:sz w:val="24"/>
              </w:rPr>
              <w:t>6.最大信号有效距离（无干扰、无遮挡）</w:t>
            </w:r>
            <w:r>
              <w:rPr>
                <w:rFonts w:hint="eastAsia" w:ascii="宋体" w:cs="宋体"/>
                <w:sz w:val="24"/>
              </w:rPr>
              <w:t>:</w:t>
            </w:r>
            <w:r>
              <w:rPr>
                <w:rFonts w:ascii="宋体" w:hAnsi="宋体" w:cs="宋体"/>
                <w:sz w:val="24"/>
              </w:rPr>
              <w:t>≥25km</w:t>
            </w:r>
          </w:p>
          <w:p w14:paraId="229C66C5">
            <w:pPr>
              <w:tabs>
                <w:tab w:val="left" w:pos="447"/>
              </w:tabs>
              <w:jc w:val="left"/>
              <w:rPr>
                <w:rFonts w:ascii="宋体" w:hAnsi="宋体" w:cs="宋体"/>
                <w:sz w:val="24"/>
              </w:rPr>
            </w:pPr>
            <w:r>
              <w:rPr>
                <w:rFonts w:ascii="宋体" w:hAnsi="宋体" w:cs="宋体"/>
                <w:sz w:val="24"/>
              </w:rPr>
              <w:t>7.最长飞行时间</w:t>
            </w:r>
            <w:r>
              <w:rPr>
                <w:rFonts w:hint="eastAsia" w:ascii="宋体" w:cs="宋体"/>
                <w:sz w:val="24"/>
              </w:rPr>
              <w:t>:</w:t>
            </w:r>
            <w:r>
              <w:rPr>
                <w:rFonts w:ascii="宋体" w:hAnsi="宋体" w:cs="宋体"/>
                <w:sz w:val="24"/>
              </w:rPr>
              <w:t>≥49 分钟</w:t>
            </w:r>
          </w:p>
          <w:p w14:paraId="24104C2F">
            <w:pPr>
              <w:tabs>
                <w:tab w:val="left" w:pos="447"/>
              </w:tabs>
              <w:jc w:val="left"/>
              <w:rPr>
                <w:rFonts w:ascii="宋体" w:hAnsi="宋体" w:cs="宋体"/>
                <w:sz w:val="24"/>
              </w:rPr>
            </w:pPr>
            <w:r>
              <w:rPr>
                <w:rFonts w:ascii="宋体" w:hAnsi="宋体" w:cs="宋体"/>
                <w:sz w:val="24"/>
              </w:rPr>
              <w:t>8.最大可抗风速</w:t>
            </w:r>
            <w:r>
              <w:rPr>
                <w:rFonts w:hint="eastAsia" w:ascii="宋体" w:cs="宋体"/>
                <w:sz w:val="24"/>
              </w:rPr>
              <w:t>:</w:t>
            </w:r>
            <w:r>
              <w:rPr>
                <w:rFonts w:ascii="宋体" w:hAnsi="宋体" w:cs="宋体"/>
                <w:sz w:val="24"/>
              </w:rPr>
              <w:t>≥12m/s</w:t>
            </w:r>
          </w:p>
          <w:p w14:paraId="6F425E07">
            <w:pPr>
              <w:tabs>
                <w:tab w:val="left" w:pos="447"/>
              </w:tabs>
              <w:jc w:val="left"/>
              <w:rPr>
                <w:rFonts w:ascii="宋体" w:hAnsi="宋体" w:cs="宋体"/>
                <w:sz w:val="24"/>
              </w:rPr>
            </w:pPr>
            <w:r>
              <w:rPr>
                <w:rFonts w:ascii="宋体" w:hAnsi="宋体" w:cs="宋体"/>
                <w:sz w:val="24"/>
              </w:rPr>
              <w:t>9.全向感知系统</w:t>
            </w:r>
            <w:r>
              <w:rPr>
                <w:rFonts w:hint="eastAsia" w:ascii="宋体" w:cs="宋体"/>
                <w:sz w:val="24"/>
              </w:rPr>
              <w:t>:</w:t>
            </w:r>
            <w:r>
              <w:rPr>
                <w:rFonts w:ascii="宋体" w:hAnsi="宋体" w:cs="宋体"/>
                <w:sz w:val="24"/>
              </w:rPr>
              <w:t>飞行器的前、后、左、右、上均具备双目视觉避障传感器，下方具备三维红外传感器，能够在探测到障碍物时在App上进行提醒，并自动减速刹车或绕行</w:t>
            </w:r>
          </w:p>
          <w:p w14:paraId="1C2B2AD7">
            <w:pPr>
              <w:tabs>
                <w:tab w:val="left" w:pos="447"/>
              </w:tabs>
              <w:jc w:val="left"/>
              <w:rPr>
                <w:rFonts w:ascii="宋体" w:hAnsi="宋体" w:cs="宋体"/>
                <w:sz w:val="24"/>
              </w:rPr>
            </w:pPr>
            <w:r>
              <w:rPr>
                <w:rFonts w:ascii="宋体" w:hAnsi="宋体" w:cs="宋体"/>
                <w:sz w:val="24"/>
              </w:rPr>
              <w:t>10.GNSS</w:t>
            </w:r>
            <w:r>
              <w:rPr>
                <w:rFonts w:hint="eastAsia" w:ascii="宋体" w:cs="宋体"/>
                <w:sz w:val="24"/>
              </w:rPr>
              <w:t>:</w:t>
            </w:r>
            <w:r>
              <w:rPr>
                <w:rFonts w:ascii="宋体" w:hAnsi="宋体" w:cs="宋体"/>
                <w:sz w:val="24"/>
              </w:rPr>
              <w:t>支持GPS + Galileo + BeiDou + GLONASS</w:t>
            </w:r>
          </w:p>
          <w:p w14:paraId="20C88FA7">
            <w:pPr>
              <w:tabs>
                <w:tab w:val="left" w:pos="447"/>
              </w:tabs>
              <w:jc w:val="left"/>
              <w:rPr>
                <w:rFonts w:ascii="宋体" w:hAnsi="宋体" w:cs="宋体"/>
                <w:sz w:val="24"/>
              </w:rPr>
            </w:pPr>
            <w:r>
              <w:rPr>
                <w:rFonts w:ascii="宋体" w:hAnsi="宋体" w:cs="宋体"/>
                <w:sz w:val="24"/>
              </w:rPr>
              <w:t>10.单北斗定位(仅北斗版本硬件）</w:t>
            </w:r>
            <w:r>
              <w:rPr>
                <w:rFonts w:hint="eastAsia" w:ascii="宋体" w:cs="宋体"/>
                <w:sz w:val="24"/>
              </w:rPr>
              <w:t>:</w:t>
            </w:r>
            <w:r>
              <w:rPr>
                <w:rFonts w:ascii="宋体" w:hAnsi="宋体" w:cs="宋体"/>
                <w:sz w:val="24"/>
              </w:rPr>
              <w:t>支持单北斗定位模式</w:t>
            </w:r>
          </w:p>
          <w:p w14:paraId="5C7206D8">
            <w:pPr>
              <w:tabs>
                <w:tab w:val="left" w:pos="447"/>
              </w:tabs>
              <w:jc w:val="left"/>
              <w:rPr>
                <w:rFonts w:ascii="宋体" w:hAnsi="宋体" w:cs="宋体"/>
                <w:sz w:val="24"/>
              </w:rPr>
            </w:pPr>
            <w:r>
              <w:rPr>
                <w:rFonts w:ascii="宋体" w:hAnsi="宋体" w:cs="宋体"/>
                <w:sz w:val="24"/>
              </w:rPr>
              <w:t>12.单北斗定位(仅北斗版本硬件）</w:t>
            </w:r>
            <w:r>
              <w:rPr>
                <w:rFonts w:hint="eastAsia" w:ascii="宋体" w:cs="宋体"/>
                <w:sz w:val="24"/>
              </w:rPr>
              <w:t>:</w:t>
            </w:r>
            <w:r>
              <w:rPr>
                <w:rFonts w:ascii="宋体" w:hAnsi="宋体" w:cs="宋体"/>
                <w:sz w:val="24"/>
              </w:rPr>
              <w:t>单北斗定位模式，支持执行航点航线、面状航线等各类航线任务</w:t>
            </w:r>
          </w:p>
          <w:p w14:paraId="7F38715D">
            <w:pPr>
              <w:tabs>
                <w:tab w:val="left" w:pos="447"/>
              </w:tabs>
              <w:jc w:val="left"/>
              <w:rPr>
                <w:rFonts w:ascii="宋体" w:hAnsi="宋体" w:cs="宋体"/>
                <w:sz w:val="24"/>
              </w:rPr>
            </w:pPr>
            <w:r>
              <w:rPr>
                <w:rFonts w:ascii="宋体" w:hAnsi="宋体" w:cs="宋体"/>
                <w:sz w:val="24"/>
              </w:rPr>
              <w:t>13.工作环境温度</w:t>
            </w:r>
            <w:r>
              <w:rPr>
                <w:rFonts w:hint="eastAsia" w:ascii="宋体" w:cs="宋体"/>
                <w:sz w:val="24"/>
              </w:rPr>
              <w:t>:</w:t>
            </w:r>
            <w:r>
              <w:rPr>
                <w:rFonts w:ascii="宋体" w:hAnsi="宋体" w:cs="宋体"/>
                <w:sz w:val="24"/>
              </w:rPr>
              <w:t>工作温度范围覆盖-10°C 至 40°C</w:t>
            </w:r>
          </w:p>
          <w:p w14:paraId="5DDF4EE2">
            <w:pPr>
              <w:tabs>
                <w:tab w:val="left" w:pos="447"/>
              </w:tabs>
              <w:jc w:val="left"/>
              <w:rPr>
                <w:rFonts w:ascii="宋体" w:hAnsi="宋体" w:cs="宋体"/>
                <w:sz w:val="24"/>
              </w:rPr>
            </w:pPr>
            <w:r>
              <w:rPr>
                <w:rFonts w:ascii="宋体" w:hAnsi="宋体" w:cs="宋体"/>
                <w:sz w:val="24"/>
              </w:rPr>
              <w:t>14.GNSS定位悬停精度</w:t>
            </w:r>
            <w:r>
              <w:rPr>
                <w:rFonts w:hint="eastAsia" w:ascii="宋体" w:cs="宋体"/>
                <w:sz w:val="24"/>
              </w:rPr>
              <w:t>:</w:t>
            </w:r>
            <w:r>
              <w:rPr>
                <w:rFonts w:ascii="宋体" w:hAnsi="宋体" w:cs="宋体"/>
                <w:sz w:val="24"/>
              </w:rPr>
              <w:t>垂直≤0.5 m，水平≤0.5 m</w:t>
            </w:r>
          </w:p>
          <w:p w14:paraId="76B8742B">
            <w:pPr>
              <w:tabs>
                <w:tab w:val="left" w:pos="447"/>
              </w:tabs>
              <w:jc w:val="left"/>
              <w:rPr>
                <w:rFonts w:ascii="宋体" w:hAnsi="宋体" w:cs="宋体"/>
                <w:sz w:val="24"/>
              </w:rPr>
            </w:pPr>
            <w:r>
              <w:rPr>
                <w:rFonts w:ascii="宋体" w:hAnsi="宋体" w:cs="宋体"/>
                <w:sz w:val="24"/>
              </w:rPr>
              <w:t>15.RTK定位悬停精度</w:t>
            </w:r>
            <w:r>
              <w:rPr>
                <w:rFonts w:hint="eastAsia" w:ascii="宋体" w:cs="宋体"/>
                <w:sz w:val="24"/>
              </w:rPr>
              <w:t>:</w:t>
            </w:r>
            <w:r>
              <w:rPr>
                <w:rFonts w:ascii="宋体" w:hAnsi="宋体" w:cs="宋体"/>
                <w:sz w:val="24"/>
              </w:rPr>
              <w:t>垂直≤0.1 m，水平≤0.1 m</w:t>
            </w:r>
          </w:p>
          <w:p w14:paraId="4B400375">
            <w:pPr>
              <w:tabs>
                <w:tab w:val="left" w:pos="447"/>
              </w:tabs>
              <w:jc w:val="left"/>
              <w:rPr>
                <w:rFonts w:ascii="宋体" w:hAnsi="宋体" w:cs="宋体"/>
                <w:sz w:val="24"/>
              </w:rPr>
            </w:pPr>
            <w:r>
              <w:rPr>
                <w:rFonts w:ascii="宋体" w:hAnsi="宋体" w:cs="宋体"/>
                <w:sz w:val="24"/>
              </w:rPr>
              <w:t>16.最大上升速度</w:t>
            </w:r>
            <w:r>
              <w:rPr>
                <w:rFonts w:hint="eastAsia" w:ascii="宋体" w:cs="宋体"/>
                <w:sz w:val="24"/>
              </w:rPr>
              <w:t>:</w:t>
            </w:r>
            <w:r>
              <w:rPr>
                <w:rFonts w:ascii="宋体" w:hAnsi="宋体" w:cs="宋体"/>
                <w:sz w:val="24"/>
              </w:rPr>
              <w:t>≥10 m/s</w:t>
            </w:r>
          </w:p>
          <w:p w14:paraId="3F0911FA">
            <w:pPr>
              <w:tabs>
                <w:tab w:val="left" w:pos="447"/>
              </w:tabs>
              <w:jc w:val="left"/>
              <w:rPr>
                <w:rFonts w:ascii="宋体" w:hAnsi="宋体" w:cs="宋体"/>
                <w:sz w:val="24"/>
              </w:rPr>
            </w:pPr>
            <w:r>
              <w:rPr>
                <w:rFonts w:ascii="宋体" w:hAnsi="宋体" w:cs="宋体"/>
                <w:sz w:val="24"/>
              </w:rPr>
              <w:t>17.最大下降速度</w:t>
            </w:r>
            <w:r>
              <w:rPr>
                <w:rFonts w:hint="eastAsia" w:ascii="宋体" w:cs="宋体"/>
                <w:sz w:val="24"/>
              </w:rPr>
              <w:t>:</w:t>
            </w:r>
            <w:r>
              <w:rPr>
                <w:rFonts w:ascii="宋体" w:hAnsi="宋体" w:cs="宋体"/>
                <w:sz w:val="24"/>
              </w:rPr>
              <w:t xml:space="preserve">≥8 m/s </w:t>
            </w:r>
          </w:p>
          <w:p w14:paraId="21A2215C">
            <w:pPr>
              <w:tabs>
                <w:tab w:val="left" w:pos="447"/>
              </w:tabs>
              <w:jc w:val="left"/>
              <w:rPr>
                <w:rFonts w:ascii="宋体" w:hAnsi="宋体" w:cs="宋体"/>
                <w:sz w:val="24"/>
              </w:rPr>
            </w:pPr>
            <w:r>
              <w:rPr>
                <w:rFonts w:ascii="宋体" w:hAnsi="宋体" w:cs="宋体"/>
                <w:sz w:val="24"/>
              </w:rPr>
              <w:t>18.最大水平飞行速度</w:t>
            </w:r>
            <w:r>
              <w:rPr>
                <w:rFonts w:hint="eastAsia" w:ascii="宋体" w:cs="宋体"/>
                <w:sz w:val="24"/>
              </w:rPr>
              <w:t>:</w:t>
            </w:r>
            <w:r>
              <w:rPr>
                <w:rFonts w:ascii="宋体" w:hAnsi="宋体" w:cs="宋体"/>
                <w:sz w:val="24"/>
              </w:rPr>
              <w:t>≥18m/s</w:t>
            </w:r>
          </w:p>
          <w:p w14:paraId="533A711A">
            <w:pPr>
              <w:tabs>
                <w:tab w:val="left" w:pos="447"/>
              </w:tabs>
              <w:jc w:val="left"/>
              <w:rPr>
                <w:rFonts w:ascii="宋体" w:hAnsi="宋体" w:cs="宋体"/>
                <w:sz w:val="24"/>
              </w:rPr>
            </w:pPr>
            <w:r>
              <w:rPr>
                <w:rFonts w:ascii="宋体" w:hAnsi="宋体" w:cs="宋体"/>
                <w:sz w:val="24"/>
              </w:rPr>
              <w:t>19.最大飞行海拔高度</w:t>
            </w:r>
            <w:r>
              <w:rPr>
                <w:rFonts w:hint="eastAsia" w:ascii="宋体" w:cs="宋体"/>
                <w:sz w:val="24"/>
              </w:rPr>
              <w:t>:</w:t>
            </w:r>
            <w:r>
              <w:rPr>
                <w:rFonts w:ascii="宋体" w:hAnsi="宋体" w:cs="宋体"/>
                <w:sz w:val="24"/>
              </w:rPr>
              <w:t>≥6000 米</w:t>
            </w:r>
          </w:p>
          <w:p w14:paraId="69B75B47">
            <w:pPr>
              <w:tabs>
                <w:tab w:val="left" w:pos="447"/>
              </w:tabs>
              <w:jc w:val="left"/>
              <w:rPr>
                <w:rFonts w:ascii="宋体" w:hAnsi="宋体" w:cs="宋体"/>
                <w:sz w:val="24"/>
              </w:rPr>
            </w:pPr>
            <w:r>
              <w:rPr>
                <w:rFonts w:ascii="宋体" w:hAnsi="宋体" w:cs="宋体"/>
                <w:sz w:val="24"/>
              </w:rPr>
              <w:t>20.图传加密</w:t>
            </w:r>
            <w:r>
              <w:rPr>
                <w:rFonts w:hint="eastAsia" w:ascii="宋体" w:cs="宋体"/>
                <w:sz w:val="24"/>
              </w:rPr>
              <w:t>:</w:t>
            </w:r>
            <w:r>
              <w:rPr>
                <w:rFonts w:ascii="宋体" w:hAnsi="宋体" w:cs="宋体"/>
                <w:sz w:val="24"/>
              </w:rPr>
              <w:t>为保证数据安全，图传链路需通过AES-256技术进行加密，图传支持多频段，具备抗干扰能力</w:t>
            </w:r>
          </w:p>
          <w:p w14:paraId="4B8CEB60">
            <w:pPr>
              <w:tabs>
                <w:tab w:val="left" w:pos="447"/>
              </w:tabs>
              <w:jc w:val="left"/>
              <w:rPr>
                <w:rFonts w:ascii="宋体" w:hAnsi="宋体" w:cs="宋体"/>
                <w:sz w:val="24"/>
              </w:rPr>
            </w:pPr>
            <w:r>
              <w:rPr>
                <w:rFonts w:ascii="宋体" w:hAnsi="宋体" w:cs="宋体"/>
                <w:sz w:val="24"/>
              </w:rPr>
              <w:t>21.飞行器自检功能</w:t>
            </w:r>
            <w:r>
              <w:rPr>
                <w:rFonts w:hint="eastAsia" w:ascii="宋体" w:cs="宋体"/>
                <w:sz w:val="24"/>
              </w:rPr>
              <w:t>:</w:t>
            </w:r>
            <w:r>
              <w:rPr>
                <w:rFonts w:ascii="宋体" w:hAnsi="宋体" w:cs="宋体"/>
                <w:sz w:val="24"/>
              </w:rPr>
              <w:t>具备飞行器自检功能</w:t>
            </w:r>
          </w:p>
          <w:p w14:paraId="0AE28A17">
            <w:pPr>
              <w:tabs>
                <w:tab w:val="left" w:pos="447"/>
              </w:tabs>
              <w:jc w:val="left"/>
              <w:rPr>
                <w:rFonts w:ascii="宋体" w:hAnsi="宋体" w:cs="宋体"/>
                <w:sz w:val="24"/>
              </w:rPr>
            </w:pPr>
            <w:r>
              <w:rPr>
                <w:rFonts w:ascii="宋体" w:hAnsi="宋体" w:cs="宋体"/>
                <w:sz w:val="24"/>
              </w:rPr>
              <w:t>22.低电量自动返航</w:t>
            </w:r>
            <w:r>
              <w:rPr>
                <w:rFonts w:hint="eastAsia" w:ascii="宋体" w:cs="宋体"/>
                <w:sz w:val="24"/>
              </w:rPr>
              <w:t>:</w:t>
            </w:r>
            <w:r>
              <w:rPr>
                <w:rFonts w:ascii="宋体" w:hAnsi="宋体" w:cs="宋体"/>
                <w:sz w:val="24"/>
              </w:rPr>
              <w:t>具备低电量自动返航功能</w:t>
            </w:r>
          </w:p>
          <w:p w14:paraId="399F0647">
            <w:pPr>
              <w:tabs>
                <w:tab w:val="left" w:pos="447"/>
              </w:tabs>
              <w:jc w:val="left"/>
              <w:rPr>
                <w:rFonts w:ascii="宋体" w:hAnsi="宋体" w:cs="宋体"/>
                <w:sz w:val="24"/>
              </w:rPr>
            </w:pPr>
            <w:r>
              <w:rPr>
                <w:rFonts w:ascii="宋体" w:hAnsi="宋体" w:cs="宋体"/>
                <w:sz w:val="24"/>
              </w:rPr>
              <w:t>23.信号丢失自动返航</w:t>
            </w:r>
            <w:r>
              <w:rPr>
                <w:rFonts w:hint="eastAsia" w:ascii="宋体" w:cs="宋体"/>
                <w:sz w:val="24"/>
              </w:rPr>
              <w:t>:</w:t>
            </w:r>
            <w:r>
              <w:rPr>
                <w:rFonts w:ascii="宋体" w:hAnsi="宋体" w:cs="宋体"/>
                <w:sz w:val="24"/>
              </w:rPr>
              <w:t>具备信号丢失自动返航功能</w:t>
            </w:r>
          </w:p>
          <w:p w14:paraId="1CD0BFE6">
            <w:pPr>
              <w:tabs>
                <w:tab w:val="left" w:pos="447"/>
              </w:tabs>
              <w:jc w:val="left"/>
              <w:rPr>
                <w:rFonts w:ascii="宋体" w:hAnsi="宋体" w:cs="宋体"/>
                <w:sz w:val="24"/>
              </w:rPr>
            </w:pPr>
            <w:r>
              <w:rPr>
                <w:rFonts w:ascii="宋体" w:hAnsi="宋体" w:cs="宋体"/>
                <w:sz w:val="24"/>
              </w:rPr>
              <w:t>24.RTK</w:t>
            </w:r>
            <w:r>
              <w:rPr>
                <w:rFonts w:hint="eastAsia" w:ascii="宋体" w:cs="宋体"/>
                <w:sz w:val="24"/>
              </w:rPr>
              <w:t>:</w:t>
            </w:r>
            <w:r>
              <w:rPr>
                <w:rFonts w:ascii="宋体" w:hAnsi="宋体" w:cs="宋体"/>
                <w:sz w:val="24"/>
              </w:rPr>
              <w:t>"RTK不可拆卸</w:t>
            </w:r>
          </w:p>
          <w:p w14:paraId="1F77EDB3">
            <w:pPr>
              <w:tabs>
                <w:tab w:val="left" w:pos="447"/>
              </w:tabs>
              <w:jc w:val="left"/>
              <w:rPr>
                <w:rFonts w:ascii="宋体" w:hAnsi="宋体" w:cs="宋体"/>
                <w:sz w:val="24"/>
              </w:rPr>
            </w:pPr>
            <w:r>
              <w:rPr>
                <w:rFonts w:ascii="宋体" w:hAnsi="宋体" w:cs="宋体"/>
                <w:sz w:val="24"/>
              </w:rPr>
              <w:t>25.RTK 固定解时水平精度：1 cm + 1 ppm；垂直精度：1.5 cm + 1 ppm"</w:t>
            </w:r>
          </w:p>
          <w:p w14:paraId="5E8E2513">
            <w:pPr>
              <w:tabs>
                <w:tab w:val="left" w:pos="447"/>
              </w:tabs>
              <w:jc w:val="left"/>
              <w:rPr>
                <w:rFonts w:ascii="宋体" w:hAnsi="宋体" w:cs="宋体"/>
                <w:sz w:val="24"/>
              </w:rPr>
            </w:pPr>
            <w:r>
              <w:rPr>
                <w:rFonts w:ascii="宋体" w:hAnsi="宋体" w:cs="宋体"/>
                <w:sz w:val="24"/>
              </w:rPr>
              <w:t>26.相机类型</w:t>
            </w:r>
            <w:r>
              <w:rPr>
                <w:rFonts w:hint="eastAsia" w:ascii="宋体" w:cs="宋体"/>
                <w:sz w:val="24"/>
              </w:rPr>
              <w:t>:</w:t>
            </w:r>
            <w:r>
              <w:rPr>
                <w:rFonts w:ascii="宋体" w:hAnsi="宋体" w:cs="宋体"/>
                <w:sz w:val="24"/>
              </w:rPr>
              <w:t>具有长焦可见光、中长焦可见光、广角可见光</w:t>
            </w:r>
          </w:p>
          <w:p w14:paraId="5D39F2F1">
            <w:pPr>
              <w:tabs>
                <w:tab w:val="left" w:pos="447"/>
              </w:tabs>
              <w:jc w:val="left"/>
              <w:rPr>
                <w:rFonts w:ascii="宋体" w:hAnsi="宋体" w:cs="宋体"/>
                <w:sz w:val="24"/>
              </w:rPr>
            </w:pPr>
            <w:r>
              <w:rPr>
                <w:rFonts w:ascii="宋体" w:hAnsi="宋体" w:cs="宋体"/>
                <w:sz w:val="24"/>
              </w:rPr>
              <w:t>27.广角相机CMOS</w:t>
            </w:r>
            <w:r>
              <w:rPr>
                <w:rFonts w:hint="eastAsia" w:ascii="宋体" w:cs="宋体"/>
                <w:sz w:val="24"/>
              </w:rPr>
              <w:t>:</w:t>
            </w:r>
            <w:r>
              <w:rPr>
                <w:rFonts w:ascii="宋体" w:hAnsi="宋体" w:cs="宋体"/>
                <w:sz w:val="24"/>
              </w:rPr>
              <w:t>具备广角相机，相机CMOS不低于4/3英寸</w:t>
            </w:r>
          </w:p>
          <w:p w14:paraId="7A3C64B9">
            <w:pPr>
              <w:tabs>
                <w:tab w:val="left" w:pos="447"/>
              </w:tabs>
              <w:jc w:val="left"/>
              <w:rPr>
                <w:rFonts w:ascii="宋体" w:hAnsi="宋体" w:cs="宋体"/>
                <w:sz w:val="24"/>
              </w:rPr>
            </w:pPr>
            <w:r>
              <w:rPr>
                <w:rFonts w:ascii="宋体" w:hAnsi="宋体" w:cs="宋体"/>
                <w:sz w:val="24"/>
              </w:rPr>
              <w:t>28.广角相机像素</w:t>
            </w:r>
            <w:r>
              <w:rPr>
                <w:rFonts w:hint="eastAsia" w:ascii="宋体" w:cs="宋体"/>
                <w:sz w:val="24"/>
              </w:rPr>
              <w:t>:</w:t>
            </w:r>
            <w:r>
              <w:rPr>
                <w:rFonts w:ascii="宋体" w:hAnsi="宋体" w:cs="宋体"/>
                <w:sz w:val="24"/>
              </w:rPr>
              <w:t>广角相机像素不低于2000W</w:t>
            </w:r>
          </w:p>
          <w:p w14:paraId="630A2546">
            <w:pPr>
              <w:tabs>
                <w:tab w:val="left" w:pos="447"/>
              </w:tabs>
              <w:jc w:val="left"/>
              <w:rPr>
                <w:rFonts w:ascii="宋体" w:hAnsi="宋体" w:cs="宋体"/>
                <w:sz w:val="24"/>
              </w:rPr>
            </w:pPr>
            <w:r>
              <w:rPr>
                <w:rFonts w:ascii="宋体" w:hAnsi="宋体" w:cs="宋体"/>
                <w:sz w:val="24"/>
              </w:rPr>
              <w:t>29.广角相机快门</w:t>
            </w:r>
            <w:r>
              <w:rPr>
                <w:rFonts w:hint="eastAsia" w:ascii="宋体" w:cs="宋体"/>
                <w:sz w:val="24"/>
              </w:rPr>
              <w:t>:</w:t>
            </w:r>
            <w:r>
              <w:rPr>
                <w:rFonts w:ascii="宋体" w:hAnsi="宋体" w:cs="宋体"/>
                <w:sz w:val="24"/>
              </w:rPr>
              <w:t>机械快门</w:t>
            </w:r>
          </w:p>
          <w:p w14:paraId="1D1C22CF">
            <w:pPr>
              <w:tabs>
                <w:tab w:val="left" w:pos="447"/>
              </w:tabs>
              <w:jc w:val="left"/>
              <w:rPr>
                <w:rFonts w:ascii="宋体" w:hAnsi="宋体" w:cs="宋体"/>
                <w:sz w:val="24"/>
              </w:rPr>
            </w:pPr>
            <w:r>
              <w:rPr>
                <w:rFonts w:ascii="宋体" w:hAnsi="宋体" w:cs="宋体"/>
                <w:sz w:val="24"/>
              </w:rPr>
              <w:t>30.最小拍照间隔</w:t>
            </w:r>
            <w:r>
              <w:rPr>
                <w:rFonts w:hint="eastAsia" w:ascii="宋体" w:cs="宋体"/>
                <w:sz w:val="24"/>
              </w:rPr>
              <w:t>:</w:t>
            </w:r>
            <w:r>
              <w:rPr>
                <w:rFonts w:ascii="宋体" w:hAnsi="宋体" w:cs="宋体"/>
                <w:sz w:val="24"/>
              </w:rPr>
              <w:t>≤0.5s</w:t>
            </w:r>
          </w:p>
          <w:p w14:paraId="2CF56B6A">
            <w:pPr>
              <w:tabs>
                <w:tab w:val="left" w:pos="447"/>
              </w:tabs>
              <w:jc w:val="left"/>
              <w:rPr>
                <w:rFonts w:ascii="宋体" w:hAnsi="宋体" w:cs="宋体"/>
                <w:sz w:val="24"/>
              </w:rPr>
            </w:pPr>
            <w:r>
              <w:rPr>
                <w:rFonts w:ascii="宋体" w:hAnsi="宋体" w:cs="宋体"/>
                <w:sz w:val="24"/>
              </w:rPr>
              <w:t>31.中长焦相机CMOS</w:t>
            </w:r>
            <w:r>
              <w:rPr>
                <w:rFonts w:hint="eastAsia" w:ascii="宋体" w:cs="宋体"/>
                <w:sz w:val="24"/>
              </w:rPr>
              <w:t>:</w:t>
            </w:r>
            <w:r>
              <w:rPr>
                <w:rFonts w:ascii="宋体" w:hAnsi="宋体" w:cs="宋体"/>
                <w:sz w:val="24"/>
              </w:rPr>
              <w:t>具备中长焦相机，相机CMOS不低于1/1.3英寸</w:t>
            </w:r>
          </w:p>
          <w:p w14:paraId="1AB49050">
            <w:pPr>
              <w:tabs>
                <w:tab w:val="left" w:pos="447"/>
              </w:tabs>
              <w:jc w:val="left"/>
              <w:rPr>
                <w:rFonts w:ascii="宋体" w:hAnsi="宋体" w:cs="宋体"/>
                <w:sz w:val="24"/>
              </w:rPr>
            </w:pPr>
            <w:r>
              <w:rPr>
                <w:rFonts w:ascii="宋体" w:hAnsi="宋体" w:cs="宋体"/>
                <w:sz w:val="24"/>
              </w:rPr>
              <w:t>32.中长焦相机像素</w:t>
            </w:r>
            <w:r>
              <w:rPr>
                <w:rFonts w:hint="eastAsia" w:ascii="宋体" w:cs="宋体"/>
                <w:sz w:val="24"/>
              </w:rPr>
              <w:t>:</w:t>
            </w:r>
            <w:r>
              <w:rPr>
                <w:rFonts w:ascii="宋体" w:hAnsi="宋体" w:cs="宋体"/>
                <w:sz w:val="24"/>
              </w:rPr>
              <w:t>像素数不低于4800万</w:t>
            </w:r>
          </w:p>
          <w:p w14:paraId="3A751D4F">
            <w:pPr>
              <w:tabs>
                <w:tab w:val="left" w:pos="447"/>
              </w:tabs>
              <w:jc w:val="left"/>
              <w:rPr>
                <w:rFonts w:ascii="宋体" w:hAnsi="宋体" w:cs="宋体"/>
                <w:sz w:val="24"/>
              </w:rPr>
            </w:pPr>
            <w:r>
              <w:rPr>
                <w:rFonts w:ascii="宋体" w:hAnsi="宋体" w:cs="宋体"/>
                <w:sz w:val="24"/>
              </w:rPr>
              <w:t>33.长焦相机CMOS</w:t>
            </w:r>
            <w:r>
              <w:rPr>
                <w:rFonts w:hint="eastAsia" w:ascii="宋体" w:cs="宋体"/>
                <w:sz w:val="24"/>
              </w:rPr>
              <w:t>:</w:t>
            </w:r>
            <w:r>
              <w:rPr>
                <w:rFonts w:ascii="宋体" w:hAnsi="宋体" w:cs="宋体"/>
                <w:sz w:val="24"/>
              </w:rPr>
              <w:t>具备长焦相机，相机CMOS不低于1/1.5英寸</w:t>
            </w:r>
          </w:p>
          <w:p w14:paraId="7AD47E2F">
            <w:pPr>
              <w:tabs>
                <w:tab w:val="left" w:pos="447"/>
              </w:tabs>
              <w:jc w:val="left"/>
              <w:rPr>
                <w:rFonts w:ascii="宋体" w:hAnsi="宋体" w:cs="宋体"/>
                <w:sz w:val="24"/>
              </w:rPr>
            </w:pPr>
            <w:r>
              <w:rPr>
                <w:rFonts w:ascii="宋体" w:hAnsi="宋体" w:cs="宋体"/>
                <w:sz w:val="24"/>
              </w:rPr>
              <w:t>34.长焦相机像素</w:t>
            </w:r>
            <w:r>
              <w:rPr>
                <w:rFonts w:hint="eastAsia" w:ascii="宋体" w:cs="宋体"/>
                <w:sz w:val="24"/>
              </w:rPr>
              <w:t>:</w:t>
            </w:r>
            <w:r>
              <w:rPr>
                <w:rFonts w:ascii="宋体" w:hAnsi="宋体" w:cs="宋体"/>
                <w:sz w:val="24"/>
              </w:rPr>
              <w:t>像素数不低于4800万</w:t>
            </w:r>
          </w:p>
          <w:p w14:paraId="68F0059D">
            <w:pPr>
              <w:tabs>
                <w:tab w:val="left" w:pos="447"/>
              </w:tabs>
              <w:jc w:val="left"/>
              <w:rPr>
                <w:rFonts w:ascii="宋体" w:hAnsi="宋体" w:cs="宋体"/>
                <w:sz w:val="24"/>
              </w:rPr>
            </w:pPr>
            <w:r>
              <w:rPr>
                <w:rFonts w:ascii="宋体" w:hAnsi="宋体" w:cs="宋体"/>
                <w:sz w:val="24"/>
              </w:rPr>
              <w:t>35.可见光相机变焦倍数</w:t>
            </w:r>
            <w:r>
              <w:rPr>
                <w:rFonts w:hint="eastAsia" w:ascii="宋体" w:cs="宋体"/>
                <w:sz w:val="24"/>
              </w:rPr>
              <w:t>:</w:t>
            </w:r>
            <w:r>
              <w:rPr>
                <w:rFonts w:ascii="宋体" w:hAnsi="宋体" w:cs="宋体"/>
                <w:sz w:val="24"/>
              </w:rPr>
              <w:t>变焦倍数不低于112倍</w:t>
            </w:r>
          </w:p>
          <w:p w14:paraId="5F7BD1C2">
            <w:pPr>
              <w:tabs>
                <w:tab w:val="left" w:pos="447"/>
              </w:tabs>
              <w:jc w:val="left"/>
              <w:rPr>
                <w:rFonts w:ascii="宋体" w:hAnsi="宋体" w:cs="宋体"/>
                <w:sz w:val="24"/>
              </w:rPr>
            </w:pPr>
            <w:r>
              <w:rPr>
                <w:rFonts w:ascii="宋体" w:hAnsi="宋体" w:cs="宋体"/>
                <w:sz w:val="24"/>
              </w:rPr>
              <w:t>36.稳定系统</w:t>
            </w:r>
            <w:r>
              <w:rPr>
                <w:rFonts w:hint="eastAsia" w:ascii="宋体" w:cs="宋体"/>
                <w:sz w:val="24"/>
              </w:rPr>
              <w:t>:</w:t>
            </w:r>
            <w:r>
              <w:rPr>
                <w:rFonts w:ascii="宋体" w:hAnsi="宋体" w:cs="宋体"/>
                <w:sz w:val="24"/>
              </w:rPr>
              <w:t>具备三轴机械增稳云台（俯仰、横滚、平移）</w:t>
            </w:r>
          </w:p>
          <w:p w14:paraId="09D7CD0B">
            <w:pPr>
              <w:tabs>
                <w:tab w:val="left" w:pos="447"/>
              </w:tabs>
              <w:jc w:val="left"/>
              <w:rPr>
                <w:rFonts w:ascii="宋体" w:hAnsi="宋体" w:cs="宋体"/>
                <w:sz w:val="24"/>
              </w:rPr>
            </w:pPr>
            <w:r>
              <w:rPr>
                <w:rFonts w:ascii="宋体" w:hAnsi="宋体" w:cs="宋体"/>
                <w:sz w:val="24"/>
              </w:rPr>
              <w:t>37.可见光相机视频</w:t>
            </w:r>
            <w:r>
              <w:rPr>
                <w:rFonts w:hint="eastAsia" w:ascii="宋体" w:cs="宋体"/>
                <w:sz w:val="24"/>
              </w:rPr>
              <w:t>:</w:t>
            </w:r>
            <w:r>
              <w:rPr>
                <w:rFonts w:ascii="宋体" w:hAnsi="宋体" w:cs="宋体"/>
                <w:sz w:val="24"/>
              </w:rPr>
              <w:t>可见光相机支持4k30p视频录制</w:t>
            </w:r>
          </w:p>
          <w:p w14:paraId="3A948F5E">
            <w:pPr>
              <w:tabs>
                <w:tab w:val="left" w:pos="447"/>
              </w:tabs>
              <w:jc w:val="left"/>
              <w:rPr>
                <w:rFonts w:ascii="宋体" w:hAnsi="宋体" w:cs="宋体"/>
                <w:sz w:val="24"/>
              </w:rPr>
            </w:pPr>
            <w:r>
              <w:rPr>
                <w:rFonts w:ascii="宋体" w:hAnsi="宋体" w:cs="宋体"/>
                <w:sz w:val="24"/>
              </w:rPr>
              <w:t>38.激光测距模块</w:t>
            </w:r>
            <w:r>
              <w:rPr>
                <w:rFonts w:hint="eastAsia" w:ascii="宋体" w:cs="宋体"/>
                <w:sz w:val="24"/>
              </w:rPr>
              <w:t>:</w:t>
            </w:r>
            <w:r>
              <w:rPr>
                <w:rFonts w:ascii="宋体" w:hAnsi="宋体" w:cs="宋体"/>
                <w:sz w:val="24"/>
              </w:rPr>
              <w:t>最远正入射量程1800m</w:t>
            </w:r>
          </w:p>
          <w:p w14:paraId="084C6865">
            <w:pPr>
              <w:tabs>
                <w:tab w:val="left" w:pos="447"/>
              </w:tabs>
              <w:jc w:val="left"/>
              <w:rPr>
                <w:rFonts w:ascii="宋体" w:hAnsi="宋体" w:cs="宋体"/>
                <w:sz w:val="24"/>
              </w:rPr>
            </w:pPr>
            <w:r>
              <w:rPr>
                <w:rFonts w:ascii="宋体" w:hAnsi="宋体" w:cs="宋体"/>
                <w:sz w:val="24"/>
              </w:rPr>
              <w:t>39.航线功能</w:t>
            </w:r>
            <w:r>
              <w:rPr>
                <w:rFonts w:hint="eastAsia" w:ascii="宋体" w:cs="宋体"/>
                <w:sz w:val="24"/>
              </w:rPr>
              <w:t>:</w:t>
            </w:r>
            <w:r>
              <w:rPr>
                <w:rFonts w:ascii="宋体" w:hAnsi="宋体" w:cs="宋体"/>
                <w:sz w:val="24"/>
              </w:rPr>
              <w:t>支持贴近摄影测量、航点、正射、倾斜、航带、仿地等多种航线作业类型</w:t>
            </w:r>
          </w:p>
          <w:p w14:paraId="48AE9616">
            <w:pPr>
              <w:tabs>
                <w:tab w:val="left" w:pos="447"/>
              </w:tabs>
              <w:jc w:val="left"/>
              <w:rPr>
                <w:rFonts w:ascii="宋体" w:hAnsi="宋体" w:cs="宋体"/>
                <w:sz w:val="24"/>
              </w:rPr>
            </w:pPr>
            <w:r>
              <w:rPr>
                <w:rFonts w:ascii="宋体" w:hAnsi="宋体" w:cs="宋体"/>
                <w:sz w:val="24"/>
              </w:rPr>
              <w:t>40.云台摆拍方式</w:t>
            </w:r>
            <w:r>
              <w:rPr>
                <w:rFonts w:hint="eastAsia" w:ascii="宋体" w:cs="宋体"/>
                <w:sz w:val="24"/>
              </w:rPr>
              <w:t>:</w:t>
            </w:r>
            <w:r>
              <w:rPr>
                <w:rFonts w:ascii="宋体" w:hAnsi="宋体" w:cs="宋体"/>
                <w:sz w:val="24"/>
              </w:rPr>
              <w:t>支持五向智能摆拍</w:t>
            </w:r>
          </w:p>
          <w:p w14:paraId="6DEFFF39">
            <w:pPr>
              <w:tabs>
                <w:tab w:val="left" w:pos="447"/>
              </w:tabs>
              <w:jc w:val="left"/>
              <w:rPr>
                <w:rFonts w:ascii="宋体" w:hAnsi="宋体" w:cs="宋体"/>
                <w:sz w:val="24"/>
              </w:rPr>
            </w:pPr>
            <w:r>
              <w:rPr>
                <w:rFonts w:ascii="宋体" w:hAnsi="宋体" w:cs="宋体"/>
                <w:sz w:val="24"/>
              </w:rPr>
              <w:t>41.遥控器三维重建</w:t>
            </w:r>
            <w:r>
              <w:rPr>
                <w:rFonts w:hint="eastAsia" w:ascii="宋体" w:cs="宋体"/>
                <w:sz w:val="24"/>
              </w:rPr>
              <w:t>:</w:t>
            </w:r>
            <w:r>
              <w:rPr>
                <w:rFonts w:ascii="宋体" w:hAnsi="宋体" w:cs="宋体"/>
                <w:sz w:val="24"/>
              </w:rPr>
              <w:t>遥控器内置三维建模引擎，能够重建得到稀疏点云粗模</w:t>
            </w:r>
          </w:p>
          <w:p w14:paraId="41368DEF">
            <w:pPr>
              <w:tabs>
                <w:tab w:val="left" w:pos="447"/>
              </w:tabs>
              <w:jc w:val="left"/>
              <w:rPr>
                <w:rFonts w:ascii="宋体" w:hAnsi="宋体" w:cs="宋体"/>
                <w:sz w:val="24"/>
              </w:rPr>
            </w:pPr>
            <w:r>
              <w:rPr>
                <w:rFonts w:ascii="宋体" w:hAnsi="宋体" w:cs="宋体"/>
                <w:sz w:val="24"/>
              </w:rPr>
              <w:t>42.地理位置时间戳水印</w:t>
            </w:r>
            <w:r>
              <w:rPr>
                <w:rFonts w:hint="eastAsia" w:ascii="宋体" w:cs="宋体"/>
                <w:sz w:val="24"/>
              </w:rPr>
              <w:t>:</w:t>
            </w:r>
            <w:r>
              <w:rPr>
                <w:rFonts w:ascii="宋体" w:hAnsi="宋体" w:cs="宋体"/>
                <w:sz w:val="24"/>
              </w:rPr>
              <w:t>支持在无人机拍摄的可见光视频与照片上记录拍摄时的 地理位置坐标和时间</w:t>
            </w:r>
          </w:p>
          <w:p w14:paraId="10FA7F61">
            <w:pPr>
              <w:tabs>
                <w:tab w:val="left" w:pos="447"/>
              </w:tabs>
              <w:jc w:val="left"/>
              <w:rPr>
                <w:rFonts w:ascii="宋体" w:hAnsi="宋体" w:cs="宋体"/>
                <w:sz w:val="24"/>
              </w:rPr>
            </w:pPr>
            <w:r>
              <w:rPr>
                <w:rFonts w:ascii="宋体" w:hAnsi="宋体" w:cs="宋体"/>
                <w:sz w:val="24"/>
              </w:rPr>
              <w:t>43.激光测距信息</w:t>
            </w:r>
            <w:r>
              <w:rPr>
                <w:rFonts w:hint="eastAsia" w:ascii="宋体" w:cs="宋体"/>
                <w:sz w:val="24"/>
              </w:rPr>
              <w:t>:</w:t>
            </w:r>
            <w:r>
              <w:rPr>
                <w:rFonts w:ascii="宋体" w:hAnsi="宋体" w:cs="宋体"/>
                <w:sz w:val="24"/>
              </w:rPr>
              <w:t>支持可见光照片中记录激光测距获取的距离和地理位置坐标</w:t>
            </w:r>
          </w:p>
          <w:p w14:paraId="61942A00">
            <w:pPr>
              <w:tabs>
                <w:tab w:val="left" w:pos="447"/>
              </w:tabs>
              <w:jc w:val="left"/>
              <w:rPr>
                <w:rFonts w:ascii="宋体" w:hAnsi="宋体" w:cs="宋体"/>
                <w:sz w:val="24"/>
              </w:rPr>
            </w:pPr>
            <w:r>
              <w:rPr>
                <w:rFonts w:ascii="宋体" w:hAnsi="宋体" w:cs="宋体"/>
                <w:sz w:val="24"/>
              </w:rPr>
              <w:t>44.ADS-B功能</w:t>
            </w:r>
            <w:r>
              <w:rPr>
                <w:rFonts w:hint="eastAsia" w:ascii="宋体" w:cs="宋体"/>
                <w:sz w:val="24"/>
              </w:rPr>
              <w:t>:</w:t>
            </w:r>
            <w:r>
              <w:rPr>
                <w:rFonts w:ascii="宋体" w:hAnsi="宋体" w:cs="宋体"/>
                <w:sz w:val="24"/>
              </w:rPr>
              <w:t>能够接收民航客机的ADS-B广播信息，并能过地面端软件向用户发出附近民航客机预警信息</w:t>
            </w:r>
          </w:p>
          <w:p w14:paraId="6492F1D3">
            <w:pPr>
              <w:tabs>
                <w:tab w:val="left" w:pos="447"/>
              </w:tabs>
              <w:jc w:val="left"/>
              <w:rPr>
                <w:rFonts w:ascii="宋体" w:hAnsi="宋体" w:cs="宋体"/>
                <w:sz w:val="24"/>
              </w:rPr>
            </w:pPr>
            <w:r>
              <w:rPr>
                <w:rFonts w:ascii="宋体" w:hAnsi="宋体" w:cs="宋体"/>
                <w:sz w:val="24"/>
              </w:rPr>
              <w:t>45.实时远程直播</w:t>
            </w:r>
            <w:r>
              <w:rPr>
                <w:rFonts w:hint="eastAsia" w:ascii="宋体" w:cs="宋体"/>
                <w:sz w:val="24"/>
              </w:rPr>
              <w:t>:</w:t>
            </w:r>
            <w:r>
              <w:rPr>
                <w:rFonts w:ascii="宋体" w:hAnsi="宋体" w:cs="宋体"/>
                <w:sz w:val="24"/>
              </w:rPr>
              <w:t>支持远程实时直播</w:t>
            </w:r>
          </w:p>
          <w:p w14:paraId="68DC30E2">
            <w:pPr>
              <w:tabs>
                <w:tab w:val="left" w:pos="447"/>
              </w:tabs>
              <w:jc w:val="left"/>
              <w:rPr>
                <w:rFonts w:ascii="宋体" w:hAnsi="宋体" w:cs="宋体"/>
                <w:sz w:val="24"/>
              </w:rPr>
            </w:pPr>
            <w:r>
              <w:rPr>
                <w:rFonts w:ascii="宋体" w:hAnsi="宋体" w:cs="宋体"/>
                <w:sz w:val="24"/>
              </w:rPr>
              <w:t>46.实时远程控制</w:t>
            </w:r>
            <w:r>
              <w:rPr>
                <w:rFonts w:hint="eastAsia" w:ascii="宋体" w:cs="宋体"/>
                <w:sz w:val="24"/>
              </w:rPr>
              <w:t>:</w:t>
            </w:r>
            <w:r>
              <w:rPr>
                <w:rFonts w:ascii="宋体" w:hAnsi="宋体" w:cs="宋体"/>
                <w:sz w:val="24"/>
              </w:rPr>
              <w:t>支持远程实时控制无人机飞行、云台拍照等</w:t>
            </w:r>
          </w:p>
          <w:p w14:paraId="3E5BF523">
            <w:pPr>
              <w:tabs>
                <w:tab w:val="left" w:pos="447"/>
              </w:tabs>
              <w:jc w:val="left"/>
              <w:rPr>
                <w:rFonts w:ascii="宋体" w:hAnsi="宋体" w:cs="宋体"/>
                <w:sz w:val="24"/>
              </w:rPr>
            </w:pPr>
            <w:r>
              <w:rPr>
                <w:rFonts w:ascii="宋体" w:hAnsi="宋体" w:cs="宋体"/>
                <w:sz w:val="24"/>
              </w:rPr>
              <w:t>47.一键全景</w:t>
            </w:r>
            <w:r>
              <w:rPr>
                <w:rFonts w:hint="eastAsia" w:ascii="宋体" w:cs="宋体"/>
                <w:sz w:val="24"/>
              </w:rPr>
              <w:t>:</w:t>
            </w:r>
            <w:r>
              <w:rPr>
                <w:rFonts w:ascii="宋体" w:hAnsi="宋体" w:cs="宋体"/>
                <w:sz w:val="24"/>
              </w:rPr>
              <w:t>支持一键全景功能</w:t>
            </w:r>
          </w:p>
          <w:p w14:paraId="12A358B6">
            <w:pPr>
              <w:tabs>
                <w:tab w:val="left" w:pos="447"/>
              </w:tabs>
              <w:jc w:val="left"/>
              <w:rPr>
                <w:rFonts w:ascii="宋体" w:hAnsi="宋体" w:cs="宋体"/>
                <w:sz w:val="24"/>
              </w:rPr>
            </w:pPr>
            <w:r>
              <w:rPr>
                <w:rFonts w:ascii="宋体" w:hAnsi="宋体" w:cs="宋体"/>
                <w:sz w:val="24"/>
              </w:rPr>
              <w:t>48.智能识别功能</w:t>
            </w:r>
            <w:r>
              <w:rPr>
                <w:rFonts w:hint="eastAsia" w:ascii="宋体" w:cs="宋体"/>
                <w:sz w:val="24"/>
              </w:rPr>
              <w:t>:</w:t>
            </w:r>
            <w:r>
              <w:rPr>
                <w:rFonts w:ascii="宋体" w:hAnsi="宋体" w:cs="宋体"/>
                <w:sz w:val="24"/>
              </w:rPr>
              <w:t>可见光支持人车船目标的AI识别</w:t>
            </w:r>
          </w:p>
          <w:p w14:paraId="3BBBED3C">
            <w:pPr>
              <w:tabs>
                <w:tab w:val="left" w:pos="447"/>
              </w:tabs>
              <w:jc w:val="left"/>
              <w:rPr>
                <w:rFonts w:ascii="宋体" w:hAnsi="宋体" w:cs="宋体"/>
                <w:sz w:val="24"/>
              </w:rPr>
            </w:pPr>
            <w:r>
              <w:rPr>
                <w:rFonts w:ascii="宋体" w:hAnsi="宋体" w:cs="宋体"/>
                <w:sz w:val="24"/>
              </w:rPr>
              <w:t>49.天线</w:t>
            </w:r>
            <w:r>
              <w:rPr>
                <w:rFonts w:hint="eastAsia" w:ascii="宋体" w:cs="宋体"/>
                <w:sz w:val="24"/>
              </w:rPr>
              <w:t>:</w:t>
            </w:r>
            <w:r>
              <w:rPr>
                <w:rFonts w:ascii="宋体" w:hAnsi="宋体" w:cs="宋体"/>
                <w:sz w:val="24"/>
              </w:rPr>
              <w:t>8天线，采用2发4收天线方案</w:t>
            </w:r>
          </w:p>
          <w:p w14:paraId="18000A86">
            <w:pPr>
              <w:tabs>
                <w:tab w:val="left" w:pos="447"/>
              </w:tabs>
              <w:jc w:val="left"/>
              <w:rPr>
                <w:rFonts w:ascii="宋体" w:hAnsi="宋体" w:cs="宋体"/>
                <w:sz w:val="24"/>
              </w:rPr>
            </w:pPr>
            <w:r>
              <w:rPr>
                <w:rFonts w:ascii="宋体" w:hAnsi="宋体" w:cs="宋体"/>
                <w:sz w:val="24"/>
              </w:rPr>
              <w:t>50.工作频段</w:t>
            </w:r>
            <w:r>
              <w:rPr>
                <w:rFonts w:hint="eastAsia" w:ascii="宋体" w:cs="宋体"/>
                <w:sz w:val="24"/>
              </w:rPr>
              <w:t>:</w:t>
            </w:r>
            <w:r>
              <w:rPr>
                <w:rFonts w:ascii="宋体" w:hAnsi="宋体" w:cs="宋体"/>
                <w:sz w:val="24"/>
              </w:rPr>
              <w:t>支持2.4G、5.8G图传</w:t>
            </w:r>
          </w:p>
          <w:p w14:paraId="36BEAC71">
            <w:pPr>
              <w:tabs>
                <w:tab w:val="left" w:pos="447"/>
              </w:tabs>
              <w:jc w:val="left"/>
              <w:rPr>
                <w:rFonts w:ascii="宋体" w:hAnsi="宋体" w:cs="宋体"/>
                <w:sz w:val="24"/>
              </w:rPr>
            </w:pPr>
            <w:r>
              <w:rPr>
                <w:rFonts w:ascii="宋体" w:hAnsi="宋体" w:cs="宋体"/>
                <w:sz w:val="24"/>
              </w:rPr>
              <w:t>51.一体化设计</w:t>
            </w:r>
            <w:r>
              <w:rPr>
                <w:rFonts w:hint="eastAsia" w:ascii="宋体" w:cs="宋体"/>
                <w:sz w:val="24"/>
              </w:rPr>
              <w:t>:</w:t>
            </w:r>
            <w:r>
              <w:rPr>
                <w:rFonts w:ascii="宋体" w:hAnsi="宋体" w:cs="宋体"/>
                <w:sz w:val="24"/>
              </w:rPr>
              <w:t>具备遥控器和显示屏一体化设计</w:t>
            </w:r>
          </w:p>
          <w:p w14:paraId="05BA6ABD">
            <w:pPr>
              <w:tabs>
                <w:tab w:val="left" w:pos="447"/>
              </w:tabs>
              <w:jc w:val="left"/>
              <w:rPr>
                <w:rFonts w:ascii="宋体" w:hAnsi="宋体" w:cs="宋体"/>
                <w:sz w:val="24"/>
              </w:rPr>
            </w:pPr>
            <w:r>
              <w:rPr>
                <w:rFonts w:ascii="宋体" w:hAnsi="宋体" w:cs="宋体"/>
                <w:sz w:val="24"/>
              </w:rPr>
              <w:t>52.显示器分辨率</w:t>
            </w:r>
            <w:r>
              <w:rPr>
                <w:rFonts w:hint="eastAsia" w:ascii="宋体" w:cs="宋体"/>
                <w:sz w:val="24"/>
              </w:rPr>
              <w:t>:</w:t>
            </w:r>
            <w:r>
              <w:rPr>
                <w:rFonts w:ascii="宋体" w:hAnsi="宋体" w:cs="宋体"/>
                <w:sz w:val="24"/>
              </w:rPr>
              <w:t>地面站显示器应采用触摸屏，屏幕显示分辨率≥1920*1080p</w:t>
            </w:r>
          </w:p>
          <w:p w14:paraId="66763EE7">
            <w:pPr>
              <w:tabs>
                <w:tab w:val="left" w:pos="447"/>
              </w:tabs>
              <w:jc w:val="left"/>
              <w:rPr>
                <w:rFonts w:ascii="宋体" w:hAnsi="宋体" w:cs="宋体"/>
                <w:sz w:val="24"/>
              </w:rPr>
            </w:pPr>
            <w:r>
              <w:rPr>
                <w:rFonts w:ascii="宋体" w:hAnsi="宋体" w:cs="宋体"/>
                <w:sz w:val="24"/>
              </w:rPr>
              <w:t>53.显示器亮度</w:t>
            </w:r>
            <w:r>
              <w:rPr>
                <w:rFonts w:hint="eastAsia" w:ascii="宋体" w:cs="宋体"/>
                <w:sz w:val="24"/>
              </w:rPr>
              <w:t>:</w:t>
            </w:r>
            <w:r>
              <w:rPr>
                <w:rFonts w:ascii="宋体" w:hAnsi="宋体" w:cs="宋体"/>
                <w:sz w:val="24"/>
              </w:rPr>
              <w:t>显示器亮度≥1400尼特</w:t>
            </w:r>
          </w:p>
          <w:p w14:paraId="0D2796DE">
            <w:pPr>
              <w:tabs>
                <w:tab w:val="left" w:pos="447"/>
              </w:tabs>
              <w:jc w:val="left"/>
              <w:rPr>
                <w:rFonts w:ascii="宋体" w:hAnsi="宋体" w:cs="宋体"/>
                <w:sz w:val="24"/>
              </w:rPr>
            </w:pPr>
            <w:r>
              <w:rPr>
                <w:rFonts w:ascii="宋体" w:hAnsi="宋体" w:cs="宋体"/>
                <w:sz w:val="24"/>
              </w:rPr>
              <w:t>54.遥控器4G增强图传</w:t>
            </w:r>
            <w:r>
              <w:rPr>
                <w:rFonts w:hint="eastAsia" w:ascii="宋体" w:cs="宋体"/>
                <w:sz w:val="24"/>
              </w:rPr>
              <w:t>:</w:t>
            </w:r>
            <w:r>
              <w:rPr>
                <w:rFonts w:ascii="宋体" w:hAnsi="宋体" w:cs="宋体"/>
                <w:sz w:val="24"/>
              </w:rPr>
              <w:t>要控制支持4G增强图传模块，支持eSIM卡</w:t>
            </w:r>
          </w:p>
          <w:p w14:paraId="586DE75B">
            <w:pPr>
              <w:tabs>
                <w:tab w:val="left" w:pos="447"/>
              </w:tabs>
              <w:jc w:val="left"/>
              <w:rPr>
                <w:rFonts w:ascii="宋体" w:hAnsi="宋体" w:cs="宋体"/>
                <w:sz w:val="24"/>
              </w:rPr>
            </w:pPr>
            <w:r>
              <w:rPr>
                <w:rFonts w:ascii="宋体" w:hAnsi="宋体" w:cs="宋体"/>
                <w:sz w:val="24"/>
              </w:rPr>
              <w:t>55.遥控器重量</w:t>
            </w:r>
            <w:r>
              <w:rPr>
                <w:rFonts w:hint="eastAsia" w:ascii="宋体" w:cs="宋体"/>
                <w:sz w:val="24"/>
              </w:rPr>
              <w:t>:</w:t>
            </w:r>
            <w:r>
              <w:rPr>
                <w:rFonts w:ascii="宋体" w:hAnsi="宋体" w:cs="宋体"/>
                <w:sz w:val="24"/>
              </w:rPr>
              <w:t>重量小于1.2kg</w:t>
            </w:r>
          </w:p>
          <w:p w14:paraId="035CF3B9">
            <w:pPr>
              <w:tabs>
                <w:tab w:val="left" w:pos="447"/>
              </w:tabs>
              <w:jc w:val="left"/>
              <w:rPr>
                <w:rFonts w:ascii="宋体" w:hAnsi="宋体" w:cs="宋体"/>
                <w:sz w:val="24"/>
              </w:rPr>
            </w:pPr>
            <w:r>
              <w:rPr>
                <w:rFonts w:ascii="宋体" w:hAnsi="宋体" w:cs="宋体"/>
                <w:sz w:val="24"/>
              </w:rPr>
              <w:t>56.接口</w:t>
            </w:r>
            <w:r>
              <w:rPr>
                <w:rFonts w:hint="eastAsia" w:ascii="宋体" w:cs="宋体"/>
                <w:sz w:val="24"/>
              </w:rPr>
              <w:t>:</w:t>
            </w:r>
            <w:r>
              <w:rPr>
                <w:rFonts w:ascii="宋体" w:hAnsi="宋体" w:cs="宋体"/>
                <w:sz w:val="24"/>
              </w:rPr>
              <w:t xml:space="preserve">支持HDMI，SD，Type-C，PD，USB-A </w:t>
            </w:r>
          </w:p>
          <w:p w14:paraId="3085A76B">
            <w:pPr>
              <w:tabs>
                <w:tab w:val="left" w:pos="447"/>
              </w:tabs>
              <w:jc w:val="left"/>
              <w:rPr>
                <w:rFonts w:ascii="宋体" w:hAnsi="宋体" w:cs="宋体"/>
                <w:sz w:val="24"/>
              </w:rPr>
            </w:pPr>
            <w:r>
              <w:rPr>
                <w:rFonts w:ascii="宋体" w:hAnsi="宋体" w:cs="宋体"/>
                <w:sz w:val="24"/>
              </w:rPr>
              <w:t>57.遥控器外置电池</w:t>
            </w:r>
            <w:r>
              <w:rPr>
                <w:rFonts w:hint="eastAsia" w:ascii="宋体" w:cs="宋体"/>
                <w:sz w:val="24"/>
              </w:rPr>
              <w:t>:</w:t>
            </w:r>
            <w:r>
              <w:rPr>
                <w:rFonts w:ascii="宋体" w:hAnsi="宋体" w:cs="宋体"/>
                <w:sz w:val="24"/>
              </w:rPr>
              <w:t>遥控器支持选配37Wh外置电池</w:t>
            </w:r>
          </w:p>
          <w:p w14:paraId="0281991C">
            <w:pPr>
              <w:tabs>
                <w:tab w:val="left" w:pos="447"/>
              </w:tabs>
              <w:jc w:val="left"/>
              <w:rPr>
                <w:rFonts w:ascii="宋体" w:hAnsi="宋体" w:cs="宋体"/>
                <w:sz w:val="24"/>
              </w:rPr>
            </w:pPr>
            <w:r>
              <w:rPr>
                <w:rFonts w:ascii="宋体" w:hAnsi="宋体" w:cs="宋体"/>
                <w:sz w:val="24"/>
              </w:rPr>
              <w:t>58.遥控器防护等级</w:t>
            </w:r>
            <w:r>
              <w:rPr>
                <w:rFonts w:hint="eastAsia" w:ascii="宋体" w:cs="宋体"/>
                <w:sz w:val="24"/>
              </w:rPr>
              <w:t>:</w:t>
            </w:r>
            <w:r>
              <w:rPr>
                <w:rFonts w:ascii="宋体" w:hAnsi="宋体" w:cs="宋体"/>
                <w:sz w:val="24"/>
              </w:rPr>
              <w:t>支持IP54防护等级</w:t>
            </w:r>
          </w:p>
        </w:tc>
        <w:tc>
          <w:tcPr>
            <w:tcW w:w="709" w:type="dxa"/>
            <w:vAlign w:val="center"/>
          </w:tcPr>
          <w:p w14:paraId="2363BF34">
            <w:pPr>
              <w:widowControl/>
              <w:adjustRightInd w:val="0"/>
              <w:snapToGrid w:val="0"/>
              <w:jc w:val="center"/>
              <w:rPr>
                <w:rFonts w:ascii="宋体"/>
                <w:kern w:val="0"/>
                <w:sz w:val="23"/>
                <w:szCs w:val="23"/>
              </w:rPr>
            </w:pPr>
            <w:r>
              <w:rPr>
                <w:rFonts w:ascii="宋体"/>
                <w:kern w:val="0"/>
                <w:sz w:val="23"/>
                <w:szCs w:val="23"/>
              </w:rPr>
              <w:t>1</w:t>
            </w:r>
          </w:p>
        </w:tc>
        <w:tc>
          <w:tcPr>
            <w:tcW w:w="709" w:type="dxa"/>
            <w:vAlign w:val="center"/>
          </w:tcPr>
          <w:p w14:paraId="773CD46A">
            <w:pPr>
              <w:widowControl/>
              <w:adjustRightInd w:val="0"/>
              <w:snapToGrid w:val="0"/>
              <w:jc w:val="center"/>
              <w:rPr>
                <w:rFonts w:ascii="宋体"/>
                <w:kern w:val="0"/>
                <w:sz w:val="23"/>
                <w:szCs w:val="23"/>
              </w:rPr>
            </w:pPr>
            <w:r>
              <w:rPr>
                <w:rFonts w:hint="eastAsia" w:ascii="宋体"/>
                <w:kern w:val="0"/>
                <w:sz w:val="23"/>
                <w:szCs w:val="23"/>
              </w:rPr>
              <w:t>台</w:t>
            </w:r>
          </w:p>
        </w:tc>
        <w:tc>
          <w:tcPr>
            <w:tcW w:w="850" w:type="dxa"/>
            <w:vAlign w:val="center"/>
          </w:tcPr>
          <w:p w14:paraId="586E6138">
            <w:pPr>
              <w:widowControl/>
              <w:adjustRightInd w:val="0"/>
              <w:snapToGrid w:val="0"/>
              <w:jc w:val="center"/>
              <w:rPr>
                <w:rFonts w:ascii="宋体"/>
                <w:kern w:val="0"/>
                <w:sz w:val="23"/>
                <w:szCs w:val="23"/>
              </w:rPr>
            </w:pPr>
          </w:p>
        </w:tc>
      </w:tr>
      <w:tr w14:paraId="513C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8" w:type="dxa"/>
            <w:vAlign w:val="center"/>
          </w:tcPr>
          <w:p w14:paraId="2971D3B2">
            <w:pPr>
              <w:widowControl/>
              <w:numPr>
                <w:ilvl w:val="0"/>
                <w:numId w:val="1"/>
              </w:numPr>
              <w:adjustRightInd w:val="0"/>
              <w:snapToGrid w:val="0"/>
              <w:spacing w:line="400" w:lineRule="exact"/>
              <w:jc w:val="center"/>
              <w:rPr>
                <w:rFonts w:ascii="宋体" w:hAnsi="宋体"/>
                <w:kern w:val="0"/>
                <w:sz w:val="23"/>
                <w:szCs w:val="23"/>
              </w:rPr>
            </w:pPr>
          </w:p>
        </w:tc>
        <w:tc>
          <w:tcPr>
            <w:tcW w:w="1622" w:type="dxa"/>
            <w:vAlign w:val="center"/>
          </w:tcPr>
          <w:p w14:paraId="58DF1D3E">
            <w:pPr>
              <w:widowControl/>
              <w:adjustRightInd w:val="0"/>
              <w:snapToGrid w:val="0"/>
              <w:jc w:val="center"/>
              <w:rPr>
                <w:rFonts w:ascii="宋体"/>
                <w:kern w:val="0"/>
                <w:sz w:val="23"/>
                <w:szCs w:val="23"/>
              </w:rPr>
            </w:pPr>
            <w:r>
              <w:rPr>
                <w:rFonts w:hint="eastAsia" w:ascii="宋体" w:cs="宋体"/>
                <w:kern w:val="0"/>
                <w:sz w:val="24"/>
              </w:rPr>
              <w:t>云台相机</w:t>
            </w:r>
          </w:p>
        </w:tc>
        <w:tc>
          <w:tcPr>
            <w:tcW w:w="5357" w:type="dxa"/>
            <w:vAlign w:val="center"/>
          </w:tcPr>
          <w:p w14:paraId="3D677B3C">
            <w:pPr>
              <w:tabs>
                <w:tab w:val="left" w:pos="447"/>
              </w:tabs>
              <w:jc w:val="left"/>
              <w:rPr>
                <w:rFonts w:ascii="宋体" w:hAnsi="宋体" w:cs="宋体"/>
                <w:sz w:val="24"/>
              </w:rPr>
            </w:pPr>
            <w:r>
              <w:rPr>
                <w:rFonts w:ascii="宋体" w:hAnsi="宋体" w:cs="宋体"/>
                <w:sz w:val="24"/>
              </w:rPr>
              <w:t>1.系统组成</w:t>
            </w:r>
            <w:r>
              <w:rPr>
                <w:rFonts w:hint="eastAsia" w:ascii="宋体" w:cs="宋体"/>
                <w:sz w:val="24"/>
              </w:rPr>
              <w:t>:</w:t>
            </w:r>
            <w:r>
              <w:rPr>
                <w:rFonts w:ascii="宋体" w:hAnsi="宋体" w:cs="宋体"/>
                <w:sz w:val="24"/>
              </w:rPr>
              <w:t>负载同时具备激光雷达、惯导及可见光相机，采用一体化设计，安装时无外置连接导线。</w:t>
            </w:r>
          </w:p>
          <w:p w14:paraId="14ED3196">
            <w:pPr>
              <w:tabs>
                <w:tab w:val="left" w:pos="447"/>
              </w:tabs>
              <w:jc w:val="left"/>
              <w:rPr>
                <w:rFonts w:ascii="宋体" w:hAnsi="宋体" w:cs="宋体"/>
                <w:sz w:val="24"/>
              </w:rPr>
            </w:pPr>
            <w:r>
              <w:rPr>
                <w:rFonts w:ascii="宋体" w:hAnsi="宋体" w:cs="宋体"/>
                <w:sz w:val="24"/>
              </w:rPr>
              <w:t>2.重量</w:t>
            </w:r>
            <w:r>
              <w:rPr>
                <w:rFonts w:hint="eastAsia" w:ascii="宋体" w:cs="宋体"/>
                <w:sz w:val="24"/>
              </w:rPr>
              <w:t>:</w:t>
            </w:r>
            <w:r>
              <w:rPr>
                <w:rFonts w:ascii="宋体" w:hAnsi="宋体" w:cs="宋体"/>
                <w:sz w:val="24"/>
              </w:rPr>
              <w:t>负载重量≤1kg</w:t>
            </w:r>
          </w:p>
          <w:p w14:paraId="2567BC8B">
            <w:pPr>
              <w:tabs>
                <w:tab w:val="left" w:pos="447"/>
              </w:tabs>
              <w:jc w:val="left"/>
              <w:rPr>
                <w:rFonts w:ascii="宋体" w:hAnsi="宋体" w:cs="宋体"/>
                <w:sz w:val="24"/>
              </w:rPr>
            </w:pPr>
            <w:r>
              <w:rPr>
                <w:rFonts w:ascii="宋体" w:hAnsi="宋体" w:cs="宋体"/>
                <w:sz w:val="24"/>
              </w:rPr>
              <w:t>3.尺寸</w:t>
            </w:r>
            <w:r>
              <w:rPr>
                <w:rFonts w:hint="eastAsia" w:ascii="宋体" w:cs="宋体"/>
                <w:sz w:val="24"/>
              </w:rPr>
              <w:t>:</w:t>
            </w:r>
            <w:r>
              <w:rPr>
                <w:rFonts w:ascii="宋体" w:hAnsi="宋体" w:cs="宋体"/>
                <w:sz w:val="24"/>
              </w:rPr>
              <w:t>负载尺寸≤200×150×200mm</w:t>
            </w:r>
          </w:p>
          <w:p w14:paraId="7CE88F0C">
            <w:pPr>
              <w:tabs>
                <w:tab w:val="left" w:pos="447"/>
              </w:tabs>
              <w:jc w:val="left"/>
              <w:rPr>
                <w:rFonts w:ascii="宋体" w:hAnsi="宋体" w:cs="宋体"/>
                <w:sz w:val="24"/>
              </w:rPr>
            </w:pPr>
            <w:r>
              <w:rPr>
                <w:rFonts w:ascii="宋体" w:hAnsi="宋体" w:cs="宋体"/>
                <w:sz w:val="24"/>
              </w:rPr>
              <w:t>4.快拆</w:t>
            </w:r>
            <w:r>
              <w:rPr>
                <w:rFonts w:hint="eastAsia" w:ascii="宋体" w:cs="宋体"/>
                <w:sz w:val="24"/>
              </w:rPr>
              <w:t>:</w:t>
            </w:r>
            <w:r>
              <w:rPr>
                <w:rFonts w:ascii="宋体" w:hAnsi="宋体" w:cs="宋体"/>
                <w:sz w:val="24"/>
              </w:rPr>
              <w:t>负载具备快拆结构，可在30s内完成拆卸/安装</w:t>
            </w:r>
          </w:p>
          <w:p w14:paraId="29D9C53F">
            <w:pPr>
              <w:tabs>
                <w:tab w:val="left" w:pos="447"/>
              </w:tabs>
              <w:jc w:val="left"/>
              <w:rPr>
                <w:rFonts w:ascii="宋体" w:hAnsi="宋体" w:cs="宋体"/>
                <w:sz w:val="24"/>
              </w:rPr>
            </w:pPr>
            <w:r>
              <w:rPr>
                <w:rFonts w:ascii="宋体" w:hAnsi="宋体" w:cs="宋体"/>
                <w:sz w:val="24"/>
              </w:rPr>
              <w:t>5.工作温度</w:t>
            </w:r>
            <w:r>
              <w:rPr>
                <w:rFonts w:hint="eastAsia" w:ascii="宋体" w:cs="宋体"/>
                <w:sz w:val="24"/>
              </w:rPr>
              <w:t>:</w:t>
            </w:r>
            <w:r>
              <w:rPr>
                <w:rFonts w:ascii="宋体" w:hAnsi="宋体" w:cs="宋体"/>
                <w:sz w:val="24"/>
              </w:rPr>
              <w:t>工作温度区间覆盖-20°C至 50°C</w:t>
            </w:r>
          </w:p>
          <w:p w14:paraId="156FC9D0">
            <w:pPr>
              <w:tabs>
                <w:tab w:val="left" w:pos="447"/>
              </w:tabs>
              <w:jc w:val="left"/>
              <w:rPr>
                <w:rFonts w:ascii="宋体" w:hAnsi="宋体" w:cs="宋体"/>
                <w:sz w:val="24"/>
              </w:rPr>
            </w:pPr>
            <w:r>
              <w:rPr>
                <w:rFonts w:ascii="宋体" w:hAnsi="宋体" w:cs="宋体"/>
                <w:sz w:val="24"/>
              </w:rPr>
              <w:t>6.防护等级</w:t>
            </w:r>
            <w:r>
              <w:rPr>
                <w:rFonts w:hint="eastAsia" w:ascii="宋体" w:cs="宋体"/>
                <w:sz w:val="24"/>
              </w:rPr>
              <w:t>:</w:t>
            </w:r>
            <w:r>
              <w:rPr>
                <w:rFonts w:ascii="宋体" w:hAnsi="宋体" w:cs="宋体"/>
                <w:sz w:val="24"/>
              </w:rPr>
              <w:t>具备不低于IP54的防护等级</w:t>
            </w:r>
          </w:p>
          <w:p w14:paraId="49A8737D">
            <w:pPr>
              <w:tabs>
                <w:tab w:val="left" w:pos="447"/>
              </w:tabs>
              <w:jc w:val="left"/>
              <w:rPr>
                <w:rFonts w:ascii="宋体" w:hAnsi="宋体" w:cs="宋体"/>
                <w:sz w:val="24"/>
              </w:rPr>
            </w:pPr>
            <w:r>
              <w:rPr>
                <w:rFonts w:ascii="宋体" w:hAnsi="宋体" w:cs="宋体"/>
                <w:sz w:val="24"/>
              </w:rPr>
              <w:t>7.增稳云台</w:t>
            </w:r>
            <w:r>
              <w:rPr>
                <w:rFonts w:hint="eastAsia" w:ascii="宋体" w:cs="宋体"/>
                <w:sz w:val="24"/>
              </w:rPr>
              <w:t>:</w:t>
            </w:r>
            <w:r>
              <w:rPr>
                <w:rFonts w:ascii="宋体" w:hAnsi="宋体" w:cs="宋体"/>
                <w:sz w:val="24"/>
              </w:rPr>
              <w:t>具备三轴增稳云台（俯仰，横滚，平移），角度抖动量≤±0.01°</w:t>
            </w:r>
          </w:p>
          <w:p w14:paraId="73E716A9">
            <w:pPr>
              <w:tabs>
                <w:tab w:val="left" w:pos="447"/>
              </w:tabs>
              <w:jc w:val="left"/>
              <w:rPr>
                <w:rFonts w:ascii="宋体" w:hAnsi="宋体" w:cs="宋体"/>
                <w:sz w:val="24"/>
              </w:rPr>
            </w:pPr>
            <w:r>
              <w:rPr>
                <w:rFonts w:ascii="宋体" w:hAnsi="宋体" w:cs="宋体"/>
                <w:sz w:val="24"/>
              </w:rPr>
              <w:t>8.云台可控转动范围</w:t>
            </w:r>
            <w:r>
              <w:rPr>
                <w:rFonts w:hint="eastAsia" w:ascii="宋体" w:cs="宋体"/>
                <w:sz w:val="24"/>
              </w:rPr>
              <w:t>:</w:t>
            </w:r>
            <w:r>
              <w:rPr>
                <w:rFonts w:ascii="宋体" w:hAnsi="宋体" w:cs="宋体"/>
                <w:sz w:val="24"/>
              </w:rPr>
              <w:t>云台可控转动范围应不低于俯仰：-120°至+30°；平移：±90°</w:t>
            </w:r>
          </w:p>
          <w:p w14:paraId="4CC97CFE">
            <w:pPr>
              <w:tabs>
                <w:tab w:val="left" w:pos="447"/>
              </w:tabs>
              <w:jc w:val="left"/>
              <w:rPr>
                <w:rFonts w:ascii="宋体" w:hAnsi="宋体" w:cs="宋体"/>
                <w:sz w:val="24"/>
              </w:rPr>
            </w:pPr>
            <w:r>
              <w:rPr>
                <w:rFonts w:ascii="宋体" w:hAnsi="宋体" w:cs="宋体"/>
                <w:sz w:val="24"/>
              </w:rPr>
              <w:t>9.支持原始数据存储</w:t>
            </w:r>
            <w:r>
              <w:rPr>
                <w:rFonts w:hint="eastAsia" w:ascii="宋体" w:cs="宋体"/>
                <w:sz w:val="24"/>
              </w:rPr>
              <w:t>:</w:t>
            </w:r>
            <w:r>
              <w:rPr>
                <w:rFonts w:ascii="宋体" w:hAnsi="宋体" w:cs="宋体"/>
                <w:sz w:val="24"/>
              </w:rPr>
              <w:t>"支持原始数据存储类型需包含：照片、IMU、点云数据。</w:t>
            </w:r>
          </w:p>
          <w:p w14:paraId="4B5EC616">
            <w:pPr>
              <w:tabs>
                <w:tab w:val="left" w:pos="447"/>
              </w:tabs>
              <w:jc w:val="left"/>
              <w:rPr>
                <w:rFonts w:ascii="宋体" w:hAnsi="宋体" w:cs="宋体"/>
                <w:sz w:val="24"/>
              </w:rPr>
            </w:pPr>
            <w:r>
              <w:rPr>
                <w:rFonts w:ascii="宋体" w:hAnsi="宋体" w:cs="宋体"/>
                <w:sz w:val="24"/>
              </w:rPr>
              <w:t>10.所有数据（包括激光雷达文件、惯导文件、照片文件、RTK文件等）需支持集中统一存储，需支持按任务自定义文件命名"</w:t>
            </w:r>
          </w:p>
          <w:p w14:paraId="7AD98073">
            <w:pPr>
              <w:tabs>
                <w:tab w:val="left" w:pos="447"/>
              </w:tabs>
              <w:jc w:val="left"/>
              <w:rPr>
                <w:rFonts w:ascii="宋体" w:hAnsi="宋体" w:cs="宋体"/>
                <w:sz w:val="24"/>
              </w:rPr>
            </w:pPr>
            <w:r>
              <w:rPr>
                <w:rFonts w:ascii="宋体" w:hAnsi="宋体" w:cs="宋体"/>
                <w:sz w:val="24"/>
              </w:rPr>
              <w:t>10.激光雷达量程</w:t>
            </w:r>
            <w:r>
              <w:rPr>
                <w:rFonts w:hint="eastAsia" w:ascii="宋体" w:cs="宋体"/>
                <w:sz w:val="24"/>
              </w:rPr>
              <w:t>:</w:t>
            </w:r>
            <w:r>
              <w:rPr>
                <w:rFonts w:ascii="宋体" w:hAnsi="宋体" w:cs="宋体"/>
                <w:sz w:val="24"/>
              </w:rPr>
              <w:t>反射率10%，光照100klux条件下，激光雷达量程不低于250m</w:t>
            </w:r>
          </w:p>
          <w:p w14:paraId="1D1FDFCD">
            <w:pPr>
              <w:tabs>
                <w:tab w:val="left" w:pos="447"/>
              </w:tabs>
              <w:jc w:val="left"/>
              <w:rPr>
                <w:rFonts w:ascii="宋体" w:hAnsi="宋体" w:cs="宋体"/>
                <w:sz w:val="24"/>
              </w:rPr>
            </w:pPr>
            <w:r>
              <w:rPr>
                <w:rFonts w:ascii="宋体" w:hAnsi="宋体" w:cs="宋体"/>
                <w:sz w:val="24"/>
              </w:rPr>
              <w:t>12.回波数</w:t>
            </w:r>
            <w:r>
              <w:rPr>
                <w:rFonts w:hint="eastAsia" w:ascii="宋体" w:cs="宋体"/>
                <w:sz w:val="24"/>
              </w:rPr>
              <w:t>:</w:t>
            </w:r>
            <w:r>
              <w:rPr>
                <w:rFonts w:ascii="宋体" w:hAnsi="宋体" w:cs="宋体"/>
                <w:sz w:val="24"/>
              </w:rPr>
              <w:t>支持回波数不小于5次</w:t>
            </w:r>
          </w:p>
          <w:p w14:paraId="59623CB7">
            <w:pPr>
              <w:tabs>
                <w:tab w:val="left" w:pos="447"/>
              </w:tabs>
              <w:jc w:val="left"/>
              <w:rPr>
                <w:rFonts w:ascii="宋体" w:hAnsi="宋体" w:cs="宋体"/>
                <w:sz w:val="24"/>
              </w:rPr>
            </w:pPr>
            <w:r>
              <w:rPr>
                <w:rFonts w:ascii="宋体" w:hAnsi="宋体" w:cs="宋体"/>
                <w:sz w:val="24"/>
              </w:rPr>
              <w:t>13.激光打点及测距</w:t>
            </w:r>
            <w:r>
              <w:rPr>
                <w:rFonts w:hint="eastAsia" w:ascii="宋体" w:cs="宋体"/>
                <w:sz w:val="24"/>
              </w:rPr>
              <w:t>:</w:t>
            </w:r>
            <w:r>
              <w:rPr>
                <w:rFonts w:ascii="宋体" w:hAnsi="宋体" w:cs="宋体"/>
                <w:sz w:val="24"/>
              </w:rPr>
              <w:t>支持激光打点及测距功能，且测距距离不低于500m</w:t>
            </w:r>
          </w:p>
          <w:p w14:paraId="6583148B">
            <w:pPr>
              <w:tabs>
                <w:tab w:val="left" w:pos="447"/>
              </w:tabs>
              <w:jc w:val="left"/>
              <w:rPr>
                <w:rFonts w:ascii="宋体" w:hAnsi="宋体" w:cs="宋体"/>
                <w:sz w:val="24"/>
              </w:rPr>
            </w:pPr>
            <w:r>
              <w:rPr>
                <w:rFonts w:ascii="宋体" w:hAnsi="宋体" w:cs="宋体"/>
                <w:sz w:val="24"/>
              </w:rPr>
              <w:t>14.实时点云显示</w:t>
            </w:r>
            <w:r>
              <w:rPr>
                <w:rFonts w:hint="eastAsia" w:ascii="宋体" w:cs="宋体"/>
                <w:sz w:val="24"/>
              </w:rPr>
              <w:t>:</w:t>
            </w:r>
            <w:r>
              <w:rPr>
                <w:rFonts w:ascii="宋体" w:hAnsi="宋体" w:cs="宋体"/>
                <w:sz w:val="24"/>
              </w:rPr>
              <w:t>遥控器上需支持：可见光、点云、点云/可见光分屏三种实时显示模式，且支持显示方式需包含：真彩色、反射率、距离高度等不同方式进行点云着色</w:t>
            </w:r>
          </w:p>
          <w:p w14:paraId="7513352B">
            <w:pPr>
              <w:tabs>
                <w:tab w:val="left" w:pos="447"/>
              </w:tabs>
              <w:jc w:val="left"/>
              <w:rPr>
                <w:rFonts w:ascii="宋体" w:hAnsi="宋体" w:cs="宋体"/>
                <w:sz w:val="24"/>
              </w:rPr>
            </w:pPr>
            <w:r>
              <w:rPr>
                <w:rFonts w:ascii="宋体" w:hAnsi="宋体" w:cs="宋体"/>
                <w:sz w:val="24"/>
              </w:rPr>
              <w:t>15.扫描模式</w:t>
            </w:r>
            <w:r>
              <w:rPr>
                <w:rFonts w:hint="eastAsia" w:ascii="宋体" w:cs="宋体"/>
                <w:sz w:val="24"/>
              </w:rPr>
              <w:t>:</w:t>
            </w:r>
            <w:r>
              <w:rPr>
                <w:rFonts w:ascii="宋体" w:hAnsi="宋体" w:cs="宋体"/>
                <w:sz w:val="24"/>
              </w:rPr>
              <w:t>需支持至少2种扫描方式，包含重复扫描、非重复扫描。</w:t>
            </w:r>
          </w:p>
          <w:p w14:paraId="1D6D6BA9">
            <w:pPr>
              <w:tabs>
                <w:tab w:val="left" w:pos="447"/>
              </w:tabs>
              <w:jc w:val="left"/>
              <w:rPr>
                <w:rFonts w:ascii="宋体" w:hAnsi="宋体" w:cs="宋体"/>
                <w:sz w:val="24"/>
              </w:rPr>
            </w:pPr>
            <w:r>
              <w:rPr>
                <w:rFonts w:ascii="宋体" w:hAnsi="宋体" w:cs="宋体"/>
                <w:sz w:val="24"/>
              </w:rPr>
              <w:t>16.FOV</w:t>
            </w:r>
            <w:r>
              <w:rPr>
                <w:rFonts w:hint="eastAsia" w:ascii="宋体" w:cs="宋体"/>
                <w:sz w:val="24"/>
              </w:rPr>
              <w:t>:</w:t>
            </w:r>
            <w:r>
              <w:rPr>
                <w:rFonts w:ascii="宋体" w:hAnsi="宋体" w:cs="宋体"/>
                <w:sz w:val="24"/>
              </w:rPr>
              <w:t>"FOV不低于</w:t>
            </w:r>
          </w:p>
          <w:p w14:paraId="7E180D03">
            <w:pPr>
              <w:tabs>
                <w:tab w:val="left" w:pos="447"/>
              </w:tabs>
              <w:jc w:val="left"/>
              <w:rPr>
                <w:rFonts w:ascii="宋体" w:hAnsi="宋体" w:cs="宋体"/>
                <w:sz w:val="24"/>
              </w:rPr>
            </w:pPr>
            <w:r>
              <w:rPr>
                <w:rFonts w:ascii="宋体" w:hAnsi="宋体" w:cs="宋体"/>
                <w:sz w:val="24"/>
              </w:rPr>
              <w:t>17.重复扫描：70° x 3°</w:t>
            </w:r>
          </w:p>
          <w:p w14:paraId="24DDA697">
            <w:pPr>
              <w:tabs>
                <w:tab w:val="left" w:pos="447"/>
              </w:tabs>
              <w:jc w:val="left"/>
              <w:rPr>
                <w:rFonts w:ascii="宋体" w:hAnsi="宋体" w:cs="宋体"/>
                <w:sz w:val="24"/>
              </w:rPr>
            </w:pPr>
            <w:r>
              <w:rPr>
                <w:rFonts w:ascii="宋体" w:hAnsi="宋体" w:cs="宋体"/>
                <w:sz w:val="24"/>
              </w:rPr>
              <w:t>18.非重复扫描：70° x 75°"</w:t>
            </w:r>
          </w:p>
          <w:p w14:paraId="18FD2C2B">
            <w:pPr>
              <w:tabs>
                <w:tab w:val="left" w:pos="447"/>
              </w:tabs>
              <w:jc w:val="left"/>
              <w:rPr>
                <w:rFonts w:ascii="宋体" w:hAnsi="宋体" w:cs="宋体"/>
                <w:sz w:val="24"/>
              </w:rPr>
            </w:pPr>
            <w:r>
              <w:rPr>
                <w:rFonts w:ascii="宋体" w:hAnsi="宋体" w:cs="宋体"/>
                <w:sz w:val="24"/>
              </w:rPr>
              <w:t>19.激光脉冲发射频率</w:t>
            </w:r>
            <w:r>
              <w:rPr>
                <w:rFonts w:hint="eastAsia" w:ascii="宋体" w:cs="宋体"/>
                <w:sz w:val="24"/>
              </w:rPr>
              <w:t>:</w:t>
            </w:r>
            <w:r>
              <w:rPr>
                <w:rFonts w:ascii="宋体" w:hAnsi="宋体" w:cs="宋体"/>
                <w:sz w:val="24"/>
              </w:rPr>
              <w:t>不低于240kHz</w:t>
            </w:r>
          </w:p>
          <w:p w14:paraId="0CAC8F27">
            <w:pPr>
              <w:tabs>
                <w:tab w:val="left" w:pos="447"/>
              </w:tabs>
              <w:jc w:val="left"/>
              <w:rPr>
                <w:rFonts w:ascii="宋体" w:hAnsi="宋体" w:cs="宋体"/>
                <w:sz w:val="24"/>
              </w:rPr>
            </w:pPr>
            <w:r>
              <w:rPr>
                <w:rFonts w:ascii="宋体" w:hAnsi="宋体" w:cs="宋体"/>
                <w:sz w:val="24"/>
              </w:rPr>
              <w:t>20.航向精度</w:t>
            </w:r>
            <w:r>
              <w:rPr>
                <w:rFonts w:hint="eastAsia" w:ascii="宋体" w:cs="宋体"/>
                <w:sz w:val="24"/>
              </w:rPr>
              <w:t>:</w:t>
            </w:r>
            <w:r>
              <w:rPr>
                <w:rFonts w:ascii="宋体" w:hAnsi="宋体" w:cs="宋体"/>
                <w:sz w:val="24"/>
              </w:rPr>
              <w:t>不低于实时：0.2°，后处理： 0.05°</w:t>
            </w:r>
          </w:p>
          <w:p w14:paraId="31BC6F04">
            <w:pPr>
              <w:tabs>
                <w:tab w:val="left" w:pos="447"/>
              </w:tabs>
              <w:jc w:val="left"/>
              <w:rPr>
                <w:rFonts w:ascii="宋体" w:hAnsi="宋体" w:cs="宋体"/>
                <w:sz w:val="24"/>
              </w:rPr>
            </w:pPr>
            <w:r>
              <w:rPr>
                <w:rFonts w:ascii="宋体" w:hAnsi="宋体" w:cs="宋体"/>
                <w:sz w:val="24"/>
              </w:rPr>
              <w:t>21.俯仰/横滚精度</w:t>
            </w:r>
            <w:r>
              <w:rPr>
                <w:rFonts w:hint="eastAsia" w:ascii="宋体" w:cs="宋体"/>
                <w:sz w:val="24"/>
              </w:rPr>
              <w:t>:</w:t>
            </w:r>
            <w:r>
              <w:rPr>
                <w:rFonts w:ascii="宋体" w:hAnsi="宋体" w:cs="宋体"/>
                <w:sz w:val="24"/>
              </w:rPr>
              <w:t>不低于实时：0.05°，后处理：0.025°</w:t>
            </w:r>
          </w:p>
          <w:p w14:paraId="1328B6B9">
            <w:pPr>
              <w:tabs>
                <w:tab w:val="left" w:pos="447"/>
              </w:tabs>
              <w:jc w:val="left"/>
              <w:rPr>
                <w:rFonts w:ascii="宋体" w:hAnsi="宋体" w:cs="宋体"/>
                <w:sz w:val="24"/>
              </w:rPr>
            </w:pPr>
            <w:r>
              <w:rPr>
                <w:rFonts w:ascii="宋体" w:hAnsi="宋体" w:cs="宋体"/>
                <w:sz w:val="24"/>
              </w:rPr>
              <w:t>22.相机传感器尺寸</w:t>
            </w:r>
            <w:r>
              <w:rPr>
                <w:rFonts w:hint="eastAsia" w:ascii="宋体" w:cs="宋体"/>
                <w:sz w:val="24"/>
              </w:rPr>
              <w:t>:</w:t>
            </w:r>
            <w:r>
              <w:rPr>
                <w:rFonts w:ascii="宋体" w:hAnsi="宋体" w:cs="宋体"/>
                <w:sz w:val="24"/>
              </w:rPr>
              <w:t>可见光相机具备≥1英寸CMOS传感器</w:t>
            </w:r>
          </w:p>
          <w:p w14:paraId="423E1454">
            <w:pPr>
              <w:tabs>
                <w:tab w:val="left" w:pos="447"/>
              </w:tabs>
              <w:jc w:val="left"/>
              <w:rPr>
                <w:rFonts w:ascii="宋体" w:hAnsi="宋体" w:cs="宋体"/>
                <w:sz w:val="24"/>
              </w:rPr>
            </w:pPr>
            <w:r>
              <w:rPr>
                <w:rFonts w:ascii="宋体" w:hAnsi="宋体" w:cs="宋体"/>
                <w:sz w:val="24"/>
              </w:rPr>
              <w:t>23.有效像素</w:t>
            </w:r>
            <w:r>
              <w:rPr>
                <w:rFonts w:hint="eastAsia" w:ascii="宋体" w:cs="宋体"/>
                <w:sz w:val="24"/>
              </w:rPr>
              <w:t>:</w:t>
            </w:r>
            <w:r>
              <w:rPr>
                <w:rFonts w:ascii="宋体" w:hAnsi="宋体" w:cs="宋体"/>
                <w:sz w:val="24"/>
              </w:rPr>
              <w:t>可见光相机具备不低于2000万有效像素</w:t>
            </w:r>
          </w:p>
          <w:p w14:paraId="49D248FB">
            <w:pPr>
              <w:tabs>
                <w:tab w:val="left" w:pos="447"/>
              </w:tabs>
              <w:jc w:val="left"/>
              <w:rPr>
                <w:rFonts w:ascii="宋体" w:hAnsi="宋体" w:cs="宋体"/>
                <w:sz w:val="24"/>
              </w:rPr>
            </w:pPr>
            <w:r>
              <w:rPr>
                <w:rFonts w:ascii="宋体" w:hAnsi="宋体" w:cs="宋体"/>
                <w:sz w:val="24"/>
              </w:rPr>
              <w:t>24.机械快门</w:t>
            </w:r>
            <w:r>
              <w:rPr>
                <w:rFonts w:hint="eastAsia" w:ascii="宋体" w:cs="宋体"/>
                <w:sz w:val="24"/>
              </w:rPr>
              <w:t>:</w:t>
            </w:r>
            <w:r>
              <w:rPr>
                <w:rFonts w:ascii="宋体" w:hAnsi="宋体" w:cs="宋体"/>
                <w:sz w:val="24"/>
              </w:rPr>
              <w:t>支持机械快门，且快门寿命不低于20万次</w:t>
            </w:r>
          </w:p>
          <w:p w14:paraId="45469F5E">
            <w:pPr>
              <w:tabs>
                <w:tab w:val="left" w:pos="447"/>
              </w:tabs>
              <w:jc w:val="left"/>
              <w:rPr>
                <w:rFonts w:ascii="宋体" w:hAnsi="宋体" w:cs="宋体"/>
                <w:sz w:val="24"/>
              </w:rPr>
            </w:pPr>
            <w:r>
              <w:rPr>
                <w:rFonts w:ascii="宋体" w:hAnsi="宋体" w:cs="宋体"/>
                <w:sz w:val="24"/>
              </w:rPr>
              <w:t>25.快门速度</w:t>
            </w:r>
            <w:r>
              <w:rPr>
                <w:rFonts w:hint="eastAsia" w:ascii="宋体" w:cs="宋体"/>
                <w:sz w:val="24"/>
              </w:rPr>
              <w:t>:</w:t>
            </w:r>
            <w:r>
              <w:rPr>
                <w:rFonts w:ascii="宋体" w:hAnsi="宋体" w:cs="宋体"/>
                <w:sz w:val="24"/>
              </w:rPr>
              <w:t>"机械快门不低于：2 至 1/2000秒</w:t>
            </w:r>
          </w:p>
          <w:p w14:paraId="2790C587">
            <w:pPr>
              <w:tabs>
                <w:tab w:val="left" w:pos="447"/>
              </w:tabs>
              <w:jc w:val="left"/>
              <w:rPr>
                <w:rFonts w:ascii="宋体" w:hAnsi="宋体" w:cs="宋体"/>
                <w:sz w:val="24"/>
              </w:rPr>
            </w:pPr>
            <w:r>
              <w:rPr>
                <w:rFonts w:ascii="宋体" w:hAnsi="宋体" w:cs="宋体"/>
                <w:sz w:val="24"/>
              </w:rPr>
              <w:t>26.电子快门不低于：2 至 1/8000 秒"</w:t>
            </w:r>
          </w:p>
          <w:p w14:paraId="05A81B80">
            <w:pPr>
              <w:tabs>
                <w:tab w:val="left" w:pos="447"/>
              </w:tabs>
              <w:jc w:val="left"/>
              <w:rPr>
                <w:rFonts w:ascii="宋体" w:hAnsi="宋体" w:cs="宋体"/>
                <w:sz w:val="24"/>
              </w:rPr>
            </w:pPr>
            <w:r>
              <w:rPr>
                <w:rFonts w:ascii="宋体" w:hAnsi="宋体" w:cs="宋体"/>
                <w:sz w:val="24"/>
              </w:rPr>
              <w:t>27.最短拍照间隔</w:t>
            </w:r>
            <w:r>
              <w:rPr>
                <w:rFonts w:hint="eastAsia" w:ascii="宋体" w:cs="宋体"/>
                <w:sz w:val="24"/>
              </w:rPr>
              <w:t>:</w:t>
            </w:r>
            <w:r>
              <w:rPr>
                <w:rFonts w:ascii="宋体" w:hAnsi="宋体" w:cs="宋体"/>
                <w:sz w:val="24"/>
              </w:rPr>
              <w:t>不大于0.7s</w:t>
            </w:r>
          </w:p>
          <w:p w14:paraId="25303B1B">
            <w:pPr>
              <w:tabs>
                <w:tab w:val="left" w:pos="447"/>
              </w:tabs>
              <w:jc w:val="left"/>
              <w:rPr>
                <w:rFonts w:ascii="宋体" w:hAnsi="宋体" w:cs="宋体"/>
                <w:sz w:val="24"/>
              </w:rPr>
            </w:pPr>
            <w:r>
              <w:rPr>
                <w:rFonts w:ascii="宋体" w:hAnsi="宋体" w:cs="宋体"/>
                <w:sz w:val="24"/>
              </w:rPr>
              <w:t>28.惯导自动校准</w:t>
            </w:r>
            <w:r>
              <w:rPr>
                <w:rFonts w:hint="eastAsia" w:ascii="宋体" w:cs="宋体"/>
                <w:sz w:val="24"/>
              </w:rPr>
              <w:t>:</w:t>
            </w:r>
            <w:r>
              <w:rPr>
                <w:rFonts w:ascii="宋体" w:hAnsi="宋体" w:cs="宋体"/>
                <w:sz w:val="24"/>
              </w:rPr>
              <w:t>航线中支持惯导自动校准</w:t>
            </w:r>
          </w:p>
          <w:p w14:paraId="421E478B">
            <w:pPr>
              <w:tabs>
                <w:tab w:val="left" w:pos="447"/>
              </w:tabs>
              <w:jc w:val="left"/>
              <w:rPr>
                <w:rFonts w:ascii="宋体" w:hAnsi="宋体" w:cs="宋体"/>
                <w:sz w:val="24"/>
              </w:rPr>
            </w:pPr>
            <w:r>
              <w:rPr>
                <w:rFonts w:ascii="宋体" w:hAnsi="宋体" w:cs="宋体"/>
                <w:sz w:val="24"/>
              </w:rPr>
              <w:t>29.点云实时预览</w:t>
            </w:r>
            <w:r>
              <w:rPr>
                <w:rFonts w:hint="eastAsia" w:ascii="宋体" w:cs="宋体"/>
                <w:sz w:val="24"/>
              </w:rPr>
              <w:t>:</w:t>
            </w:r>
            <w:r>
              <w:rPr>
                <w:rFonts w:ascii="宋体" w:hAnsi="宋体" w:cs="宋体"/>
                <w:sz w:val="24"/>
              </w:rPr>
              <w:t>"遥控器端支持点云模型实时预览：预览当前所录制的点云 3D 模型，帮助用户实时感知作业进程；预览过程中支持切换模型观察视角及着色模式</w:t>
            </w:r>
          </w:p>
          <w:p w14:paraId="204C0442">
            <w:pPr>
              <w:tabs>
                <w:tab w:val="left" w:pos="447"/>
              </w:tabs>
              <w:jc w:val="left"/>
              <w:rPr>
                <w:rFonts w:ascii="宋体" w:hAnsi="宋体" w:cs="宋体"/>
                <w:sz w:val="24"/>
              </w:rPr>
            </w:pPr>
            <w:r>
              <w:rPr>
                <w:rFonts w:ascii="宋体" w:hAnsi="宋体" w:cs="宋体"/>
                <w:sz w:val="24"/>
              </w:rPr>
              <w:t>30."</w:t>
            </w:r>
          </w:p>
          <w:p w14:paraId="6A1B2107">
            <w:pPr>
              <w:tabs>
                <w:tab w:val="left" w:pos="447"/>
              </w:tabs>
              <w:jc w:val="left"/>
              <w:rPr>
                <w:rFonts w:ascii="宋体" w:hAnsi="宋体" w:cs="宋体"/>
                <w:sz w:val="24"/>
              </w:rPr>
            </w:pPr>
            <w:r>
              <w:rPr>
                <w:rFonts w:ascii="宋体" w:hAnsi="宋体" w:cs="宋体"/>
                <w:sz w:val="24"/>
              </w:rPr>
              <w:t>31.点云模型回放</w:t>
            </w:r>
            <w:r>
              <w:rPr>
                <w:rFonts w:hint="eastAsia" w:ascii="宋体" w:cs="宋体"/>
                <w:sz w:val="24"/>
              </w:rPr>
              <w:t>:</w:t>
            </w:r>
            <w:r>
              <w:rPr>
                <w:rFonts w:ascii="宋体" w:hAnsi="宋体" w:cs="宋体"/>
                <w:sz w:val="24"/>
              </w:rPr>
              <w:t>支持作业完成后直接在遥控器端下载并查看当前采集的点云3D模型，现场检查作业质量。也支持可将点云 3D 模型投射至 2D 地图进行查看。</w:t>
            </w:r>
          </w:p>
          <w:p w14:paraId="76F7F786">
            <w:pPr>
              <w:tabs>
                <w:tab w:val="left" w:pos="447"/>
              </w:tabs>
              <w:jc w:val="left"/>
              <w:rPr>
                <w:rFonts w:ascii="宋体" w:hAnsi="宋体" w:cs="宋体"/>
                <w:sz w:val="24"/>
              </w:rPr>
            </w:pPr>
            <w:r>
              <w:rPr>
                <w:rFonts w:ascii="宋体" w:hAnsi="宋体" w:cs="宋体"/>
                <w:sz w:val="24"/>
              </w:rPr>
              <w:t>32.点云模型拼接</w:t>
            </w:r>
            <w:r>
              <w:rPr>
                <w:rFonts w:hint="eastAsia" w:ascii="宋体" w:cs="宋体"/>
                <w:sz w:val="24"/>
              </w:rPr>
              <w:t>:</w:t>
            </w:r>
            <w:r>
              <w:rPr>
                <w:rFonts w:ascii="宋体" w:hAnsi="宋体" w:cs="宋体"/>
                <w:sz w:val="24"/>
              </w:rPr>
              <w:t>支持在遥控器端，将多架次的点云模型进行拼接，快速查看整体点云效果。</w:t>
            </w:r>
          </w:p>
          <w:p w14:paraId="761A2C37">
            <w:pPr>
              <w:tabs>
                <w:tab w:val="left" w:pos="447"/>
              </w:tabs>
              <w:jc w:val="left"/>
              <w:rPr>
                <w:rFonts w:ascii="宋体" w:hAnsi="宋体" w:cs="宋体"/>
                <w:sz w:val="24"/>
              </w:rPr>
            </w:pPr>
            <w:r>
              <w:rPr>
                <w:rFonts w:ascii="宋体" w:hAnsi="宋体" w:cs="宋体"/>
                <w:sz w:val="24"/>
              </w:rPr>
              <w:t>33.外业质量报告</w:t>
            </w:r>
            <w:r>
              <w:rPr>
                <w:rFonts w:hint="eastAsia" w:ascii="宋体" w:cs="宋体"/>
                <w:sz w:val="24"/>
              </w:rPr>
              <w:t>:</w:t>
            </w:r>
            <w:r>
              <w:rPr>
                <w:rFonts w:ascii="宋体" w:hAnsi="宋体" w:cs="宋体"/>
                <w:sz w:val="24"/>
              </w:rPr>
              <w:t>支持在任务结束后，遥控器端自动生成作业质量报告，报告内容需包含但不限于：雷达、相机、惯导各模块的有效数据时长，用户可现场查看本次作业的质量及效果不佳的航线段。</w:t>
            </w:r>
          </w:p>
          <w:p w14:paraId="6BC17BE8">
            <w:pPr>
              <w:tabs>
                <w:tab w:val="left" w:pos="447"/>
              </w:tabs>
              <w:jc w:val="left"/>
              <w:rPr>
                <w:rFonts w:ascii="宋体" w:hAnsi="宋体" w:cs="宋体"/>
                <w:sz w:val="24"/>
              </w:rPr>
            </w:pPr>
            <w:r>
              <w:rPr>
                <w:rFonts w:ascii="宋体" w:hAnsi="宋体" w:cs="宋体"/>
                <w:sz w:val="24"/>
              </w:rPr>
              <w:t>34.仿地飞行</w:t>
            </w:r>
            <w:r>
              <w:rPr>
                <w:rFonts w:hint="eastAsia" w:ascii="宋体" w:cs="宋体"/>
                <w:sz w:val="24"/>
              </w:rPr>
              <w:t>:</w:t>
            </w:r>
            <w:r>
              <w:rPr>
                <w:rFonts w:ascii="宋体" w:hAnsi="宋体" w:cs="宋体"/>
                <w:sz w:val="24"/>
              </w:rPr>
              <w:t>配合无人机使用时，支持仿地飞行功能，即通过导入包含高度信息的 DSM 文件或网络下载DEM 文件，App 将生成一段变高航线进行精准的仿地飞行，确保飞行器与地面的相对高度保持不变。</w:t>
            </w:r>
          </w:p>
          <w:p w14:paraId="6CD742BB">
            <w:pPr>
              <w:tabs>
                <w:tab w:val="left" w:pos="447"/>
              </w:tabs>
              <w:jc w:val="left"/>
              <w:rPr>
                <w:rFonts w:ascii="宋体" w:hAnsi="宋体" w:cs="宋体"/>
                <w:sz w:val="24"/>
              </w:rPr>
            </w:pPr>
            <w:r>
              <w:rPr>
                <w:rFonts w:ascii="宋体" w:hAnsi="宋体" w:cs="宋体"/>
                <w:sz w:val="24"/>
              </w:rPr>
              <w:t>35.支持云PPK功能</w:t>
            </w:r>
            <w:r>
              <w:rPr>
                <w:rFonts w:hint="eastAsia" w:ascii="宋体" w:cs="宋体"/>
                <w:sz w:val="24"/>
              </w:rPr>
              <w:t>:</w:t>
            </w:r>
            <w:r>
              <w:rPr>
                <w:rFonts w:ascii="宋体" w:hAnsi="宋体" w:cs="宋体"/>
                <w:sz w:val="24"/>
              </w:rPr>
              <w:t>支持通过云 PPK 功能匹配离线基站数据，无需自架基站，重建过程内置云PPK解算，提升数据解算精度。</w:t>
            </w:r>
          </w:p>
          <w:p w14:paraId="5C2B81EB">
            <w:pPr>
              <w:tabs>
                <w:tab w:val="left" w:pos="447"/>
              </w:tabs>
              <w:jc w:val="left"/>
              <w:rPr>
                <w:rFonts w:ascii="宋体" w:hAnsi="宋体" w:cs="宋体"/>
                <w:sz w:val="24"/>
              </w:rPr>
            </w:pPr>
            <w:r>
              <w:rPr>
                <w:rFonts w:ascii="宋体" w:hAnsi="宋体" w:cs="宋体"/>
                <w:sz w:val="24"/>
              </w:rPr>
              <w:t>36.输出点云文件</w:t>
            </w:r>
            <w:r>
              <w:rPr>
                <w:rFonts w:hint="eastAsia" w:ascii="宋体" w:cs="宋体"/>
                <w:sz w:val="24"/>
              </w:rPr>
              <w:t>:</w:t>
            </w:r>
            <w:r>
              <w:rPr>
                <w:rFonts w:ascii="宋体" w:hAnsi="宋体" w:cs="宋体"/>
                <w:sz w:val="24"/>
              </w:rPr>
              <w:t xml:space="preserve">支持输出点云格式包含：PNTS/LAS/PLY/PCD/S3MB </w:t>
            </w:r>
          </w:p>
          <w:p w14:paraId="41D7A744">
            <w:pPr>
              <w:tabs>
                <w:tab w:val="left" w:pos="447"/>
              </w:tabs>
              <w:jc w:val="left"/>
              <w:rPr>
                <w:rFonts w:ascii="宋体" w:hAnsi="宋体" w:cs="宋体"/>
                <w:sz w:val="24"/>
              </w:rPr>
            </w:pPr>
            <w:r>
              <w:rPr>
                <w:rFonts w:ascii="宋体" w:hAnsi="宋体" w:cs="宋体"/>
                <w:sz w:val="24"/>
              </w:rPr>
              <w:t>37.支持检查点导入功能</w:t>
            </w:r>
            <w:r>
              <w:rPr>
                <w:rFonts w:hint="eastAsia" w:ascii="宋体" w:cs="宋体"/>
                <w:sz w:val="24"/>
              </w:rPr>
              <w:t>:</w:t>
            </w:r>
            <w:r>
              <w:rPr>
                <w:rFonts w:ascii="宋体" w:hAnsi="宋体" w:cs="宋体"/>
                <w:sz w:val="24"/>
              </w:rPr>
              <w:t>支持导入检查点，控制点，提升点云精度</w:t>
            </w:r>
          </w:p>
          <w:p w14:paraId="10889F7A">
            <w:pPr>
              <w:tabs>
                <w:tab w:val="left" w:pos="447"/>
              </w:tabs>
              <w:jc w:val="left"/>
              <w:rPr>
                <w:rFonts w:ascii="宋体" w:hAnsi="宋体" w:cs="宋体"/>
                <w:sz w:val="24"/>
              </w:rPr>
            </w:pPr>
            <w:r>
              <w:rPr>
                <w:rFonts w:ascii="宋体" w:hAnsi="宋体" w:cs="宋体"/>
                <w:sz w:val="24"/>
              </w:rPr>
              <w:t>38.DEM功能</w:t>
            </w:r>
            <w:r>
              <w:rPr>
                <w:rFonts w:hint="eastAsia" w:ascii="宋体" w:cs="宋体"/>
                <w:sz w:val="24"/>
              </w:rPr>
              <w:t>:</w:t>
            </w:r>
            <w:r>
              <w:rPr>
                <w:rFonts w:ascii="宋体" w:hAnsi="宋体" w:cs="宋体"/>
                <w:sz w:val="24"/>
              </w:rPr>
              <w:t>支持地面点分类功能，通过地面点分类后，支持输出 DEM 数字高程模型。</w:t>
            </w:r>
          </w:p>
          <w:p w14:paraId="6D0901CB">
            <w:pPr>
              <w:tabs>
                <w:tab w:val="left" w:pos="447"/>
              </w:tabs>
              <w:jc w:val="left"/>
              <w:rPr>
                <w:rFonts w:ascii="宋体" w:hAnsi="宋体" w:cs="宋体"/>
                <w:sz w:val="24"/>
              </w:rPr>
            </w:pPr>
            <w:r>
              <w:rPr>
                <w:rFonts w:ascii="宋体" w:hAnsi="宋体" w:cs="宋体"/>
                <w:sz w:val="24"/>
              </w:rPr>
              <w:t>39.点云质量分析报告</w:t>
            </w:r>
            <w:r>
              <w:rPr>
                <w:rFonts w:hint="eastAsia" w:ascii="宋体" w:cs="宋体"/>
                <w:sz w:val="24"/>
              </w:rPr>
              <w:t>:</w:t>
            </w:r>
            <w:r>
              <w:rPr>
                <w:rFonts w:ascii="宋体" w:hAnsi="宋体" w:cs="宋体"/>
                <w:sz w:val="24"/>
              </w:rPr>
              <w:t>模型重建完成后支持生成点云质量分析报告。</w:t>
            </w:r>
          </w:p>
          <w:p w14:paraId="50E63829">
            <w:pPr>
              <w:tabs>
                <w:tab w:val="left" w:pos="447"/>
              </w:tabs>
              <w:jc w:val="left"/>
              <w:rPr>
                <w:rFonts w:ascii="宋体"/>
                <w:kern w:val="0"/>
                <w:sz w:val="23"/>
                <w:szCs w:val="23"/>
              </w:rPr>
            </w:pPr>
            <w:r>
              <w:rPr>
                <w:rFonts w:ascii="宋体" w:hAnsi="宋体" w:cs="宋体"/>
                <w:sz w:val="24"/>
              </w:rPr>
              <w:t>40.数据处理软件</w:t>
            </w:r>
            <w:r>
              <w:rPr>
                <w:rFonts w:hint="eastAsia" w:ascii="宋体" w:cs="宋体"/>
                <w:sz w:val="24"/>
              </w:rPr>
              <w:t>:</w:t>
            </w:r>
            <w:r>
              <w:rPr>
                <w:rFonts w:ascii="宋体" w:hAnsi="宋体" w:cs="宋体"/>
                <w:sz w:val="24"/>
              </w:rPr>
              <w:t>为保证数据精度及兼容性，惯导数据、点云数据处理需为同一软件。</w:t>
            </w:r>
          </w:p>
        </w:tc>
        <w:tc>
          <w:tcPr>
            <w:tcW w:w="709" w:type="dxa"/>
            <w:vAlign w:val="center"/>
          </w:tcPr>
          <w:p w14:paraId="35C769D9">
            <w:pPr>
              <w:widowControl/>
              <w:adjustRightInd w:val="0"/>
              <w:snapToGrid w:val="0"/>
              <w:jc w:val="center"/>
              <w:rPr>
                <w:rFonts w:ascii="宋体"/>
                <w:kern w:val="0"/>
                <w:sz w:val="23"/>
                <w:szCs w:val="23"/>
              </w:rPr>
            </w:pPr>
            <w:r>
              <w:rPr>
                <w:rFonts w:ascii="宋体"/>
                <w:kern w:val="0"/>
                <w:sz w:val="23"/>
                <w:szCs w:val="23"/>
              </w:rPr>
              <w:t>1</w:t>
            </w:r>
          </w:p>
        </w:tc>
        <w:tc>
          <w:tcPr>
            <w:tcW w:w="709" w:type="dxa"/>
            <w:vAlign w:val="center"/>
          </w:tcPr>
          <w:p w14:paraId="295332D0">
            <w:pPr>
              <w:widowControl/>
              <w:adjustRightInd w:val="0"/>
              <w:snapToGrid w:val="0"/>
              <w:jc w:val="center"/>
              <w:rPr>
                <w:rFonts w:ascii="宋体"/>
                <w:kern w:val="0"/>
                <w:sz w:val="23"/>
                <w:szCs w:val="23"/>
              </w:rPr>
            </w:pPr>
            <w:r>
              <w:rPr>
                <w:rFonts w:hint="eastAsia" w:ascii="宋体"/>
                <w:kern w:val="0"/>
                <w:sz w:val="23"/>
                <w:szCs w:val="23"/>
              </w:rPr>
              <w:t>台</w:t>
            </w:r>
          </w:p>
        </w:tc>
        <w:tc>
          <w:tcPr>
            <w:tcW w:w="850" w:type="dxa"/>
            <w:vAlign w:val="center"/>
          </w:tcPr>
          <w:p w14:paraId="0C9C87DC">
            <w:pPr>
              <w:widowControl/>
              <w:adjustRightInd w:val="0"/>
              <w:snapToGrid w:val="0"/>
              <w:jc w:val="center"/>
              <w:rPr>
                <w:rFonts w:ascii="宋体"/>
                <w:kern w:val="0"/>
                <w:sz w:val="23"/>
                <w:szCs w:val="23"/>
              </w:rPr>
            </w:pPr>
          </w:p>
        </w:tc>
      </w:tr>
      <w:tr w14:paraId="1856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8" w:type="dxa"/>
            <w:vAlign w:val="center"/>
          </w:tcPr>
          <w:p w14:paraId="5035BA30">
            <w:pPr>
              <w:widowControl/>
              <w:numPr>
                <w:ilvl w:val="0"/>
                <w:numId w:val="1"/>
              </w:numPr>
              <w:adjustRightInd w:val="0"/>
              <w:snapToGrid w:val="0"/>
              <w:spacing w:line="400" w:lineRule="exact"/>
              <w:jc w:val="center"/>
              <w:rPr>
                <w:rFonts w:ascii="宋体" w:hAnsi="宋体"/>
                <w:kern w:val="0"/>
                <w:sz w:val="23"/>
                <w:szCs w:val="23"/>
              </w:rPr>
            </w:pPr>
          </w:p>
        </w:tc>
        <w:tc>
          <w:tcPr>
            <w:tcW w:w="1622" w:type="dxa"/>
            <w:vAlign w:val="center"/>
          </w:tcPr>
          <w:p w14:paraId="2EDE5B03">
            <w:pPr>
              <w:widowControl/>
              <w:adjustRightInd w:val="0"/>
              <w:snapToGrid w:val="0"/>
              <w:jc w:val="center"/>
              <w:rPr>
                <w:rFonts w:ascii="宋体"/>
                <w:sz w:val="23"/>
                <w:szCs w:val="23"/>
              </w:rPr>
            </w:pPr>
            <w:r>
              <w:rPr>
                <w:rFonts w:hint="eastAsia" w:ascii="宋体"/>
                <w:sz w:val="23"/>
                <w:szCs w:val="23"/>
              </w:rPr>
              <w:t>无人机取水器</w:t>
            </w:r>
          </w:p>
        </w:tc>
        <w:tc>
          <w:tcPr>
            <w:tcW w:w="5357" w:type="dxa"/>
            <w:vAlign w:val="center"/>
          </w:tcPr>
          <w:p w14:paraId="571AE642">
            <w:pPr>
              <w:tabs>
                <w:tab w:val="left" w:pos="447"/>
              </w:tabs>
              <w:jc w:val="left"/>
              <w:rPr>
                <w:rFonts w:ascii="宋体" w:hAnsi="宋体" w:cs="宋体"/>
                <w:sz w:val="24"/>
              </w:rPr>
            </w:pPr>
            <w:r>
              <w:rPr>
                <w:rFonts w:hint="eastAsia" w:ascii="宋体" w:hAnsi="宋体" w:cs="宋体"/>
                <w:sz w:val="24"/>
              </w:rPr>
              <w:t>1.重量：≤700克（含安装套件及线材，不含容器）</w:t>
            </w:r>
          </w:p>
          <w:p w14:paraId="3E9A2A93">
            <w:pPr>
              <w:tabs>
                <w:tab w:val="left" w:pos="447"/>
              </w:tabs>
              <w:jc w:val="left"/>
              <w:rPr>
                <w:rFonts w:ascii="宋体" w:hAnsi="宋体" w:cs="宋体"/>
                <w:sz w:val="24"/>
              </w:rPr>
            </w:pPr>
            <w:r>
              <w:rPr>
                <w:rFonts w:hint="eastAsia" w:ascii="宋体" w:hAnsi="宋体" w:cs="宋体"/>
                <w:sz w:val="24"/>
              </w:rPr>
              <w:t>2. 尺寸：尺寸≤250×100×100毫米（长×宽×高）</w:t>
            </w:r>
          </w:p>
          <w:p w14:paraId="166C4244">
            <w:pPr>
              <w:tabs>
                <w:tab w:val="left" w:pos="447"/>
              </w:tabs>
              <w:jc w:val="left"/>
              <w:rPr>
                <w:rFonts w:ascii="宋体" w:hAnsi="宋体" w:cs="宋体"/>
                <w:sz w:val="24"/>
              </w:rPr>
            </w:pPr>
            <w:r>
              <w:rPr>
                <w:rFonts w:hint="eastAsia" w:ascii="宋体" w:hAnsi="宋体" w:cs="宋体"/>
                <w:sz w:val="24"/>
              </w:rPr>
              <w:t>3. 自锁性：无电力或控制信号输入时，需具备自锁性</w:t>
            </w:r>
          </w:p>
          <w:p w14:paraId="08BE9A0A">
            <w:pPr>
              <w:tabs>
                <w:tab w:val="left" w:pos="447"/>
              </w:tabs>
              <w:jc w:val="left"/>
              <w:rPr>
                <w:rFonts w:ascii="宋体" w:hAnsi="宋体" w:cs="宋体"/>
                <w:sz w:val="24"/>
              </w:rPr>
            </w:pPr>
            <w:r>
              <w:rPr>
                <w:rFonts w:hint="eastAsia" w:ascii="宋体" w:hAnsi="宋体" w:cs="宋体"/>
                <w:sz w:val="24"/>
              </w:rPr>
              <w:t>4. 收放操作：需具备全自动/深度控制（A）、纯手动/电门控制（M  释放、停止、回收可即时操作）两种可选模式。</w:t>
            </w:r>
          </w:p>
          <w:p w14:paraId="3591E8F0">
            <w:pPr>
              <w:tabs>
                <w:tab w:val="left" w:pos="447"/>
              </w:tabs>
              <w:jc w:val="left"/>
              <w:rPr>
                <w:rFonts w:ascii="宋体" w:hAnsi="宋体" w:cs="宋体"/>
                <w:sz w:val="24"/>
              </w:rPr>
            </w:pPr>
            <w:r>
              <w:rPr>
                <w:rFonts w:hint="eastAsia" w:ascii="宋体" w:hAnsi="宋体" w:cs="宋体"/>
                <w:sz w:val="24"/>
              </w:rPr>
              <w:t>5.达顶监测：需具备达顶监测，容器回收达顶即停。</w:t>
            </w:r>
          </w:p>
          <w:p w14:paraId="2B74AEA1">
            <w:pPr>
              <w:tabs>
                <w:tab w:val="left" w:pos="447"/>
              </w:tabs>
              <w:jc w:val="left"/>
              <w:rPr>
                <w:rFonts w:ascii="宋体" w:hAnsi="宋体" w:cs="宋体"/>
                <w:sz w:val="24"/>
              </w:rPr>
            </w:pPr>
            <w:r>
              <w:rPr>
                <w:rFonts w:hint="eastAsia" w:ascii="宋体" w:hAnsi="宋体" w:cs="宋体"/>
                <w:sz w:val="24"/>
              </w:rPr>
              <w:t>6.保护功能：需具备线缆反卷监测与保护功能，实时监测线缆运动方向与状态是否相符，异常急停保护，支持一键脱困。</w:t>
            </w:r>
          </w:p>
          <w:p w14:paraId="34603855">
            <w:pPr>
              <w:tabs>
                <w:tab w:val="left" w:pos="447"/>
              </w:tabs>
              <w:jc w:val="left"/>
              <w:rPr>
                <w:rFonts w:ascii="宋体" w:hAnsi="宋体" w:cs="宋体"/>
                <w:sz w:val="24"/>
              </w:rPr>
            </w:pPr>
            <w:r>
              <w:rPr>
                <w:rFonts w:hint="eastAsia" w:ascii="宋体" w:hAnsi="宋体" w:cs="宋体"/>
                <w:sz w:val="24"/>
              </w:rPr>
              <w:t>7.绳长：≥10米</w:t>
            </w:r>
          </w:p>
          <w:p w14:paraId="290A7DA5">
            <w:pPr>
              <w:tabs>
                <w:tab w:val="left" w:pos="447"/>
              </w:tabs>
              <w:jc w:val="left"/>
              <w:rPr>
                <w:rFonts w:ascii="宋体" w:hAnsi="宋体" w:cs="宋体"/>
                <w:sz w:val="24"/>
              </w:rPr>
            </w:pPr>
            <w:r>
              <w:rPr>
                <w:rFonts w:hint="eastAsia" w:ascii="宋体" w:hAnsi="宋体" w:cs="宋体"/>
                <w:sz w:val="24"/>
              </w:rPr>
              <w:t>8.极限承重能力：≥3千克</w:t>
            </w:r>
          </w:p>
          <w:p w14:paraId="6404F8B6">
            <w:pPr>
              <w:tabs>
                <w:tab w:val="left" w:pos="447"/>
              </w:tabs>
              <w:jc w:val="left"/>
              <w:rPr>
                <w:rFonts w:ascii="宋体" w:hAnsi="宋体" w:cs="宋体"/>
                <w:sz w:val="24"/>
              </w:rPr>
            </w:pPr>
            <w:r>
              <w:rPr>
                <w:rFonts w:hint="eastAsia" w:ascii="宋体" w:hAnsi="宋体" w:cs="宋体"/>
                <w:sz w:val="24"/>
              </w:rPr>
              <w:t>9.控制软件：需支持DJI Payload SDK链接</w:t>
            </w:r>
          </w:p>
          <w:p w14:paraId="36AAA2B4">
            <w:pPr>
              <w:tabs>
                <w:tab w:val="left" w:pos="447"/>
              </w:tabs>
              <w:jc w:val="left"/>
              <w:rPr>
                <w:rFonts w:ascii="宋体" w:hAnsi="宋体" w:cs="宋体"/>
                <w:sz w:val="24"/>
              </w:rPr>
            </w:pPr>
            <w:r>
              <w:rPr>
                <w:rFonts w:hint="eastAsia" w:ascii="宋体" w:hAnsi="宋体" w:cs="宋体"/>
                <w:sz w:val="24"/>
              </w:rPr>
              <w:t>10.实时画面：需要显示取水器下视相机的实时画面</w:t>
            </w:r>
          </w:p>
          <w:p w14:paraId="0CF86EC6">
            <w:pPr>
              <w:tabs>
                <w:tab w:val="left" w:pos="447"/>
              </w:tabs>
              <w:jc w:val="left"/>
              <w:rPr>
                <w:rFonts w:ascii="宋体" w:hAnsi="宋体" w:cs="宋体"/>
                <w:sz w:val="24"/>
              </w:rPr>
            </w:pPr>
            <w:r>
              <w:rPr>
                <w:rFonts w:hint="eastAsia" w:ascii="宋体" w:hAnsi="宋体" w:cs="宋体"/>
                <w:sz w:val="24"/>
              </w:rPr>
              <w:t>10.云端监控平台：需支持浏览器端与微信小程序端</w:t>
            </w:r>
          </w:p>
          <w:p w14:paraId="66DC2089">
            <w:pPr>
              <w:tabs>
                <w:tab w:val="left" w:pos="447"/>
              </w:tabs>
              <w:jc w:val="left"/>
              <w:rPr>
                <w:rFonts w:ascii="宋体" w:hAnsi="宋体" w:cs="宋体"/>
                <w:sz w:val="24"/>
              </w:rPr>
            </w:pPr>
            <w:r>
              <w:rPr>
                <w:rFonts w:hint="eastAsia" w:ascii="宋体" w:hAnsi="宋体" w:cs="宋体"/>
                <w:sz w:val="24"/>
              </w:rPr>
              <w:t>12.云端监控平台：需支持同时连接一台或多台迅汲，并在地图中显示它们的坐标与朝向。</w:t>
            </w:r>
          </w:p>
          <w:p w14:paraId="20863F6A">
            <w:pPr>
              <w:tabs>
                <w:tab w:val="left" w:pos="447"/>
              </w:tabs>
              <w:jc w:val="left"/>
              <w:rPr>
                <w:rFonts w:ascii="宋体" w:hAnsi="宋体" w:cs="宋体"/>
                <w:sz w:val="24"/>
              </w:rPr>
            </w:pPr>
            <w:r>
              <w:rPr>
                <w:rFonts w:hint="eastAsia" w:ascii="宋体" w:hAnsi="宋体" w:cs="宋体"/>
                <w:sz w:val="24"/>
              </w:rPr>
              <w:t>13.云端监控平台：需支持为迅汲设备设置采水目标点，并实现在浏览器端、微信小程序端与DJI Pilot端自动同步该目标点。</w:t>
            </w:r>
          </w:p>
          <w:p w14:paraId="1F33264D">
            <w:pPr>
              <w:tabs>
                <w:tab w:val="left" w:pos="447"/>
              </w:tabs>
              <w:jc w:val="left"/>
              <w:rPr>
                <w:rFonts w:ascii="宋体" w:hAnsi="宋体" w:cs="宋体"/>
                <w:sz w:val="24"/>
              </w:rPr>
            </w:pPr>
            <w:r>
              <w:rPr>
                <w:rFonts w:hint="eastAsia" w:ascii="宋体" w:hAnsi="宋体" w:cs="宋体"/>
                <w:sz w:val="24"/>
              </w:rPr>
              <w:t>14.云端监控平台：需支持在地图上设置多个测距点进行测距，便于规划作业路线，显示两点之间的距离。</w:t>
            </w:r>
          </w:p>
          <w:p w14:paraId="5FCCA0C7">
            <w:pPr>
              <w:tabs>
                <w:tab w:val="left" w:pos="447"/>
              </w:tabs>
              <w:jc w:val="left"/>
              <w:rPr>
                <w:rFonts w:ascii="宋体" w:hAnsi="宋体" w:cs="宋体"/>
                <w:sz w:val="24"/>
              </w:rPr>
            </w:pPr>
            <w:r>
              <w:rPr>
                <w:rFonts w:hint="eastAsia" w:ascii="宋体" w:hAnsi="宋体" w:cs="宋体"/>
                <w:sz w:val="24"/>
              </w:rPr>
              <w:t>15.云端监控平台：需显示迅汲的实时工作状态，包括其距离水面的距离、采水容器的升降速度、当前电门百分比、当前释放的绳长等信息。</w:t>
            </w:r>
          </w:p>
          <w:p w14:paraId="3D48EED4">
            <w:pPr>
              <w:tabs>
                <w:tab w:val="left" w:pos="447"/>
              </w:tabs>
              <w:jc w:val="left"/>
              <w:rPr>
                <w:rFonts w:ascii="宋体" w:hAnsi="宋体" w:cs="宋体"/>
                <w:sz w:val="24"/>
              </w:rPr>
            </w:pPr>
            <w:r>
              <w:rPr>
                <w:rFonts w:hint="eastAsia" w:ascii="宋体" w:hAnsi="宋体" w:cs="宋体"/>
                <w:sz w:val="24"/>
              </w:rPr>
              <w:t>16.云端监控平台：可对迅汲进行控制，包括采水深度、最大升降速度、开始采水与放弃采水（全自动模式下）、上升与下降（手动模式下）、校准绳长等。</w:t>
            </w:r>
          </w:p>
          <w:p w14:paraId="22F104E5">
            <w:pPr>
              <w:widowControl/>
              <w:adjustRightInd w:val="0"/>
              <w:snapToGrid w:val="0"/>
              <w:rPr>
                <w:rFonts w:ascii="宋体"/>
                <w:kern w:val="0"/>
                <w:sz w:val="23"/>
                <w:szCs w:val="23"/>
              </w:rPr>
            </w:pPr>
          </w:p>
        </w:tc>
        <w:tc>
          <w:tcPr>
            <w:tcW w:w="709" w:type="dxa"/>
            <w:vAlign w:val="center"/>
          </w:tcPr>
          <w:p w14:paraId="080353AE">
            <w:pPr>
              <w:widowControl/>
              <w:adjustRightInd w:val="0"/>
              <w:snapToGrid w:val="0"/>
              <w:jc w:val="center"/>
              <w:rPr>
                <w:rFonts w:ascii="宋体"/>
                <w:kern w:val="0"/>
                <w:sz w:val="23"/>
                <w:szCs w:val="23"/>
              </w:rPr>
            </w:pPr>
            <w:r>
              <w:rPr>
                <w:rFonts w:ascii="宋体"/>
                <w:kern w:val="0"/>
                <w:sz w:val="23"/>
                <w:szCs w:val="23"/>
              </w:rPr>
              <w:t>1</w:t>
            </w:r>
          </w:p>
        </w:tc>
        <w:tc>
          <w:tcPr>
            <w:tcW w:w="709" w:type="dxa"/>
            <w:vAlign w:val="center"/>
          </w:tcPr>
          <w:p w14:paraId="5A152ABD">
            <w:pPr>
              <w:widowControl/>
              <w:adjustRightInd w:val="0"/>
              <w:snapToGrid w:val="0"/>
              <w:jc w:val="center"/>
              <w:rPr>
                <w:rFonts w:ascii="宋体"/>
                <w:kern w:val="0"/>
                <w:sz w:val="23"/>
                <w:szCs w:val="23"/>
              </w:rPr>
            </w:pPr>
            <w:r>
              <w:rPr>
                <w:rFonts w:hint="eastAsia" w:ascii="宋体"/>
                <w:kern w:val="0"/>
                <w:sz w:val="23"/>
                <w:szCs w:val="23"/>
              </w:rPr>
              <w:t>台</w:t>
            </w:r>
          </w:p>
        </w:tc>
        <w:tc>
          <w:tcPr>
            <w:tcW w:w="850" w:type="dxa"/>
            <w:vAlign w:val="center"/>
          </w:tcPr>
          <w:p w14:paraId="1D7AEBF4">
            <w:pPr>
              <w:widowControl/>
              <w:adjustRightInd w:val="0"/>
              <w:snapToGrid w:val="0"/>
              <w:jc w:val="center"/>
              <w:rPr>
                <w:rFonts w:ascii="宋体"/>
                <w:kern w:val="0"/>
                <w:sz w:val="23"/>
                <w:szCs w:val="23"/>
              </w:rPr>
            </w:pPr>
          </w:p>
        </w:tc>
      </w:tr>
      <w:tr w14:paraId="1FDB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8" w:type="dxa"/>
            <w:vAlign w:val="center"/>
          </w:tcPr>
          <w:p w14:paraId="366C2896">
            <w:pPr>
              <w:widowControl/>
              <w:numPr>
                <w:ilvl w:val="0"/>
                <w:numId w:val="1"/>
              </w:numPr>
              <w:adjustRightInd w:val="0"/>
              <w:snapToGrid w:val="0"/>
              <w:spacing w:line="400" w:lineRule="exact"/>
              <w:jc w:val="center"/>
              <w:rPr>
                <w:rFonts w:ascii="宋体" w:hAnsi="宋体"/>
                <w:kern w:val="0"/>
                <w:sz w:val="23"/>
                <w:szCs w:val="23"/>
              </w:rPr>
            </w:pPr>
          </w:p>
        </w:tc>
        <w:tc>
          <w:tcPr>
            <w:tcW w:w="1622" w:type="dxa"/>
            <w:vAlign w:val="center"/>
          </w:tcPr>
          <w:p w14:paraId="4D16CB32">
            <w:pPr>
              <w:widowControl/>
              <w:adjustRightInd w:val="0"/>
              <w:snapToGrid w:val="0"/>
              <w:jc w:val="center"/>
              <w:rPr>
                <w:rFonts w:ascii="宋体"/>
                <w:sz w:val="23"/>
                <w:szCs w:val="23"/>
              </w:rPr>
            </w:pPr>
            <w:r>
              <w:rPr>
                <w:rFonts w:hint="eastAsia" w:ascii="宋体" w:hAnsi="宋体" w:cs="宋体"/>
                <w:sz w:val="24"/>
              </w:rPr>
              <w:t>无人机多参数气体</w:t>
            </w:r>
          </w:p>
        </w:tc>
        <w:tc>
          <w:tcPr>
            <w:tcW w:w="5357" w:type="dxa"/>
            <w:vAlign w:val="center"/>
          </w:tcPr>
          <w:p w14:paraId="36B82012">
            <w:pPr>
              <w:tabs>
                <w:tab w:val="left" w:pos="447"/>
              </w:tabs>
              <w:jc w:val="left"/>
              <w:rPr>
                <w:rFonts w:ascii="宋体" w:hAnsi="宋体" w:cs="宋体"/>
                <w:sz w:val="24"/>
              </w:rPr>
            </w:pPr>
            <w:r>
              <w:rPr>
                <w:rFonts w:ascii="宋体" w:hAnsi="宋体" w:cs="宋体"/>
                <w:sz w:val="24"/>
              </w:rPr>
              <w:t>1.尺寸：尺寸≤于160 x 105 x 88mm</w:t>
            </w:r>
          </w:p>
          <w:p w14:paraId="1C54941D">
            <w:pPr>
              <w:tabs>
                <w:tab w:val="left" w:pos="447"/>
              </w:tabs>
              <w:jc w:val="left"/>
              <w:rPr>
                <w:rFonts w:ascii="宋体" w:hAnsi="宋体" w:cs="宋体"/>
                <w:sz w:val="24"/>
              </w:rPr>
            </w:pPr>
            <w:r>
              <w:rPr>
                <w:rFonts w:ascii="宋体" w:hAnsi="宋体" w:cs="宋体"/>
                <w:sz w:val="24"/>
              </w:rPr>
              <w:t>2.防护等级：IPX2</w:t>
            </w:r>
          </w:p>
          <w:p w14:paraId="2378B40B">
            <w:pPr>
              <w:tabs>
                <w:tab w:val="left" w:pos="447"/>
              </w:tabs>
              <w:jc w:val="left"/>
              <w:rPr>
                <w:rFonts w:ascii="宋体" w:hAnsi="宋体" w:cs="宋体"/>
                <w:sz w:val="24"/>
              </w:rPr>
            </w:pPr>
            <w:r>
              <w:rPr>
                <w:rFonts w:ascii="宋体" w:hAnsi="宋体" w:cs="宋体"/>
                <w:sz w:val="24"/>
              </w:rPr>
              <w:t>3.重量：≤500g（不含无人机集成套件）</w:t>
            </w:r>
          </w:p>
          <w:p w14:paraId="1B907BD6">
            <w:pPr>
              <w:tabs>
                <w:tab w:val="left" w:pos="447"/>
              </w:tabs>
              <w:jc w:val="left"/>
              <w:rPr>
                <w:rFonts w:ascii="宋体" w:hAnsi="宋体" w:cs="宋体"/>
                <w:sz w:val="24"/>
              </w:rPr>
            </w:pPr>
            <w:r>
              <w:rPr>
                <w:rFonts w:ascii="宋体" w:hAnsi="宋体" w:cs="宋体"/>
                <w:sz w:val="24"/>
              </w:rPr>
              <w:t>4.传输功能：需具备数据实时传输功能（正常模式下1Hz，对单个检测模块进行校准时不低于3Hz），且具备数据断点续传功能，当通讯中断时最高可临时储存9小时任务数据，待通讯恢复后自动重新传输；</w:t>
            </w:r>
          </w:p>
          <w:p w14:paraId="4C0ED175">
            <w:pPr>
              <w:tabs>
                <w:tab w:val="left" w:pos="447"/>
              </w:tabs>
              <w:jc w:val="left"/>
              <w:rPr>
                <w:rFonts w:ascii="宋体" w:hAnsi="宋体" w:cs="宋体"/>
                <w:sz w:val="24"/>
              </w:rPr>
            </w:pPr>
            <w:r>
              <w:rPr>
                <w:rFonts w:ascii="宋体" w:hAnsi="宋体" w:cs="宋体"/>
                <w:sz w:val="24"/>
              </w:rPr>
              <w:t>5.警示功能：需具备前后RGB高亮警示灯，可设置为常亮或闪烁（频率可调）。警示灯颜色可设置为自动跟随气体浓度变化。</w:t>
            </w:r>
          </w:p>
          <w:p w14:paraId="2392F1C9">
            <w:pPr>
              <w:tabs>
                <w:tab w:val="left" w:pos="447"/>
              </w:tabs>
              <w:jc w:val="left"/>
              <w:rPr>
                <w:rFonts w:ascii="宋体" w:hAnsi="宋体" w:cs="宋体"/>
                <w:sz w:val="24"/>
              </w:rPr>
            </w:pPr>
            <w:r>
              <w:rPr>
                <w:rFonts w:ascii="宋体" w:hAnsi="宋体" w:cs="宋体"/>
                <w:sz w:val="24"/>
              </w:rPr>
              <w:t>6.卫星定位：需具备高精度卫星定位（GNSS）模块，芯片与天线完全内置，不外露或凸起。支持GPS、GLONASS、Galileo与北斗。当内置定位模块不可用时，还需支持接入外置卫星定位模块（USB Type-C接口）；</w:t>
            </w:r>
          </w:p>
          <w:p w14:paraId="623665CC">
            <w:pPr>
              <w:tabs>
                <w:tab w:val="left" w:pos="447"/>
              </w:tabs>
              <w:jc w:val="left"/>
              <w:rPr>
                <w:rFonts w:ascii="宋体" w:hAnsi="宋体" w:cs="宋体"/>
                <w:sz w:val="24"/>
              </w:rPr>
            </w:pPr>
            <w:r>
              <w:rPr>
                <w:rFonts w:ascii="宋体" w:hAnsi="宋体" w:cs="宋体"/>
                <w:sz w:val="24"/>
              </w:rPr>
              <w:t>7.自动备份：需内置4G远程数传与定位系统，需具备SD数据自动备份功能，无需软件干预，每次启动预热完成且有GPS信号的情况下会自动备份任务数据；</w:t>
            </w:r>
          </w:p>
          <w:p w14:paraId="4158102C">
            <w:pPr>
              <w:tabs>
                <w:tab w:val="left" w:pos="447"/>
              </w:tabs>
              <w:jc w:val="left"/>
              <w:rPr>
                <w:rFonts w:ascii="宋体"/>
                <w:kern w:val="0"/>
                <w:sz w:val="23"/>
                <w:szCs w:val="23"/>
              </w:rPr>
            </w:pPr>
            <w:r>
              <w:rPr>
                <w:rFonts w:ascii="宋体" w:hAnsi="宋体" w:cs="宋体"/>
                <w:sz w:val="24"/>
              </w:rPr>
              <w:t>8.组网作业：需支持组网作业，一台或多台气体监测设备同时向一或多个可视化终端传输数据，传输距离不受限制；</w:t>
            </w:r>
          </w:p>
        </w:tc>
        <w:tc>
          <w:tcPr>
            <w:tcW w:w="709" w:type="dxa"/>
            <w:vAlign w:val="center"/>
          </w:tcPr>
          <w:p w14:paraId="7454EA2F">
            <w:pPr>
              <w:widowControl/>
              <w:adjustRightInd w:val="0"/>
              <w:snapToGrid w:val="0"/>
              <w:jc w:val="center"/>
              <w:rPr>
                <w:rFonts w:ascii="宋体"/>
                <w:kern w:val="0"/>
                <w:sz w:val="23"/>
                <w:szCs w:val="23"/>
              </w:rPr>
            </w:pPr>
            <w:r>
              <w:rPr>
                <w:rFonts w:ascii="宋体"/>
                <w:kern w:val="0"/>
                <w:sz w:val="23"/>
                <w:szCs w:val="23"/>
              </w:rPr>
              <w:t>1</w:t>
            </w:r>
          </w:p>
        </w:tc>
        <w:tc>
          <w:tcPr>
            <w:tcW w:w="709" w:type="dxa"/>
            <w:vAlign w:val="center"/>
          </w:tcPr>
          <w:p w14:paraId="58029AE3">
            <w:pPr>
              <w:widowControl/>
              <w:adjustRightInd w:val="0"/>
              <w:snapToGrid w:val="0"/>
              <w:jc w:val="center"/>
              <w:rPr>
                <w:rFonts w:ascii="宋体"/>
                <w:kern w:val="0"/>
                <w:sz w:val="23"/>
                <w:szCs w:val="23"/>
              </w:rPr>
            </w:pPr>
            <w:r>
              <w:rPr>
                <w:rFonts w:ascii="宋体"/>
                <w:kern w:val="0"/>
                <w:sz w:val="23"/>
                <w:szCs w:val="23"/>
              </w:rPr>
              <w:t>台</w:t>
            </w:r>
          </w:p>
        </w:tc>
        <w:tc>
          <w:tcPr>
            <w:tcW w:w="850" w:type="dxa"/>
            <w:vAlign w:val="center"/>
          </w:tcPr>
          <w:p w14:paraId="3D34C51F">
            <w:pPr>
              <w:widowControl/>
              <w:adjustRightInd w:val="0"/>
              <w:snapToGrid w:val="0"/>
              <w:jc w:val="center"/>
              <w:rPr>
                <w:rFonts w:ascii="宋体"/>
                <w:kern w:val="0"/>
                <w:sz w:val="23"/>
                <w:szCs w:val="23"/>
              </w:rPr>
            </w:pPr>
          </w:p>
        </w:tc>
      </w:tr>
      <w:tr w14:paraId="46DD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8" w:type="dxa"/>
            <w:vAlign w:val="center"/>
          </w:tcPr>
          <w:p w14:paraId="1CD911FC">
            <w:pPr>
              <w:widowControl/>
              <w:numPr>
                <w:ilvl w:val="0"/>
                <w:numId w:val="1"/>
              </w:numPr>
              <w:adjustRightInd w:val="0"/>
              <w:snapToGrid w:val="0"/>
              <w:spacing w:line="400" w:lineRule="exact"/>
              <w:jc w:val="center"/>
              <w:rPr>
                <w:rFonts w:ascii="宋体" w:hAnsi="宋体"/>
                <w:kern w:val="0"/>
                <w:sz w:val="23"/>
                <w:szCs w:val="23"/>
              </w:rPr>
            </w:pPr>
          </w:p>
        </w:tc>
        <w:tc>
          <w:tcPr>
            <w:tcW w:w="1622" w:type="dxa"/>
            <w:vAlign w:val="center"/>
          </w:tcPr>
          <w:p w14:paraId="22518FA0">
            <w:pPr>
              <w:widowControl/>
              <w:adjustRightInd w:val="0"/>
              <w:snapToGrid w:val="0"/>
              <w:jc w:val="center"/>
              <w:rPr>
                <w:rFonts w:ascii="宋体"/>
                <w:sz w:val="23"/>
                <w:szCs w:val="23"/>
              </w:rPr>
            </w:pPr>
            <w:r>
              <w:rPr>
                <w:rFonts w:ascii="宋体"/>
                <w:sz w:val="23"/>
                <w:szCs w:val="23"/>
              </w:rPr>
              <w:t>无人机载光谱水质测试仪</w:t>
            </w:r>
          </w:p>
        </w:tc>
        <w:tc>
          <w:tcPr>
            <w:tcW w:w="5357" w:type="dxa"/>
            <w:vAlign w:val="center"/>
          </w:tcPr>
          <w:p w14:paraId="7557B863">
            <w:pPr>
              <w:tabs>
                <w:tab w:val="left" w:pos="447"/>
              </w:tabs>
              <w:jc w:val="left"/>
              <w:rPr>
                <w:rFonts w:ascii="宋体" w:hAnsi="宋体" w:cs="宋体"/>
                <w:sz w:val="24"/>
              </w:rPr>
            </w:pPr>
            <w:r>
              <w:rPr>
                <w:rFonts w:hint="eastAsia" w:ascii="宋体" w:hAnsi="宋体" w:cs="宋体"/>
                <w:sz w:val="24"/>
              </w:rPr>
              <w:t>1.成像方式：马赛克芯片镀膜分光，框幅式快拍成像</w:t>
            </w:r>
          </w:p>
          <w:p w14:paraId="23C4E8A6">
            <w:pPr>
              <w:tabs>
                <w:tab w:val="left" w:pos="447"/>
              </w:tabs>
              <w:jc w:val="left"/>
              <w:rPr>
                <w:rFonts w:ascii="宋体" w:hAnsi="宋体" w:cs="宋体"/>
                <w:sz w:val="24"/>
              </w:rPr>
            </w:pPr>
            <w:r>
              <w:rPr>
                <w:rFonts w:hint="eastAsia" w:ascii="宋体" w:hAnsi="宋体" w:cs="宋体"/>
                <w:sz w:val="24"/>
              </w:rPr>
              <w:t>2.采集方式：快拍式成像，可获得同一目标物不同高度、不同角度数据</w:t>
            </w:r>
          </w:p>
          <w:p w14:paraId="5C0E527A">
            <w:pPr>
              <w:tabs>
                <w:tab w:val="left" w:pos="447"/>
              </w:tabs>
              <w:jc w:val="left"/>
              <w:rPr>
                <w:rFonts w:ascii="宋体" w:hAnsi="宋体" w:cs="宋体"/>
                <w:sz w:val="24"/>
              </w:rPr>
            </w:pPr>
            <w:r>
              <w:rPr>
                <w:rFonts w:hint="eastAsia" w:ascii="宋体" w:hAnsi="宋体" w:cs="宋体"/>
                <w:sz w:val="24"/>
              </w:rPr>
              <w:t>3.光谱范围：至少包含460-570nm和640-785nm</w:t>
            </w:r>
          </w:p>
          <w:p w14:paraId="3251AC47">
            <w:pPr>
              <w:tabs>
                <w:tab w:val="left" w:pos="447"/>
              </w:tabs>
              <w:jc w:val="left"/>
              <w:rPr>
                <w:rFonts w:ascii="宋体" w:hAnsi="宋体" w:cs="宋体"/>
                <w:sz w:val="24"/>
              </w:rPr>
            </w:pPr>
            <w:r>
              <w:rPr>
                <w:rFonts w:hint="eastAsia" w:ascii="宋体" w:hAnsi="宋体" w:cs="宋体"/>
                <w:sz w:val="24"/>
              </w:rPr>
              <w:t>4.光谱分辨率：小于等于12nm</w:t>
            </w:r>
          </w:p>
          <w:p w14:paraId="70C5783D">
            <w:pPr>
              <w:tabs>
                <w:tab w:val="left" w:pos="447"/>
              </w:tabs>
              <w:jc w:val="left"/>
              <w:rPr>
                <w:rFonts w:ascii="宋体" w:hAnsi="宋体" w:cs="宋体"/>
                <w:sz w:val="24"/>
              </w:rPr>
            </w:pPr>
            <w:r>
              <w:rPr>
                <w:rFonts w:hint="eastAsia" w:ascii="宋体" w:hAnsi="宋体" w:cs="宋体"/>
                <w:sz w:val="24"/>
              </w:rPr>
              <w:t>5.光谱通道数：≥18</w:t>
            </w:r>
          </w:p>
          <w:p w14:paraId="5FA5D51B">
            <w:pPr>
              <w:tabs>
                <w:tab w:val="left" w:pos="447"/>
              </w:tabs>
              <w:jc w:val="left"/>
              <w:rPr>
                <w:rFonts w:ascii="宋体" w:hAnsi="宋体" w:cs="宋体"/>
                <w:sz w:val="24"/>
              </w:rPr>
            </w:pPr>
            <w:r>
              <w:rPr>
                <w:rFonts w:hint="eastAsia" w:ascii="宋体" w:hAnsi="宋体" w:cs="宋体"/>
                <w:sz w:val="24"/>
              </w:rPr>
              <w:t>6.入光镜头数：≤2</w:t>
            </w:r>
          </w:p>
          <w:p w14:paraId="01D35364">
            <w:pPr>
              <w:tabs>
                <w:tab w:val="left" w:pos="447"/>
              </w:tabs>
              <w:jc w:val="left"/>
              <w:rPr>
                <w:rFonts w:ascii="宋体" w:hAnsi="宋体" w:cs="宋体"/>
                <w:sz w:val="24"/>
              </w:rPr>
            </w:pPr>
            <w:r>
              <w:rPr>
                <w:rFonts w:hint="eastAsia" w:ascii="宋体" w:hAnsi="宋体" w:cs="宋体"/>
                <w:sz w:val="24"/>
              </w:rPr>
              <w:t>7.曝光时间：28us-1s</w:t>
            </w:r>
          </w:p>
          <w:p w14:paraId="5791CD4F">
            <w:pPr>
              <w:tabs>
                <w:tab w:val="left" w:pos="447"/>
              </w:tabs>
              <w:jc w:val="left"/>
              <w:rPr>
                <w:rFonts w:ascii="宋体" w:hAnsi="宋体" w:cs="宋体"/>
                <w:sz w:val="24"/>
              </w:rPr>
            </w:pPr>
            <w:r>
              <w:rPr>
                <w:rFonts w:hint="eastAsia" w:ascii="宋体" w:hAnsi="宋体" w:cs="宋体"/>
                <w:sz w:val="24"/>
              </w:rPr>
              <w:t>8.镜头视场角：≥36°（对角线）</w:t>
            </w:r>
          </w:p>
          <w:p w14:paraId="5EEABB64">
            <w:pPr>
              <w:tabs>
                <w:tab w:val="left" w:pos="447"/>
              </w:tabs>
              <w:jc w:val="left"/>
              <w:rPr>
                <w:rFonts w:ascii="宋体" w:hAnsi="宋体" w:cs="宋体"/>
                <w:sz w:val="24"/>
              </w:rPr>
            </w:pPr>
            <w:r>
              <w:rPr>
                <w:rFonts w:hint="eastAsia" w:ascii="宋体" w:hAnsi="宋体" w:cs="宋体"/>
                <w:sz w:val="24"/>
              </w:rPr>
              <w:t>9.镜头焦距：25mm</w:t>
            </w:r>
          </w:p>
          <w:p w14:paraId="75983220">
            <w:pPr>
              <w:tabs>
                <w:tab w:val="left" w:pos="447"/>
              </w:tabs>
              <w:jc w:val="left"/>
              <w:rPr>
                <w:rFonts w:ascii="宋体" w:hAnsi="宋体" w:cs="宋体"/>
                <w:sz w:val="24"/>
              </w:rPr>
            </w:pPr>
            <w:r>
              <w:rPr>
                <w:rFonts w:hint="eastAsia" w:ascii="宋体" w:hAnsi="宋体" w:cs="宋体"/>
                <w:sz w:val="24"/>
              </w:rPr>
              <w:t>10.镜头光圈：≥F/4</w:t>
            </w:r>
          </w:p>
          <w:p w14:paraId="54D55CF2">
            <w:pPr>
              <w:tabs>
                <w:tab w:val="left" w:pos="447"/>
              </w:tabs>
              <w:jc w:val="left"/>
              <w:rPr>
                <w:rFonts w:ascii="宋体" w:hAnsi="宋体" w:cs="宋体"/>
                <w:sz w:val="24"/>
              </w:rPr>
            </w:pPr>
            <w:r>
              <w:rPr>
                <w:rFonts w:hint="eastAsia" w:ascii="宋体" w:hAnsi="宋体" w:cs="宋体"/>
                <w:sz w:val="24"/>
              </w:rPr>
              <w:t>10.系统功耗：≤20W</w:t>
            </w:r>
          </w:p>
          <w:p w14:paraId="516CE948">
            <w:pPr>
              <w:tabs>
                <w:tab w:val="left" w:pos="447"/>
              </w:tabs>
              <w:jc w:val="left"/>
              <w:rPr>
                <w:rFonts w:ascii="宋体" w:hAnsi="宋体" w:cs="宋体"/>
                <w:sz w:val="24"/>
              </w:rPr>
            </w:pPr>
            <w:r>
              <w:rPr>
                <w:rFonts w:hint="eastAsia" w:ascii="宋体" w:hAnsi="宋体" w:cs="宋体"/>
                <w:sz w:val="24"/>
              </w:rPr>
              <w:t>12.系统重量：小于等于550g(不含云台重量)</w:t>
            </w:r>
          </w:p>
          <w:p w14:paraId="71BD62B7">
            <w:pPr>
              <w:tabs>
                <w:tab w:val="left" w:pos="447"/>
              </w:tabs>
              <w:jc w:val="left"/>
              <w:rPr>
                <w:rFonts w:ascii="宋体" w:hAnsi="宋体" w:cs="宋体"/>
                <w:sz w:val="24"/>
              </w:rPr>
            </w:pPr>
            <w:r>
              <w:rPr>
                <w:rFonts w:hint="eastAsia" w:ascii="宋体" w:hAnsi="宋体" w:cs="宋体"/>
                <w:sz w:val="24"/>
              </w:rPr>
              <w:t>13.图像分辨率：≥1000*1000，且每幅影像保持一致</w:t>
            </w:r>
          </w:p>
          <w:p w14:paraId="4E39197F">
            <w:pPr>
              <w:tabs>
                <w:tab w:val="left" w:pos="447"/>
              </w:tabs>
              <w:jc w:val="left"/>
              <w:rPr>
                <w:rFonts w:ascii="宋体" w:hAnsi="宋体" w:cs="宋体"/>
                <w:sz w:val="24"/>
              </w:rPr>
            </w:pPr>
            <w:r>
              <w:rPr>
                <w:rFonts w:hint="eastAsia" w:ascii="宋体" w:hAnsi="宋体" w:cs="宋体"/>
                <w:sz w:val="24"/>
              </w:rPr>
              <w:t>14.拍摄帧频：≥90 fps</w:t>
            </w:r>
          </w:p>
          <w:p w14:paraId="43154721">
            <w:pPr>
              <w:tabs>
                <w:tab w:val="left" w:pos="447"/>
              </w:tabs>
              <w:jc w:val="left"/>
              <w:rPr>
                <w:rFonts w:ascii="宋体"/>
                <w:kern w:val="0"/>
                <w:sz w:val="23"/>
                <w:szCs w:val="23"/>
              </w:rPr>
            </w:pPr>
            <w:r>
              <w:rPr>
                <w:rFonts w:hint="eastAsia" w:ascii="宋体" w:hAnsi="宋体" w:cs="宋体"/>
                <w:sz w:val="24"/>
              </w:rPr>
              <w:t>15.具备水质模型实时反演功能。可实现无人机边飞行，地面遥控器实时显示水体水质分布，同时提示疑似排污口经纬度坐标</w:t>
            </w:r>
          </w:p>
        </w:tc>
        <w:tc>
          <w:tcPr>
            <w:tcW w:w="709" w:type="dxa"/>
            <w:vAlign w:val="center"/>
          </w:tcPr>
          <w:p w14:paraId="0AD7C9E0">
            <w:pPr>
              <w:widowControl/>
              <w:adjustRightInd w:val="0"/>
              <w:snapToGrid w:val="0"/>
              <w:jc w:val="center"/>
              <w:rPr>
                <w:rFonts w:ascii="宋体"/>
                <w:kern w:val="0"/>
                <w:sz w:val="23"/>
                <w:szCs w:val="23"/>
              </w:rPr>
            </w:pPr>
            <w:r>
              <w:rPr>
                <w:rFonts w:hint="eastAsia" w:ascii="宋体"/>
                <w:kern w:val="0"/>
                <w:sz w:val="23"/>
                <w:szCs w:val="23"/>
              </w:rPr>
              <w:t>1</w:t>
            </w:r>
          </w:p>
        </w:tc>
        <w:tc>
          <w:tcPr>
            <w:tcW w:w="709" w:type="dxa"/>
            <w:vAlign w:val="center"/>
          </w:tcPr>
          <w:p w14:paraId="29E10389">
            <w:pPr>
              <w:widowControl/>
              <w:adjustRightInd w:val="0"/>
              <w:snapToGrid w:val="0"/>
              <w:jc w:val="center"/>
              <w:rPr>
                <w:rFonts w:ascii="宋体"/>
                <w:kern w:val="0"/>
                <w:sz w:val="23"/>
                <w:szCs w:val="23"/>
              </w:rPr>
            </w:pPr>
            <w:r>
              <w:rPr>
                <w:rFonts w:ascii="宋体"/>
                <w:kern w:val="0"/>
                <w:sz w:val="23"/>
                <w:szCs w:val="23"/>
              </w:rPr>
              <w:t>台</w:t>
            </w:r>
          </w:p>
        </w:tc>
        <w:tc>
          <w:tcPr>
            <w:tcW w:w="850" w:type="dxa"/>
            <w:vAlign w:val="center"/>
          </w:tcPr>
          <w:p w14:paraId="6016AE43">
            <w:pPr>
              <w:widowControl/>
              <w:adjustRightInd w:val="0"/>
              <w:snapToGrid w:val="0"/>
              <w:jc w:val="center"/>
              <w:rPr>
                <w:rFonts w:ascii="宋体"/>
                <w:kern w:val="0"/>
                <w:sz w:val="23"/>
                <w:szCs w:val="23"/>
              </w:rPr>
            </w:pPr>
          </w:p>
        </w:tc>
      </w:tr>
      <w:tr w14:paraId="0FF8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8" w:type="dxa"/>
            <w:vAlign w:val="center"/>
          </w:tcPr>
          <w:p w14:paraId="63823AD5">
            <w:pPr>
              <w:widowControl/>
              <w:numPr>
                <w:ilvl w:val="0"/>
                <w:numId w:val="1"/>
              </w:numPr>
              <w:adjustRightInd w:val="0"/>
              <w:snapToGrid w:val="0"/>
              <w:spacing w:line="400" w:lineRule="exact"/>
              <w:jc w:val="center"/>
              <w:rPr>
                <w:rFonts w:ascii="宋体" w:hAnsi="宋体"/>
                <w:kern w:val="0"/>
                <w:sz w:val="23"/>
                <w:szCs w:val="23"/>
              </w:rPr>
            </w:pPr>
          </w:p>
        </w:tc>
        <w:tc>
          <w:tcPr>
            <w:tcW w:w="1622" w:type="dxa"/>
            <w:vAlign w:val="center"/>
          </w:tcPr>
          <w:p w14:paraId="1450D01E">
            <w:pPr>
              <w:widowControl/>
              <w:adjustRightInd w:val="0"/>
              <w:snapToGrid w:val="0"/>
              <w:jc w:val="center"/>
              <w:rPr>
                <w:rFonts w:ascii="宋体"/>
                <w:sz w:val="23"/>
                <w:szCs w:val="23"/>
              </w:rPr>
            </w:pPr>
            <w:r>
              <w:rPr>
                <w:rFonts w:hint="eastAsia" w:ascii="宋体" w:hAnsi="宋体"/>
                <w:kern w:val="0"/>
                <w:sz w:val="22"/>
              </w:rPr>
              <w:t>高性能工作站</w:t>
            </w:r>
          </w:p>
        </w:tc>
        <w:tc>
          <w:tcPr>
            <w:tcW w:w="5357" w:type="dxa"/>
            <w:vAlign w:val="center"/>
          </w:tcPr>
          <w:p w14:paraId="3C878746">
            <w:pPr>
              <w:tabs>
                <w:tab w:val="left" w:pos="447"/>
              </w:tabs>
              <w:jc w:val="left"/>
              <w:rPr>
                <w:rFonts w:ascii="宋体" w:hAnsi="宋体"/>
                <w:kern w:val="0"/>
                <w:sz w:val="22"/>
              </w:rPr>
            </w:pPr>
            <w:r>
              <w:rPr>
                <w:rFonts w:ascii="宋体" w:hAnsi="宋体" w:cs="宋体"/>
                <w:sz w:val="22"/>
              </w:rPr>
              <w:t>1.</w:t>
            </w:r>
            <w:r>
              <w:rPr>
                <w:rFonts w:ascii="宋体" w:hAnsi="宋体"/>
                <w:kern w:val="0"/>
                <w:sz w:val="22"/>
              </w:rPr>
              <w:t>产品净重</w:t>
            </w:r>
            <w:r>
              <w:rPr>
                <w:rFonts w:hint="eastAsia" w:ascii="宋体" w:hAnsi="宋体"/>
                <w:kern w:val="0"/>
                <w:sz w:val="22"/>
              </w:rPr>
              <w:t>：</w:t>
            </w:r>
            <w:r>
              <w:rPr>
                <w:rFonts w:hint="eastAsia" w:ascii="宋体" w:hAnsi="宋体" w:cs="宋体"/>
                <w:sz w:val="24"/>
              </w:rPr>
              <w:t>≥</w:t>
            </w:r>
            <w:r>
              <w:rPr>
                <w:rFonts w:hint="eastAsia" w:ascii="宋体" w:hAnsi="宋体"/>
                <w:kern w:val="0"/>
                <w:sz w:val="22"/>
              </w:rPr>
              <w:t>3kg</w:t>
            </w:r>
          </w:p>
          <w:p w14:paraId="43FB10A9">
            <w:pPr>
              <w:tabs>
                <w:tab w:val="left" w:pos="447"/>
              </w:tabs>
              <w:jc w:val="left"/>
              <w:rPr>
                <w:rFonts w:ascii="宋体" w:hAnsi="宋体"/>
                <w:kern w:val="0"/>
                <w:sz w:val="22"/>
              </w:rPr>
            </w:pPr>
            <w:r>
              <w:rPr>
                <w:rFonts w:ascii="宋体" w:hAnsi="宋体" w:cs="宋体"/>
                <w:sz w:val="22"/>
              </w:rPr>
              <w:t>2.</w:t>
            </w:r>
            <w:r>
              <w:rPr>
                <w:rFonts w:ascii="宋体" w:hAnsi="宋体"/>
                <w:kern w:val="0"/>
                <w:sz w:val="22"/>
              </w:rPr>
              <w:t>能效网规格型号</w:t>
            </w:r>
            <w:r>
              <w:rPr>
                <w:rFonts w:hint="eastAsia" w:ascii="宋体" w:hAnsi="宋体"/>
                <w:kern w:val="0"/>
                <w:sz w:val="22"/>
              </w:rPr>
              <w:t>：支持20241218-301100-79371734502890014</w:t>
            </w:r>
          </w:p>
          <w:p w14:paraId="5585D006">
            <w:pPr>
              <w:tabs>
                <w:tab w:val="left" w:pos="447"/>
              </w:tabs>
              <w:jc w:val="left"/>
              <w:rPr>
                <w:rFonts w:ascii="宋体" w:hAnsi="宋体"/>
                <w:kern w:val="0"/>
                <w:sz w:val="22"/>
              </w:rPr>
            </w:pPr>
            <w:r>
              <w:rPr>
                <w:rFonts w:ascii="宋体" w:hAnsi="宋体" w:cs="宋体"/>
                <w:sz w:val="22"/>
              </w:rPr>
              <w:t>3.</w:t>
            </w:r>
            <w:r>
              <w:rPr>
                <w:rFonts w:ascii="宋体" w:hAnsi="宋体"/>
                <w:kern w:val="0"/>
                <w:sz w:val="22"/>
              </w:rPr>
              <w:t>处理器加速频率</w:t>
            </w:r>
            <w:r>
              <w:rPr>
                <w:rFonts w:hint="eastAsia" w:ascii="宋体" w:hAnsi="宋体"/>
                <w:kern w:val="0"/>
                <w:sz w:val="22"/>
              </w:rPr>
              <w:t>：</w:t>
            </w:r>
            <w:r>
              <w:rPr>
                <w:rFonts w:hint="eastAsia" w:ascii="宋体" w:hAnsi="宋体" w:cs="宋体"/>
                <w:sz w:val="24"/>
              </w:rPr>
              <w:t>≥</w:t>
            </w:r>
            <w:r>
              <w:rPr>
                <w:rFonts w:hint="eastAsia" w:ascii="宋体" w:hAnsi="宋体"/>
                <w:kern w:val="0"/>
                <w:sz w:val="22"/>
              </w:rPr>
              <w:t>5.4GHz</w:t>
            </w:r>
          </w:p>
          <w:p w14:paraId="298A6D52">
            <w:pPr>
              <w:tabs>
                <w:tab w:val="left" w:pos="447"/>
              </w:tabs>
              <w:jc w:val="left"/>
              <w:rPr>
                <w:rFonts w:ascii="宋体" w:hAnsi="宋体"/>
                <w:kern w:val="0"/>
                <w:sz w:val="22"/>
              </w:rPr>
            </w:pPr>
            <w:r>
              <w:rPr>
                <w:rFonts w:ascii="宋体" w:hAnsi="宋体" w:cs="宋体"/>
                <w:sz w:val="22"/>
              </w:rPr>
              <w:t>4.</w:t>
            </w:r>
            <w:r>
              <w:rPr>
                <w:rFonts w:ascii="宋体" w:hAnsi="宋体"/>
                <w:kern w:val="0"/>
                <w:sz w:val="22"/>
              </w:rPr>
              <w:t>CPU型号</w:t>
            </w:r>
            <w:r>
              <w:rPr>
                <w:rFonts w:hint="eastAsia" w:ascii="宋体" w:hAnsi="宋体"/>
                <w:kern w:val="0"/>
                <w:sz w:val="22"/>
              </w:rPr>
              <w:t>：Intel Core Ultra 9 275 HX</w:t>
            </w:r>
          </w:p>
          <w:p w14:paraId="365778D8">
            <w:pPr>
              <w:tabs>
                <w:tab w:val="left" w:pos="447"/>
              </w:tabs>
              <w:jc w:val="left"/>
              <w:rPr>
                <w:rFonts w:ascii="宋体" w:hAnsi="宋体"/>
                <w:kern w:val="0"/>
                <w:sz w:val="22"/>
              </w:rPr>
            </w:pPr>
            <w:r>
              <w:rPr>
                <w:rFonts w:ascii="宋体" w:hAnsi="宋体" w:cs="宋体"/>
                <w:sz w:val="22"/>
              </w:rPr>
              <w:t>5.</w:t>
            </w:r>
            <w:r>
              <w:rPr>
                <w:rFonts w:ascii="宋体" w:hAnsi="宋体"/>
                <w:kern w:val="0"/>
                <w:sz w:val="22"/>
              </w:rPr>
              <w:t>插槽数量</w:t>
            </w:r>
            <w:r>
              <w:rPr>
                <w:rFonts w:hint="eastAsia" w:ascii="宋体" w:hAnsi="宋体"/>
                <w:kern w:val="0"/>
                <w:sz w:val="22"/>
              </w:rPr>
              <w:t>：</w:t>
            </w:r>
            <w:r>
              <w:rPr>
                <w:rFonts w:hint="eastAsia" w:ascii="宋体" w:hAnsi="宋体" w:cs="宋体"/>
                <w:sz w:val="24"/>
              </w:rPr>
              <w:t>≥</w:t>
            </w:r>
            <w:r>
              <w:rPr>
                <w:rFonts w:hint="eastAsia" w:ascii="宋体" w:hAnsi="宋体"/>
                <w:kern w:val="0"/>
                <w:sz w:val="22"/>
              </w:rPr>
              <w:t>2个</w:t>
            </w:r>
          </w:p>
          <w:p w14:paraId="2E473AB5">
            <w:pPr>
              <w:rPr>
                <w:rFonts w:ascii="宋体" w:hAnsi="宋体"/>
                <w:kern w:val="0"/>
                <w:sz w:val="22"/>
              </w:rPr>
            </w:pPr>
            <w:r>
              <w:rPr>
                <w:rFonts w:ascii="宋体" w:hAnsi="宋体" w:cs="宋体"/>
                <w:sz w:val="22"/>
              </w:rPr>
              <w:t>6.</w:t>
            </w:r>
            <w:r>
              <w:rPr>
                <w:rFonts w:ascii="宋体" w:hAnsi="宋体"/>
                <w:kern w:val="0"/>
                <w:sz w:val="22"/>
              </w:rPr>
              <w:t>内存类型</w:t>
            </w:r>
            <w:r>
              <w:rPr>
                <w:rFonts w:hint="eastAsia" w:ascii="宋体" w:hAnsi="宋体"/>
                <w:kern w:val="0"/>
                <w:sz w:val="22"/>
              </w:rPr>
              <w:t>：支持DDR5</w:t>
            </w:r>
          </w:p>
          <w:p w14:paraId="5E578CC7">
            <w:pPr>
              <w:rPr>
                <w:rFonts w:ascii="宋体" w:hAnsi="宋体"/>
                <w:kern w:val="0"/>
                <w:sz w:val="22"/>
              </w:rPr>
            </w:pPr>
            <w:r>
              <w:rPr>
                <w:rFonts w:ascii="宋体" w:hAnsi="宋体" w:cs="宋体"/>
                <w:sz w:val="22"/>
              </w:rPr>
              <w:t>7.</w:t>
            </w:r>
            <w:r>
              <w:rPr>
                <w:rFonts w:hint="eastAsia" w:ascii="宋体" w:hAnsi="宋体"/>
                <w:kern w:val="0"/>
                <w:sz w:val="22"/>
              </w:rPr>
              <w:t>显卡型号：支持RTX 5080</w:t>
            </w:r>
          </w:p>
          <w:p w14:paraId="0D47FB52">
            <w:pPr>
              <w:rPr>
                <w:rFonts w:ascii="宋体" w:hAnsi="宋体"/>
                <w:kern w:val="0"/>
                <w:sz w:val="22"/>
              </w:rPr>
            </w:pPr>
            <w:r>
              <w:rPr>
                <w:rFonts w:ascii="宋体" w:hAnsi="宋体" w:cs="宋体"/>
                <w:sz w:val="22"/>
              </w:rPr>
              <w:t>8.</w:t>
            </w:r>
            <w:r>
              <w:rPr>
                <w:rFonts w:hint="eastAsia" w:ascii="宋体" w:hAnsi="宋体"/>
                <w:kern w:val="0"/>
                <w:sz w:val="22"/>
              </w:rPr>
              <w:t>GPU性能释放：</w:t>
            </w:r>
            <w:r>
              <w:rPr>
                <w:rFonts w:hint="eastAsia" w:ascii="宋体" w:hAnsi="宋体" w:cs="宋体"/>
                <w:sz w:val="24"/>
              </w:rPr>
              <w:t>≥</w:t>
            </w:r>
            <w:r>
              <w:rPr>
                <w:rFonts w:hint="eastAsia" w:ascii="宋体" w:hAnsi="宋体"/>
                <w:kern w:val="0"/>
                <w:sz w:val="22"/>
              </w:rPr>
              <w:t>175W</w:t>
            </w:r>
          </w:p>
          <w:p w14:paraId="744024F1">
            <w:pPr>
              <w:rPr>
                <w:rFonts w:ascii="宋体" w:hAnsi="宋体"/>
                <w:kern w:val="0"/>
                <w:sz w:val="22"/>
              </w:rPr>
            </w:pPr>
            <w:r>
              <w:rPr>
                <w:rFonts w:ascii="宋体" w:hAnsi="宋体" w:cs="宋体"/>
                <w:sz w:val="22"/>
              </w:rPr>
              <w:t>9.</w:t>
            </w:r>
            <w:r>
              <w:rPr>
                <w:rFonts w:hint="eastAsia" w:ascii="宋体" w:hAnsi="宋体"/>
                <w:kern w:val="0"/>
                <w:sz w:val="22"/>
              </w:rPr>
              <w:t>屏幕色域：</w:t>
            </w:r>
            <w:r>
              <w:rPr>
                <w:rFonts w:hint="eastAsia" w:ascii="宋体" w:hAnsi="宋体" w:cs="宋体"/>
                <w:sz w:val="24"/>
              </w:rPr>
              <w:t>≥</w:t>
            </w:r>
            <w:r>
              <w:rPr>
                <w:rFonts w:hint="eastAsia" w:ascii="宋体" w:hAnsi="宋体"/>
                <w:kern w:val="0"/>
                <w:sz w:val="22"/>
              </w:rPr>
              <w:t>100% DCI-P3</w:t>
            </w:r>
          </w:p>
          <w:p w14:paraId="17FC6C7E">
            <w:pPr>
              <w:rPr>
                <w:rFonts w:ascii="宋体" w:hAnsi="宋体"/>
                <w:kern w:val="0"/>
                <w:sz w:val="22"/>
              </w:rPr>
            </w:pPr>
            <w:r>
              <w:rPr>
                <w:rFonts w:ascii="宋体" w:hAnsi="宋体" w:cs="宋体"/>
                <w:sz w:val="22"/>
              </w:rPr>
              <w:t>10.</w:t>
            </w:r>
            <w:r>
              <w:rPr>
                <w:rFonts w:hint="eastAsia" w:ascii="宋体" w:hAnsi="宋体"/>
                <w:kern w:val="0"/>
                <w:sz w:val="22"/>
              </w:rPr>
              <w:t>屏幕刷新率：</w:t>
            </w:r>
            <w:r>
              <w:rPr>
                <w:rFonts w:hint="eastAsia" w:ascii="宋体" w:hAnsi="宋体" w:cs="宋体"/>
                <w:sz w:val="24"/>
              </w:rPr>
              <w:t>≥</w:t>
            </w:r>
            <w:r>
              <w:rPr>
                <w:rFonts w:hint="eastAsia" w:ascii="宋体" w:hAnsi="宋体"/>
                <w:kern w:val="0"/>
                <w:sz w:val="22"/>
              </w:rPr>
              <w:t>240</w:t>
            </w:r>
          </w:p>
          <w:p w14:paraId="33380B57">
            <w:pPr>
              <w:rPr>
                <w:rFonts w:ascii="宋体" w:hAnsi="宋体"/>
                <w:kern w:val="0"/>
                <w:sz w:val="22"/>
              </w:rPr>
            </w:pPr>
            <w:r>
              <w:rPr>
                <w:rFonts w:ascii="宋体" w:hAnsi="宋体" w:cs="宋体"/>
                <w:sz w:val="22"/>
              </w:rPr>
              <w:t>10.</w:t>
            </w:r>
            <w:r>
              <w:rPr>
                <w:rFonts w:hint="eastAsia" w:ascii="宋体" w:hAnsi="宋体"/>
                <w:kern w:val="0"/>
                <w:sz w:val="22"/>
              </w:rPr>
              <w:t>屏幕尺寸：</w:t>
            </w:r>
            <w:r>
              <w:rPr>
                <w:rFonts w:hint="eastAsia" w:ascii="宋体" w:hAnsi="宋体" w:cs="宋体"/>
                <w:sz w:val="24"/>
              </w:rPr>
              <w:t>≥</w:t>
            </w:r>
            <w:r>
              <w:rPr>
                <w:rFonts w:hint="eastAsia" w:ascii="宋体" w:hAnsi="宋体"/>
                <w:kern w:val="0"/>
                <w:sz w:val="22"/>
              </w:rPr>
              <w:t>16英寸</w:t>
            </w:r>
          </w:p>
          <w:p w14:paraId="79F474FB">
            <w:pPr>
              <w:rPr>
                <w:rFonts w:ascii="宋体" w:hAnsi="宋体"/>
                <w:kern w:val="0"/>
                <w:sz w:val="22"/>
              </w:rPr>
            </w:pPr>
            <w:r>
              <w:rPr>
                <w:rFonts w:ascii="宋体" w:hAnsi="宋体" w:cs="宋体"/>
                <w:sz w:val="22"/>
              </w:rPr>
              <w:t>12.</w:t>
            </w:r>
            <w:r>
              <w:rPr>
                <w:rFonts w:hint="eastAsia" w:ascii="宋体" w:hAnsi="宋体"/>
                <w:kern w:val="0"/>
                <w:sz w:val="22"/>
              </w:rPr>
              <w:t>屏幕分辨率：</w:t>
            </w:r>
            <w:r>
              <w:rPr>
                <w:rFonts w:hint="eastAsia" w:ascii="宋体" w:hAnsi="宋体" w:cs="宋体"/>
                <w:sz w:val="24"/>
              </w:rPr>
              <w:t>≥</w:t>
            </w:r>
            <w:r>
              <w:rPr>
                <w:rFonts w:hint="eastAsia" w:ascii="宋体" w:hAnsi="宋体"/>
                <w:kern w:val="0"/>
                <w:sz w:val="22"/>
              </w:rPr>
              <w:t>2560*1600</w:t>
            </w:r>
          </w:p>
          <w:p w14:paraId="2207C285">
            <w:pPr>
              <w:rPr>
                <w:rFonts w:ascii="宋体" w:hAnsi="宋体"/>
                <w:kern w:val="0"/>
                <w:sz w:val="22"/>
              </w:rPr>
            </w:pPr>
            <w:r>
              <w:rPr>
                <w:rFonts w:ascii="宋体" w:hAnsi="宋体" w:cs="宋体"/>
                <w:sz w:val="22"/>
              </w:rPr>
              <w:t>13.</w:t>
            </w:r>
            <w:r>
              <w:rPr>
                <w:rFonts w:hint="eastAsia" w:ascii="宋体" w:hAnsi="宋体"/>
                <w:kern w:val="0"/>
                <w:sz w:val="22"/>
              </w:rPr>
              <w:t>USB-A接囗数：</w:t>
            </w:r>
            <w:r>
              <w:rPr>
                <w:rFonts w:hint="eastAsia" w:ascii="宋体" w:hAnsi="宋体" w:cs="宋体"/>
                <w:sz w:val="24"/>
              </w:rPr>
              <w:t>≥</w:t>
            </w:r>
            <w:r>
              <w:rPr>
                <w:rFonts w:hint="eastAsia" w:ascii="宋体" w:hAnsi="宋体"/>
                <w:kern w:val="0"/>
                <w:sz w:val="22"/>
              </w:rPr>
              <w:t>2个</w:t>
            </w:r>
          </w:p>
          <w:p w14:paraId="1AC29741">
            <w:pPr>
              <w:rPr>
                <w:rFonts w:ascii="宋体" w:hAnsi="宋体"/>
                <w:kern w:val="0"/>
                <w:sz w:val="22"/>
              </w:rPr>
            </w:pPr>
            <w:r>
              <w:rPr>
                <w:rFonts w:ascii="宋体" w:hAnsi="宋体" w:cs="宋体"/>
                <w:sz w:val="22"/>
              </w:rPr>
              <w:t>14.</w:t>
            </w:r>
            <w:r>
              <w:rPr>
                <w:rFonts w:hint="eastAsia" w:ascii="宋体" w:hAnsi="宋体"/>
                <w:kern w:val="0"/>
                <w:sz w:val="22"/>
              </w:rPr>
              <w:t>显示端口：</w:t>
            </w:r>
            <w:r>
              <w:rPr>
                <w:rFonts w:hint="eastAsia" w:ascii="宋体" w:hAnsi="宋体" w:cs="宋体"/>
                <w:sz w:val="24"/>
              </w:rPr>
              <w:t>支持</w:t>
            </w:r>
            <w:r>
              <w:rPr>
                <w:rFonts w:hint="eastAsia" w:ascii="宋体" w:hAnsi="宋体"/>
                <w:kern w:val="0"/>
                <w:sz w:val="22"/>
              </w:rPr>
              <w:t>HDMI 2.1接口USB-C(雷电/USB4)</w:t>
            </w:r>
          </w:p>
          <w:p w14:paraId="15D445C4">
            <w:pPr>
              <w:rPr>
                <w:rFonts w:ascii="宋体" w:hAnsi="宋体"/>
                <w:kern w:val="0"/>
                <w:sz w:val="22"/>
              </w:rPr>
            </w:pPr>
            <w:r>
              <w:rPr>
                <w:rFonts w:ascii="宋体" w:hAnsi="宋体" w:cs="宋体"/>
                <w:sz w:val="22"/>
              </w:rPr>
              <w:t>15.</w:t>
            </w:r>
            <w:r>
              <w:rPr>
                <w:rFonts w:hint="eastAsia" w:ascii="宋体" w:hAnsi="宋体"/>
                <w:kern w:val="0"/>
                <w:sz w:val="22"/>
              </w:rPr>
              <w:t>无线网卡：支持双天线Wi-Fi6E</w:t>
            </w:r>
          </w:p>
          <w:p w14:paraId="16682F0E">
            <w:pPr>
              <w:rPr>
                <w:rFonts w:ascii="宋体" w:hAnsi="宋体"/>
                <w:kern w:val="0"/>
                <w:sz w:val="22"/>
              </w:rPr>
            </w:pPr>
            <w:r>
              <w:rPr>
                <w:rFonts w:ascii="宋体" w:hAnsi="宋体" w:cs="宋体"/>
                <w:sz w:val="22"/>
              </w:rPr>
              <w:t>16.</w:t>
            </w:r>
            <w:r>
              <w:rPr>
                <w:rFonts w:hint="eastAsia" w:ascii="宋体" w:hAnsi="宋体"/>
                <w:kern w:val="0"/>
                <w:sz w:val="22"/>
              </w:rPr>
              <w:t>电池客量：</w:t>
            </w:r>
            <w:r>
              <w:rPr>
                <w:rFonts w:hint="eastAsia" w:ascii="宋体" w:hAnsi="宋体" w:cs="宋体"/>
                <w:sz w:val="24"/>
              </w:rPr>
              <w:t>≥</w:t>
            </w:r>
            <w:r>
              <w:rPr>
                <w:rFonts w:hint="eastAsia" w:ascii="宋体" w:hAnsi="宋体"/>
                <w:kern w:val="0"/>
                <w:sz w:val="22"/>
              </w:rPr>
              <w:t>90wh</w:t>
            </w:r>
          </w:p>
          <w:p w14:paraId="63925416">
            <w:pPr>
              <w:rPr>
                <w:rFonts w:ascii="宋体" w:hAnsi="宋体"/>
                <w:kern w:val="0"/>
                <w:sz w:val="22"/>
              </w:rPr>
            </w:pPr>
            <w:r>
              <w:rPr>
                <w:rFonts w:ascii="宋体" w:hAnsi="宋体" w:cs="宋体"/>
                <w:sz w:val="22"/>
              </w:rPr>
              <w:t>17.</w:t>
            </w:r>
            <w:r>
              <w:rPr>
                <w:rFonts w:hint="eastAsia" w:ascii="宋体" w:hAnsi="宋体"/>
                <w:kern w:val="0"/>
                <w:sz w:val="22"/>
              </w:rPr>
              <w:t>硬盘容量：</w:t>
            </w:r>
            <w:r>
              <w:rPr>
                <w:rFonts w:hint="eastAsia" w:ascii="宋体" w:hAnsi="宋体" w:cs="宋体"/>
                <w:sz w:val="24"/>
              </w:rPr>
              <w:t>≥</w:t>
            </w:r>
            <w:r>
              <w:rPr>
                <w:rFonts w:hint="eastAsia" w:ascii="宋体" w:hAnsi="宋体"/>
                <w:kern w:val="0"/>
                <w:sz w:val="22"/>
              </w:rPr>
              <w:t>4TB</w:t>
            </w:r>
          </w:p>
          <w:p w14:paraId="6E6D058A">
            <w:pPr>
              <w:rPr>
                <w:rFonts w:ascii="宋体" w:hAnsi="宋体"/>
                <w:kern w:val="0"/>
                <w:sz w:val="22"/>
              </w:rPr>
            </w:pPr>
            <w:r>
              <w:rPr>
                <w:rFonts w:ascii="宋体" w:hAnsi="宋体" w:cs="宋体"/>
                <w:sz w:val="22"/>
              </w:rPr>
              <w:t>18.</w:t>
            </w:r>
            <w:r>
              <w:rPr>
                <w:rFonts w:hint="eastAsia" w:ascii="宋体" w:hAnsi="宋体"/>
                <w:kern w:val="0"/>
                <w:sz w:val="22"/>
              </w:rPr>
              <w:t>内存容量：</w:t>
            </w:r>
            <w:r>
              <w:rPr>
                <w:rFonts w:hint="eastAsia" w:ascii="宋体" w:hAnsi="宋体" w:cs="宋体"/>
                <w:sz w:val="24"/>
              </w:rPr>
              <w:t>≥6</w:t>
            </w:r>
            <w:r>
              <w:rPr>
                <w:rFonts w:hint="eastAsia" w:ascii="宋体" w:hAnsi="宋体"/>
                <w:kern w:val="0"/>
                <w:sz w:val="22"/>
              </w:rPr>
              <w:t>4GB</w:t>
            </w:r>
          </w:p>
          <w:p w14:paraId="17C0ED5B">
            <w:pPr>
              <w:widowControl/>
              <w:adjustRightInd w:val="0"/>
              <w:snapToGrid w:val="0"/>
              <w:rPr>
                <w:rFonts w:ascii="宋体"/>
                <w:kern w:val="0"/>
                <w:sz w:val="23"/>
                <w:szCs w:val="23"/>
              </w:rPr>
            </w:pPr>
          </w:p>
        </w:tc>
        <w:tc>
          <w:tcPr>
            <w:tcW w:w="709" w:type="dxa"/>
            <w:vAlign w:val="center"/>
          </w:tcPr>
          <w:p w14:paraId="59D75B03">
            <w:pPr>
              <w:widowControl/>
              <w:adjustRightInd w:val="0"/>
              <w:snapToGrid w:val="0"/>
              <w:jc w:val="center"/>
              <w:rPr>
                <w:rFonts w:ascii="宋体"/>
                <w:kern w:val="0"/>
                <w:sz w:val="23"/>
                <w:szCs w:val="23"/>
              </w:rPr>
            </w:pPr>
            <w:r>
              <w:rPr>
                <w:rFonts w:hint="eastAsia" w:ascii="宋体"/>
                <w:kern w:val="0"/>
                <w:sz w:val="23"/>
                <w:szCs w:val="23"/>
              </w:rPr>
              <w:t>1</w:t>
            </w:r>
          </w:p>
        </w:tc>
        <w:tc>
          <w:tcPr>
            <w:tcW w:w="709" w:type="dxa"/>
            <w:vAlign w:val="center"/>
          </w:tcPr>
          <w:p w14:paraId="58119363">
            <w:pPr>
              <w:widowControl/>
              <w:adjustRightInd w:val="0"/>
              <w:snapToGrid w:val="0"/>
              <w:jc w:val="center"/>
              <w:rPr>
                <w:rFonts w:ascii="宋体"/>
                <w:kern w:val="0"/>
                <w:sz w:val="23"/>
                <w:szCs w:val="23"/>
              </w:rPr>
            </w:pPr>
            <w:r>
              <w:rPr>
                <w:rFonts w:ascii="宋体"/>
                <w:kern w:val="0"/>
                <w:sz w:val="23"/>
                <w:szCs w:val="23"/>
              </w:rPr>
              <w:t>台</w:t>
            </w:r>
          </w:p>
        </w:tc>
        <w:tc>
          <w:tcPr>
            <w:tcW w:w="850" w:type="dxa"/>
            <w:vAlign w:val="center"/>
          </w:tcPr>
          <w:p w14:paraId="1F42D21A">
            <w:pPr>
              <w:widowControl/>
              <w:adjustRightInd w:val="0"/>
              <w:snapToGrid w:val="0"/>
              <w:jc w:val="center"/>
              <w:rPr>
                <w:rFonts w:ascii="宋体"/>
                <w:kern w:val="0"/>
                <w:sz w:val="23"/>
                <w:szCs w:val="23"/>
              </w:rPr>
            </w:pPr>
          </w:p>
        </w:tc>
      </w:tr>
      <w:bookmarkEnd w:id="108"/>
      <w:bookmarkEnd w:id="109"/>
    </w:tbl>
    <w:p w14:paraId="72014EAF">
      <w:pPr>
        <w:spacing w:line="460" w:lineRule="exact"/>
        <w:ind w:firstLine="480" w:firstLineChars="200"/>
        <w:rPr>
          <w:rFonts w:ascii="宋体" w:hAnsi="宋体" w:cs="宋体"/>
          <w:b/>
          <w:bCs/>
          <w:sz w:val="24"/>
        </w:rPr>
      </w:pPr>
      <w:r>
        <w:rPr>
          <w:rFonts w:hint="eastAsia" w:ascii="宋体" w:hAnsi="宋体" w:cs="宋体"/>
          <w:b/>
          <w:bCs/>
          <w:sz w:val="24"/>
        </w:rPr>
        <w:t>六、履约保证金</w:t>
      </w:r>
    </w:p>
    <w:p w14:paraId="48FCB907">
      <w:pPr>
        <w:spacing w:line="460" w:lineRule="exact"/>
        <w:ind w:firstLine="480" w:firstLineChars="200"/>
        <w:rPr>
          <w:rFonts w:ascii="宋体" w:hAnsi="宋体" w:cs="宋体"/>
          <w:sz w:val="24"/>
        </w:rPr>
      </w:pPr>
      <w:r>
        <w:rPr>
          <w:rFonts w:hint="eastAsia" w:ascii="宋体" w:hAnsi="宋体" w:cs="宋体"/>
          <w:sz w:val="24"/>
        </w:rPr>
        <w:t>1.本项目中标后的履约保证金为项目中标价的10%。</w:t>
      </w:r>
    </w:p>
    <w:p w14:paraId="721EF702">
      <w:pPr>
        <w:widowControl/>
        <w:spacing w:line="460" w:lineRule="exact"/>
        <w:ind w:firstLine="480" w:firstLineChars="200"/>
        <w:jc w:val="left"/>
        <w:rPr>
          <w:rFonts w:ascii="宋体" w:hAnsi="宋体" w:cs="宋体"/>
          <w:sz w:val="24"/>
        </w:rPr>
      </w:pPr>
      <w:r>
        <w:rPr>
          <w:rFonts w:hint="eastAsia" w:ascii="宋体" w:hAnsi="宋体" w:cs="宋体"/>
          <w:sz w:val="24"/>
        </w:rPr>
        <w:t>2.中标供应商的履约保证金须在中标通知书发出之日起至合同签订前将保证金汇入采购人账户（应当以支票、汇票或者金融机构、担保机构出具的保函等非现金形式提交），中标供应商凭成交通知书与采购单位签订合同。超期或未有协商，则视为自动放弃成交资格。</w:t>
      </w:r>
    </w:p>
    <w:p w14:paraId="7111EEEC">
      <w:pPr>
        <w:widowControl/>
        <w:spacing w:line="460" w:lineRule="exact"/>
        <w:ind w:firstLine="480" w:firstLineChars="200"/>
        <w:jc w:val="left"/>
        <w:rPr>
          <w:rFonts w:ascii="宋体" w:hAnsi="宋体" w:cs="宋体"/>
          <w:sz w:val="24"/>
        </w:rPr>
      </w:pPr>
      <w:r>
        <w:rPr>
          <w:rFonts w:hint="eastAsia" w:ascii="宋体" w:hAnsi="宋体" w:cs="宋体"/>
          <w:sz w:val="24"/>
        </w:rPr>
        <w:t>3.中标供应商在按要求保质保量的完成该项目合同并通过验收后，采购单位凭中标供应商提交的申请，一次性无息退还该合同项目的履约保证金。</w:t>
      </w:r>
    </w:p>
    <w:p w14:paraId="6756750E">
      <w:pPr>
        <w:widowControl/>
        <w:spacing w:line="460" w:lineRule="exact"/>
        <w:ind w:firstLine="480" w:firstLineChars="200"/>
        <w:jc w:val="left"/>
        <w:rPr>
          <w:rFonts w:ascii="宋体" w:hAnsi="宋体" w:cs="宋体"/>
          <w:sz w:val="24"/>
        </w:rPr>
      </w:pPr>
      <w:r>
        <w:rPr>
          <w:rFonts w:hint="eastAsia" w:ascii="宋体" w:hAnsi="宋体" w:cs="宋体"/>
          <w:sz w:val="24"/>
        </w:rPr>
        <w:t>4.由于中标供应商原因，在签订合同后出现不按合同履行的情况，采购单位有权将履约保证金作为违约金，全额不予退还，同时采购单位有权终止合同，中标供应商还须承担相应的法律赔偿责任。</w:t>
      </w:r>
    </w:p>
    <w:p w14:paraId="45B001E4">
      <w:pPr>
        <w:adjustRightInd w:val="0"/>
        <w:snapToGrid w:val="0"/>
        <w:spacing w:line="500" w:lineRule="exact"/>
        <w:jc w:val="center"/>
        <w:outlineLvl w:val="0"/>
        <w:rPr>
          <w:rFonts w:ascii="宋体" w:hAnsi="宋体" w:cs="黑体"/>
          <w:b/>
          <w:bCs/>
          <w:sz w:val="32"/>
          <w:szCs w:val="32"/>
        </w:rPr>
      </w:pPr>
    </w:p>
    <w:p w14:paraId="362AFE5E">
      <w:pPr>
        <w:pStyle w:val="2"/>
      </w:pPr>
    </w:p>
    <w:p w14:paraId="1FB650FE"/>
    <w:p w14:paraId="191A81DB">
      <w:pPr>
        <w:adjustRightInd w:val="0"/>
        <w:snapToGrid w:val="0"/>
        <w:spacing w:line="500" w:lineRule="exact"/>
        <w:jc w:val="center"/>
        <w:outlineLvl w:val="0"/>
        <w:rPr>
          <w:rFonts w:hint="eastAsia" w:ascii="宋体" w:hAnsi="宋体" w:cs="黑体"/>
          <w:b/>
          <w:bCs/>
          <w:sz w:val="32"/>
          <w:szCs w:val="32"/>
        </w:rPr>
      </w:pPr>
    </w:p>
    <w:p w14:paraId="6269CD88">
      <w:pPr>
        <w:adjustRightInd w:val="0"/>
        <w:snapToGrid w:val="0"/>
        <w:spacing w:line="500" w:lineRule="exact"/>
        <w:jc w:val="center"/>
        <w:outlineLvl w:val="0"/>
        <w:rPr>
          <w:rFonts w:ascii="宋体" w:hAnsi="宋体" w:cs="黑体"/>
          <w:b/>
          <w:bCs/>
          <w:sz w:val="32"/>
          <w:szCs w:val="32"/>
        </w:rPr>
      </w:pPr>
      <w:r>
        <w:rPr>
          <w:rFonts w:hint="eastAsia" w:ascii="宋体" w:hAnsi="宋体" w:cs="黑体"/>
          <w:b/>
          <w:bCs/>
          <w:sz w:val="32"/>
          <w:szCs w:val="32"/>
        </w:rPr>
        <w:t>第四部分  开标和评标</w:t>
      </w:r>
    </w:p>
    <w:p w14:paraId="6762019B">
      <w:pPr>
        <w:pStyle w:val="83"/>
        <w:snapToGrid w:val="0"/>
        <w:spacing w:before="0" w:after="0" w:line="460" w:lineRule="exact"/>
        <w:ind w:left="0" w:right="0" w:firstLine="480" w:firstLineChars="200"/>
        <w:jc w:val="left"/>
        <w:rPr>
          <w:rFonts w:ascii="宋体" w:hAnsi="宋体" w:cs="宋体"/>
          <w:b/>
          <w:kern w:val="2"/>
        </w:rPr>
      </w:pPr>
      <w:r>
        <w:rPr>
          <w:rFonts w:hint="eastAsia" w:ascii="宋体" w:hAnsi="宋体" w:cs="宋体"/>
          <w:b/>
          <w:kern w:val="2"/>
        </w:rPr>
        <w:t>一、开标</w:t>
      </w:r>
    </w:p>
    <w:p w14:paraId="12231D5A">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3AE3AC6D">
      <w:pPr>
        <w:pStyle w:val="83"/>
        <w:snapToGrid w:val="0"/>
        <w:spacing w:before="0" w:after="0" w:line="460" w:lineRule="exact"/>
        <w:ind w:left="0" w:right="0" w:firstLine="480" w:firstLineChars="200"/>
        <w:jc w:val="left"/>
        <w:rPr>
          <w:rFonts w:ascii="宋体" w:hAnsi="宋体" w:cs="宋体"/>
          <w:b/>
          <w:kern w:val="2"/>
        </w:rPr>
      </w:pPr>
      <w:r>
        <w:rPr>
          <w:rFonts w:hint="eastAsia" w:ascii="宋体" w:hAnsi="宋体" w:cs="宋体"/>
          <w:b/>
          <w:kern w:val="2"/>
        </w:rPr>
        <w:t>二、评标流程和评标标准</w:t>
      </w:r>
    </w:p>
    <w:p w14:paraId="2F3DB23D">
      <w:pPr>
        <w:adjustRightInd w:val="0"/>
        <w:snapToGrid w:val="0"/>
        <w:spacing w:line="460" w:lineRule="exact"/>
        <w:ind w:firstLine="480" w:firstLineChars="200"/>
        <w:rPr>
          <w:rFonts w:ascii="宋体" w:hAnsi="宋体" w:cs="宋体"/>
          <w:sz w:val="24"/>
        </w:rPr>
      </w:pPr>
      <w:r>
        <w:rPr>
          <w:rFonts w:hint="eastAsia" w:ascii="宋体" w:hAnsi="宋体" w:cs="宋体"/>
          <w:sz w:val="24"/>
        </w:rPr>
        <w:t>采用综合评分法。分资格审查、商务技术标、价格标、三部分评审，总分值为100分，加分和减分因素除外。</w:t>
      </w:r>
    </w:p>
    <w:p w14:paraId="28B06843">
      <w:pPr>
        <w:adjustRightInd w:val="0"/>
        <w:snapToGrid w:val="0"/>
        <w:spacing w:line="460" w:lineRule="exact"/>
        <w:ind w:firstLine="480" w:firstLineChars="200"/>
        <w:rPr>
          <w:rFonts w:ascii="宋体" w:hAnsi="宋体" w:cs="宋体"/>
          <w:sz w:val="24"/>
        </w:rPr>
      </w:pPr>
      <w:r>
        <w:rPr>
          <w:rFonts w:hint="eastAsia" w:ascii="宋体" w:hAnsi="宋体" w:cs="宋体"/>
          <w:sz w:val="24"/>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393131BD">
      <w:pPr>
        <w:adjustRightInd w:val="0"/>
        <w:snapToGrid w:val="0"/>
        <w:spacing w:line="460" w:lineRule="exact"/>
        <w:ind w:firstLine="480" w:firstLineChars="200"/>
        <w:rPr>
          <w:rFonts w:ascii="宋体" w:hAnsi="宋体" w:cs="宋体"/>
          <w:sz w:val="24"/>
        </w:rPr>
      </w:pPr>
      <w:r>
        <w:rPr>
          <w:rFonts w:hint="eastAsia" w:ascii="宋体" w:hAnsi="宋体" w:cs="宋体"/>
          <w:sz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25FF30EC">
      <w:pPr>
        <w:adjustRightInd w:val="0"/>
        <w:snapToGrid w:val="0"/>
        <w:spacing w:line="460" w:lineRule="exact"/>
        <w:ind w:firstLine="480" w:firstLineChars="200"/>
        <w:rPr>
          <w:rFonts w:ascii="宋体" w:hAnsi="宋体" w:cs="宋体"/>
          <w:sz w:val="24"/>
        </w:rPr>
      </w:pPr>
      <w:r>
        <w:rPr>
          <w:rFonts w:hint="eastAsia" w:ascii="宋体" w:hAnsi="宋体" w:cs="宋体"/>
          <w:sz w:val="24"/>
        </w:rPr>
        <w:t>评委在认真审阅投标文件的基础上，根据各投标文件的响应程度独立评判，不得统一打分。</w:t>
      </w:r>
    </w:p>
    <w:p w14:paraId="63766ECB">
      <w:pPr>
        <w:adjustRightInd w:val="0"/>
        <w:snapToGrid w:val="0"/>
        <w:spacing w:line="460" w:lineRule="exact"/>
        <w:ind w:firstLine="480" w:firstLineChars="200"/>
        <w:rPr>
          <w:rFonts w:ascii="宋体" w:hAnsi="宋体" w:cs="宋体"/>
          <w:b/>
          <w:sz w:val="24"/>
        </w:rPr>
      </w:pPr>
      <w:r>
        <w:rPr>
          <w:rFonts w:hint="eastAsia" w:ascii="宋体" w:hAnsi="宋体" w:cs="宋体"/>
          <w:b/>
          <w:sz w:val="24"/>
        </w:rPr>
        <w:t>（一）招标人（代表）对投标人资格进行审查。</w:t>
      </w:r>
    </w:p>
    <w:p w14:paraId="2D17F23B">
      <w:pPr>
        <w:pStyle w:val="87"/>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投标人资格不合格的，其投标文件判定为无效投标文件。</w:t>
      </w:r>
    </w:p>
    <w:p w14:paraId="24390BB0">
      <w:pPr>
        <w:adjustRightInd w:val="0"/>
        <w:snapToGrid w:val="0"/>
        <w:spacing w:line="460" w:lineRule="exact"/>
        <w:ind w:firstLine="480" w:firstLineChars="200"/>
        <w:jc w:val="left"/>
        <w:rPr>
          <w:rFonts w:ascii="宋体" w:hAnsi="宋体" w:cs="宋体"/>
          <w:b/>
          <w:sz w:val="24"/>
        </w:rPr>
      </w:pPr>
      <w:r>
        <w:rPr>
          <w:rFonts w:hint="eastAsia" w:ascii="宋体" w:hAnsi="宋体" w:cs="宋体"/>
          <w:b/>
          <w:sz w:val="24"/>
        </w:rPr>
        <w:t>（二）评标委员会对符合资格投标人的投标文件进行符合性审查。</w:t>
      </w:r>
    </w:p>
    <w:p w14:paraId="48A06D7C">
      <w:pPr>
        <w:pStyle w:val="87"/>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 xml:space="preserve">未通过符合性审查的投标文件，将被判为不满足招标文件实质性要求。 </w:t>
      </w:r>
    </w:p>
    <w:p w14:paraId="47389D59">
      <w:pPr>
        <w:snapToGrid w:val="0"/>
        <w:spacing w:line="360" w:lineRule="auto"/>
        <w:ind w:firstLine="480" w:firstLineChars="200"/>
        <w:rPr>
          <w:rFonts w:ascii="宋体" w:hAnsi="宋体"/>
          <w:b/>
          <w:bCs/>
          <w:sz w:val="24"/>
        </w:rPr>
      </w:pPr>
      <w:r>
        <w:rPr>
          <w:rFonts w:hint="eastAsia" w:ascii="宋体" w:hAnsi="宋体"/>
          <w:b/>
          <w:bCs/>
          <w:sz w:val="24"/>
        </w:rPr>
        <w:t>（三）</w:t>
      </w:r>
      <w:r>
        <w:rPr>
          <w:rFonts w:hint="eastAsia" w:ascii="宋体" w:hAnsi="宋体"/>
          <w:b/>
          <w:bCs/>
          <w:sz w:val="24"/>
          <w:lang w:val="zh-CN"/>
        </w:rPr>
        <w:t>商务技术分：</w:t>
      </w:r>
      <w:r>
        <w:rPr>
          <w:rFonts w:hint="eastAsia" w:ascii="宋体" w:hAnsi="宋体"/>
          <w:b/>
          <w:bCs/>
          <w:sz w:val="24"/>
        </w:rPr>
        <w:t>（70分）</w:t>
      </w:r>
    </w:p>
    <w:tbl>
      <w:tblPr>
        <w:tblStyle w:val="39"/>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605"/>
        <w:gridCol w:w="7033"/>
      </w:tblGrid>
      <w:tr w14:paraId="1936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14:paraId="286B45F8">
            <w:pPr>
              <w:jc w:val="center"/>
              <w:rPr>
                <w:b/>
                <w:bCs/>
                <w:kern w:val="0"/>
                <w:sz w:val="24"/>
              </w:rPr>
            </w:pPr>
            <w:r>
              <w:rPr>
                <w:b/>
                <w:bCs/>
                <w:kern w:val="0"/>
                <w:sz w:val="24"/>
              </w:rPr>
              <w:t>序号</w:t>
            </w:r>
          </w:p>
        </w:tc>
        <w:tc>
          <w:tcPr>
            <w:tcW w:w="1605" w:type="dxa"/>
            <w:tcBorders>
              <w:top w:val="single" w:color="auto" w:sz="4" w:space="0"/>
              <w:left w:val="single" w:color="auto" w:sz="4" w:space="0"/>
              <w:bottom w:val="single" w:color="auto" w:sz="4" w:space="0"/>
              <w:right w:val="single" w:color="auto" w:sz="4" w:space="0"/>
            </w:tcBorders>
            <w:vAlign w:val="center"/>
          </w:tcPr>
          <w:p w14:paraId="7C47EBF2">
            <w:pPr>
              <w:jc w:val="center"/>
              <w:rPr>
                <w:b/>
                <w:bCs/>
                <w:kern w:val="0"/>
                <w:sz w:val="24"/>
              </w:rPr>
            </w:pPr>
            <w:r>
              <w:rPr>
                <w:b/>
                <w:bCs/>
                <w:kern w:val="0"/>
                <w:sz w:val="24"/>
              </w:rPr>
              <w:t>评分因素</w:t>
            </w:r>
          </w:p>
          <w:p w14:paraId="6A11FF8E">
            <w:pPr>
              <w:jc w:val="center"/>
              <w:rPr>
                <w:b/>
                <w:bCs/>
                <w:kern w:val="0"/>
                <w:sz w:val="24"/>
              </w:rPr>
            </w:pPr>
            <w:r>
              <w:rPr>
                <w:b/>
                <w:bCs/>
                <w:kern w:val="0"/>
                <w:sz w:val="24"/>
              </w:rPr>
              <w:t>及分值</w:t>
            </w:r>
          </w:p>
        </w:tc>
        <w:tc>
          <w:tcPr>
            <w:tcW w:w="7033" w:type="dxa"/>
            <w:tcBorders>
              <w:top w:val="single" w:color="auto" w:sz="4" w:space="0"/>
              <w:left w:val="single" w:color="auto" w:sz="4" w:space="0"/>
              <w:bottom w:val="single" w:color="auto" w:sz="4" w:space="0"/>
              <w:right w:val="single" w:color="auto" w:sz="4" w:space="0"/>
            </w:tcBorders>
            <w:vAlign w:val="center"/>
          </w:tcPr>
          <w:p w14:paraId="07420646">
            <w:pPr>
              <w:jc w:val="center"/>
              <w:rPr>
                <w:b/>
                <w:bCs/>
                <w:kern w:val="0"/>
                <w:sz w:val="24"/>
              </w:rPr>
            </w:pPr>
            <w:r>
              <w:rPr>
                <w:b/>
                <w:bCs/>
                <w:kern w:val="0"/>
                <w:sz w:val="24"/>
              </w:rPr>
              <w:t>评分标准</w:t>
            </w:r>
          </w:p>
          <w:p w14:paraId="538C1452">
            <w:pPr>
              <w:rPr>
                <w:b/>
                <w:bCs/>
                <w:kern w:val="0"/>
                <w:sz w:val="24"/>
              </w:rPr>
            </w:pPr>
          </w:p>
        </w:tc>
      </w:tr>
      <w:tr w14:paraId="0EE6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jc w:val="center"/>
        </w:trPr>
        <w:tc>
          <w:tcPr>
            <w:tcW w:w="612" w:type="dxa"/>
            <w:tcBorders>
              <w:top w:val="single" w:color="auto" w:sz="4" w:space="0"/>
              <w:left w:val="single" w:color="auto" w:sz="4" w:space="0"/>
              <w:bottom w:val="single" w:color="auto" w:sz="4" w:space="0"/>
              <w:right w:val="single" w:color="auto" w:sz="4" w:space="0"/>
            </w:tcBorders>
            <w:vAlign w:val="center"/>
          </w:tcPr>
          <w:p w14:paraId="09DB5645">
            <w:pPr>
              <w:spacing w:line="360" w:lineRule="auto"/>
              <w:jc w:val="center"/>
              <w:rPr>
                <w:b/>
                <w:bCs/>
                <w:kern w:val="0"/>
                <w:sz w:val="24"/>
              </w:rPr>
            </w:pPr>
            <w:r>
              <w:rPr>
                <w:rFonts w:hint="eastAsia"/>
                <w:b/>
                <w:bCs/>
                <w:kern w:val="0"/>
                <w:sz w:val="24"/>
              </w:rPr>
              <w:t>1</w:t>
            </w:r>
          </w:p>
        </w:tc>
        <w:tc>
          <w:tcPr>
            <w:tcW w:w="1605" w:type="dxa"/>
            <w:tcBorders>
              <w:top w:val="single" w:color="auto" w:sz="4" w:space="0"/>
              <w:left w:val="single" w:color="auto" w:sz="4" w:space="0"/>
              <w:bottom w:val="single" w:color="auto" w:sz="4" w:space="0"/>
              <w:right w:val="single" w:color="auto" w:sz="4" w:space="0"/>
            </w:tcBorders>
            <w:vAlign w:val="center"/>
          </w:tcPr>
          <w:p w14:paraId="1F52896F">
            <w:pPr>
              <w:spacing w:line="360" w:lineRule="auto"/>
              <w:jc w:val="center"/>
              <w:rPr>
                <w:b/>
                <w:bCs/>
                <w:color w:val="000000"/>
                <w:kern w:val="0"/>
                <w:sz w:val="24"/>
              </w:rPr>
            </w:pPr>
            <w:r>
              <w:rPr>
                <w:b/>
                <w:bCs/>
                <w:color w:val="000000"/>
                <w:kern w:val="0"/>
                <w:sz w:val="24"/>
              </w:rPr>
              <w:t>技术方案</w:t>
            </w:r>
          </w:p>
          <w:p w14:paraId="3F8F7C64">
            <w:pPr>
              <w:spacing w:line="360" w:lineRule="auto"/>
              <w:jc w:val="center"/>
              <w:rPr>
                <w:b/>
                <w:bCs/>
                <w:kern w:val="0"/>
                <w:sz w:val="24"/>
              </w:rPr>
            </w:pPr>
            <w:r>
              <w:rPr>
                <w:b/>
                <w:bCs/>
                <w:color w:val="000000"/>
                <w:kern w:val="0"/>
                <w:sz w:val="24"/>
              </w:rPr>
              <w:t>（20分）</w:t>
            </w:r>
          </w:p>
        </w:tc>
        <w:tc>
          <w:tcPr>
            <w:tcW w:w="7033" w:type="dxa"/>
            <w:tcBorders>
              <w:top w:val="single" w:color="auto" w:sz="4" w:space="0"/>
              <w:left w:val="single" w:color="auto" w:sz="4" w:space="0"/>
              <w:bottom w:val="single" w:color="auto" w:sz="4" w:space="0"/>
              <w:right w:val="single" w:color="auto" w:sz="4" w:space="0"/>
            </w:tcBorders>
            <w:vAlign w:val="center"/>
          </w:tcPr>
          <w:p w14:paraId="14EA6FA4">
            <w:pPr>
              <w:rPr>
                <w:color w:val="000000"/>
                <w:kern w:val="0"/>
                <w:sz w:val="24"/>
              </w:rPr>
            </w:pPr>
            <w:r>
              <w:rPr>
                <w:kern w:val="0"/>
                <w:sz w:val="24"/>
              </w:rPr>
              <w:t>投标供应商提供本项目实施组织管理方案、培训计划、安全保障措施等内容，方案有很强的可操作性，方案内容细致全面、合理，完全响应需求，从以上几个方面由评委进行横向比对酌情打分：可操作性强、方案内容细致合理、完</w:t>
            </w:r>
            <w:r>
              <w:rPr>
                <w:color w:val="auto"/>
                <w:kern w:val="0"/>
                <w:sz w:val="24"/>
              </w:rPr>
              <w:t>全响应的得</w:t>
            </w:r>
            <w:r>
              <w:rPr>
                <w:rFonts w:hint="eastAsia"/>
                <w:color w:val="auto"/>
                <w:kern w:val="0"/>
                <w:sz w:val="24"/>
              </w:rPr>
              <w:t>20</w:t>
            </w:r>
            <w:r>
              <w:rPr>
                <w:color w:val="auto"/>
                <w:kern w:val="0"/>
                <w:sz w:val="24"/>
              </w:rPr>
              <w:t>分；可操作性较强、方案内容较完整、基本响应的得</w:t>
            </w:r>
            <w:r>
              <w:rPr>
                <w:rFonts w:hint="eastAsia"/>
                <w:color w:val="auto"/>
                <w:kern w:val="0"/>
                <w:sz w:val="24"/>
              </w:rPr>
              <w:t>14</w:t>
            </w:r>
            <w:r>
              <w:rPr>
                <w:color w:val="auto"/>
                <w:kern w:val="0"/>
                <w:sz w:val="24"/>
              </w:rPr>
              <w:t>分；可操作性一般、方案内容不完整、响应度低得</w:t>
            </w:r>
            <w:r>
              <w:rPr>
                <w:rFonts w:hint="eastAsia"/>
                <w:color w:val="auto"/>
                <w:kern w:val="0"/>
                <w:sz w:val="24"/>
              </w:rPr>
              <w:t>8</w:t>
            </w:r>
            <w:r>
              <w:rPr>
                <w:color w:val="auto"/>
                <w:kern w:val="0"/>
                <w:sz w:val="24"/>
              </w:rPr>
              <w:t>分；未提供的不得分。</w:t>
            </w:r>
          </w:p>
        </w:tc>
      </w:tr>
      <w:tr w14:paraId="4BF6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jc w:val="center"/>
        </w:trPr>
        <w:tc>
          <w:tcPr>
            <w:tcW w:w="612" w:type="dxa"/>
            <w:tcBorders>
              <w:left w:val="single" w:color="auto" w:sz="4" w:space="0"/>
              <w:right w:val="single" w:color="auto" w:sz="4" w:space="0"/>
            </w:tcBorders>
            <w:vAlign w:val="center"/>
          </w:tcPr>
          <w:p w14:paraId="300D8E72">
            <w:pPr>
              <w:spacing w:line="360" w:lineRule="auto"/>
              <w:jc w:val="center"/>
              <w:rPr>
                <w:b/>
                <w:bCs/>
                <w:kern w:val="0"/>
                <w:sz w:val="24"/>
              </w:rPr>
            </w:pPr>
            <w:r>
              <w:rPr>
                <w:rFonts w:hint="eastAsia"/>
                <w:b/>
                <w:bCs/>
                <w:kern w:val="0"/>
                <w:sz w:val="24"/>
              </w:rPr>
              <w:t>2</w:t>
            </w:r>
          </w:p>
        </w:tc>
        <w:tc>
          <w:tcPr>
            <w:tcW w:w="1605" w:type="dxa"/>
            <w:tcBorders>
              <w:left w:val="single" w:color="auto" w:sz="4" w:space="0"/>
              <w:right w:val="single" w:color="auto" w:sz="4" w:space="0"/>
            </w:tcBorders>
            <w:vAlign w:val="center"/>
          </w:tcPr>
          <w:p w14:paraId="27C194AE">
            <w:pPr>
              <w:spacing w:line="360" w:lineRule="auto"/>
              <w:jc w:val="center"/>
              <w:rPr>
                <w:b/>
                <w:bCs/>
                <w:color w:val="000000"/>
                <w:kern w:val="0"/>
                <w:sz w:val="24"/>
              </w:rPr>
            </w:pPr>
            <w:r>
              <w:rPr>
                <w:b/>
                <w:bCs/>
                <w:color w:val="000000"/>
                <w:kern w:val="0"/>
                <w:sz w:val="24"/>
              </w:rPr>
              <w:t>企业实力</w:t>
            </w:r>
          </w:p>
          <w:p w14:paraId="0961F6C8">
            <w:pPr>
              <w:spacing w:line="360" w:lineRule="auto"/>
              <w:jc w:val="center"/>
              <w:rPr>
                <w:b/>
                <w:bCs/>
                <w:color w:val="000000"/>
                <w:kern w:val="0"/>
                <w:sz w:val="24"/>
              </w:rPr>
            </w:pPr>
            <w:r>
              <w:rPr>
                <w:b/>
                <w:bCs/>
                <w:color w:val="000000"/>
                <w:kern w:val="0"/>
                <w:sz w:val="24"/>
              </w:rPr>
              <w:t>（</w:t>
            </w:r>
            <w:r>
              <w:rPr>
                <w:b/>
                <w:bCs/>
                <w:kern w:val="0"/>
                <w:sz w:val="24"/>
              </w:rPr>
              <w:t>15</w:t>
            </w:r>
            <w:r>
              <w:rPr>
                <w:b/>
                <w:bCs/>
                <w:color w:val="000000"/>
                <w:kern w:val="0"/>
                <w:sz w:val="24"/>
              </w:rPr>
              <w:t>分）</w:t>
            </w:r>
          </w:p>
        </w:tc>
        <w:tc>
          <w:tcPr>
            <w:tcW w:w="7033" w:type="dxa"/>
            <w:tcBorders>
              <w:top w:val="single" w:color="auto" w:sz="4" w:space="0"/>
              <w:left w:val="single" w:color="auto" w:sz="4" w:space="0"/>
              <w:bottom w:val="single" w:color="auto" w:sz="4" w:space="0"/>
              <w:right w:val="single" w:color="auto" w:sz="4" w:space="0"/>
            </w:tcBorders>
            <w:vAlign w:val="center"/>
          </w:tcPr>
          <w:p w14:paraId="1328146B">
            <w:pPr>
              <w:jc w:val="left"/>
              <w:rPr>
                <w:kern w:val="0"/>
                <w:sz w:val="24"/>
              </w:rPr>
            </w:pPr>
            <w:r>
              <w:rPr>
                <w:kern w:val="0"/>
                <w:sz w:val="24"/>
              </w:rPr>
              <w:t>（1）投标人提供有效期内的ISO9001质量管理体系认证证书，ISO14001环境管理体系认证证书，ISO45001职业健康安全管理体系认证证书，每提供1个得2分，本项最高得6分。</w:t>
            </w:r>
          </w:p>
          <w:p w14:paraId="4B2EB699">
            <w:pPr>
              <w:rPr>
                <w:b/>
                <w:kern w:val="0"/>
                <w:sz w:val="24"/>
              </w:rPr>
            </w:pPr>
            <w:r>
              <w:rPr>
                <w:b/>
                <w:kern w:val="0"/>
                <w:sz w:val="24"/>
              </w:rPr>
              <w:t>注：需提供有效的证书复印件</w:t>
            </w:r>
            <w:r>
              <w:rPr>
                <w:b/>
                <w:bCs/>
                <w:kern w:val="0"/>
                <w:sz w:val="24"/>
              </w:rPr>
              <w:t>并加盖投标供应商公章</w:t>
            </w:r>
            <w:r>
              <w:rPr>
                <w:b/>
                <w:kern w:val="0"/>
                <w:sz w:val="24"/>
              </w:rPr>
              <w:t>，否则不得分。</w:t>
            </w:r>
          </w:p>
          <w:p w14:paraId="2829703D">
            <w:pPr>
              <w:jc w:val="left"/>
              <w:rPr>
                <w:kern w:val="0"/>
                <w:sz w:val="24"/>
              </w:rPr>
            </w:pPr>
            <w:r>
              <w:rPr>
                <w:kern w:val="0"/>
                <w:sz w:val="24"/>
              </w:rPr>
              <w:t>（2）供应商自有或长期租赁多旋翼无人机每有一架得1分，最高不超过7分。</w:t>
            </w:r>
          </w:p>
          <w:p w14:paraId="702350E7">
            <w:pPr>
              <w:rPr>
                <w:b/>
                <w:color w:val="000000"/>
                <w:kern w:val="0"/>
                <w:sz w:val="24"/>
              </w:rPr>
            </w:pPr>
            <w:r>
              <w:rPr>
                <w:b/>
                <w:color w:val="000000"/>
                <w:kern w:val="0"/>
                <w:sz w:val="24"/>
              </w:rPr>
              <w:t>注：提供无人机设备编码清单及投标供应商为无人机购买或租赁合同复印件并加盖公章。</w:t>
            </w:r>
          </w:p>
          <w:p w14:paraId="5570E80F">
            <w:pPr>
              <w:jc w:val="left"/>
              <w:rPr>
                <w:kern w:val="0"/>
                <w:sz w:val="24"/>
              </w:rPr>
            </w:pPr>
            <w:r>
              <w:rPr>
                <w:sz w:val="24"/>
              </w:rPr>
              <w:t>（3）</w:t>
            </w:r>
            <w:r>
              <w:rPr>
                <w:kern w:val="0"/>
                <w:sz w:val="24"/>
              </w:rPr>
              <w:t>供应商具有有效的民用无人驾驶航空器运营合格证的得2分。</w:t>
            </w:r>
          </w:p>
          <w:p w14:paraId="7263610D">
            <w:pPr>
              <w:rPr>
                <w:b/>
                <w:bCs/>
                <w:kern w:val="0"/>
                <w:sz w:val="24"/>
              </w:rPr>
            </w:pPr>
            <w:r>
              <w:rPr>
                <w:b/>
                <w:color w:val="000000"/>
                <w:kern w:val="0"/>
                <w:sz w:val="24"/>
              </w:rPr>
              <w:t>注：提供以上相关证书复印件并加盖投标供应商公章，否则不得分。</w:t>
            </w:r>
          </w:p>
        </w:tc>
      </w:tr>
      <w:tr w14:paraId="445D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612" w:type="dxa"/>
            <w:tcBorders>
              <w:left w:val="single" w:color="auto" w:sz="4" w:space="0"/>
              <w:right w:val="single" w:color="auto" w:sz="4" w:space="0"/>
            </w:tcBorders>
            <w:vAlign w:val="center"/>
          </w:tcPr>
          <w:p w14:paraId="67E30B60">
            <w:pPr>
              <w:spacing w:line="360" w:lineRule="auto"/>
              <w:jc w:val="center"/>
              <w:rPr>
                <w:b/>
                <w:bCs/>
                <w:sz w:val="24"/>
              </w:rPr>
            </w:pPr>
            <w:r>
              <w:rPr>
                <w:rFonts w:hint="eastAsia"/>
                <w:b/>
                <w:bCs/>
                <w:kern w:val="0"/>
                <w:sz w:val="24"/>
              </w:rPr>
              <w:t>3</w:t>
            </w:r>
          </w:p>
        </w:tc>
        <w:tc>
          <w:tcPr>
            <w:tcW w:w="1605" w:type="dxa"/>
            <w:tcBorders>
              <w:left w:val="single" w:color="auto" w:sz="4" w:space="0"/>
              <w:right w:val="single" w:color="auto" w:sz="4" w:space="0"/>
            </w:tcBorders>
            <w:vAlign w:val="center"/>
          </w:tcPr>
          <w:p w14:paraId="6006362A">
            <w:pPr>
              <w:spacing w:line="360" w:lineRule="auto"/>
              <w:jc w:val="center"/>
              <w:rPr>
                <w:b/>
                <w:bCs/>
                <w:color w:val="000000"/>
                <w:kern w:val="0"/>
                <w:sz w:val="24"/>
              </w:rPr>
            </w:pPr>
            <w:r>
              <w:rPr>
                <w:b/>
                <w:bCs/>
                <w:color w:val="000000"/>
                <w:kern w:val="0"/>
                <w:sz w:val="24"/>
              </w:rPr>
              <w:t>人员安排</w:t>
            </w:r>
          </w:p>
          <w:p w14:paraId="25061BFA">
            <w:pPr>
              <w:spacing w:line="360" w:lineRule="auto"/>
              <w:jc w:val="center"/>
              <w:rPr>
                <w:b/>
                <w:bCs/>
                <w:color w:val="000000"/>
                <w:kern w:val="0"/>
                <w:sz w:val="24"/>
              </w:rPr>
            </w:pPr>
            <w:r>
              <w:rPr>
                <w:b/>
                <w:bCs/>
                <w:color w:val="000000"/>
                <w:kern w:val="0"/>
                <w:sz w:val="24"/>
              </w:rPr>
              <w:t>（9分）</w:t>
            </w:r>
          </w:p>
        </w:tc>
        <w:tc>
          <w:tcPr>
            <w:tcW w:w="7033" w:type="dxa"/>
            <w:tcBorders>
              <w:top w:val="single" w:color="auto" w:sz="4" w:space="0"/>
              <w:left w:val="single" w:color="auto" w:sz="4" w:space="0"/>
              <w:bottom w:val="single" w:color="auto" w:sz="4" w:space="0"/>
              <w:right w:val="single" w:color="auto" w:sz="4" w:space="0"/>
            </w:tcBorders>
            <w:vAlign w:val="center"/>
          </w:tcPr>
          <w:p w14:paraId="64D9B9E5">
            <w:pPr>
              <w:jc w:val="left"/>
              <w:rPr>
                <w:kern w:val="0"/>
                <w:sz w:val="24"/>
              </w:rPr>
            </w:pPr>
            <w:r>
              <w:rPr>
                <w:sz w:val="24"/>
              </w:rPr>
              <w:t>（</w:t>
            </w:r>
            <w:r>
              <w:rPr>
                <w:kern w:val="0"/>
                <w:sz w:val="24"/>
              </w:rPr>
              <w:t>1）拟派项目负责人具备所投无人机厂家认证的解决方案工程师证书的得3分。</w:t>
            </w:r>
          </w:p>
          <w:p w14:paraId="2422C967">
            <w:pPr>
              <w:jc w:val="left"/>
              <w:rPr>
                <w:kern w:val="0"/>
                <w:sz w:val="24"/>
              </w:rPr>
            </w:pPr>
            <w:r>
              <w:rPr>
                <w:kern w:val="0"/>
                <w:sz w:val="24"/>
              </w:rPr>
              <w:t>（2）项目组成员具有民用无人驾驶航空器操控员执照的，每有1个得2分，满分6分。</w:t>
            </w:r>
          </w:p>
          <w:p w14:paraId="5CBC3687">
            <w:pPr>
              <w:jc w:val="left"/>
              <w:rPr>
                <w:b/>
                <w:color w:val="000000"/>
                <w:kern w:val="0"/>
                <w:sz w:val="24"/>
              </w:rPr>
            </w:pPr>
            <w:r>
              <w:rPr>
                <w:b/>
                <w:bCs/>
                <w:kern w:val="0"/>
                <w:sz w:val="24"/>
              </w:rPr>
              <w:t>注：需提供上述人员的相关证书及由社保部门出具的投标供应商为其缴纳的近6个月任意一个月（不含开标当月）社保证明复印件并加盖投标供应商公章，否则不得分。</w:t>
            </w:r>
          </w:p>
        </w:tc>
      </w:tr>
      <w:tr w14:paraId="47D5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jc w:val="center"/>
        </w:trPr>
        <w:tc>
          <w:tcPr>
            <w:tcW w:w="612" w:type="dxa"/>
            <w:tcBorders>
              <w:left w:val="single" w:color="auto" w:sz="4" w:space="0"/>
              <w:right w:val="single" w:color="auto" w:sz="4" w:space="0"/>
            </w:tcBorders>
            <w:vAlign w:val="center"/>
          </w:tcPr>
          <w:p w14:paraId="57717A8B">
            <w:pPr>
              <w:spacing w:line="360" w:lineRule="auto"/>
              <w:jc w:val="center"/>
              <w:rPr>
                <w:b/>
                <w:bCs/>
                <w:sz w:val="24"/>
              </w:rPr>
            </w:pPr>
            <w:r>
              <w:rPr>
                <w:b/>
                <w:bCs/>
                <w:kern w:val="0"/>
                <w:sz w:val="24"/>
              </w:rPr>
              <w:t>5</w:t>
            </w:r>
          </w:p>
        </w:tc>
        <w:tc>
          <w:tcPr>
            <w:tcW w:w="1605" w:type="dxa"/>
            <w:tcBorders>
              <w:left w:val="single" w:color="auto" w:sz="4" w:space="0"/>
              <w:right w:val="single" w:color="auto" w:sz="4" w:space="0"/>
            </w:tcBorders>
            <w:vAlign w:val="center"/>
          </w:tcPr>
          <w:p w14:paraId="196F5AE5">
            <w:pPr>
              <w:spacing w:line="360" w:lineRule="auto"/>
              <w:jc w:val="center"/>
              <w:rPr>
                <w:b/>
                <w:bCs/>
                <w:color w:val="000000"/>
                <w:kern w:val="0"/>
                <w:sz w:val="24"/>
              </w:rPr>
            </w:pPr>
            <w:r>
              <w:rPr>
                <w:b/>
                <w:bCs/>
                <w:color w:val="000000"/>
                <w:kern w:val="0"/>
                <w:sz w:val="24"/>
              </w:rPr>
              <w:t>业绩</w:t>
            </w:r>
          </w:p>
          <w:p w14:paraId="12A1DC8A">
            <w:pPr>
              <w:spacing w:line="360" w:lineRule="auto"/>
              <w:jc w:val="center"/>
              <w:rPr>
                <w:b/>
                <w:bCs/>
                <w:color w:val="000000"/>
                <w:kern w:val="0"/>
                <w:sz w:val="24"/>
              </w:rPr>
            </w:pPr>
            <w:r>
              <w:rPr>
                <w:b/>
                <w:bCs/>
                <w:color w:val="000000"/>
                <w:kern w:val="0"/>
                <w:sz w:val="24"/>
              </w:rPr>
              <w:t>（16分）</w:t>
            </w:r>
          </w:p>
        </w:tc>
        <w:tc>
          <w:tcPr>
            <w:tcW w:w="7033" w:type="dxa"/>
            <w:tcBorders>
              <w:top w:val="single" w:color="auto" w:sz="4" w:space="0"/>
              <w:left w:val="single" w:color="auto" w:sz="4" w:space="0"/>
              <w:bottom w:val="single" w:color="auto" w:sz="4" w:space="0"/>
              <w:right w:val="single" w:color="auto" w:sz="4" w:space="0"/>
            </w:tcBorders>
            <w:vAlign w:val="center"/>
          </w:tcPr>
          <w:p w14:paraId="292F68AE">
            <w:pPr>
              <w:jc w:val="left"/>
              <w:rPr>
                <w:color w:val="auto"/>
                <w:kern w:val="0"/>
                <w:sz w:val="24"/>
              </w:rPr>
            </w:pPr>
            <w:r>
              <w:rPr>
                <w:kern w:val="0"/>
                <w:sz w:val="24"/>
              </w:rPr>
              <w:t>（1）</w:t>
            </w:r>
            <w:r>
              <w:rPr>
                <w:color w:val="auto"/>
                <w:kern w:val="0"/>
                <w:sz w:val="24"/>
              </w:rPr>
              <w:t>自202</w:t>
            </w:r>
            <w:r>
              <w:rPr>
                <w:rFonts w:hint="eastAsia"/>
                <w:color w:val="auto"/>
                <w:kern w:val="0"/>
                <w:sz w:val="24"/>
              </w:rPr>
              <w:t>2</w:t>
            </w:r>
            <w:r>
              <w:rPr>
                <w:color w:val="auto"/>
                <w:kern w:val="0"/>
                <w:sz w:val="24"/>
              </w:rPr>
              <w:t>年6月1日以来（时间以合同签订时间为准），投标供应商承担过无人机飞行巡查项目业绩的，每提供一个得2分，最高得10分。</w:t>
            </w:r>
          </w:p>
          <w:p w14:paraId="7F7877DC">
            <w:pPr>
              <w:jc w:val="left"/>
              <w:rPr>
                <w:kern w:val="0"/>
                <w:sz w:val="24"/>
              </w:rPr>
            </w:pPr>
            <w:r>
              <w:rPr>
                <w:color w:val="auto"/>
                <w:kern w:val="0"/>
                <w:sz w:val="24"/>
              </w:rPr>
              <w:t>（2）</w:t>
            </w:r>
            <w:r>
              <w:rPr>
                <w:rFonts w:hint="eastAsia"/>
                <w:color w:val="auto"/>
                <w:kern w:val="0"/>
                <w:sz w:val="24"/>
              </w:rPr>
              <w:t>自</w:t>
            </w:r>
            <w:r>
              <w:rPr>
                <w:snapToGrid w:val="0"/>
                <w:color w:val="auto"/>
                <w:kern w:val="0"/>
                <w:sz w:val="24"/>
              </w:rPr>
              <w:t>202</w:t>
            </w:r>
            <w:r>
              <w:rPr>
                <w:rFonts w:hint="eastAsia"/>
                <w:snapToGrid w:val="0"/>
                <w:color w:val="auto"/>
                <w:kern w:val="0"/>
                <w:sz w:val="24"/>
              </w:rPr>
              <w:t>2</w:t>
            </w:r>
            <w:r>
              <w:rPr>
                <w:snapToGrid w:val="0"/>
                <w:color w:val="auto"/>
                <w:kern w:val="0"/>
                <w:sz w:val="24"/>
              </w:rPr>
              <w:t>年6月1日以来，投标供应商为提供过无人机技能培训服务的，每</w:t>
            </w:r>
            <w:r>
              <w:rPr>
                <w:color w:val="auto"/>
                <w:kern w:val="0"/>
                <w:sz w:val="24"/>
              </w:rPr>
              <w:t>提供</w:t>
            </w:r>
            <w:r>
              <w:rPr>
                <w:snapToGrid w:val="0"/>
                <w:color w:val="auto"/>
                <w:kern w:val="0"/>
                <w:sz w:val="24"/>
              </w:rPr>
              <w:t>一个得3分，最</w:t>
            </w:r>
            <w:r>
              <w:rPr>
                <w:snapToGrid w:val="0"/>
                <w:kern w:val="0"/>
                <w:sz w:val="24"/>
              </w:rPr>
              <w:t>高</w:t>
            </w:r>
            <w:r>
              <w:rPr>
                <w:rFonts w:hint="eastAsia"/>
                <w:snapToGrid w:val="0"/>
                <w:kern w:val="0"/>
                <w:sz w:val="24"/>
              </w:rPr>
              <w:t>得</w:t>
            </w:r>
            <w:r>
              <w:rPr>
                <w:snapToGrid w:val="0"/>
                <w:kern w:val="0"/>
                <w:sz w:val="24"/>
              </w:rPr>
              <w:t>6分。</w:t>
            </w:r>
          </w:p>
          <w:p w14:paraId="4913965F">
            <w:pPr>
              <w:jc w:val="left"/>
              <w:rPr>
                <w:kern w:val="0"/>
                <w:sz w:val="24"/>
                <w:szCs w:val="20"/>
              </w:rPr>
            </w:pPr>
            <w:r>
              <w:rPr>
                <w:b/>
                <w:bCs/>
                <w:kern w:val="0"/>
                <w:sz w:val="24"/>
              </w:rPr>
              <w:t>注</w:t>
            </w:r>
            <w:r>
              <w:rPr>
                <w:b/>
                <w:kern w:val="0"/>
                <w:sz w:val="24"/>
              </w:rPr>
              <w:t>：提供业绩合同的复印件并加盖投标供应商公章，否则不得分。</w:t>
            </w:r>
          </w:p>
        </w:tc>
      </w:tr>
      <w:tr w14:paraId="3051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2" w:hRule="atLeast"/>
          <w:jc w:val="center"/>
        </w:trPr>
        <w:tc>
          <w:tcPr>
            <w:tcW w:w="612" w:type="dxa"/>
            <w:tcBorders>
              <w:left w:val="single" w:color="auto" w:sz="4" w:space="0"/>
              <w:right w:val="single" w:color="auto" w:sz="4" w:space="0"/>
            </w:tcBorders>
            <w:vAlign w:val="center"/>
          </w:tcPr>
          <w:p w14:paraId="3254AD5D">
            <w:pPr>
              <w:spacing w:line="360" w:lineRule="auto"/>
              <w:jc w:val="center"/>
              <w:rPr>
                <w:b/>
                <w:bCs/>
                <w:kern w:val="0"/>
                <w:sz w:val="24"/>
              </w:rPr>
            </w:pPr>
            <w:r>
              <w:rPr>
                <w:b/>
                <w:bCs/>
                <w:kern w:val="0"/>
                <w:sz w:val="24"/>
              </w:rPr>
              <w:t>6</w:t>
            </w:r>
          </w:p>
        </w:tc>
        <w:tc>
          <w:tcPr>
            <w:tcW w:w="1605" w:type="dxa"/>
            <w:tcBorders>
              <w:left w:val="single" w:color="auto" w:sz="4" w:space="0"/>
              <w:right w:val="single" w:color="auto" w:sz="4" w:space="0"/>
            </w:tcBorders>
            <w:vAlign w:val="center"/>
          </w:tcPr>
          <w:p w14:paraId="7AA22ADF">
            <w:pPr>
              <w:spacing w:line="360" w:lineRule="auto"/>
              <w:jc w:val="center"/>
              <w:rPr>
                <w:b/>
                <w:bCs/>
                <w:color w:val="000000"/>
                <w:kern w:val="0"/>
                <w:sz w:val="24"/>
              </w:rPr>
            </w:pPr>
            <w:r>
              <w:rPr>
                <w:b/>
                <w:bCs/>
                <w:color w:val="000000"/>
                <w:kern w:val="0"/>
                <w:sz w:val="24"/>
              </w:rPr>
              <w:t>相关经验</w:t>
            </w:r>
          </w:p>
          <w:p w14:paraId="78E5335A">
            <w:pPr>
              <w:spacing w:line="360" w:lineRule="auto"/>
              <w:jc w:val="center"/>
              <w:rPr>
                <w:b/>
                <w:bCs/>
                <w:color w:val="000000"/>
                <w:kern w:val="0"/>
                <w:sz w:val="24"/>
              </w:rPr>
            </w:pPr>
            <w:r>
              <w:rPr>
                <w:b/>
                <w:bCs/>
                <w:color w:val="000000"/>
                <w:kern w:val="0"/>
                <w:sz w:val="24"/>
              </w:rPr>
              <w:t>（10分）</w:t>
            </w:r>
          </w:p>
        </w:tc>
        <w:tc>
          <w:tcPr>
            <w:tcW w:w="7033" w:type="dxa"/>
            <w:tcBorders>
              <w:top w:val="single" w:color="auto" w:sz="4" w:space="0"/>
              <w:left w:val="single" w:color="auto" w:sz="4" w:space="0"/>
              <w:bottom w:val="single" w:color="auto" w:sz="4" w:space="0"/>
              <w:right w:val="single" w:color="auto" w:sz="4" w:space="0"/>
            </w:tcBorders>
            <w:vAlign w:val="center"/>
          </w:tcPr>
          <w:p w14:paraId="0270F580">
            <w:pPr>
              <w:jc w:val="left"/>
              <w:rPr>
                <w:kern w:val="0"/>
                <w:sz w:val="24"/>
              </w:rPr>
            </w:pPr>
            <w:r>
              <w:rPr>
                <w:kern w:val="0"/>
                <w:sz w:val="24"/>
              </w:rPr>
              <w:t>（1）投标供应商具备</w:t>
            </w:r>
            <w:r>
              <w:rPr>
                <w:rFonts w:hint="eastAsia"/>
                <w:kern w:val="0"/>
                <w:sz w:val="24"/>
              </w:rPr>
              <w:t>高光谱拍摄服务</w:t>
            </w:r>
            <w:r>
              <w:rPr>
                <w:kern w:val="0"/>
                <w:sz w:val="24"/>
              </w:rPr>
              <w:t>经验的得3分。</w:t>
            </w:r>
          </w:p>
          <w:p w14:paraId="3A0174B0">
            <w:pPr>
              <w:jc w:val="left"/>
              <w:rPr>
                <w:b/>
                <w:kern w:val="0"/>
                <w:sz w:val="24"/>
              </w:rPr>
            </w:pPr>
            <w:r>
              <w:rPr>
                <w:b/>
                <w:kern w:val="0"/>
                <w:sz w:val="24"/>
              </w:rPr>
              <w:t>注：需提供</w:t>
            </w:r>
            <w:r>
              <w:rPr>
                <w:rFonts w:hint="eastAsia"/>
                <w:b/>
                <w:kern w:val="0"/>
                <w:sz w:val="24"/>
              </w:rPr>
              <w:t>业绩合同复印件加盖</w:t>
            </w:r>
            <w:r>
              <w:rPr>
                <w:b/>
                <w:kern w:val="0"/>
                <w:sz w:val="24"/>
              </w:rPr>
              <w:t>投标供应商</w:t>
            </w:r>
            <w:r>
              <w:rPr>
                <w:rFonts w:hint="eastAsia"/>
                <w:b/>
                <w:kern w:val="0"/>
                <w:sz w:val="24"/>
              </w:rPr>
              <w:t>公章</w:t>
            </w:r>
            <w:r>
              <w:rPr>
                <w:b/>
                <w:kern w:val="0"/>
                <w:sz w:val="24"/>
              </w:rPr>
              <w:t>，未提供不得分。</w:t>
            </w:r>
          </w:p>
          <w:p w14:paraId="7218FE4A">
            <w:pPr>
              <w:jc w:val="left"/>
              <w:rPr>
                <w:kern w:val="0"/>
                <w:sz w:val="24"/>
              </w:rPr>
            </w:pPr>
            <w:r>
              <w:rPr>
                <w:kern w:val="0"/>
                <w:sz w:val="24"/>
              </w:rPr>
              <w:t>（2</w:t>
            </w:r>
            <w:r>
              <w:rPr>
                <w:snapToGrid w:val="0"/>
                <w:kern w:val="0"/>
                <w:sz w:val="24"/>
              </w:rPr>
              <w:t>）根据供应商</w:t>
            </w:r>
            <w:r>
              <w:rPr>
                <w:rFonts w:hint="eastAsia"/>
                <w:snapToGrid w:val="0"/>
                <w:kern w:val="0"/>
                <w:sz w:val="24"/>
              </w:rPr>
              <w:t>无人机光谱操控演示视频（包括无人机光谱的航线飞行，光谱数据的采集过程以及实时水体识别并进行多种水质参数的实时反演，针对有异常的高值区域对话框提示经纬度位置以及标注疑似排污口）</w:t>
            </w:r>
            <w:r>
              <w:rPr>
                <w:snapToGrid w:val="0"/>
                <w:kern w:val="0"/>
                <w:sz w:val="24"/>
              </w:rPr>
              <w:t>进行综合评分，视频展示内容完整，界面清晰的得7分；视频展示内容基本完整，界面较为清楚的得5分；视频展示内容缺少功能的得3分；未提供演示视频的不得分。</w:t>
            </w:r>
          </w:p>
          <w:p w14:paraId="31275341">
            <w:pPr>
              <w:jc w:val="left"/>
              <w:rPr>
                <w:b/>
                <w:bCs/>
                <w:kern w:val="0"/>
                <w:sz w:val="24"/>
              </w:rPr>
            </w:pPr>
            <w:r>
              <w:rPr>
                <w:b/>
                <w:kern w:val="0"/>
                <w:sz w:val="24"/>
              </w:rPr>
              <w:t>注：</w:t>
            </w:r>
            <w:r>
              <w:rPr>
                <w:b/>
                <w:bCs/>
                <w:kern w:val="0"/>
                <w:sz w:val="24"/>
              </w:rPr>
              <w:t>将演示视频文件拷贝到</w:t>
            </w:r>
            <w:r>
              <w:rPr>
                <w:rFonts w:hint="eastAsia"/>
                <w:b/>
                <w:bCs/>
                <w:kern w:val="0"/>
                <w:sz w:val="24"/>
              </w:rPr>
              <w:t>电子响应文件中递交</w:t>
            </w:r>
            <w:r>
              <w:rPr>
                <w:kern w:val="0"/>
                <w:sz w:val="24"/>
              </w:rPr>
              <w:t>。</w:t>
            </w:r>
          </w:p>
        </w:tc>
      </w:tr>
    </w:tbl>
    <w:p w14:paraId="2B7D3B74">
      <w:pPr>
        <w:autoSpaceDE w:val="0"/>
        <w:autoSpaceDN w:val="0"/>
        <w:adjustRightInd w:val="0"/>
        <w:snapToGrid w:val="0"/>
        <w:spacing w:line="460" w:lineRule="exact"/>
        <w:ind w:firstLine="480" w:firstLineChars="200"/>
        <w:rPr>
          <w:rFonts w:ascii="宋体" w:hAnsi="宋体" w:cs="宋体"/>
          <w:sz w:val="24"/>
        </w:rPr>
      </w:pPr>
      <w:r>
        <w:rPr>
          <w:rFonts w:hint="eastAsia" w:ascii="宋体" w:hAnsi="宋体" w:cs="宋体"/>
          <w:b/>
          <w:sz w:val="24"/>
        </w:rPr>
        <w:t>（四）</w:t>
      </w:r>
      <w:r>
        <w:rPr>
          <w:rFonts w:hint="eastAsia" w:ascii="宋体" w:hAnsi="宋体" w:cs="宋体"/>
          <w:b/>
          <w:sz w:val="24"/>
          <w:lang w:val="zh-CN"/>
        </w:rPr>
        <w:t>价格分</w:t>
      </w:r>
      <w:r>
        <w:rPr>
          <w:rFonts w:hint="eastAsia" w:ascii="宋体" w:hAnsi="宋体" w:cs="宋体"/>
          <w:b/>
          <w:sz w:val="24"/>
        </w:rPr>
        <w:t>：</w:t>
      </w:r>
      <w:r>
        <w:rPr>
          <w:rFonts w:hint="eastAsia" w:ascii="宋体" w:hAnsi="宋体" w:cs="宋体"/>
          <w:b/>
          <w:sz w:val="24"/>
          <w:lang w:val="zh-CN"/>
        </w:rPr>
        <w:t>30分</w:t>
      </w:r>
    </w:p>
    <w:p w14:paraId="44D799A8">
      <w:pPr>
        <w:adjustRightInd w:val="0"/>
        <w:snapToGrid w:val="0"/>
        <w:spacing w:line="460" w:lineRule="exact"/>
        <w:ind w:firstLine="480" w:firstLineChars="200"/>
        <w:rPr>
          <w:rFonts w:ascii="宋体" w:hAnsi="宋体" w:cs="宋体"/>
          <w:sz w:val="24"/>
        </w:rPr>
      </w:pPr>
      <w:r>
        <w:rPr>
          <w:rFonts w:hint="eastAsia" w:ascii="宋体" w:hAnsi="宋体" w:cs="宋体"/>
          <w:sz w:val="24"/>
        </w:rPr>
        <w:t>价格分统一采用低价优先法计算，即满足招标文件要求且投标价格最低的投标报价为评标基准价，其价格分为满分。其他投标人的价格分统一按照下列公式计算：</w:t>
      </w:r>
    </w:p>
    <w:p w14:paraId="1FE44F02">
      <w:pPr>
        <w:adjustRightInd w:val="0"/>
        <w:snapToGrid w:val="0"/>
        <w:spacing w:line="460" w:lineRule="exact"/>
        <w:ind w:firstLine="480" w:firstLineChars="200"/>
        <w:rPr>
          <w:rFonts w:ascii="宋体" w:hAnsi="宋体" w:cs="宋体"/>
          <w:b/>
          <w:sz w:val="24"/>
        </w:rPr>
      </w:pPr>
      <w:r>
        <w:rPr>
          <w:rFonts w:hint="eastAsia" w:ascii="宋体" w:hAnsi="宋体" w:cs="宋体"/>
          <w:b/>
          <w:sz w:val="24"/>
        </w:rPr>
        <w:t>投标报价得分=（评标基准价/投标报价）×价格权值×100（小数点后保留两位，第三位四舍五入）</w:t>
      </w:r>
    </w:p>
    <w:p w14:paraId="031A3DB7">
      <w:pPr>
        <w:adjustRightInd w:val="0"/>
        <w:snapToGrid w:val="0"/>
        <w:spacing w:line="460" w:lineRule="exact"/>
        <w:ind w:firstLine="480" w:firstLineChars="200"/>
        <w:rPr>
          <w:rFonts w:ascii="宋体" w:hAnsi="宋体" w:cs="宋体"/>
          <w:sz w:val="24"/>
          <w:szCs w:val="20"/>
        </w:rPr>
      </w:pPr>
      <w:r>
        <w:rPr>
          <w:rFonts w:hint="eastAsia" w:ascii="宋体" w:hAnsi="宋体" w:cs="宋体"/>
          <w:sz w:val="24"/>
          <w:szCs w:val="20"/>
        </w:rPr>
        <w:t>有效报价：通过符合性审查并经算数修正的投标报价为有效报价。</w:t>
      </w:r>
    </w:p>
    <w:p w14:paraId="56DADF5D">
      <w:pPr>
        <w:adjustRightInd w:val="0"/>
        <w:snapToGrid w:val="0"/>
        <w:spacing w:line="460" w:lineRule="exact"/>
        <w:ind w:firstLine="480" w:firstLineChars="200"/>
        <w:rPr>
          <w:rFonts w:ascii="宋体" w:hAnsi="宋体" w:cs="宋体"/>
          <w:sz w:val="24"/>
        </w:rPr>
      </w:pPr>
      <w:r>
        <w:rPr>
          <w:rFonts w:hint="eastAsia" w:ascii="宋体" w:hAnsi="宋体" w:cs="宋体"/>
          <w:sz w:val="24"/>
        </w:rPr>
        <w:t>4.1评审过程中出现下列情形之一的，评审委员会应当启动异常低价投标（响应）审查程序：</w:t>
      </w:r>
    </w:p>
    <w:p w14:paraId="15514D40">
      <w:pPr>
        <w:adjustRightInd w:val="0"/>
        <w:snapToGrid w:val="0"/>
        <w:spacing w:line="460" w:lineRule="exact"/>
        <w:ind w:firstLine="480" w:firstLineChars="200"/>
        <w:rPr>
          <w:rFonts w:ascii="宋体" w:hAnsi="宋体" w:cs="宋体"/>
          <w:sz w:val="24"/>
        </w:rPr>
      </w:pPr>
      <w:r>
        <w:rPr>
          <w:rFonts w:hint="eastAsia" w:ascii="宋体" w:hAnsi="宋体" w:cs="宋体"/>
          <w:sz w:val="24"/>
        </w:rPr>
        <w:t>4.1.1投标（响应）报价低于采购项目预算 50% 的，即投标（响应）报价&lt;采购项目预算×50% ；</w:t>
      </w:r>
    </w:p>
    <w:p w14:paraId="0DDE405C">
      <w:pPr>
        <w:adjustRightInd w:val="0"/>
        <w:snapToGrid w:val="0"/>
        <w:spacing w:line="460" w:lineRule="exact"/>
        <w:ind w:firstLine="480" w:firstLineChars="200"/>
        <w:rPr>
          <w:rFonts w:ascii="宋体" w:hAnsi="宋体" w:cs="宋体"/>
          <w:sz w:val="24"/>
        </w:rPr>
      </w:pPr>
      <w:r>
        <w:rPr>
          <w:rFonts w:hint="eastAsia" w:ascii="宋体" w:hAnsi="宋体" w:cs="宋体"/>
          <w:sz w:val="24"/>
        </w:rPr>
        <w:t>4.1.2投标（响应）报价低于采购项目最高限价 45% 的，即投标（响应）报价&lt;采购项目最高限价×45% ；</w:t>
      </w:r>
    </w:p>
    <w:p w14:paraId="704C330C">
      <w:pPr>
        <w:adjustRightInd w:val="0"/>
        <w:snapToGrid w:val="0"/>
        <w:spacing w:line="460" w:lineRule="exact"/>
        <w:ind w:firstLine="480" w:firstLineChars="200"/>
        <w:rPr>
          <w:rFonts w:ascii="宋体" w:hAnsi="宋体" w:cs="宋体"/>
          <w:sz w:val="24"/>
        </w:rPr>
      </w:pPr>
      <w:r>
        <w:rPr>
          <w:rFonts w:hint="eastAsia" w:ascii="宋体" w:hAnsi="宋体" w:cs="宋体"/>
          <w:sz w:val="24"/>
        </w:rPr>
        <w:t>4.1.3评审委员会认定的供应商报价过低、有可能影响产品质量或者不能诚信履约的其他情形。</w:t>
      </w:r>
    </w:p>
    <w:p w14:paraId="0AC861F3">
      <w:pPr>
        <w:adjustRightInd w:val="0"/>
        <w:snapToGrid w:val="0"/>
        <w:spacing w:line="460" w:lineRule="exact"/>
        <w:ind w:firstLine="480" w:firstLineChars="200"/>
        <w:rPr>
          <w:rFonts w:ascii="宋体" w:hAnsi="宋体" w:cs="宋体"/>
          <w:sz w:val="24"/>
        </w:rPr>
      </w:pPr>
      <w:r>
        <w:rPr>
          <w:rFonts w:hint="eastAsia" w:ascii="宋体" w:hAnsi="宋体" w:cs="宋体"/>
          <w:sz w:val="24"/>
        </w:rPr>
        <w:t>4.2启动异常低价投标（响应）审查后，评审委员会应当要求相关供应商在30分钟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8D2E6DA">
      <w:pPr>
        <w:autoSpaceDE w:val="0"/>
        <w:autoSpaceDN w:val="0"/>
        <w:adjustRightInd w:val="0"/>
        <w:snapToGrid w:val="0"/>
        <w:spacing w:line="460" w:lineRule="exact"/>
        <w:ind w:firstLine="480" w:firstLineChars="200"/>
        <w:rPr>
          <w:rFonts w:ascii="宋体" w:hAnsi="宋体" w:cs="宋体"/>
          <w:sz w:val="24"/>
        </w:rPr>
      </w:pPr>
      <w:r>
        <w:rPr>
          <w:rFonts w:hint="eastAsia" w:ascii="宋体" w:hAnsi="宋体" w:cs="宋体"/>
          <w:sz w:val="24"/>
        </w:rPr>
        <w:t>（五）政府采购政策功能落实</w:t>
      </w:r>
    </w:p>
    <w:p w14:paraId="4003BFCE">
      <w:pPr>
        <w:adjustRightInd w:val="0"/>
        <w:snapToGrid w:val="0"/>
        <w:spacing w:line="460" w:lineRule="exact"/>
        <w:ind w:firstLine="480" w:firstLineChars="200"/>
        <w:rPr>
          <w:rFonts w:ascii="宋体" w:hAnsi="宋体" w:cs="宋体"/>
          <w:sz w:val="24"/>
        </w:rPr>
      </w:pPr>
      <w:r>
        <w:rPr>
          <w:rFonts w:hint="eastAsia" w:ascii="宋体" w:hAnsi="宋体" w:cs="宋体"/>
          <w:sz w:val="24"/>
        </w:rPr>
        <w:t>1.小微型企业价格扣除</w:t>
      </w:r>
    </w:p>
    <w:p w14:paraId="18EE9024">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（1）本项目对小型和微型企业产品给予10%的扣除价格，用扣除后的价格参与评审。</w:t>
      </w:r>
    </w:p>
    <w:p w14:paraId="7097868B">
      <w:pPr>
        <w:adjustRightInd w:val="0"/>
        <w:snapToGrid w:val="0"/>
        <w:spacing w:line="460" w:lineRule="exact"/>
        <w:ind w:firstLine="480" w:firstLineChars="200"/>
        <w:rPr>
          <w:rFonts w:ascii="宋体" w:hAnsi="宋体" w:cs="宋体"/>
          <w:sz w:val="24"/>
        </w:rPr>
      </w:pPr>
      <w:r>
        <w:rPr>
          <w:rFonts w:hint="eastAsia" w:ascii="宋体" w:hAnsi="宋体" w:cs="宋体"/>
          <w:sz w:val="24"/>
        </w:rPr>
        <w:t>（2）供应商需按照采购文件的要求提供相应的《小型、微型企业声明函》。</w:t>
      </w:r>
    </w:p>
    <w:p w14:paraId="6B5B3E26">
      <w:pPr>
        <w:adjustRightInd w:val="0"/>
        <w:snapToGrid w:val="0"/>
        <w:spacing w:line="460" w:lineRule="exact"/>
        <w:ind w:firstLine="480" w:firstLineChars="200"/>
        <w:rPr>
          <w:rFonts w:ascii="宋体" w:hAnsi="宋体" w:cs="宋体"/>
          <w:sz w:val="24"/>
        </w:rPr>
      </w:pPr>
      <w:r>
        <w:rPr>
          <w:rFonts w:hint="eastAsia" w:ascii="宋体" w:hAnsi="宋体" w:cs="宋体"/>
          <w:sz w:val="24"/>
        </w:rPr>
        <w:t>（3）企业标准请参照《关于印发中小企业划型标准规定的通知》（工信部联企业[2011]300号）文件规定自行填写。</w:t>
      </w:r>
    </w:p>
    <w:p w14:paraId="55729335">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2.残疾人福利单位价格扣除</w:t>
      </w:r>
    </w:p>
    <w:p w14:paraId="2A78DE63">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（1）本项目对残疾人福利性单位视同小型、微型企业，给予6%的价格扣除，用扣除后的价格参与评审。</w:t>
      </w:r>
    </w:p>
    <w:p w14:paraId="3FFEBECD">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（2）残疾人福利单位需按照采购文件的要求提供《残疾人福利性单位声明函》。</w:t>
      </w:r>
    </w:p>
    <w:p w14:paraId="310F5553">
      <w:pPr>
        <w:adjustRightInd w:val="0"/>
        <w:snapToGrid w:val="0"/>
        <w:spacing w:line="460" w:lineRule="exact"/>
        <w:ind w:firstLine="480" w:firstLineChars="200"/>
        <w:rPr>
          <w:rFonts w:ascii="宋体" w:hAnsi="宋体" w:cs="宋体"/>
          <w:sz w:val="24"/>
        </w:rPr>
      </w:pPr>
      <w:r>
        <w:rPr>
          <w:rFonts w:hint="eastAsia" w:ascii="宋体" w:hAnsi="宋体" w:cs="宋体"/>
          <w:sz w:val="24"/>
        </w:rPr>
        <w:t>（3）残疾人福利单位标准请参照《关于促进残疾人就业政府采购政策的通知》（财库〔2017〕141号）。</w:t>
      </w:r>
    </w:p>
    <w:p w14:paraId="5A99F797">
      <w:pPr>
        <w:adjustRightInd w:val="0"/>
        <w:snapToGrid w:val="0"/>
        <w:spacing w:line="460" w:lineRule="exact"/>
        <w:ind w:firstLine="480" w:firstLineChars="200"/>
        <w:rPr>
          <w:rFonts w:ascii="宋体" w:hAnsi="宋体" w:cs="宋体"/>
          <w:sz w:val="24"/>
        </w:rPr>
      </w:pPr>
      <w:r>
        <w:rPr>
          <w:rFonts w:hint="eastAsia" w:ascii="宋体" w:hAnsi="宋体" w:cs="宋体"/>
          <w:sz w:val="24"/>
        </w:rPr>
        <w:t>3.监狱和戒毒企业价格扣除</w:t>
      </w:r>
    </w:p>
    <w:p w14:paraId="02701FB4">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（1）本项目对监狱和戒毒企业（简称监狱企业）视同小型、微型企业，给予6%的价格扣除，用扣除后的价格参与评审。</w:t>
      </w:r>
    </w:p>
    <w:p w14:paraId="3B7F5C20">
      <w:pPr>
        <w:adjustRightInd w:val="0"/>
        <w:snapToGrid w:val="0"/>
        <w:spacing w:line="460" w:lineRule="exact"/>
        <w:ind w:firstLine="480" w:firstLineChars="200"/>
        <w:rPr>
          <w:rFonts w:ascii="宋体" w:hAnsi="宋体" w:cs="宋体"/>
          <w:sz w:val="24"/>
        </w:rPr>
      </w:pPr>
      <w:r>
        <w:rPr>
          <w:rFonts w:hint="eastAsia" w:ascii="宋体" w:hAnsi="宋体" w:cs="宋体"/>
          <w:sz w:val="24"/>
        </w:rPr>
        <w:t>（2）监狱企业参加政府采购活动时，需提供由省级以上监狱管理局、戒毒管理局(含新疆生产建设兵团)出具的属于监狱企业的证明文件。供应商如不提供上述证明文件，价格将不做相应扣除。</w:t>
      </w:r>
    </w:p>
    <w:p w14:paraId="309FD20B">
      <w:pPr>
        <w:adjustRightInd w:val="0"/>
        <w:snapToGrid w:val="0"/>
        <w:spacing w:line="460" w:lineRule="exact"/>
        <w:ind w:firstLine="480" w:firstLineChars="200"/>
        <w:rPr>
          <w:rFonts w:ascii="宋体" w:hAnsi="宋体" w:cs="宋体"/>
          <w:sz w:val="24"/>
        </w:rPr>
      </w:pPr>
      <w:r>
        <w:rPr>
          <w:rFonts w:hint="eastAsia" w:ascii="宋体" w:hAnsi="宋体" w:cs="宋体"/>
          <w:sz w:val="24"/>
        </w:rPr>
        <w:t>（3）监狱企业标准请参照《关于政府采购支持监狱企业发展有关问题的通知》（财库[2014]68号）。</w:t>
      </w:r>
    </w:p>
    <w:p w14:paraId="722FAC16">
      <w:pPr>
        <w:adjustRightInd w:val="0"/>
        <w:snapToGrid w:val="0"/>
        <w:spacing w:line="460" w:lineRule="exact"/>
        <w:ind w:firstLine="480" w:firstLineChars="200"/>
        <w:rPr>
          <w:rFonts w:ascii="宋体" w:hAnsi="宋体" w:cs="宋体"/>
          <w:sz w:val="24"/>
        </w:rPr>
      </w:pPr>
      <w:r>
        <w:rPr>
          <w:rFonts w:hint="eastAsia" w:ascii="宋体" w:hAnsi="宋体" w:cs="宋体"/>
          <w:sz w:val="24"/>
        </w:rPr>
        <w:t>4.残疾人福利单位、监狱企业属于小型、微型企业的，不重复享受政策。</w:t>
      </w:r>
    </w:p>
    <w:p w14:paraId="5FD84AF9">
      <w:pPr>
        <w:adjustRightInd w:val="0"/>
        <w:snapToGrid w:val="0"/>
        <w:spacing w:line="460" w:lineRule="exact"/>
        <w:ind w:firstLine="480" w:firstLineChars="200"/>
        <w:rPr>
          <w:rFonts w:ascii="宋体" w:hAnsi="宋体" w:cs="宋体"/>
          <w:sz w:val="24"/>
        </w:rPr>
      </w:pPr>
      <w:r>
        <w:rPr>
          <w:rFonts w:hint="eastAsia" w:ascii="宋体" w:hAnsi="宋体" w:cs="宋体"/>
          <w:sz w:val="24"/>
        </w:rPr>
        <w:t>5.根据《江苏省政府采购信用管理暂行办法》的规定，对有失信行为的供应商将根据信用评价结果按规定予以扣分或价格加成。</w:t>
      </w:r>
    </w:p>
    <w:p w14:paraId="12AD35D4">
      <w:pPr>
        <w:adjustRightInd w:val="0"/>
        <w:snapToGrid w:val="0"/>
        <w:spacing w:line="460" w:lineRule="exact"/>
        <w:ind w:firstLine="480" w:firstLineChars="200"/>
        <w:rPr>
          <w:rFonts w:ascii="宋体" w:hAnsi="宋体" w:cs="宋体"/>
          <w:bCs/>
          <w:sz w:val="24"/>
        </w:rPr>
      </w:pPr>
      <w:r>
        <w:rPr>
          <w:rFonts w:hint="eastAsia" w:ascii="宋体" w:hAnsi="宋体" w:cs="宋体"/>
          <w:b/>
          <w:sz w:val="24"/>
        </w:rPr>
        <w:t>（六）中标人的确定</w:t>
      </w:r>
    </w:p>
    <w:p w14:paraId="5443458B">
      <w:pPr>
        <w:adjustRightInd w:val="0"/>
        <w:snapToGrid w:val="0"/>
        <w:spacing w:line="460" w:lineRule="exact"/>
        <w:ind w:firstLine="480" w:firstLineChars="200"/>
        <w:rPr>
          <w:rFonts w:ascii="宋体" w:hAnsi="宋体" w:cs="宋体"/>
          <w:sz w:val="24"/>
        </w:rPr>
      </w:pPr>
      <w:r>
        <w:rPr>
          <w:rFonts w:hint="eastAsia" w:ascii="宋体" w:hAnsi="宋体" w:cs="宋体"/>
          <w:sz w:val="24"/>
        </w:rPr>
        <w:t>评委会汇总各评委评分后，按照得分从高到低的顺序推荐三名中标候选人，并编写评标报告。</w:t>
      </w:r>
    </w:p>
    <w:p w14:paraId="304D50C5">
      <w:pPr>
        <w:adjustRightInd w:val="0"/>
        <w:snapToGrid w:val="0"/>
        <w:spacing w:line="460" w:lineRule="exact"/>
        <w:ind w:firstLine="480" w:firstLineChars="200"/>
        <w:rPr>
          <w:rFonts w:ascii="宋体" w:hAnsi="宋体" w:cs="宋体"/>
          <w:sz w:val="24"/>
        </w:rPr>
      </w:pPr>
      <w:r>
        <w:rPr>
          <w:rFonts w:hint="eastAsia" w:ascii="宋体" w:hAnsi="宋体" w:cs="宋体"/>
          <w:sz w:val="24"/>
        </w:rPr>
        <w:t>招标人委托评标委员会直接确定排名第一的中标候选人为中标人。</w:t>
      </w:r>
    </w:p>
    <w:p w14:paraId="51FE9543">
      <w:pPr>
        <w:adjustRightInd w:val="0"/>
        <w:snapToGrid w:val="0"/>
        <w:spacing w:line="460" w:lineRule="exact"/>
        <w:ind w:firstLine="480" w:firstLineChars="200"/>
        <w:rPr>
          <w:rFonts w:ascii="宋体" w:hAnsi="宋体" w:cs="宋体"/>
          <w:b/>
          <w:sz w:val="24"/>
        </w:rPr>
      </w:pPr>
      <w:r>
        <w:rPr>
          <w:rFonts w:hint="eastAsia" w:ascii="宋体" w:hAnsi="宋体" w:cs="宋体"/>
          <w:b/>
          <w:sz w:val="24"/>
        </w:rPr>
        <w:t>（七）招标人代表宣布评标结果。</w:t>
      </w:r>
    </w:p>
    <w:p w14:paraId="2CBBC464">
      <w:pPr>
        <w:adjustRightInd w:val="0"/>
        <w:snapToGrid w:val="0"/>
        <w:spacing w:line="460" w:lineRule="exact"/>
        <w:ind w:firstLine="480" w:firstLineChars="200"/>
        <w:rPr>
          <w:rFonts w:ascii="宋体" w:hAnsi="宋体" w:cs="宋体"/>
          <w:b/>
          <w:sz w:val="24"/>
        </w:rPr>
      </w:pPr>
      <w:r>
        <w:rPr>
          <w:rFonts w:hint="eastAsia" w:ascii="宋体" w:hAnsi="宋体" w:cs="宋体"/>
          <w:b/>
          <w:sz w:val="24"/>
        </w:rPr>
        <w:t>（八）公告中标结果</w:t>
      </w:r>
    </w:p>
    <w:p w14:paraId="41A5D3BA">
      <w:pPr>
        <w:adjustRightInd w:val="0"/>
        <w:snapToGrid w:val="0"/>
        <w:spacing w:line="460" w:lineRule="exact"/>
        <w:ind w:firstLine="480" w:firstLineChars="200"/>
        <w:rPr>
          <w:rFonts w:ascii="宋体" w:hAnsi="宋体"/>
        </w:rPr>
      </w:pPr>
      <w:r>
        <w:rPr>
          <w:rFonts w:hint="eastAsia" w:ascii="宋体" w:hAnsi="宋体" w:cs="宋体"/>
          <w:sz w:val="24"/>
        </w:rPr>
        <w:t>自确定中标人之日起2个工作日内，在江苏商贸职业学院网（http://www.jsbc.edu.cn/）公告中标结果，公告期限为1个工作日。</w:t>
      </w:r>
    </w:p>
    <w:p w14:paraId="2FE6DFAF">
      <w:pPr>
        <w:adjustRightInd w:val="0"/>
        <w:snapToGrid w:val="0"/>
        <w:spacing w:line="460" w:lineRule="exact"/>
        <w:ind w:firstLine="480" w:firstLineChars="200"/>
        <w:rPr>
          <w:rFonts w:ascii="宋体" w:hAnsi="宋体" w:cs="宋体"/>
          <w:b/>
          <w:bCs/>
          <w:sz w:val="24"/>
        </w:rPr>
      </w:pPr>
      <w:r>
        <w:rPr>
          <w:rFonts w:hint="eastAsia" w:ascii="宋体" w:hAnsi="宋体" w:cs="宋体"/>
          <w:b/>
          <w:sz w:val="24"/>
        </w:rPr>
        <w:t>（九）</w:t>
      </w:r>
      <w:r>
        <w:rPr>
          <w:rFonts w:hint="eastAsia" w:ascii="宋体" w:hAnsi="宋体" w:cs="宋体"/>
          <w:b/>
          <w:bCs/>
          <w:sz w:val="24"/>
        </w:rPr>
        <w:t>发放中标通知书</w:t>
      </w:r>
    </w:p>
    <w:p w14:paraId="15D2A836">
      <w:pPr>
        <w:adjustRightInd w:val="0"/>
        <w:snapToGrid w:val="0"/>
        <w:spacing w:line="460" w:lineRule="exact"/>
        <w:ind w:firstLine="480" w:firstLineChars="200"/>
        <w:rPr>
          <w:rFonts w:ascii="宋体" w:hAnsi="宋体" w:cs="宋体"/>
          <w:bCs/>
          <w:sz w:val="24"/>
        </w:rPr>
      </w:pPr>
      <w:r>
        <w:rPr>
          <w:rFonts w:hint="eastAsia" w:ascii="宋体" w:hAnsi="宋体" w:cs="宋体"/>
          <w:sz w:val="24"/>
        </w:rPr>
        <w:t>公告中标结果的同时，招标人</w:t>
      </w:r>
      <w:r>
        <w:rPr>
          <w:rFonts w:hint="eastAsia" w:ascii="宋体" w:hAnsi="宋体" w:cs="宋体"/>
          <w:bCs/>
          <w:sz w:val="24"/>
        </w:rPr>
        <w:t>向中标供应商发放中标通知书。</w:t>
      </w:r>
    </w:p>
    <w:p w14:paraId="09482410">
      <w:pPr>
        <w:adjustRightInd w:val="0"/>
        <w:snapToGrid w:val="0"/>
        <w:spacing w:line="460" w:lineRule="exact"/>
        <w:ind w:firstLine="480" w:firstLineChars="200"/>
        <w:rPr>
          <w:rFonts w:ascii="宋体" w:hAnsi="宋体" w:cs="宋体"/>
          <w:sz w:val="24"/>
        </w:rPr>
      </w:pPr>
      <w:r>
        <w:rPr>
          <w:rFonts w:hint="eastAsia" w:ascii="宋体" w:hAnsi="宋体" w:cs="宋体"/>
          <w:sz w:val="24"/>
        </w:rPr>
        <w:t>中标通知书发出后，招标人不得违法改变中标结果，中标供应商无正当理由不得放弃中标。</w:t>
      </w:r>
    </w:p>
    <w:p w14:paraId="5F3F79E3">
      <w:pPr>
        <w:adjustRightInd w:val="0"/>
        <w:snapToGrid w:val="0"/>
        <w:spacing w:line="460" w:lineRule="exact"/>
        <w:ind w:firstLine="480" w:firstLineChars="200"/>
        <w:rPr>
          <w:rFonts w:ascii="宋体" w:hAnsi="宋体" w:cs="宋体"/>
          <w:b/>
          <w:sz w:val="24"/>
        </w:rPr>
      </w:pPr>
      <w:r>
        <w:rPr>
          <w:rFonts w:hint="eastAsia" w:ascii="宋体" w:hAnsi="宋体" w:cs="宋体"/>
          <w:b/>
          <w:sz w:val="24"/>
        </w:rPr>
        <w:t>（十）其他</w:t>
      </w:r>
    </w:p>
    <w:p w14:paraId="6023CA29">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放弃中标、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838AC7B">
      <w:p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第五部分  合同主要条款</w:t>
      </w:r>
    </w:p>
    <w:p w14:paraId="1D79C057">
      <w:pPr>
        <w:spacing w:after="60" w:line="440" w:lineRule="exact"/>
        <w:rPr>
          <w:rFonts w:ascii="宋体" w:hAnsi="宋体" w:cs="仿宋"/>
          <w:sz w:val="24"/>
        </w:rPr>
      </w:pPr>
    </w:p>
    <w:p w14:paraId="7691CD56">
      <w:pPr>
        <w:spacing w:after="60" w:line="440" w:lineRule="exact"/>
        <w:rPr>
          <w:rFonts w:ascii="宋体" w:hAnsi="宋体" w:cs="宋体"/>
          <w:sz w:val="24"/>
          <w:u w:val="single"/>
        </w:rPr>
      </w:pPr>
      <w:r>
        <w:rPr>
          <w:rFonts w:hint="eastAsia" w:ascii="宋体" w:hAnsi="宋体" w:cs="宋体"/>
          <w:sz w:val="24"/>
        </w:rPr>
        <w:t>采购人（或称甲方）：</w:t>
      </w:r>
    </w:p>
    <w:p w14:paraId="0CF1239C">
      <w:pPr>
        <w:spacing w:after="60" w:line="440" w:lineRule="exact"/>
        <w:rPr>
          <w:rFonts w:ascii="宋体" w:hAnsi="宋体" w:cs="宋体"/>
          <w:sz w:val="24"/>
        </w:rPr>
      </w:pPr>
      <w:r>
        <w:rPr>
          <w:rFonts w:hint="eastAsia" w:ascii="宋体" w:hAnsi="宋体" w:cs="宋体"/>
          <w:sz w:val="24"/>
        </w:rPr>
        <w:t>成交供应商（或称乙方）：</w:t>
      </w:r>
    </w:p>
    <w:p w14:paraId="2F8B4A93">
      <w:pPr>
        <w:spacing w:after="60" w:line="440" w:lineRule="exact"/>
        <w:rPr>
          <w:rFonts w:ascii="宋体" w:hAnsi="宋体" w:cs="宋体"/>
          <w:sz w:val="24"/>
        </w:rPr>
      </w:pPr>
      <w:r>
        <w:rPr>
          <w:rFonts w:hint="eastAsia" w:ascii="宋体" w:hAnsi="宋体" w:cs="宋体"/>
          <w:sz w:val="24"/>
        </w:rPr>
        <w:t>签订时间：</w:t>
      </w:r>
      <w:r>
        <w:rPr>
          <w:rFonts w:hint="eastAsia" w:ascii="宋体" w:hAnsi="宋体" w:cs="宋体"/>
          <w:sz w:val="24"/>
          <w:u w:val="single"/>
        </w:rPr>
        <w:t xml:space="preserve">     年   月   日</w:t>
      </w:r>
    </w:p>
    <w:p w14:paraId="1AD9F420">
      <w:pPr>
        <w:spacing w:after="60" w:line="440" w:lineRule="exact"/>
        <w:rPr>
          <w:rFonts w:ascii="宋体" w:hAnsi="宋体" w:cs="宋体"/>
          <w:sz w:val="24"/>
        </w:rPr>
      </w:pPr>
      <w:r>
        <w:rPr>
          <w:rFonts w:hint="eastAsia" w:ascii="宋体" w:hAnsi="宋体" w:cs="宋体"/>
          <w:sz w:val="24"/>
        </w:rPr>
        <w:t>签订地点：</w:t>
      </w:r>
    </w:p>
    <w:p w14:paraId="36D06B90">
      <w:pPr>
        <w:spacing w:line="440" w:lineRule="exact"/>
        <w:ind w:firstLine="480" w:firstLineChars="200"/>
        <w:jc w:val="left"/>
        <w:rPr>
          <w:rFonts w:ascii="宋体" w:hAnsi="宋体" w:cs="宋体"/>
          <w:sz w:val="24"/>
        </w:rPr>
      </w:pPr>
      <w:r>
        <w:rPr>
          <w:rFonts w:hint="eastAsia" w:ascii="宋体" w:hAnsi="宋体" w:cs="宋体"/>
          <w:sz w:val="24"/>
        </w:rPr>
        <w:t>甲、乙双方根据《中华人民共和国民法典》及相关法律法规，在平等互利，友好协商的基础上，就乙方向甲方出售</w:t>
      </w:r>
      <w:r>
        <w:rPr>
          <w:rFonts w:hint="eastAsia" w:ascii="宋体" w:hAnsi="宋体" w:cs="仿宋"/>
          <w:sz w:val="24"/>
          <w:u w:val="single"/>
        </w:rPr>
        <w:t>江苏商贸职业学院大赛项目开发及租赁服务项目</w:t>
      </w:r>
      <w:r>
        <w:rPr>
          <w:rFonts w:hint="eastAsia" w:ascii="宋体" w:hAnsi="宋体" w:cs="宋体"/>
          <w:sz w:val="24"/>
        </w:rPr>
        <w:t>，甲方向乙方支付相应价款事宜，达成如下协议：</w:t>
      </w:r>
    </w:p>
    <w:p w14:paraId="420849AC">
      <w:pPr>
        <w:spacing w:line="440" w:lineRule="exact"/>
        <w:rPr>
          <w:rFonts w:ascii="宋体" w:hAnsi="宋体" w:cs="宋体"/>
          <w:sz w:val="24"/>
        </w:rPr>
      </w:pPr>
      <w:r>
        <w:rPr>
          <w:rFonts w:hint="eastAsia" w:ascii="宋体" w:hAnsi="宋体" w:cs="宋体"/>
          <w:b/>
          <w:bCs/>
          <w:sz w:val="24"/>
        </w:rPr>
        <w:t>一、合同标的及价格</w:t>
      </w:r>
    </w:p>
    <w:tbl>
      <w:tblPr>
        <w:tblStyle w:val="39"/>
        <w:tblW w:w="8760" w:type="dxa"/>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48"/>
        <w:gridCol w:w="878"/>
        <w:gridCol w:w="2160"/>
        <w:gridCol w:w="1417"/>
        <w:gridCol w:w="1418"/>
        <w:gridCol w:w="992"/>
        <w:gridCol w:w="1247"/>
      </w:tblGrid>
      <w:tr w14:paraId="32AB4EDA">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648" w:type="dxa"/>
            <w:tcBorders>
              <w:top w:val="single" w:color="auto" w:sz="8" w:space="0"/>
              <w:left w:val="single" w:color="auto" w:sz="8" w:space="0"/>
              <w:bottom w:val="single" w:color="auto" w:sz="4" w:space="0"/>
              <w:right w:val="single" w:color="auto" w:sz="4" w:space="0"/>
            </w:tcBorders>
            <w:vAlign w:val="center"/>
          </w:tcPr>
          <w:p w14:paraId="0124C774">
            <w:pPr>
              <w:spacing w:line="440" w:lineRule="exact"/>
              <w:jc w:val="center"/>
              <w:rPr>
                <w:rFonts w:ascii="宋体" w:hAnsi="宋体" w:cs="宋体"/>
                <w:sz w:val="24"/>
              </w:rPr>
            </w:pPr>
            <w:r>
              <w:rPr>
                <w:rFonts w:hint="eastAsia" w:ascii="宋体" w:hAnsi="宋体" w:cs="宋体"/>
                <w:sz w:val="24"/>
              </w:rPr>
              <w:t>序号</w:t>
            </w:r>
          </w:p>
        </w:tc>
        <w:tc>
          <w:tcPr>
            <w:tcW w:w="878" w:type="dxa"/>
            <w:tcBorders>
              <w:top w:val="single" w:color="auto" w:sz="8" w:space="0"/>
              <w:left w:val="single" w:color="auto" w:sz="8" w:space="0"/>
              <w:bottom w:val="single" w:color="auto" w:sz="4" w:space="0"/>
              <w:right w:val="single" w:color="auto" w:sz="4" w:space="0"/>
            </w:tcBorders>
            <w:vAlign w:val="center"/>
          </w:tcPr>
          <w:p w14:paraId="53C94263">
            <w:pPr>
              <w:spacing w:line="440" w:lineRule="exact"/>
              <w:jc w:val="center"/>
              <w:rPr>
                <w:rFonts w:ascii="宋体" w:hAnsi="宋体" w:cs="宋体"/>
                <w:sz w:val="24"/>
              </w:rPr>
            </w:pPr>
            <w:r>
              <w:rPr>
                <w:rFonts w:hint="eastAsia" w:ascii="宋体" w:hAnsi="宋体" w:cs="宋体"/>
                <w:sz w:val="24"/>
              </w:rPr>
              <w:t>品名</w:t>
            </w:r>
          </w:p>
        </w:tc>
        <w:tc>
          <w:tcPr>
            <w:tcW w:w="2160"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55F816">
            <w:pPr>
              <w:spacing w:line="440" w:lineRule="exact"/>
              <w:jc w:val="center"/>
              <w:rPr>
                <w:rFonts w:ascii="宋体" w:hAnsi="宋体" w:cs="宋体"/>
                <w:sz w:val="24"/>
              </w:rPr>
            </w:pPr>
            <w:r>
              <w:rPr>
                <w:rFonts w:hint="eastAsia" w:ascii="宋体" w:hAnsi="宋体" w:cs="宋体"/>
                <w:sz w:val="24"/>
              </w:rPr>
              <w:t>技术参数</w:t>
            </w:r>
          </w:p>
        </w:tc>
        <w:tc>
          <w:tcPr>
            <w:tcW w:w="1417"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5823B1">
            <w:pPr>
              <w:spacing w:line="440" w:lineRule="exact"/>
              <w:jc w:val="center"/>
              <w:rPr>
                <w:rFonts w:ascii="宋体" w:hAnsi="宋体" w:cs="宋体"/>
                <w:sz w:val="24"/>
              </w:rPr>
            </w:pPr>
            <w:r>
              <w:rPr>
                <w:rFonts w:hint="eastAsia" w:ascii="宋体" w:hAnsi="宋体" w:cs="宋体"/>
                <w:sz w:val="24"/>
              </w:rPr>
              <w:t>品牌型号</w:t>
            </w:r>
          </w:p>
        </w:tc>
        <w:tc>
          <w:tcPr>
            <w:tcW w:w="1418"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3A5EA23">
            <w:pPr>
              <w:spacing w:line="440" w:lineRule="exact"/>
              <w:jc w:val="center"/>
              <w:rPr>
                <w:rFonts w:ascii="宋体" w:hAnsi="宋体" w:cs="宋体"/>
                <w:sz w:val="24"/>
              </w:rPr>
            </w:pPr>
            <w:r>
              <w:rPr>
                <w:rFonts w:hint="eastAsia" w:ascii="宋体" w:hAnsi="宋体" w:cs="宋体"/>
                <w:sz w:val="24"/>
              </w:rPr>
              <w:t>单位/数量</w:t>
            </w:r>
          </w:p>
        </w:tc>
        <w:tc>
          <w:tcPr>
            <w:tcW w:w="992" w:type="dxa"/>
            <w:tcBorders>
              <w:top w:val="single" w:color="auto" w:sz="8" w:space="0"/>
              <w:left w:val="single" w:color="auto" w:sz="4" w:space="0"/>
              <w:bottom w:val="single" w:color="auto" w:sz="4" w:space="0"/>
              <w:right w:val="single" w:color="auto" w:sz="4" w:space="0"/>
            </w:tcBorders>
            <w:vAlign w:val="center"/>
          </w:tcPr>
          <w:p w14:paraId="10FAF5F6">
            <w:pPr>
              <w:spacing w:line="440" w:lineRule="exact"/>
              <w:jc w:val="center"/>
              <w:rPr>
                <w:rFonts w:ascii="宋体" w:hAnsi="宋体" w:cs="宋体"/>
                <w:sz w:val="24"/>
              </w:rPr>
            </w:pPr>
            <w:r>
              <w:rPr>
                <w:rFonts w:hint="eastAsia" w:ascii="宋体" w:hAnsi="宋体" w:cs="宋体"/>
                <w:sz w:val="24"/>
              </w:rPr>
              <w:t>单价</w:t>
            </w:r>
          </w:p>
        </w:tc>
        <w:tc>
          <w:tcPr>
            <w:tcW w:w="1247" w:type="dxa"/>
            <w:tcBorders>
              <w:top w:val="single" w:color="auto" w:sz="8" w:space="0"/>
              <w:left w:val="single" w:color="auto" w:sz="4" w:space="0"/>
              <w:bottom w:val="single" w:color="auto" w:sz="4" w:space="0"/>
              <w:right w:val="single" w:color="auto" w:sz="4" w:space="0"/>
            </w:tcBorders>
            <w:vAlign w:val="center"/>
          </w:tcPr>
          <w:p w14:paraId="560B2223">
            <w:pPr>
              <w:spacing w:line="440" w:lineRule="exact"/>
              <w:jc w:val="center"/>
              <w:rPr>
                <w:rFonts w:ascii="宋体" w:hAnsi="宋体" w:cs="宋体"/>
                <w:sz w:val="24"/>
              </w:rPr>
            </w:pPr>
            <w:r>
              <w:rPr>
                <w:rFonts w:hint="eastAsia" w:ascii="宋体" w:hAnsi="宋体" w:cs="宋体"/>
                <w:sz w:val="24"/>
              </w:rPr>
              <w:t>总价</w:t>
            </w:r>
          </w:p>
        </w:tc>
      </w:tr>
      <w:tr w14:paraId="52293B9C">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648" w:type="dxa"/>
            <w:tcBorders>
              <w:top w:val="single" w:color="auto" w:sz="4" w:space="0"/>
              <w:left w:val="single" w:color="auto" w:sz="8" w:space="0"/>
              <w:bottom w:val="single" w:color="auto" w:sz="4" w:space="0"/>
              <w:right w:val="single" w:color="auto" w:sz="4" w:space="0"/>
            </w:tcBorders>
            <w:vAlign w:val="center"/>
          </w:tcPr>
          <w:p w14:paraId="63D01915">
            <w:pPr>
              <w:spacing w:line="440" w:lineRule="exact"/>
              <w:jc w:val="center"/>
              <w:rPr>
                <w:rFonts w:ascii="宋体" w:hAnsi="宋体" w:cs="宋体"/>
                <w:sz w:val="24"/>
              </w:rPr>
            </w:pPr>
          </w:p>
        </w:tc>
        <w:tc>
          <w:tcPr>
            <w:tcW w:w="878" w:type="dxa"/>
            <w:tcBorders>
              <w:top w:val="single" w:color="auto" w:sz="4" w:space="0"/>
              <w:left w:val="single" w:color="auto" w:sz="8" w:space="0"/>
              <w:bottom w:val="single" w:color="auto" w:sz="4" w:space="0"/>
              <w:right w:val="single" w:color="auto" w:sz="4" w:space="0"/>
            </w:tcBorders>
            <w:vAlign w:val="center"/>
          </w:tcPr>
          <w:p w14:paraId="7E9F93B3">
            <w:pPr>
              <w:spacing w:line="440" w:lineRule="exact"/>
              <w:jc w:val="center"/>
              <w:rPr>
                <w:rFonts w:ascii="宋体" w:hAnsi="宋体" w:cs="宋体"/>
                <w:sz w:val="24"/>
              </w:rPr>
            </w:pPr>
          </w:p>
        </w:tc>
        <w:tc>
          <w:tcPr>
            <w:tcW w:w="2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F31122">
            <w:pPr>
              <w:spacing w:line="440" w:lineRule="exact"/>
              <w:rPr>
                <w:rFonts w:ascii="宋体" w:hAnsi="宋体" w:cs="宋体"/>
                <w:sz w:val="24"/>
              </w:rPr>
            </w:pPr>
          </w:p>
        </w:tc>
        <w:tc>
          <w:tcPr>
            <w:tcW w:w="14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A705BB">
            <w:pPr>
              <w:spacing w:line="440" w:lineRule="exact"/>
              <w:jc w:val="cente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04A718">
            <w:pPr>
              <w:spacing w:line="440" w:lineRule="exact"/>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70D906E">
            <w:pPr>
              <w:spacing w:line="440" w:lineRule="exact"/>
              <w:jc w:val="center"/>
              <w:rPr>
                <w:rFonts w:ascii="宋体" w:hAnsi="宋体" w:cs="宋体"/>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7CE31FCB">
            <w:pPr>
              <w:spacing w:line="440" w:lineRule="exact"/>
              <w:jc w:val="center"/>
              <w:rPr>
                <w:rFonts w:ascii="宋体" w:hAnsi="宋体" w:cs="宋体"/>
                <w:sz w:val="24"/>
              </w:rPr>
            </w:pPr>
          </w:p>
        </w:tc>
      </w:tr>
      <w:tr w14:paraId="3B741F7D">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8760" w:type="dxa"/>
            <w:gridSpan w:val="7"/>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6AAC8319">
            <w:pPr>
              <w:spacing w:line="440" w:lineRule="exact"/>
              <w:jc w:val="left"/>
              <w:rPr>
                <w:rFonts w:ascii="宋体" w:hAnsi="宋体" w:cs="宋体"/>
                <w:sz w:val="24"/>
              </w:rPr>
            </w:pPr>
            <w:r>
              <w:rPr>
                <w:rFonts w:hint="eastAsia" w:ascii="宋体" w:hAnsi="宋体" w:cs="宋体"/>
                <w:sz w:val="24"/>
              </w:rPr>
              <w:t>总计金额大写：                            小写：</w:t>
            </w:r>
          </w:p>
        </w:tc>
      </w:tr>
    </w:tbl>
    <w:p w14:paraId="6B8FA51D">
      <w:pPr>
        <w:snapToGrid w:val="0"/>
        <w:spacing w:line="440" w:lineRule="exact"/>
        <w:ind w:firstLine="480" w:firstLineChars="200"/>
        <w:rPr>
          <w:rFonts w:ascii="宋体" w:hAnsi="宋体" w:cs="宋体"/>
          <w:b/>
          <w:sz w:val="24"/>
        </w:rPr>
      </w:pPr>
      <w:r>
        <w:rPr>
          <w:rFonts w:hint="eastAsia" w:ascii="宋体" w:hAnsi="宋体" w:cs="宋体"/>
          <w:kern w:val="0"/>
          <w:sz w:val="24"/>
        </w:rPr>
        <w:t>合同价格按此次成交价格执行，合同总金额为人民币</w:t>
      </w:r>
      <w:r>
        <w:rPr>
          <w:rFonts w:hint="eastAsia" w:ascii="宋体" w:hAnsi="宋体" w:cs="宋体"/>
          <w:kern w:val="0"/>
          <w:sz w:val="24"/>
          <w:u w:val="single"/>
        </w:rPr>
        <w:t xml:space="preserve">            元</w:t>
      </w:r>
      <w:r>
        <w:rPr>
          <w:rFonts w:hint="eastAsia" w:ascii="宋体" w:hAnsi="宋体" w:cs="宋体"/>
          <w:kern w:val="0"/>
          <w:sz w:val="24"/>
        </w:rPr>
        <w:t>整</w:t>
      </w:r>
      <w:r>
        <w:rPr>
          <w:rFonts w:hint="eastAsia" w:ascii="宋体" w:hAnsi="宋体" w:cs="宋体"/>
          <w:b/>
          <w:sz w:val="24"/>
        </w:rPr>
        <w:t>(合同价应包含完成本项目的一切费用)。</w:t>
      </w:r>
    </w:p>
    <w:p w14:paraId="754EE32A">
      <w:pPr>
        <w:spacing w:line="440" w:lineRule="exact"/>
        <w:rPr>
          <w:rFonts w:ascii="宋体" w:hAnsi="宋体" w:cs="宋体"/>
          <w:b/>
          <w:bCs/>
          <w:sz w:val="24"/>
        </w:rPr>
      </w:pPr>
      <w:r>
        <w:rPr>
          <w:rFonts w:hint="eastAsia" w:ascii="宋体" w:hAnsi="宋体" w:cs="宋体"/>
          <w:b/>
          <w:bCs/>
          <w:sz w:val="24"/>
        </w:rPr>
        <w:t>二、项目需求</w:t>
      </w:r>
    </w:p>
    <w:p w14:paraId="6586A464">
      <w:pPr>
        <w:spacing w:line="460" w:lineRule="exact"/>
        <w:ind w:firstLine="420"/>
        <w:rPr>
          <w:rFonts w:ascii="宋体" w:hAnsi="宋体" w:cs="宋体"/>
          <w:sz w:val="24"/>
        </w:rPr>
      </w:pPr>
      <w:r>
        <w:rPr>
          <w:rFonts w:ascii="宋体" w:hAnsi="宋体" w:cs="宋体"/>
          <w:sz w:val="24"/>
        </w:rPr>
        <w:t>1</w:t>
      </w:r>
      <w:r>
        <w:rPr>
          <w:rFonts w:hint="eastAsia" w:ascii="宋体" w:hAnsi="宋体" w:cs="宋体"/>
          <w:sz w:val="24"/>
        </w:rPr>
        <w:t>.按大赛要求提供项目内容约定的合格设备供大赛使用。</w:t>
      </w:r>
    </w:p>
    <w:p w14:paraId="623225CD">
      <w:pPr>
        <w:spacing w:line="460" w:lineRule="exact"/>
        <w:ind w:firstLine="420"/>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乙方负责运输、安装调试和拆除；</w:t>
      </w:r>
    </w:p>
    <w:p w14:paraId="764ECE89">
      <w:pPr>
        <w:spacing w:line="460" w:lineRule="exact"/>
        <w:ind w:firstLine="420"/>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比赛日期是202</w:t>
      </w:r>
      <w:r>
        <w:rPr>
          <w:rFonts w:ascii="宋体" w:hAnsi="宋体" w:cs="宋体"/>
          <w:sz w:val="24"/>
        </w:rPr>
        <w:t>5</w:t>
      </w:r>
      <w:r>
        <w:rPr>
          <w:rFonts w:hint="eastAsia" w:ascii="宋体" w:hAnsi="宋体" w:cs="宋体"/>
          <w:sz w:val="24"/>
        </w:rPr>
        <w:t>年  月   日到   月   日，此期间乙方必须负责保障设备良好运行，提供全程技术支持；</w:t>
      </w:r>
    </w:p>
    <w:p w14:paraId="1F307F59">
      <w:pPr>
        <w:spacing w:line="460" w:lineRule="exact"/>
        <w:ind w:firstLine="420"/>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设备需在2025年   月   号之前安装调试到位，2025年   月   日之后拆除运出。</w:t>
      </w:r>
    </w:p>
    <w:p w14:paraId="033D1602">
      <w:pPr>
        <w:spacing w:line="440" w:lineRule="exact"/>
        <w:ind w:firstLine="420"/>
        <w:rPr>
          <w:rFonts w:ascii="宋体" w:hAnsi="宋体" w:cs="宋体"/>
          <w:b/>
          <w:bCs/>
          <w:sz w:val="24"/>
        </w:rPr>
      </w:pPr>
      <w:r>
        <w:rPr>
          <w:rFonts w:hint="eastAsia" w:ascii="宋体" w:hAnsi="宋体" w:cs="仿宋"/>
          <w:sz w:val="24"/>
        </w:rPr>
        <w:t>5.乙方应注意项目实施过程中的安全，乙方应采取相应措施，并注意安装地及学院其他资产、设施及人员安全，如有损失及意外由乙方负责赔偿，并对由此造成的其他后果承担责任，与甲方无关。</w:t>
      </w:r>
    </w:p>
    <w:p w14:paraId="09D06032">
      <w:pPr>
        <w:spacing w:line="440" w:lineRule="exact"/>
        <w:rPr>
          <w:rFonts w:ascii="宋体" w:hAnsi="宋体" w:cs="宋体"/>
          <w:b/>
          <w:bCs/>
          <w:sz w:val="24"/>
        </w:rPr>
      </w:pPr>
      <w:r>
        <w:rPr>
          <w:rFonts w:hint="eastAsia" w:ascii="宋体" w:hAnsi="宋体" w:cs="宋体"/>
          <w:b/>
          <w:bCs/>
          <w:sz w:val="24"/>
        </w:rPr>
        <w:t>三、产品要求</w:t>
      </w:r>
    </w:p>
    <w:p w14:paraId="659493E5">
      <w:pPr>
        <w:spacing w:line="440" w:lineRule="exact"/>
        <w:ind w:firstLine="480" w:firstLineChars="200"/>
        <w:rPr>
          <w:rFonts w:ascii="宋体" w:hAnsi="宋体" w:cs="宋体"/>
          <w:sz w:val="24"/>
        </w:rPr>
      </w:pPr>
      <w:r>
        <w:rPr>
          <w:rFonts w:hint="eastAsia" w:ascii="宋体" w:hAnsi="宋体" w:cs="宋体"/>
          <w:sz w:val="24"/>
        </w:rPr>
        <w:t>详见项目需求</w:t>
      </w:r>
    </w:p>
    <w:p w14:paraId="122C0905">
      <w:pPr>
        <w:spacing w:line="440" w:lineRule="exact"/>
        <w:rPr>
          <w:rFonts w:ascii="宋体" w:hAnsi="宋体" w:cs="宋体"/>
          <w:sz w:val="24"/>
        </w:rPr>
      </w:pPr>
      <w:r>
        <w:rPr>
          <w:rFonts w:hint="eastAsia" w:ascii="宋体" w:hAnsi="宋体" w:cs="宋体"/>
          <w:b/>
          <w:bCs/>
          <w:sz w:val="24"/>
        </w:rPr>
        <w:t>四、验收标准</w:t>
      </w:r>
    </w:p>
    <w:p w14:paraId="2AA77238">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比赛顺利结束以后，甲方相关部门按验收工作流程组织相关专业技术人员，必要时相关部门共同参与验收，并出具验收报告，作为支付款项的依据。</w:t>
      </w:r>
    </w:p>
    <w:p w14:paraId="07A02450">
      <w:pPr>
        <w:spacing w:line="440" w:lineRule="exact"/>
        <w:rPr>
          <w:rFonts w:ascii="宋体" w:hAnsi="宋体" w:cs="宋体"/>
          <w:b/>
          <w:bCs/>
          <w:sz w:val="24"/>
        </w:rPr>
      </w:pPr>
      <w:r>
        <w:rPr>
          <w:rFonts w:hint="eastAsia" w:ascii="宋体" w:hAnsi="宋体" w:cs="宋体"/>
          <w:b/>
          <w:bCs/>
          <w:sz w:val="24"/>
        </w:rPr>
        <w:t>五、付款方式</w:t>
      </w:r>
    </w:p>
    <w:p w14:paraId="0A32DB3A">
      <w:pPr>
        <w:snapToGrid w:val="0"/>
        <w:spacing w:line="440" w:lineRule="exact"/>
        <w:ind w:firstLine="480" w:firstLineChars="200"/>
        <w:rPr>
          <w:rFonts w:ascii="宋体" w:hAnsi="宋体" w:cs="仿宋"/>
          <w:sz w:val="24"/>
        </w:rPr>
      </w:pPr>
      <w:r>
        <w:rPr>
          <w:rFonts w:hint="eastAsia" w:ascii="宋体" w:hAnsi="宋体" w:cs="仿宋"/>
          <w:sz w:val="24"/>
        </w:rPr>
        <w:t>5.1项目完成验收合格提供发票后1个月内付清全部款项。</w:t>
      </w:r>
    </w:p>
    <w:p w14:paraId="724DAF83">
      <w:pPr>
        <w:snapToGrid w:val="0"/>
        <w:spacing w:line="440" w:lineRule="exact"/>
        <w:ind w:firstLine="480" w:firstLineChars="200"/>
        <w:rPr>
          <w:rFonts w:ascii="宋体" w:hAnsi="宋体" w:cs="仿宋"/>
          <w:sz w:val="24"/>
        </w:rPr>
      </w:pPr>
      <w:r>
        <w:rPr>
          <w:rFonts w:hint="eastAsia" w:ascii="宋体" w:hAnsi="宋体" w:cs="仿宋"/>
          <w:sz w:val="24"/>
        </w:rPr>
        <w:t>款项由甲方按相关财务支付规定办理支付手续。每次付款乙方均需提供正规发票。以上付款均不计利息。</w:t>
      </w:r>
    </w:p>
    <w:p w14:paraId="42F3517B">
      <w:pPr>
        <w:snapToGrid w:val="0"/>
        <w:spacing w:line="440" w:lineRule="exact"/>
        <w:ind w:firstLine="480" w:firstLineChars="200"/>
        <w:rPr>
          <w:rFonts w:ascii="宋体" w:hAnsi="宋体" w:cs="仿宋"/>
          <w:sz w:val="24"/>
        </w:rPr>
      </w:pPr>
      <w:r>
        <w:rPr>
          <w:rFonts w:hint="eastAsia" w:ascii="宋体" w:hAnsi="宋体" w:cs="仿宋"/>
          <w:sz w:val="24"/>
        </w:rPr>
        <w:t>5.2 乙方按期交货后向甲方结算货款时须提供甲方盖章验收合格证明。</w:t>
      </w:r>
    </w:p>
    <w:p w14:paraId="6C0052E7">
      <w:pPr>
        <w:spacing w:line="440" w:lineRule="exact"/>
        <w:ind w:firstLine="484" w:firstLineChars="202"/>
      </w:pPr>
      <w:r>
        <w:rPr>
          <w:rFonts w:hint="eastAsia" w:ascii="宋体" w:hAnsi="宋体" w:cs="仿宋"/>
          <w:kern w:val="0"/>
          <w:sz w:val="24"/>
        </w:rPr>
        <w:t>5.3 根据现行税法对甲方征收的与本合同有关的一切税费均由甲方承担；根据现行税法对乙方征收的与本合同有关的一切税费均由乙方承担。</w:t>
      </w:r>
    </w:p>
    <w:p w14:paraId="7D00F0D9">
      <w:pPr>
        <w:spacing w:line="440" w:lineRule="exact"/>
        <w:rPr>
          <w:rFonts w:ascii="宋体" w:hAnsi="宋体" w:cs="宋体"/>
          <w:b/>
          <w:bCs/>
          <w:sz w:val="24"/>
        </w:rPr>
      </w:pPr>
      <w:r>
        <w:rPr>
          <w:rFonts w:hint="eastAsia" w:ascii="宋体" w:hAnsi="宋体" w:cs="宋体"/>
          <w:b/>
          <w:bCs/>
          <w:sz w:val="24"/>
        </w:rPr>
        <w:t>六、违约责任</w:t>
      </w:r>
    </w:p>
    <w:p w14:paraId="5ABDE77E">
      <w:pPr>
        <w:spacing w:line="440" w:lineRule="exact"/>
        <w:ind w:firstLine="484" w:firstLineChars="202"/>
        <w:rPr>
          <w:rFonts w:ascii="宋体" w:hAnsi="宋体" w:cs="宋体"/>
          <w:kern w:val="0"/>
          <w:sz w:val="24"/>
        </w:rPr>
      </w:pPr>
      <w:r>
        <w:rPr>
          <w:rFonts w:hint="eastAsia" w:ascii="宋体" w:hAnsi="宋体" w:cs="宋体"/>
          <w:kern w:val="0"/>
          <w:sz w:val="24"/>
        </w:rPr>
        <w:t>合同一方不履行合同义务或者履行合同义务不符合约定的，应当承担继续履行、采取补救措施或赔偿损失等违约责任。</w:t>
      </w:r>
    </w:p>
    <w:p w14:paraId="427C9625">
      <w:pPr>
        <w:spacing w:line="440" w:lineRule="exact"/>
        <w:ind w:firstLine="484" w:firstLineChars="202"/>
        <w:rPr>
          <w:rFonts w:ascii="宋体" w:hAnsi="宋体" w:cs="宋体"/>
          <w:kern w:val="0"/>
          <w:sz w:val="24"/>
        </w:rPr>
      </w:pPr>
      <w:r>
        <w:rPr>
          <w:rFonts w:hint="eastAsia" w:ascii="宋体" w:hAnsi="宋体" w:cs="宋体"/>
          <w:kern w:val="0"/>
          <w:sz w:val="24"/>
        </w:rPr>
        <w:t>6.1甲方违约责任</w:t>
      </w:r>
    </w:p>
    <w:p w14:paraId="1C78A950">
      <w:pPr>
        <w:spacing w:line="440" w:lineRule="exact"/>
        <w:ind w:firstLine="484" w:firstLineChars="202"/>
        <w:rPr>
          <w:rFonts w:ascii="宋体" w:hAnsi="宋体" w:cs="宋体"/>
          <w:kern w:val="0"/>
          <w:sz w:val="24"/>
        </w:rPr>
      </w:pPr>
      <w:r>
        <w:rPr>
          <w:rFonts w:hint="eastAsia" w:ascii="宋体" w:hAnsi="宋体" w:cs="宋体"/>
          <w:kern w:val="0"/>
          <w:sz w:val="24"/>
        </w:rPr>
        <w:t>6.1.1在合同生效后，非乙方原因甲方要求退货的，应向乙方偿付合同总价款的</w:t>
      </w:r>
      <w:r>
        <w:rPr>
          <w:rFonts w:hint="eastAsia" w:ascii="宋体" w:hAnsi="宋体" w:cs="宋体"/>
          <w:kern w:val="0"/>
          <w:sz w:val="24"/>
          <w:u w:val="single"/>
        </w:rPr>
        <w:t xml:space="preserve"> 5 </w:t>
      </w:r>
      <w:r>
        <w:rPr>
          <w:rFonts w:hint="eastAsia" w:ascii="宋体" w:hAnsi="宋体" w:cs="宋体"/>
          <w:kern w:val="0"/>
          <w:sz w:val="24"/>
        </w:rPr>
        <w:t xml:space="preserve">%，作为违约金，违约金不足以补偿损失的，乙方有权要求甲方补足； </w:t>
      </w:r>
    </w:p>
    <w:p w14:paraId="1452CF98">
      <w:pPr>
        <w:spacing w:line="440" w:lineRule="exact"/>
        <w:ind w:firstLine="484" w:firstLineChars="202"/>
        <w:rPr>
          <w:rFonts w:ascii="宋体" w:hAnsi="宋体" w:cs="宋体"/>
          <w:kern w:val="0"/>
          <w:sz w:val="24"/>
        </w:rPr>
      </w:pPr>
      <w:r>
        <w:rPr>
          <w:rFonts w:hint="eastAsia" w:ascii="宋体" w:hAnsi="宋体" w:cs="宋体"/>
          <w:kern w:val="0"/>
          <w:sz w:val="24"/>
        </w:rPr>
        <w:t>6.1.2甲方违反合同规定，拒绝接收乙方交付的合格标的物，应当承担乙方由此造成的损失。</w:t>
      </w:r>
    </w:p>
    <w:p w14:paraId="4CD6E54E">
      <w:pPr>
        <w:spacing w:line="440" w:lineRule="exact"/>
        <w:ind w:firstLine="484" w:firstLineChars="202"/>
        <w:rPr>
          <w:rFonts w:ascii="宋体" w:hAnsi="宋体" w:cs="宋体"/>
          <w:kern w:val="0"/>
          <w:sz w:val="24"/>
        </w:rPr>
      </w:pPr>
      <w:r>
        <w:rPr>
          <w:rFonts w:hint="eastAsia" w:ascii="宋体" w:hAnsi="宋体" w:cs="宋体"/>
          <w:kern w:val="0"/>
          <w:sz w:val="24"/>
        </w:rPr>
        <w:t>6.2乙方违约责任</w:t>
      </w:r>
    </w:p>
    <w:p w14:paraId="0D390E69">
      <w:pPr>
        <w:spacing w:line="440" w:lineRule="exact"/>
        <w:ind w:firstLine="484" w:firstLineChars="202"/>
        <w:rPr>
          <w:rFonts w:ascii="宋体" w:hAnsi="宋体" w:cs="宋体"/>
          <w:kern w:val="0"/>
          <w:sz w:val="24"/>
        </w:rPr>
      </w:pPr>
      <w:r>
        <w:rPr>
          <w:rFonts w:hint="eastAsia" w:ascii="宋体" w:hAnsi="宋体" w:cs="宋体"/>
          <w:kern w:val="0"/>
          <w:sz w:val="24"/>
        </w:rPr>
        <w:t>6.2.1乙方不能交货，或交货不合格从而影响甲方按期正常使用的，应向甲方偿付合同总价款</w:t>
      </w:r>
      <w:r>
        <w:rPr>
          <w:rFonts w:hint="eastAsia" w:ascii="宋体" w:hAnsi="宋体" w:cs="宋体"/>
          <w:kern w:val="0"/>
          <w:sz w:val="24"/>
          <w:u w:val="single"/>
        </w:rPr>
        <w:t xml:space="preserve">  5 </w:t>
      </w:r>
      <w:r>
        <w:rPr>
          <w:rFonts w:hint="eastAsia" w:ascii="宋体" w:hAnsi="宋体" w:cs="宋体"/>
          <w:kern w:val="0"/>
          <w:sz w:val="24"/>
        </w:rPr>
        <w:t>%的违约金，违约金不足以补偿损失的，甲方有权要求乙方补足；</w:t>
      </w:r>
    </w:p>
    <w:p w14:paraId="3D6457C6">
      <w:pPr>
        <w:spacing w:line="440" w:lineRule="exact"/>
        <w:ind w:firstLine="484" w:firstLineChars="202"/>
        <w:rPr>
          <w:rFonts w:ascii="宋体" w:hAnsi="宋体" w:cs="宋体"/>
          <w:kern w:val="0"/>
          <w:sz w:val="24"/>
        </w:rPr>
      </w:pPr>
      <w:r>
        <w:rPr>
          <w:rFonts w:hint="eastAsia" w:ascii="宋体" w:hAnsi="宋体" w:cs="宋体"/>
          <w:kern w:val="0"/>
          <w:sz w:val="24"/>
        </w:rPr>
        <w:t>6.2.2乙方逾期交货的 ，应在发货前与甲方协商，甲方仍需求的，乙方应立即发货，按照逾期交货部分货款的每天</w:t>
      </w:r>
      <w:r>
        <w:rPr>
          <w:rFonts w:hint="eastAsia" w:ascii="宋体" w:hAnsi="宋体" w:cs="宋体"/>
          <w:kern w:val="0"/>
          <w:sz w:val="24"/>
          <w:u w:val="single"/>
        </w:rPr>
        <w:t xml:space="preserve"> 5% </w:t>
      </w:r>
      <w:r>
        <w:rPr>
          <w:rFonts w:hint="eastAsia" w:ascii="宋体" w:hAnsi="宋体" w:cs="宋体"/>
          <w:kern w:val="0"/>
          <w:sz w:val="24"/>
        </w:rPr>
        <w:t>支付逾期交货违约金，同时承担甲方因此遭致的损失费用。</w:t>
      </w:r>
    </w:p>
    <w:p w14:paraId="73823838">
      <w:pPr>
        <w:spacing w:line="440" w:lineRule="exact"/>
        <w:rPr>
          <w:rFonts w:ascii="宋体" w:hAnsi="宋体" w:cs="宋体"/>
          <w:b/>
          <w:bCs/>
          <w:sz w:val="24"/>
        </w:rPr>
      </w:pPr>
      <w:r>
        <w:rPr>
          <w:rFonts w:hint="eastAsia" w:ascii="宋体" w:hAnsi="宋体" w:cs="宋体"/>
          <w:b/>
          <w:bCs/>
          <w:sz w:val="24"/>
        </w:rPr>
        <w:t>七、不可抗力</w:t>
      </w:r>
    </w:p>
    <w:p w14:paraId="5EC30F4D">
      <w:pPr>
        <w:spacing w:line="440" w:lineRule="exact"/>
        <w:ind w:firstLine="484" w:firstLineChars="202"/>
        <w:rPr>
          <w:rFonts w:ascii="宋体" w:hAnsi="宋体" w:cs="仿宋"/>
          <w:kern w:val="0"/>
          <w:sz w:val="24"/>
        </w:rPr>
      </w:pPr>
      <w:r>
        <w:rPr>
          <w:rFonts w:hint="eastAsia" w:ascii="宋体" w:hAnsi="宋体" w:cs="仿宋"/>
          <w:kern w:val="0"/>
          <w:sz w:val="24"/>
        </w:rPr>
        <w:t>7.1因不可抗力不能履行合同的，根据不可抗力的影响，部分或者全部免除责任。但合同一方延迟履行后发生不可抗力的，不能免除责任。</w:t>
      </w:r>
    </w:p>
    <w:p w14:paraId="4E0F4081">
      <w:pPr>
        <w:spacing w:line="440" w:lineRule="exact"/>
        <w:ind w:firstLine="484" w:firstLineChars="202"/>
        <w:rPr>
          <w:rFonts w:ascii="宋体" w:hAnsi="宋体" w:cs="仿宋"/>
          <w:kern w:val="0"/>
          <w:sz w:val="24"/>
        </w:rPr>
      </w:pPr>
      <w:r>
        <w:rPr>
          <w:rFonts w:hint="eastAsia" w:ascii="宋体" w:hAnsi="宋体" w:cs="仿宋"/>
          <w:kern w:val="0"/>
          <w:sz w:val="24"/>
        </w:rPr>
        <w:t>7.2合同一方因不可抗力不能履行合同的，应当及时通知对方，以减轻可能给对方造成的损失，并应当在合理期限内提供证明。</w:t>
      </w:r>
    </w:p>
    <w:p w14:paraId="3ED99C0F">
      <w:pPr>
        <w:spacing w:line="440" w:lineRule="exact"/>
        <w:rPr>
          <w:rFonts w:ascii="宋体" w:hAnsi="宋体" w:cs="宋体"/>
          <w:b/>
          <w:bCs/>
          <w:sz w:val="24"/>
        </w:rPr>
      </w:pPr>
      <w:r>
        <w:rPr>
          <w:rFonts w:hint="eastAsia" w:ascii="宋体" w:hAnsi="宋体" w:cs="宋体"/>
          <w:b/>
          <w:bCs/>
          <w:sz w:val="24"/>
        </w:rPr>
        <w:t>八、索赔</w:t>
      </w:r>
    </w:p>
    <w:p w14:paraId="1A262D8F">
      <w:pPr>
        <w:spacing w:line="440" w:lineRule="exact"/>
        <w:ind w:firstLine="484" w:firstLineChars="202"/>
        <w:rPr>
          <w:rFonts w:ascii="宋体" w:hAnsi="宋体" w:cs="仿宋"/>
          <w:kern w:val="0"/>
          <w:sz w:val="24"/>
        </w:rPr>
      </w:pPr>
      <w:r>
        <w:rPr>
          <w:rFonts w:hint="eastAsia" w:ascii="宋体" w:hAnsi="宋体" w:cs="仿宋"/>
          <w:kern w:val="0"/>
          <w:sz w:val="24"/>
        </w:rPr>
        <w:t>8.1甲方有权根据当地产品质量检验机构或其他有权部门出具的检验证书向乙方提出索赔。</w:t>
      </w:r>
    </w:p>
    <w:p w14:paraId="045BA73E">
      <w:pPr>
        <w:spacing w:line="440" w:lineRule="exact"/>
        <w:ind w:firstLine="484" w:firstLineChars="202"/>
        <w:rPr>
          <w:rFonts w:ascii="宋体" w:hAnsi="宋体" w:cs="仿宋"/>
          <w:kern w:val="0"/>
          <w:sz w:val="24"/>
        </w:rPr>
      </w:pPr>
      <w:r>
        <w:rPr>
          <w:rFonts w:hint="eastAsia" w:ascii="宋体" w:hAnsi="宋体" w:cs="仿宋"/>
          <w:kern w:val="0"/>
          <w:sz w:val="24"/>
        </w:rPr>
        <w:t>8.2在本合同规定的检验期限和质保期内，如果乙方对甲方提出的索赔或差异有责任，则乙方应按甲方同意的下列一种或多种方式解决索赔事宜：</w:t>
      </w:r>
    </w:p>
    <w:p w14:paraId="762DB06B">
      <w:pPr>
        <w:spacing w:line="440" w:lineRule="exact"/>
        <w:ind w:firstLine="484" w:firstLineChars="202"/>
        <w:rPr>
          <w:rFonts w:ascii="宋体" w:hAnsi="宋体" w:cs="仿宋"/>
          <w:kern w:val="0"/>
          <w:sz w:val="24"/>
        </w:rPr>
      </w:pPr>
      <w:r>
        <w:rPr>
          <w:rFonts w:hint="eastAsia" w:ascii="宋体" w:hAnsi="宋体" w:cs="仿宋"/>
          <w:kern w:val="0"/>
          <w:sz w:val="24"/>
        </w:rPr>
        <w:t>8.2.1乙方同意退货，并按合同规定的货币将货款退还给甲方，并且承担由此发生的一切损失和费用，包括利息、银行手续费、运费、保险费、检验费、仓储费、装卸费以及为保护退回标的物所需的其他必要费用。</w:t>
      </w:r>
    </w:p>
    <w:p w14:paraId="0CD57687">
      <w:pPr>
        <w:spacing w:line="440" w:lineRule="exact"/>
        <w:ind w:firstLine="484" w:firstLineChars="202"/>
        <w:rPr>
          <w:rFonts w:ascii="宋体" w:hAnsi="宋体" w:cs="仿宋"/>
          <w:kern w:val="0"/>
          <w:sz w:val="24"/>
        </w:rPr>
      </w:pPr>
      <w:r>
        <w:rPr>
          <w:rFonts w:hint="eastAsia" w:ascii="宋体" w:hAnsi="宋体" w:cs="仿宋"/>
          <w:kern w:val="0"/>
          <w:sz w:val="24"/>
        </w:rPr>
        <w:t>8.2.2根据标的物的低劣程度、损坏程度以及甲方遭受损失的数额，经双方协商确定降低标的物的价格。</w:t>
      </w:r>
    </w:p>
    <w:p w14:paraId="1B761066">
      <w:pPr>
        <w:spacing w:line="440" w:lineRule="exact"/>
        <w:ind w:firstLine="484" w:firstLineChars="202"/>
      </w:pPr>
      <w:r>
        <w:rPr>
          <w:rFonts w:hint="eastAsia" w:ascii="宋体" w:hAnsi="宋体" w:cs="仿宋"/>
          <w:kern w:val="0"/>
          <w:sz w:val="24"/>
        </w:rPr>
        <w:t>8.2.3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625F59B9">
      <w:pPr>
        <w:spacing w:line="440" w:lineRule="exact"/>
        <w:ind w:left="241" w:hanging="240" w:hangingChars="100"/>
        <w:rPr>
          <w:rFonts w:ascii="宋体" w:hAnsi="宋体" w:cs="宋体"/>
          <w:b/>
          <w:bCs/>
          <w:sz w:val="24"/>
        </w:rPr>
      </w:pPr>
      <w:r>
        <w:rPr>
          <w:rFonts w:hint="eastAsia" w:ascii="宋体" w:hAnsi="宋体" w:cs="宋体"/>
          <w:b/>
          <w:bCs/>
          <w:sz w:val="24"/>
        </w:rPr>
        <w:t>九、履约保证金</w:t>
      </w:r>
    </w:p>
    <w:p w14:paraId="6BB7F1F6">
      <w:pPr>
        <w:snapToGrid w:val="0"/>
        <w:spacing w:line="440" w:lineRule="exact"/>
        <w:ind w:firstLine="494" w:firstLineChars="206"/>
        <w:rPr>
          <w:rFonts w:ascii="宋体" w:hAnsi="宋体" w:cs="仿宋"/>
          <w:sz w:val="24"/>
        </w:rPr>
      </w:pPr>
      <w:r>
        <w:rPr>
          <w:rFonts w:hint="eastAsia" w:ascii="宋体" w:hAnsi="宋体" w:cs="仿宋"/>
          <w:sz w:val="24"/>
        </w:rPr>
        <w:t>9.1乙方按采购文件规定缴纳了</w:t>
      </w:r>
      <w:r>
        <w:rPr>
          <w:rFonts w:ascii="宋体" w:hAnsi="宋体" w:cs="Calibri"/>
          <w:sz w:val="24"/>
          <w:u w:val="single"/>
        </w:rPr>
        <w:t>   </w:t>
      </w:r>
      <w:r>
        <w:rPr>
          <w:rFonts w:hint="eastAsia" w:ascii="宋体" w:hAnsi="宋体" w:cs="仿宋"/>
          <w:sz w:val="24"/>
        </w:rPr>
        <w:t>元的履约保证金，</w:t>
      </w:r>
      <w:r>
        <w:rPr>
          <w:rFonts w:hint="eastAsia" w:ascii="宋体" w:hAnsi="宋体" w:cs="宋体"/>
          <w:kern w:val="0"/>
          <w:sz w:val="24"/>
        </w:rPr>
        <w:t>经甲方验收合格无质量、进度等问题的，甲方在验收合格后一次性退还履约保证金（无息）</w:t>
      </w:r>
      <w:r>
        <w:rPr>
          <w:rFonts w:hint="eastAsia" w:ascii="宋体" w:hAnsi="宋体" w:cs="仿宋"/>
          <w:sz w:val="24"/>
        </w:rPr>
        <w:t>。</w:t>
      </w:r>
    </w:p>
    <w:p w14:paraId="725FDF9E">
      <w:pPr>
        <w:snapToGrid w:val="0"/>
        <w:spacing w:line="440" w:lineRule="exact"/>
        <w:ind w:firstLine="494" w:firstLineChars="206"/>
        <w:rPr>
          <w:rFonts w:ascii="宋体" w:hAnsi="宋体" w:cs="宋体"/>
          <w:kern w:val="0"/>
          <w:sz w:val="24"/>
        </w:rPr>
      </w:pPr>
      <w:r>
        <w:rPr>
          <w:rFonts w:hint="eastAsia" w:ascii="宋体" w:hAnsi="宋体" w:cs="仿宋"/>
          <w:sz w:val="24"/>
        </w:rPr>
        <w:t>9.2</w:t>
      </w:r>
      <w:r>
        <w:rPr>
          <w:rFonts w:hint="eastAsia" w:ascii="宋体" w:hAnsi="宋体" w:cs="宋体"/>
          <w:kern w:val="0"/>
          <w:sz w:val="24"/>
        </w:rPr>
        <w:t>发生以下情况的，履约保证金不予退还或部分退还：</w:t>
      </w:r>
    </w:p>
    <w:p w14:paraId="772B9D25">
      <w:pPr>
        <w:spacing w:line="460" w:lineRule="exact"/>
        <w:ind w:firstLine="480" w:firstLineChars="200"/>
        <w:outlineLvl w:val="2"/>
        <w:rPr>
          <w:rFonts w:ascii="宋体" w:hAnsi="宋体" w:cs="宋体"/>
          <w:kern w:val="0"/>
          <w:sz w:val="24"/>
        </w:rPr>
      </w:pPr>
      <w:r>
        <w:rPr>
          <w:rFonts w:hint="eastAsia" w:ascii="宋体" w:hAnsi="宋体" w:cs="宋体"/>
          <w:kern w:val="0"/>
          <w:sz w:val="24"/>
        </w:rPr>
        <w:t>a.签订合同后，乙方不履行合同义务的，甲方有权全额扣除履约保证金，全额不予退还，同时甲方亦有权终止合同，乙方还须承担相应的法律赔偿责任。</w:t>
      </w:r>
    </w:p>
    <w:p w14:paraId="084A323B">
      <w:pPr>
        <w:spacing w:line="460" w:lineRule="exact"/>
        <w:ind w:firstLine="480" w:firstLineChars="200"/>
        <w:outlineLvl w:val="2"/>
        <w:rPr>
          <w:rFonts w:ascii="宋体" w:hAnsi="宋体" w:cs="宋体"/>
          <w:kern w:val="0"/>
          <w:sz w:val="24"/>
        </w:rPr>
      </w:pPr>
      <w:r>
        <w:rPr>
          <w:rFonts w:hint="eastAsia" w:ascii="宋体" w:hAnsi="宋体" w:cs="宋体"/>
          <w:kern w:val="0"/>
          <w:sz w:val="24"/>
        </w:rPr>
        <w:t>b.乙方在履约过程中发生违约行为，给甲方造成损失的，甲方有权在履约保证金中予以扣款，以弥补甲方经济损失，不足的部分乙方另外补齐。</w:t>
      </w:r>
    </w:p>
    <w:p w14:paraId="0269A9BB">
      <w:pPr>
        <w:spacing w:line="440" w:lineRule="exact"/>
        <w:ind w:left="241" w:hanging="240" w:hangingChars="100"/>
        <w:rPr>
          <w:rFonts w:ascii="宋体" w:hAnsi="宋体" w:cs="宋体"/>
          <w:b/>
          <w:bCs/>
          <w:sz w:val="24"/>
        </w:rPr>
      </w:pPr>
      <w:r>
        <w:rPr>
          <w:rFonts w:hint="eastAsia" w:ascii="宋体" w:hAnsi="宋体" w:cs="宋体"/>
          <w:b/>
          <w:bCs/>
          <w:sz w:val="24"/>
        </w:rPr>
        <w:t>十、合同的解除和转让</w:t>
      </w:r>
    </w:p>
    <w:p w14:paraId="18BA59A4">
      <w:pPr>
        <w:spacing w:line="440" w:lineRule="exact"/>
        <w:ind w:firstLine="484" w:firstLineChars="202"/>
        <w:rPr>
          <w:rFonts w:ascii="宋体" w:hAnsi="宋体" w:cs="仿宋"/>
          <w:kern w:val="0"/>
          <w:sz w:val="24"/>
        </w:rPr>
      </w:pPr>
      <w:r>
        <w:rPr>
          <w:rFonts w:hint="eastAsia" w:ascii="宋体" w:hAnsi="宋体" w:cs="仿宋"/>
          <w:kern w:val="0"/>
          <w:sz w:val="24"/>
        </w:rPr>
        <w:t>10.1甲方和乙方协商一致，可以解除合同。</w:t>
      </w:r>
    </w:p>
    <w:p w14:paraId="420731AD">
      <w:pPr>
        <w:spacing w:line="440" w:lineRule="exact"/>
        <w:ind w:firstLine="484" w:firstLineChars="202"/>
        <w:rPr>
          <w:rFonts w:ascii="宋体" w:hAnsi="宋体" w:cs="仿宋"/>
          <w:kern w:val="0"/>
          <w:sz w:val="24"/>
        </w:rPr>
      </w:pPr>
      <w:r>
        <w:rPr>
          <w:rFonts w:hint="eastAsia" w:ascii="宋体" w:hAnsi="宋体" w:cs="仿宋"/>
          <w:kern w:val="0"/>
          <w:sz w:val="24"/>
        </w:rPr>
        <w:t>10.2有下列情形之一，合同一方可以解除合同：</w:t>
      </w:r>
    </w:p>
    <w:p w14:paraId="7A6304A4">
      <w:pPr>
        <w:spacing w:line="440" w:lineRule="exact"/>
        <w:ind w:firstLine="484" w:firstLineChars="202"/>
        <w:rPr>
          <w:rFonts w:ascii="宋体" w:hAnsi="宋体" w:cs="仿宋"/>
          <w:kern w:val="0"/>
          <w:sz w:val="24"/>
        </w:rPr>
      </w:pPr>
      <w:r>
        <w:rPr>
          <w:rFonts w:hint="eastAsia" w:ascii="宋体" w:hAnsi="宋体" w:cs="仿宋"/>
          <w:kern w:val="0"/>
          <w:sz w:val="24"/>
        </w:rPr>
        <w:t>10.2.1因不可抗力致使不能实现合同目的，未受不可抗力影响的一方有权解除合同；</w:t>
      </w:r>
    </w:p>
    <w:p w14:paraId="7E50D12E">
      <w:pPr>
        <w:spacing w:line="440" w:lineRule="exact"/>
        <w:ind w:firstLine="480" w:firstLineChars="200"/>
        <w:rPr>
          <w:rFonts w:ascii="宋体" w:hAnsi="宋体" w:cs="仿宋"/>
          <w:kern w:val="0"/>
          <w:sz w:val="24"/>
        </w:rPr>
      </w:pPr>
      <w:r>
        <w:rPr>
          <w:rFonts w:hint="eastAsia" w:ascii="宋体" w:hAnsi="宋体" w:cs="仿宋"/>
          <w:kern w:val="0"/>
          <w:sz w:val="24"/>
        </w:rPr>
        <w:t>10.2.2因合同一方违约导致合同不能履行，另一方有权解除合同；</w:t>
      </w:r>
    </w:p>
    <w:p w14:paraId="3C5D4387">
      <w:pPr>
        <w:spacing w:line="440" w:lineRule="exact"/>
        <w:ind w:firstLine="484" w:firstLineChars="202"/>
        <w:rPr>
          <w:rFonts w:ascii="宋体" w:hAnsi="宋体" w:cs="仿宋"/>
          <w:kern w:val="0"/>
          <w:sz w:val="24"/>
        </w:rPr>
      </w:pPr>
      <w:r>
        <w:rPr>
          <w:rFonts w:hint="eastAsia" w:ascii="宋体" w:hAnsi="宋体" w:cs="仿宋"/>
          <w:kern w:val="0"/>
          <w:sz w:val="24"/>
        </w:rPr>
        <w:t>10.2.3有权解除合同的一方，应当在违约事实或不可抗力发生之后三十天内书面通知对方以主张解除合同，合同在书面通知到达对方时解除。</w:t>
      </w:r>
    </w:p>
    <w:p w14:paraId="6DC917A6">
      <w:pPr>
        <w:spacing w:line="440" w:lineRule="exact"/>
        <w:ind w:firstLine="484" w:firstLineChars="202"/>
      </w:pPr>
      <w:r>
        <w:rPr>
          <w:rFonts w:hint="eastAsia" w:ascii="宋体" w:hAnsi="宋体" w:cs="仿宋"/>
          <w:kern w:val="0"/>
          <w:sz w:val="24"/>
        </w:rPr>
        <w:t>10.3合同的部分和全部都不得转让。</w:t>
      </w:r>
    </w:p>
    <w:p w14:paraId="7134717B">
      <w:pPr>
        <w:spacing w:line="440" w:lineRule="exact"/>
        <w:ind w:left="241" w:hanging="240" w:hangingChars="100"/>
        <w:rPr>
          <w:rFonts w:ascii="宋体" w:hAnsi="宋体" w:cs="宋体"/>
          <w:b/>
          <w:bCs/>
          <w:sz w:val="24"/>
        </w:rPr>
      </w:pPr>
      <w:r>
        <w:rPr>
          <w:rFonts w:hint="eastAsia" w:ascii="宋体" w:hAnsi="宋体" w:cs="宋体"/>
          <w:b/>
          <w:bCs/>
          <w:sz w:val="24"/>
        </w:rPr>
        <w:t>十一、争议的解决</w:t>
      </w:r>
    </w:p>
    <w:p w14:paraId="1C677E91">
      <w:pPr>
        <w:spacing w:line="440" w:lineRule="exact"/>
        <w:ind w:firstLine="435"/>
        <w:jc w:val="left"/>
        <w:rPr>
          <w:rFonts w:ascii="宋体" w:hAnsi="宋体" w:cs="宋体"/>
          <w:sz w:val="24"/>
        </w:rPr>
      </w:pPr>
      <w:r>
        <w:rPr>
          <w:rFonts w:hint="eastAsia" w:ascii="宋体" w:hAnsi="宋体" w:cs="宋体"/>
          <w:sz w:val="24"/>
        </w:rPr>
        <w:t>对于履行本合同发生的任何纠纷，甲、乙双方首先应本着友好的原则进行协商解决；如协商不成，可由当地行政管理部门调解；协商或调解不成的，按下列二种方式解决：（一）提交南通市仲裁委员会仲裁；（二）依法向南通市人民法院起诉。</w:t>
      </w:r>
    </w:p>
    <w:p w14:paraId="202BF2D3">
      <w:pPr>
        <w:spacing w:line="440" w:lineRule="exact"/>
        <w:jc w:val="left"/>
        <w:rPr>
          <w:rFonts w:ascii="宋体" w:hAnsi="宋体" w:cs="宋体"/>
          <w:b/>
          <w:bCs/>
          <w:sz w:val="24"/>
        </w:rPr>
      </w:pPr>
      <w:r>
        <w:rPr>
          <w:rFonts w:hint="eastAsia" w:ascii="宋体" w:hAnsi="宋体" w:cs="宋体"/>
          <w:b/>
          <w:bCs/>
          <w:sz w:val="24"/>
        </w:rPr>
        <w:t>十二、本合同自签订日起生效</w:t>
      </w:r>
    </w:p>
    <w:p w14:paraId="1799103A">
      <w:pPr>
        <w:spacing w:line="440" w:lineRule="exact"/>
        <w:ind w:firstLine="480" w:firstLineChars="200"/>
        <w:jc w:val="left"/>
        <w:rPr>
          <w:rFonts w:ascii="宋体" w:hAnsi="宋体" w:cs="宋体"/>
          <w:sz w:val="24"/>
        </w:rPr>
      </w:pPr>
      <w:r>
        <w:rPr>
          <w:rFonts w:hint="eastAsia" w:ascii="宋体" w:hAnsi="宋体" w:cs="宋体"/>
          <w:sz w:val="24"/>
        </w:rPr>
        <w:t>本合同成立后，甲乙双方均不得随意变更或解除合同，本合同如有未尽事宜，须经双方共同协商作出补充规定，补充规定与本合同具有同等效力。</w:t>
      </w:r>
    </w:p>
    <w:p w14:paraId="361C27C8">
      <w:pPr>
        <w:spacing w:line="440" w:lineRule="exact"/>
        <w:ind w:firstLine="480" w:firstLineChars="200"/>
        <w:jc w:val="left"/>
      </w:pPr>
      <w:r>
        <w:rPr>
          <w:rFonts w:hint="eastAsia" w:ascii="宋体" w:hAnsi="宋体" w:cs="宋体"/>
          <w:sz w:val="24"/>
        </w:rPr>
        <w:t>本合同共陆份，甲方伍份，乙方壹份。</w:t>
      </w:r>
    </w:p>
    <w:p w14:paraId="1D6D802C">
      <w:pPr>
        <w:spacing w:line="440" w:lineRule="exact"/>
        <w:rPr>
          <w:rFonts w:ascii="宋体" w:hAnsi="宋体" w:cs="宋体"/>
          <w:b/>
          <w:bCs/>
          <w:sz w:val="24"/>
        </w:rPr>
      </w:pPr>
      <w:r>
        <w:rPr>
          <w:rFonts w:hint="eastAsia" w:ascii="宋体" w:hAnsi="宋体" w:cs="宋体"/>
          <w:b/>
          <w:bCs/>
          <w:sz w:val="24"/>
        </w:rPr>
        <w:t>甲方:                                    乙方:</w:t>
      </w:r>
    </w:p>
    <w:p w14:paraId="301861BA">
      <w:pPr>
        <w:spacing w:line="440" w:lineRule="exact"/>
        <w:ind w:left="6240" w:hanging="6240" w:hangingChars="2600"/>
        <w:jc w:val="left"/>
        <w:rPr>
          <w:rFonts w:ascii="宋体" w:hAnsi="宋体" w:cs="宋体"/>
          <w:sz w:val="24"/>
        </w:rPr>
      </w:pPr>
      <w:r>
        <w:rPr>
          <w:rFonts w:hint="eastAsia" w:ascii="宋体" w:hAnsi="宋体" w:cs="宋体"/>
          <w:sz w:val="24"/>
        </w:rPr>
        <w:t>单位名称：              单位名称：</w:t>
      </w:r>
    </w:p>
    <w:p w14:paraId="0DFC68F1">
      <w:pPr>
        <w:spacing w:line="440" w:lineRule="exact"/>
        <w:ind w:left="6240" w:hanging="6240" w:hangingChars="2600"/>
        <w:jc w:val="left"/>
        <w:rPr>
          <w:rFonts w:ascii="宋体" w:hAnsi="宋体" w:cs="宋体"/>
          <w:sz w:val="24"/>
        </w:rPr>
      </w:pPr>
      <w:r>
        <w:rPr>
          <w:rFonts w:hint="eastAsia" w:ascii="宋体" w:hAnsi="宋体" w:cs="宋体"/>
          <w:sz w:val="24"/>
        </w:rPr>
        <w:t>单位地址：       单位地址：</w:t>
      </w:r>
    </w:p>
    <w:p w14:paraId="6E0BD426">
      <w:pPr>
        <w:spacing w:line="440" w:lineRule="exact"/>
        <w:jc w:val="left"/>
        <w:rPr>
          <w:rFonts w:ascii="宋体" w:hAnsi="宋体" w:cs="宋体"/>
          <w:sz w:val="24"/>
        </w:rPr>
      </w:pPr>
      <w:r>
        <w:rPr>
          <w:rFonts w:hint="eastAsia" w:ascii="宋体" w:hAnsi="宋体" w:cs="宋体"/>
          <w:sz w:val="24"/>
        </w:rPr>
        <w:t>法定代表人：                             法定代表人：</w:t>
      </w:r>
    </w:p>
    <w:p w14:paraId="5C281877">
      <w:pPr>
        <w:spacing w:line="440" w:lineRule="exact"/>
        <w:jc w:val="left"/>
        <w:rPr>
          <w:rFonts w:ascii="宋体" w:hAnsi="宋体" w:cs="宋体"/>
          <w:sz w:val="24"/>
        </w:rPr>
      </w:pPr>
      <w:r>
        <w:rPr>
          <w:rFonts w:hint="eastAsia" w:ascii="宋体" w:hAnsi="宋体" w:cs="宋体"/>
          <w:sz w:val="24"/>
        </w:rPr>
        <w:t>委托代理人：                             委托代理人：</w:t>
      </w:r>
    </w:p>
    <w:p w14:paraId="154C6AD8">
      <w:pPr>
        <w:spacing w:line="440" w:lineRule="exact"/>
        <w:jc w:val="left"/>
        <w:rPr>
          <w:rFonts w:ascii="宋体" w:hAnsi="宋体" w:cs="宋体"/>
          <w:sz w:val="24"/>
        </w:rPr>
      </w:pPr>
      <w:r>
        <w:rPr>
          <w:rFonts w:hint="eastAsia" w:ascii="宋体" w:hAnsi="宋体" w:cs="宋体"/>
          <w:sz w:val="24"/>
        </w:rPr>
        <w:t>电话：                                    电话：</w:t>
      </w:r>
    </w:p>
    <w:p w14:paraId="721BF34B">
      <w:pPr>
        <w:spacing w:line="440" w:lineRule="exact"/>
        <w:jc w:val="left"/>
        <w:rPr>
          <w:rFonts w:ascii="宋体" w:hAnsi="宋体" w:cs="宋体"/>
          <w:sz w:val="24"/>
        </w:rPr>
      </w:pPr>
      <w:r>
        <w:rPr>
          <w:rFonts w:hint="eastAsia" w:ascii="宋体" w:hAnsi="宋体" w:cs="宋体"/>
          <w:sz w:val="24"/>
        </w:rPr>
        <w:t>开户银行：                                开户银行：</w:t>
      </w:r>
    </w:p>
    <w:p w14:paraId="42AD359F">
      <w:pPr>
        <w:spacing w:line="440" w:lineRule="exact"/>
        <w:jc w:val="left"/>
        <w:sectPr>
          <w:headerReference r:id="rId3" w:type="default"/>
          <w:pgSz w:w="11906" w:h="16838"/>
          <w:pgMar w:top="1134" w:right="1134" w:bottom="1134" w:left="1134" w:header="851" w:footer="992" w:gutter="0"/>
          <w:cols w:space="720" w:num="1"/>
          <w:docGrid w:type="linesAndChars" w:linePitch="312" w:charSpace="0"/>
        </w:sectPr>
      </w:pPr>
      <w:r>
        <w:rPr>
          <w:rFonts w:hint="eastAsia" w:ascii="宋体" w:hAnsi="宋体" w:cs="宋体"/>
          <w:sz w:val="24"/>
        </w:rPr>
        <w:t>帐号：                                    帐号：</w:t>
      </w:r>
    </w:p>
    <w:p w14:paraId="73EDCA5B">
      <w:p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
          <w:bCs/>
          <w:sz w:val="32"/>
          <w:szCs w:val="32"/>
        </w:rPr>
        <w:t>第六部分   质疑与投诉</w:t>
      </w:r>
    </w:p>
    <w:p w14:paraId="71A87B98">
      <w:pPr>
        <w:adjustRightInd w:val="0"/>
        <w:snapToGrid w:val="0"/>
        <w:spacing w:line="460" w:lineRule="exact"/>
        <w:ind w:firstLine="480" w:firstLineChars="200"/>
        <w:rPr>
          <w:rFonts w:ascii="宋体" w:hAnsi="宋体" w:cs="仿宋"/>
          <w:sz w:val="24"/>
        </w:rPr>
      </w:pPr>
      <w:r>
        <w:rPr>
          <w:rFonts w:hint="eastAsia" w:ascii="宋体" w:hAnsi="宋体" w:cs="仿宋"/>
          <w:sz w:val="24"/>
        </w:rPr>
        <w:t>一、质疑的提出</w:t>
      </w:r>
    </w:p>
    <w:p w14:paraId="625B343E">
      <w:pPr>
        <w:adjustRightInd w:val="0"/>
        <w:snapToGrid w:val="0"/>
        <w:spacing w:line="460" w:lineRule="exact"/>
        <w:ind w:firstLine="480" w:firstLineChars="200"/>
        <w:rPr>
          <w:rFonts w:ascii="宋体" w:hAnsi="宋体" w:cs="仿宋"/>
          <w:sz w:val="24"/>
        </w:rPr>
      </w:pPr>
      <w:r>
        <w:rPr>
          <w:rFonts w:hint="eastAsia" w:ascii="宋体" w:hAnsi="宋体" w:cs="仿宋"/>
          <w:sz w:val="24"/>
        </w:rPr>
        <w:t>1.质疑人必须是直接参加本次投标活动的当事人。</w:t>
      </w:r>
    </w:p>
    <w:p w14:paraId="586662B1">
      <w:pPr>
        <w:adjustRightInd w:val="0"/>
        <w:snapToGrid w:val="0"/>
        <w:spacing w:line="460" w:lineRule="exact"/>
        <w:ind w:firstLine="480" w:firstLineChars="200"/>
        <w:rPr>
          <w:rFonts w:ascii="宋体" w:hAnsi="宋体" w:cs="仿宋"/>
          <w:sz w:val="24"/>
        </w:rPr>
      </w:pPr>
      <w:r>
        <w:rPr>
          <w:rFonts w:hint="eastAsia" w:ascii="宋体" w:hAnsi="宋体" w:cs="仿宋"/>
          <w:sz w:val="24"/>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53F6E2A8">
      <w:pPr>
        <w:adjustRightInd w:val="0"/>
        <w:snapToGrid w:val="0"/>
        <w:spacing w:line="460" w:lineRule="exact"/>
        <w:ind w:firstLine="480" w:firstLineChars="200"/>
        <w:rPr>
          <w:rFonts w:ascii="宋体" w:hAnsi="宋体" w:cs="仿宋"/>
          <w:sz w:val="24"/>
        </w:rPr>
      </w:pPr>
      <w:r>
        <w:rPr>
          <w:rFonts w:hint="eastAsia" w:ascii="宋体" w:hAnsi="宋体" w:cs="仿宋"/>
          <w:sz w:val="24"/>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42993C7C">
      <w:pPr>
        <w:adjustRightInd w:val="0"/>
        <w:snapToGrid w:val="0"/>
        <w:spacing w:line="460" w:lineRule="exact"/>
        <w:ind w:firstLine="480" w:firstLineChars="200"/>
        <w:rPr>
          <w:rFonts w:ascii="宋体" w:hAnsi="宋体" w:cs="仿宋"/>
          <w:sz w:val="24"/>
        </w:rPr>
      </w:pPr>
      <w:r>
        <w:rPr>
          <w:rFonts w:hint="eastAsia" w:ascii="宋体" w:hAnsi="宋体" w:cs="仿宋"/>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1A64031E">
      <w:pPr>
        <w:adjustRightInd w:val="0"/>
        <w:snapToGrid w:val="0"/>
        <w:spacing w:line="460" w:lineRule="exact"/>
        <w:ind w:firstLine="480" w:firstLineChars="200"/>
        <w:rPr>
          <w:rFonts w:ascii="宋体" w:hAnsi="宋体" w:cs="仿宋"/>
          <w:sz w:val="24"/>
        </w:rPr>
      </w:pPr>
      <w:r>
        <w:rPr>
          <w:rFonts w:hint="eastAsia" w:ascii="宋体" w:hAnsi="宋体" w:cs="仿宋"/>
          <w:sz w:val="24"/>
        </w:rPr>
        <w:t>对不能提供相关佐证材料的、涉及商业秘密的、非书面形式的、非送达的、匿名的《质疑函》将不予受理。</w:t>
      </w:r>
    </w:p>
    <w:p w14:paraId="4CA78B8D">
      <w:pPr>
        <w:adjustRightInd w:val="0"/>
        <w:snapToGrid w:val="0"/>
        <w:spacing w:line="460" w:lineRule="exact"/>
        <w:ind w:firstLine="480" w:firstLineChars="200"/>
        <w:rPr>
          <w:rFonts w:ascii="宋体" w:hAnsi="宋体" w:cs="仿宋"/>
          <w:sz w:val="24"/>
        </w:rPr>
      </w:pPr>
      <w:r>
        <w:rPr>
          <w:rFonts w:hint="eastAsia" w:ascii="宋体" w:hAnsi="宋体" w:cs="仿宋"/>
          <w:sz w:val="24"/>
        </w:rPr>
        <w:t>相关佐证材料要具备客观性、关联性、合法性，无法查实的（如宣传册、媒体报道、猜测、推理等）不能作为佐证材料。</w:t>
      </w:r>
    </w:p>
    <w:p w14:paraId="74E82166">
      <w:pPr>
        <w:adjustRightInd w:val="0"/>
        <w:snapToGrid w:val="0"/>
        <w:spacing w:line="460" w:lineRule="exact"/>
        <w:ind w:firstLine="480" w:firstLineChars="200"/>
        <w:rPr>
          <w:rFonts w:ascii="宋体" w:hAnsi="宋体" w:cs="仿宋"/>
          <w:sz w:val="24"/>
        </w:rPr>
      </w:pPr>
      <w:r>
        <w:rPr>
          <w:rFonts w:hint="eastAsia" w:ascii="宋体" w:hAnsi="宋体" w:cs="仿宋"/>
          <w:sz w:val="24"/>
        </w:rPr>
        <w:t>招标单位或代理机构不负责搜集相关佐证材料等工作。</w:t>
      </w:r>
    </w:p>
    <w:p w14:paraId="5A3DA5CD">
      <w:pPr>
        <w:adjustRightInd w:val="0"/>
        <w:snapToGrid w:val="0"/>
        <w:spacing w:line="460" w:lineRule="exact"/>
        <w:ind w:firstLine="480" w:firstLineChars="200"/>
        <w:rPr>
          <w:rFonts w:ascii="宋体" w:hAnsi="宋体" w:cs="仿宋"/>
          <w:sz w:val="24"/>
        </w:rPr>
      </w:pPr>
      <w:r>
        <w:rPr>
          <w:rFonts w:hint="eastAsia" w:ascii="宋体" w:hAnsi="宋体" w:cs="仿宋"/>
          <w:sz w:val="24"/>
        </w:rPr>
        <w:t>二、《质疑函》的受理和回复</w:t>
      </w:r>
    </w:p>
    <w:p w14:paraId="2C025FCC">
      <w:pPr>
        <w:adjustRightInd w:val="0"/>
        <w:snapToGrid w:val="0"/>
        <w:spacing w:line="460" w:lineRule="exact"/>
        <w:ind w:firstLine="480" w:firstLineChars="200"/>
        <w:rPr>
          <w:rFonts w:ascii="宋体" w:hAnsi="宋体" w:cs="仿宋"/>
          <w:sz w:val="24"/>
        </w:rPr>
      </w:pPr>
      <w:r>
        <w:rPr>
          <w:rFonts w:hint="eastAsia" w:ascii="宋体" w:hAnsi="宋体" w:cs="仿宋"/>
          <w:sz w:val="24"/>
        </w:rPr>
        <w:t>1.《质疑函》须由质疑人的法定代表人或参加本次投标授权人送达招标单位和代理机构。</w:t>
      </w:r>
    </w:p>
    <w:p w14:paraId="5B1F28F1">
      <w:pPr>
        <w:adjustRightInd w:val="0"/>
        <w:snapToGrid w:val="0"/>
        <w:spacing w:line="460" w:lineRule="exact"/>
        <w:ind w:firstLine="480" w:firstLineChars="200"/>
        <w:rPr>
          <w:rFonts w:ascii="宋体" w:hAnsi="宋体" w:cs="仿宋"/>
          <w:sz w:val="24"/>
        </w:rPr>
      </w:pPr>
      <w:r>
        <w:rPr>
          <w:rFonts w:hint="eastAsia" w:ascii="宋体" w:hAnsi="宋体" w:cs="仿宋"/>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2279D833">
      <w:pPr>
        <w:adjustRightInd w:val="0"/>
        <w:snapToGrid w:val="0"/>
        <w:spacing w:line="460" w:lineRule="exact"/>
        <w:ind w:firstLine="480" w:firstLineChars="200"/>
        <w:rPr>
          <w:rFonts w:ascii="宋体" w:hAnsi="宋体" w:cs="仿宋"/>
          <w:sz w:val="24"/>
        </w:rPr>
      </w:pPr>
      <w:r>
        <w:rPr>
          <w:rFonts w:hint="eastAsia" w:ascii="宋体" w:hAnsi="宋体" w:cs="仿宋"/>
          <w:sz w:val="24"/>
        </w:rPr>
        <w:t>3.对不符合提出质疑要求的，出具《质疑退回通知书》并提出相关补充材料要求，质疑人未在规定的时间内提供补充佐证材料的，视同放弃质疑。</w:t>
      </w:r>
    </w:p>
    <w:p w14:paraId="7F0E6CFB">
      <w:pPr>
        <w:adjustRightInd w:val="0"/>
        <w:snapToGrid w:val="0"/>
        <w:spacing w:line="460" w:lineRule="exact"/>
        <w:ind w:firstLine="480" w:firstLineChars="200"/>
        <w:rPr>
          <w:rFonts w:ascii="宋体" w:hAnsi="宋体" w:cs="仿宋"/>
          <w:sz w:val="24"/>
        </w:rPr>
      </w:pPr>
      <w:r>
        <w:rPr>
          <w:rFonts w:hint="eastAsia" w:ascii="宋体" w:hAnsi="宋体" w:cs="仿宋"/>
          <w:sz w:val="24"/>
        </w:rPr>
        <w:t>4.招标单位、代理机构负责将质疑人提出的质疑相关材料提供给相关专家或评标小组审核，并将审核意见回复质疑人。</w:t>
      </w:r>
    </w:p>
    <w:p w14:paraId="746D6DC3">
      <w:pPr>
        <w:adjustRightInd w:val="0"/>
        <w:snapToGrid w:val="0"/>
        <w:spacing w:line="460" w:lineRule="exact"/>
        <w:ind w:firstLine="480" w:firstLineChars="200"/>
        <w:rPr>
          <w:rFonts w:ascii="宋体" w:hAnsi="宋体" w:cs="仿宋"/>
          <w:sz w:val="24"/>
        </w:rPr>
      </w:pPr>
      <w:r>
        <w:rPr>
          <w:rFonts w:hint="eastAsia" w:ascii="宋体" w:hAnsi="宋体" w:cs="仿宋"/>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1D70DFCD">
      <w:pPr>
        <w:adjustRightInd w:val="0"/>
        <w:snapToGrid w:val="0"/>
        <w:spacing w:line="460" w:lineRule="exact"/>
        <w:ind w:firstLine="480" w:firstLineChars="200"/>
        <w:rPr>
          <w:rFonts w:ascii="宋体" w:hAnsi="宋体" w:cs="仿宋"/>
          <w:sz w:val="24"/>
        </w:rPr>
      </w:pPr>
      <w:r>
        <w:rPr>
          <w:rFonts w:hint="eastAsia" w:ascii="宋体" w:hAnsi="宋体" w:cs="仿宋"/>
          <w:sz w:val="24"/>
        </w:rPr>
        <w:t>5.因质疑情况复杂，组织论证或审查时间较长的，招标人、代理机构以书面形式通知质疑人，可适当延长质疑回复处理时间。</w:t>
      </w:r>
    </w:p>
    <w:p w14:paraId="20D0CB25">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三、质疑处理</w:t>
      </w:r>
    </w:p>
    <w:p w14:paraId="3B2F367A">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1.质疑成立的处理。招标人或代理机构终止招标，并建议有关部门给相关当事人予以处理。</w:t>
      </w:r>
    </w:p>
    <w:p w14:paraId="6E4F3192">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2.质疑不成立的处理。</w:t>
      </w:r>
    </w:p>
    <w:p w14:paraId="2A5FE68E">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1）质疑人书面《申请撤回质疑函》的，不作违约处理。</w:t>
      </w:r>
    </w:p>
    <w:p w14:paraId="5F00A406">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2）质疑人在规定的时间内不配合进行质疑调查处理的，按自动撤回《质疑函》处理。</w:t>
      </w:r>
    </w:p>
    <w:p w14:paraId="0BFA91C4">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3）质疑人不按《质疑函》格式就提出质疑的，作违约处理。同时，视情列入不良投标人名单。</w:t>
      </w:r>
    </w:p>
    <w:p w14:paraId="241F6E39">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4）质疑人虽提供了相关佐证材料，但不能证明其质疑成立的，招标人或代理机构请质疑人补充相关佐证材料，仍不能证明其质疑成立的，作违约处理。</w:t>
      </w:r>
    </w:p>
    <w:p w14:paraId="4FBB7E0C">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5）质疑人不能提供相关佐证材料的，招标人、代理机构已指出，质疑人仍然坚持提出质疑的，作违约处理。</w:t>
      </w:r>
    </w:p>
    <w:p w14:paraId="58F94104">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6）对明显有违事实的、经相关专家或评标小组认定无依据的、经其他投标人举证无依据的质疑，作违约处理，视情在招标人官网媒体予以披露。</w:t>
      </w:r>
    </w:p>
    <w:p w14:paraId="68A8E28B">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7）质疑人承担使用虚假材料或恶意方式质疑的法律责任。</w:t>
      </w:r>
    </w:p>
    <w:p w14:paraId="6DDD7860">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四、无佐证材料的举报作违约处理。投标人不得进行不提供相关佐证材料（含无法查实的如宣传册、媒体报道、猜测、推理等）向有关部门的举报，否则作违约处理。</w:t>
      </w:r>
    </w:p>
    <w:p w14:paraId="69FCAED3">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五、投诉不成立的作违约处理。投标人进行质疑后，招标人回复质疑不成立，投标人仍进行投诉的，并最终投诉不成立的，作违约处理。</w:t>
      </w:r>
    </w:p>
    <w:p w14:paraId="6525B7E4">
      <w:pPr>
        <w:adjustRightInd w:val="0"/>
        <w:snapToGrid w:val="0"/>
        <w:spacing w:line="460" w:lineRule="exact"/>
        <w:ind w:firstLine="480" w:firstLineChars="200"/>
        <w:rPr>
          <w:rFonts w:ascii="宋体" w:hAnsi="宋体" w:cs="仿宋"/>
          <w:sz w:val="24"/>
        </w:rPr>
      </w:pPr>
      <w:r>
        <w:rPr>
          <w:rFonts w:hint="eastAsia" w:ascii="宋体" w:hAnsi="宋体" w:cs="仿宋"/>
          <w:sz w:val="24"/>
        </w:rPr>
        <w:t>六、《质疑函》、《质疑回复函》，质疑、举报、投诉不成立的等相关情况，视情在招标人官网等相关媒体予以披露。</w:t>
      </w:r>
    </w:p>
    <w:p w14:paraId="65FDDC8D">
      <w:pPr>
        <w:adjustRightInd w:val="0"/>
        <w:snapToGrid w:val="0"/>
        <w:spacing w:line="460" w:lineRule="exact"/>
        <w:ind w:firstLine="480" w:firstLineChars="200"/>
        <w:jc w:val="left"/>
        <w:rPr>
          <w:rFonts w:ascii="宋体" w:hAnsi="宋体" w:cs="仿宋"/>
          <w:sz w:val="24"/>
        </w:rPr>
      </w:pPr>
      <w:r>
        <w:rPr>
          <w:rFonts w:hint="eastAsia" w:ascii="宋体" w:hAnsi="宋体" w:cs="仿宋"/>
          <w:sz w:val="24"/>
        </w:rPr>
        <w:t>七、质疑人对招标人或代理机构的答复不满意或者招标人、代理机构未在规定的时间内作出答复的，可以在答复期满后15个工作日内向相关监督管理部门投诉。</w:t>
      </w:r>
    </w:p>
    <w:p w14:paraId="5902DBD0">
      <w:pPr>
        <w:adjustRightInd w:val="0"/>
        <w:snapToGrid w:val="0"/>
        <w:spacing w:line="460" w:lineRule="exact"/>
        <w:ind w:firstLine="480" w:firstLineChars="200"/>
        <w:jc w:val="center"/>
        <w:rPr>
          <w:rFonts w:ascii="宋体" w:hAnsi="宋体" w:cs="黑体"/>
          <w:b/>
          <w:bCs/>
          <w:sz w:val="36"/>
          <w:szCs w:val="36"/>
        </w:rPr>
      </w:pPr>
      <w:r>
        <w:rPr>
          <w:rFonts w:hint="eastAsia" w:ascii="宋体" w:hAnsi="宋体"/>
          <w:b/>
          <w:sz w:val="24"/>
        </w:rPr>
        <w:br w:type="page"/>
      </w:r>
      <w:r>
        <w:rPr>
          <w:rFonts w:hint="eastAsia" w:ascii="宋体" w:hAnsi="宋体" w:cs="黑体"/>
          <w:b/>
          <w:bCs/>
          <w:sz w:val="36"/>
          <w:szCs w:val="36"/>
        </w:rPr>
        <w:t>第七部分  投标文件组成</w:t>
      </w:r>
    </w:p>
    <w:p w14:paraId="43D5494C">
      <w:pPr>
        <w:adjustRightInd w:val="0"/>
        <w:snapToGrid w:val="0"/>
        <w:spacing w:line="460" w:lineRule="exact"/>
        <w:ind w:firstLine="480" w:firstLineChars="200"/>
        <w:jc w:val="left"/>
        <w:rPr>
          <w:rFonts w:ascii="宋体" w:hAnsi="宋体" w:cs="宋体"/>
          <w:b/>
          <w:sz w:val="24"/>
        </w:rPr>
      </w:pPr>
      <w:r>
        <w:rPr>
          <w:rFonts w:hint="eastAsia" w:ascii="宋体" w:hAnsi="宋体" w:cs="宋体"/>
          <w:b/>
          <w:sz w:val="24"/>
        </w:rPr>
        <w:t>投标文件由资格审查文件、商务技术标、价格标、电子投标文件四部分组成。</w:t>
      </w:r>
    </w:p>
    <w:p w14:paraId="4A2DB15E">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一、资格审查证明材料（不能出现商务技术标、价格标）</w:t>
      </w:r>
    </w:p>
    <w:p w14:paraId="39E14288">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符合投标人资格要求的承诺函（格式见附件1）</w:t>
      </w:r>
      <w:r>
        <w:rPr>
          <w:rFonts w:hint="eastAsia" w:ascii="宋体" w:hAnsi="宋体" w:cs="宋体"/>
          <w:kern w:val="0"/>
          <w:sz w:val="24"/>
          <w:lang w:val="zh-CN"/>
        </w:rPr>
        <w:t>；</w:t>
      </w:r>
    </w:p>
    <w:p w14:paraId="2ED0AA8D">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2.法定代表人参加投标的，必须提供法定代表人身份证明及法定代表人本人身份证复印件；非法定代表人参加投标的，必须提供法定代表人签名或盖章的授权委托书及被授权人的身份证复印件（格式见附件2）；</w:t>
      </w:r>
    </w:p>
    <w:p w14:paraId="11CE7A6D">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.有效的营业执照副本复印件；</w:t>
      </w:r>
    </w:p>
    <w:p w14:paraId="63967CBF">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4.具备履行合同所必需的设备和专业技术能力的书面声明</w:t>
      </w:r>
      <w:r>
        <w:rPr>
          <w:rFonts w:ascii="宋体" w:hAnsi="宋体" w:cs="宋体"/>
          <w:kern w:val="0"/>
          <w:sz w:val="24"/>
        </w:rPr>
        <w:t>（</w:t>
      </w:r>
      <w:r>
        <w:rPr>
          <w:rFonts w:hint="eastAsia" w:ascii="宋体" w:hAnsi="宋体" w:cs="宋体"/>
          <w:kern w:val="0"/>
          <w:sz w:val="24"/>
          <w:lang w:val="zh-CN"/>
        </w:rPr>
        <w:t>格式见附件</w:t>
      </w: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w:t>
      </w:r>
    </w:p>
    <w:p w14:paraId="08E35187">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5</w:t>
      </w:r>
      <w:r>
        <w:rPr>
          <w:rFonts w:ascii="宋体" w:hAnsi="宋体" w:cs="宋体"/>
          <w:kern w:val="0"/>
          <w:sz w:val="24"/>
        </w:rPr>
        <w:t>.提供无重大违法记录声明（</w:t>
      </w:r>
      <w:r>
        <w:rPr>
          <w:rFonts w:hint="eastAsia" w:ascii="宋体" w:hAnsi="宋体" w:cs="宋体"/>
          <w:kern w:val="0"/>
          <w:sz w:val="24"/>
          <w:lang w:val="zh-CN"/>
        </w:rPr>
        <w:t>格式见附件</w:t>
      </w:r>
      <w:r>
        <w:rPr>
          <w:rFonts w:hint="eastAsia" w:ascii="宋体" w:hAnsi="宋体" w:cs="宋体"/>
          <w:kern w:val="0"/>
          <w:sz w:val="24"/>
        </w:rPr>
        <w:t>5</w:t>
      </w:r>
      <w:r>
        <w:rPr>
          <w:rFonts w:ascii="宋体" w:hAnsi="宋体" w:cs="宋体"/>
          <w:kern w:val="0"/>
          <w:sz w:val="24"/>
        </w:rPr>
        <w:t>）。</w:t>
      </w:r>
    </w:p>
    <w:p w14:paraId="150C91E1">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二、商务技术标（不能出现价格标）</w:t>
      </w:r>
    </w:p>
    <w:p w14:paraId="351500A1">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1.商务部分正负偏离表（格式见附件</w:t>
      </w:r>
      <w:r>
        <w:rPr>
          <w:rFonts w:hint="eastAsia" w:ascii="宋体" w:hAnsi="宋体" w:cs="宋体"/>
          <w:kern w:val="0"/>
          <w:sz w:val="24"/>
        </w:rPr>
        <w:t>6</w:t>
      </w:r>
      <w:r>
        <w:rPr>
          <w:rFonts w:hint="eastAsia" w:ascii="宋体" w:hAnsi="宋体" w:cs="宋体"/>
          <w:kern w:val="0"/>
          <w:sz w:val="24"/>
          <w:lang w:val="zh-CN"/>
        </w:rPr>
        <w:t>）；</w:t>
      </w:r>
    </w:p>
    <w:p w14:paraId="4D451BCD">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技术部分正负偏离表（格式见附件</w:t>
      </w:r>
      <w:r>
        <w:rPr>
          <w:rFonts w:hint="eastAsia" w:ascii="宋体" w:hAnsi="宋体" w:cs="宋体"/>
          <w:kern w:val="0"/>
          <w:sz w:val="24"/>
        </w:rPr>
        <w:t>7</w:t>
      </w:r>
      <w:r>
        <w:rPr>
          <w:rFonts w:hint="eastAsia" w:ascii="宋体" w:hAnsi="宋体" w:cs="宋体"/>
          <w:kern w:val="0"/>
          <w:sz w:val="24"/>
          <w:lang w:val="zh-CN"/>
        </w:rPr>
        <w:t>）；</w:t>
      </w:r>
    </w:p>
    <w:p w14:paraId="74411413">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3.商务技术评分标准中须提供的相关得分佐证材料；</w:t>
      </w:r>
    </w:p>
    <w:p w14:paraId="5874073D">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投标人认为需要提交的其他商务技术材料。</w:t>
      </w:r>
    </w:p>
    <w:p w14:paraId="18FC41F5">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三、价格标</w:t>
      </w:r>
    </w:p>
    <w:p w14:paraId="7B8CCB8B">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价格表响应文件</w:t>
      </w:r>
      <w:r>
        <w:rPr>
          <w:rFonts w:hint="eastAsia" w:ascii="宋体" w:hAnsi="宋体" w:cs="宋体"/>
          <w:kern w:val="0"/>
          <w:sz w:val="24"/>
          <w:lang w:val="zh-CN"/>
        </w:rPr>
        <w:t>（格式见附件</w:t>
      </w:r>
      <w:r>
        <w:rPr>
          <w:rFonts w:hint="eastAsia" w:ascii="宋体" w:hAnsi="宋体" w:cs="宋体"/>
          <w:kern w:val="0"/>
          <w:sz w:val="24"/>
        </w:rPr>
        <w:t>8</w:t>
      </w:r>
      <w:r>
        <w:rPr>
          <w:rFonts w:hint="eastAsia" w:ascii="宋体" w:hAnsi="宋体" w:cs="宋体"/>
          <w:kern w:val="0"/>
          <w:sz w:val="24"/>
          <w:lang w:val="zh-CN"/>
        </w:rPr>
        <w:t>）；</w:t>
      </w:r>
    </w:p>
    <w:p w14:paraId="0ECF9636">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w:t>
      </w:r>
      <w:r>
        <w:rPr>
          <w:rFonts w:hint="eastAsia" w:ascii="宋体" w:hAnsi="宋体" w:cs="宋体"/>
          <w:kern w:val="0"/>
          <w:sz w:val="24"/>
        </w:rPr>
        <w:t>报价明细表</w:t>
      </w:r>
      <w:r>
        <w:rPr>
          <w:rFonts w:hint="eastAsia" w:ascii="宋体" w:hAnsi="宋体" w:cs="宋体"/>
          <w:kern w:val="0"/>
          <w:sz w:val="24"/>
          <w:lang w:val="zh-CN"/>
        </w:rPr>
        <w:t>（格式见附件</w:t>
      </w:r>
      <w:r>
        <w:rPr>
          <w:rFonts w:hint="eastAsia" w:ascii="宋体" w:hAnsi="宋体" w:cs="宋体"/>
          <w:kern w:val="0"/>
          <w:sz w:val="24"/>
        </w:rPr>
        <w:t>9</w:t>
      </w:r>
      <w:r>
        <w:rPr>
          <w:rFonts w:hint="eastAsia" w:ascii="宋体" w:hAnsi="宋体" w:cs="宋体"/>
          <w:kern w:val="0"/>
          <w:sz w:val="24"/>
          <w:lang w:val="zh-CN"/>
        </w:rPr>
        <w:t>）；</w:t>
      </w:r>
    </w:p>
    <w:p w14:paraId="1D42F856">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3.中小企业声明函（格式见附件10）或残疾人福利性单位声明函（格式见附件11）或监狱和戒毒企业证明材料（格式见附件12）（如有）。</w:t>
      </w:r>
    </w:p>
    <w:p w14:paraId="4C620007">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四、电子投标文件</w:t>
      </w:r>
      <w:r>
        <w:rPr>
          <w:rFonts w:hint="eastAsia" w:ascii="宋体" w:hAnsi="宋体" w:cs="宋体"/>
          <w:kern w:val="0"/>
          <w:sz w:val="24"/>
          <w:lang w:val="zh-CN"/>
        </w:rPr>
        <w:t>（一份，单独密封提交）</w:t>
      </w:r>
    </w:p>
    <w:p w14:paraId="70E2D717">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电子响应文件的内容为“资格审查文件、商务技术标、价格标”的打印盖章（或电子签章）后的响应文件的扫描件（资格审查文件、商务技术标、价格标需分别逐页连续扫描为三个独立的PDF文件、演示视频（如有））。</w:t>
      </w:r>
    </w:p>
    <w:p w14:paraId="4FB00036">
      <w:pPr>
        <w:snapToGrid w:val="0"/>
        <w:spacing w:line="460" w:lineRule="exact"/>
        <w:contextualSpacing/>
        <w:rPr>
          <w:rFonts w:ascii="宋体" w:hAnsi="宋体" w:cs="仿宋"/>
          <w:kern w:val="0"/>
          <w:sz w:val="32"/>
          <w:szCs w:val="32"/>
          <w:lang w:val="zh-CN"/>
        </w:rPr>
      </w:pPr>
      <w:r>
        <w:rPr>
          <w:rFonts w:ascii="宋体" w:hAnsi="宋体"/>
          <w:kern w:val="0"/>
          <w:sz w:val="32"/>
          <w:szCs w:val="32"/>
          <w:lang w:val="zh-CN"/>
        </w:rPr>
        <w:br w:type="page"/>
      </w:r>
      <w:r>
        <w:rPr>
          <w:rFonts w:hint="eastAsia" w:ascii="宋体" w:hAnsi="宋体" w:cs="仿宋"/>
          <w:kern w:val="0"/>
          <w:sz w:val="32"/>
          <w:szCs w:val="32"/>
          <w:lang w:val="zh-CN"/>
        </w:rPr>
        <w:t>附件1</w:t>
      </w:r>
    </w:p>
    <w:p w14:paraId="045CB776">
      <w:pPr>
        <w:spacing w:line="460" w:lineRule="exact"/>
        <w:jc w:val="center"/>
        <w:rPr>
          <w:rFonts w:ascii="宋体" w:hAnsi="宋体" w:cs="仿宋"/>
          <w:b/>
          <w:sz w:val="30"/>
          <w:szCs w:val="30"/>
        </w:rPr>
      </w:pPr>
    </w:p>
    <w:p w14:paraId="468C465B">
      <w:pPr>
        <w:spacing w:line="460" w:lineRule="exact"/>
        <w:jc w:val="center"/>
        <w:rPr>
          <w:rFonts w:ascii="宋体" w:hAnsi="宋体" w:cs="仿宋"/>
          <w:b/>
          <w:sz w:val="30"/>
          <w:szCs w:val="30"/>
        </w:rPr>
      </w:pPr>
    </w:p>
    <w:p w14:paraId="7CF3F2F8">
      <w:pPr>
        <w:spacing w:line="460" w:lineRule="exact"/>
        <w:jc w:val="center"/>
        <w:rPr>
          <w:rFonts w:ascii="宋体" w:hAnsi="宋体" w:cs="仿宋"/>
          <w:b/>
          <w:sz w:val="30"/>
          <w:szCs w:val="30"/>
        </w:rPr>
      </w:pPr>
      <w:r>
        <w:rPr>
          <w:rFonts w:hint="eastAsia" w:ascii="宋体" w:hAnsi="宋体" w:cs="仿宋"/>
          <w:b/>
          <w:sz w:val="30"/>
          <w:szCs w:val="30"/>
        </w:rPr>
        <w:t>符合投标人资格要求的承诺函</w:t>
      </w:r>
    </w:p>
    <w:p w14:paraId="56D932C3">
      <w:pPr>
        <w:spacing w:line="460" w:lineRule="exact"/>
        <w:rPr>
          <w:rFonts w:ascii="宋体" w:hAnsi="宋体" w:cs="仿宋"/>
          <w:b/>
          <w:bCs/>
          <w:sz w:val="44"/>
          <w:szCs w:val="44"/>
        </w:rPr>
      </w:pPr>
    </w:p>
    <w:p w14:paraId="2719BAFE">
      <w:pPr>
        <w:spacing w:line="460" w:lineRule="exact"/>
        <w:ind w:firstLine="480" w:firstLineChars="200"/>
        <w:rPr>
          <w:rFonts w:ascii="宋体" w:hAnsi="宋体" w:cs="仿宋"/>
          <w:b/>
          <w:bCs/>
          <w:sz w:val="24"/>
        </w:rPr>
      </w:pPr>
      <w:r>
        <w:rPr>
          <w:rFonts w:hint="eastAsia" w:ascii="宋体" w:hAnsi="宋体" w:cs="仿宋"/>
          <w:bCs/>
          <w:sz w:val="24"/>
        </w:rPr>
        <w:t>我单位参加</w:t>
      </w:r>
      <w:r>
        <w:rPr>
          <w:rFonts w:hint="eastAsia" w:ascii="宋体" w:hAnsi="宋体" w:cs="仿宋"/>
          <w:bCs/>
          <w:sz w:val="24"/>
          <w:szCs w:val="21"/>
          <w:u w:val="single"/>
        </w:rPr>
        <w:t>________________ _</w:t>
      </w:r>
      <w:r>
        <w:rPr>
          <w:rFonts w:hint="eastAsia" w:ascii="宋体" w:hAnsi="宋体" w:cs="仿宋"/>
          <w:bCs/>
          <w:sz w:val="24"/>
          <w:szCs w:val="21"/>
        </w:rPr>
        <w:t>（项目名称），</w:t>
      </w:r>
      <w:r>
        <w:rPr>
          <w:rFonts w:hint="eastAsia" w:ascii="宋体" w:hAnsi="宋体" w:cs="仿宋"/>
          <w:bCs/>
          <w:sz w:val="24"/>
          <w:szCs w:val="21"/>
          <w:u w:val="single"/>
        </w:rPr>
        <w:t>_______ __________</w:t>
      </w:r>
      <w:r>
        <w:rPr>
          <w:rFonts w:hint="eastAsia" w:ascii="宋体" w:hAnsi="宋体" w:cs="仿宋"/>
          <w:bCs/>
          <w:sz w:val="24"/>
          <w:szCs w:val="21"/>
        </w:rPr>
        <w:t>（项目编号）投标活动。现做出如下承诺：</w:t>
      </w:r>
    </w:p>
    <w:p w14:paraId="4F4F7B47">
      <w:pPr>
        <w:spacing w:line="460" w:lineRule="exact"/>
        <w:ind w:firstLine="480" w:firstLineChars="200"/>
        <w:rPr>
          <w:rFonts w:ascii="宋体" w:hAnsi="宋体" w:cs="仿宋"/>
          <w:sz w:val="24"/>
        </w:rPr>
      </w:pPr>
      <w:r>
        <w:rPr>
          <w:rFonts w:hint="eastAsia" w:ascii="宋体" w:hAnsi="宋体" w:cs="仿宋"/>
          <w:bCs/>
          <w:sz w:val="24"/>
          <w:szCs w:val="21"/>
        </w:rPr>
        <w:t>1.我单位具有独立承担民事责任的能力；</w:t>
      </w:r>
    </w:p>
    <w:p w14:paraId="4DCEE24C">
      <w:pPr>
        <w:spacing w:line="460" w:lineRule="exact"/>
        <w:ind w:firstLine="480" w:firstLineChars="200"/>
        <w:rPr>
          <w:rFonts w:ascii="宋体" w:hAnsi="宋体" w:cs="仿宋"/>
          <w:sz w:val="24"/>
        </w:rPr>
      </w:pPr>
      <w:r>
        <w:rPr>
          <w:rFonts w:hint="eastAsia" w:ascii="宋体" w:hAnsi="宋体" w:cs="仿宋"/>
          <w:sz w:val="24"/>
        </w:rPr>
        <w:t>2.我单位具有良好的商业信誉和健全的财务会计制度；</w:t>
      </w:r>
    </w:p>
    <w:p w14:paraId="694F0346">
      <w:pPr>
        <w:spacing w:line="460" w:lineRule="exact"/>
        <w:ind w:firstLine="480" w:firstLineChars="200"/>
        <w:rPr>
          <w:rFonts w:ascii="宋体" w:hAnsi="宋体" w:cs="仿宋"/>
          <w:sz w:val="24"/>
        </w:rPr>
      </w:pPr>
      <w:r>
        <w:rPr>
          <w:rFonts w:hint="eastAsia" w:ascii="宋体" w:hAnsi="宋体" w:cs="仿宋"/>
          <w:sz w:val="24"/>
        </w:rPr>
        <w:t>3.我单位具有履行合同所必需的设备和专业技术能力；</w:t>
      </w:r>
    </w:p>
    <w:p w14:paraId="241B45E5">
      <w:pPr>
        <w:spacing w:line="460" w:lineRule="exact"/>
        <w:ind w:firstLine="480" w:firstLineChars="200"/>
        <w:rPr>
          <w:rFonts w:ascii="宋体" w:hAnsi="宋体" w:cs="仿宋"/>
          <w:sz w:val="24"/>
        </w:rPr>
      </w:pPr>
      <w:r>
        <w:rPr>
          <w:rFonts w:hint="eastAsia" w:ascii="宋体" w:hAnsi="宋体" w:cs="仿宋"/>
          <w:sz w:val="24"/>
        </w:rPr>
        <w:t>4.我单位有依法缴纳税收和社会保障资金的良好记录；</w:t>
      </w:r>
    </w:p>
    <w:p w14:paraId="1668D50C">
      <w:pPr>
        <w:spacing w:line="460" w:lineRule="exact"/>
        <w:ind w:firstLine="480" w:firstLineChars="200"/>
        <w:rPr>
          <w:rFonts w:ascii="宋体" w:hAnsi="宋体" w:cs="仿宋"/>
          <w:sz w:val="24"/>
        </w:rPr>
      </w:pPr>
      <w:r>
        <w:rPr>
          <w:rFonts w:hint="eastAsia" w:ascii="宋体" w:hAnsi="宋体" w:cs="仿宋"/>
          <w:sz w:val="24"/>
        </w:rPr>
        <w:t>5.我单位参加采购活动前三年内，在经营活动中没有重大违法记录。</w:t>
      </w:r>
    </w:p>
    <w:p w14:paraId="54813029">
      <w:pPr>
        <w:spacing w:line="460" w:lineRule="exact"/>
        <w:ind w:firstLine="480" w:firstLineChars="200"/>
        <w:rPr>
          <w:rFonts w:ascii="宋体" w:hAnsi="宋体" w:cs="仿宋"/>
          <w:sz w:val="24"/>
        </w:rPr>
      </w:pPr>
      <w:r>
        <w:rPr>
          <w:rFonts w:hint="eastAsia" w:ascii="宋体" w:hAnsi="宋体" w:cs="仿宋"/>
          <w:sz w:val="24"/>
        </w:rPr>
        <w:t>6.我单位满足法律、行政法规规定的其他条件。</w:t>
      </w:r>
    </w:p>
    <w:p w14:paraId="195FF9B6">
      <w:pPr>
        <w:spacing w:line="460" w:lineRule="exact"/>
        <w:ind w:firstLine="480" w:firstLineChars="200"/>
        <w:rPr>
          <w:rFonts w:ascii="宋体" w:hAnsi="宋体" w:cs="仿宋"/>
          <w:sz w:val="24"/>
        </w:rPr>
      </w:pPr>
    </w:p>
    <w:p w14:paraId="1B3F666B">
      <w:pPr>
        <w:spacing w:line="460" w:lineRule="exact"/>
        <w:ind w:firstLine="480" w:firstLineChars="200"/>
        <w:rPr>
          <w:rFonts w:ascii="宋体" w:hAnsi="宋体" w:cs="仿宋"/>
          <w:sz w:val="24"/>
        </w:rPr>
      </w:pPr>
    </w:p>
    <w:p w14:paraId="50C5842A">
      <w:pPr>
        <w:spacing w:line="460" w:lineRule="exact"/>
        <w:ind w:firstLine="480" w:firstLineChars="200"/>
        <w:rPr>
          <w:rFonts w:ascii="宋体" w:hAnsi="宋体" w:cs="仿宋"/>
          <w:bCs/>
          <w:sz w:val="24"/>
          <w:szCs w:val="21"/>
        </w:rPr>
      </w:pPr>
    </w:p>
    <w:p w14:paraId="36316A40">
      <w:pPr>
        <w:spacing w:line="460" w:lineRule="exact"/>
        <w:ind w:firstLine="480" w:firstLineChars="200"/>
        <w:rPr>
          <w:rFonts w:ascii="宋体" w:hAnsi="宋体" w:cs="仿宋"/>
          <w:bCs/>
          <w:sz w:val="24"/>
          <w:szCs w:val="21"/>
        </w:rPr>
      </w:pPr>
    </w:p>
    <w:p w14:paraId="473D976D">
      <w:pPr>
        <w:spacing w:line="460" w:lineRule="exact"/>
        <w:ind w:firstLine="480" w:firstLineChars="200"/>
        <w:rPr>
          <w:rFonts w:ascii="宋体" w:hAnsi="宋体" w:cs="仿宋"/>
          <w:bCs/>
          <w:sz w:val="24"/>
          <w:szCs w:val="21"/>
        </w:rPr>
      </w:pPr>
    </w:p>
    <w:p w14:paraId="64DEA985">
      <w:pPr>
        <w:spacing w:line="460" w:lineRule="exact"/>
        <w:ind w:firstLine="480" w:firstLineChars="200"/>
        <w:jc w:val="center"/>
        <w:rPr>
          <w:rFonts w:ascii="宋体" w:hAnsi="宋体" w:cs="仿宋"/>
          <w:bCs/>
          <w:sz w:val="24"/>
          <w:szCs w:val="21"/>
        </w:rPr>
      </w:pPr>
      <w:r>
        <w:rPr>
          <w:rFonts w:hint="eastAsia" w:ascii="宋体" w:hAnsi="宋体" w:cs="仿宋"/>
          <w:bCs/>
          <w:sz w:val="24"/>
          <w:szCs w:val="21"/>
        </w:rPr>
        <w:t xml:space="preserve">                                             承诺人名称（公章）：</w:t>
      </w:r>
    </w:p>
    <w:p w14:paraId="3D2CF3E4">
      <w:pPr>
        <w:spacing w:line="460" w:lineRule="exact"/>
        <w:ind w:firstLine="480" w:firstLineChars="200"/>
        <w:jc w:val="right"/>
        <w:rPr>
          <w:rFonts w:ascii="宋体" w:hAnsi="宋体" w:cs="仿宋"/>
          <w:bCs/>
          <w:sz w:val="24"/>
          <w:szCs w:val="21"/>
        </w:rPr>
      </w:pPr>
    </w:p>
    <w:p w14:paraId="346B1BE6">
      <w:pPr>
        <w:spacing w:line="460" w:lineRule="exact"/>
        <w:ind w:firstLine="480" w:firstLineChars="200"/>
        <w:jc w:val="right"/>
        <w:rPr>
          <w:rFonts w:ascii="宋体" w:hAnsi="宋体" w:cs="仿宋"/>
          <w:bCs/>
          <w:sz w:val="24"/>
          <w:szCs w:val="21"/>
        </w:rPr>
      </w:pPr>
      <w:r>
        <w:rPr>
          <w:rFonts w:hint="eastAsia" w:ascii="宋体" w:hAnsi="宋体" w:cs="仿宋"/>
          <w:bCs/>
          <w:sz w:val="24"/>
          <w:szCs w:val="21"/>
        </w:rPr>
        <w:t xml:space="preserve">                                 日期：</w:t>
      </w:r>
      <w:r>
        <w:rPr>
          <w:rFonts w:hint="eastAsia" w:ascii="宋体" w:hAnsi="宋体" w:cs="仿宋"/>
          <w:bCs/>
          <w:sz w:val="24"/>
          <w:szCs w:val="21"/>
          <w:u w:val="single"/>
        </w:rPr>
        <w:t>______</w:t>
      </w:r>
      <w:r>
        <w:rPr>
          <w:rFonts w:hint="eastAsia" w:ascii="宋体" w:hAnsi="宋体" w:cs="仿宋"/>
          <w:bCs/>
          <w:sz w:val="24"/>
          <w:szCs w:val="21"/>
        </w:rPr>
        <w:t>年月日</w:t>
      </w:r>
    </w:p>
    <w:p w14:paraId="47CAC9B6">
      <w:pPr>
        <w:snapToGrid w:val="0"/>
        <w:spacing w:line="400" w:lineRule="exact"/>
        <w:contextualSpacing/>
        <w:rPr>
          <w:rFonts w:ascii="宋体" w:hAnsi="宋体" w:cs="宋体"/>
          <w:b/>
          <w:kern w:val="0"/>
          <w:sz w:val="28"/>
          <w:szCs w:val="28"/>
          <w:lang w:val="zh-CN"/>
        </w:rPr>
      </w:pPr>
    </w:p>
    <w:p w14:paraId="1318C12A">
      <w:pPr>
        <w:pStyle w:val="13"/>
        <w:rPr>
          <w:rFonts w:ascii="宋体" w:hAnsi="宋体" w:cs="宋体"/>
          <w:b/>
          <w:kern w:val="0"/>
          <w:sz w:val="28"/>
          <w:szCs w:val="28"/>
          <w:lang w:val="zh-CN"/>
        </w:rPr>
      </w:pPr>
    </w:p>
    <w:p w14:paraId="497C7F1D">
      <w:pPr>
        <w:rPr>
          <w:rFonts w:ascii="宋体" w:hAnsi="宋体" w:cs="宋体"/>
          <w:b/>
          <w:kern w:val="0"/>
          <w:sz w:val="28"/>
          <w:szCs w:val="28"/>
          <w:lang w:val="zh-CN"/>
        </w:rPr>
      </w:pPr>
    </w:p>
    <w:p w14:paraId="22B1E72B">
      <w:pPr>
        <w:snapToGrid w:val="0"/>
        <w:spacing w:line="400" w:lineRule="exact"/>
        <w:contextualSpacing/>
        <w:rPr>
          <w:rFonts w:ascii="宋体" w:hAnsi="宋体" w:cs="宋体"/>
          <w:b/>
          <w:kern w:val="0"/>
          <w:sz w:val="28"/>
          <w:szCs w:val="28"/>
          <w:lang w:val="zh-CN"/>
        </w:rPr>
      </w:pPr>
    </w:p>
    <w:p w14:paraId="491BD442">
      <w:pPr>
        <w:snapToGrid w:val="0"/>
        <w:spacing w:line="300" w:lineRule="auto"/>
        <w:outlineLvl w:val="0"/>
        <w:rPr>
          <w:rFonts w:ascii="宋体" w:hAnsi="宋体"/>
          <w:sz w:val="32"/>
          <w:szCs w:val="32"/>
          <w:lang w:val="zh-CN"/>
        </w:rPr>
      </w:pPr>
      <w:r>
        <w:rPr>
          <w:rFonts w:ascii="宋体" w:hAnsi="宋体"/>
          <w:sz w:val="32"/>
          <w:szCs w:val="32"/>
          <w:lang w:val="zh-CN"/>
        </w:rPr>
        <w:br w:type="column"/>
      </w:r>
      <w:r>
        <w:rPr>
          <w:rFonts w:ascii="宋体" w:hAnsi="宋体"/>
          <w:sz w:val="32"/>
          <w:szCs w:val="32"/>
          <w:lang w:val="zh-CN"/>
        </w:rPr>
        <w:t>附件2</w:t>
      </w:r>
    </w:p>
    <w:p w14:paraId="719458DE">
      <w:pPr>
        <w:spacing w:line="360" w:lineRule="auto"/>
        <w:jc w:val="center"/>
        <w:rPr>
          <w:rFonts w:ascii="宋体" w:hAnsi="宋体" w:cs="宋体"/>
          <w:b/>
          <w:bCs/>
          <w:sz w:val="32"/>
          <w:szCs w:val="32"/>
        </w:rPr>
      </w:pPr>
      <w:r>
        <w:rPr>
          <w:rFonts w:hint="eastAsia" w:ascii="宋体" w:hAnsi="宋体" w:cs="宋体"/>
          <w:b/>
          <w:bCs/>
          <w:sz w:val="32"/>
          <w:szCs w:val="32"/>
        </w:rPr>
        <w:t>法定代表人身份证明</w:t>
      </w:r>
    </w:p>
    <w:p w14:paraId="04F95EF9">
      <w:pPr>
        <w:spacing w:line="360" w:lineRule="auto"/>
        <w:jc w:val="center"/>
        <w:rPr>
          <w:rFonts w:ascii="宋体" w:hAnsi="宋体" w:cs="宋体"/>
          <w:sz w:val="24"/>
        </w:rPr>
      </w:pPr>
      <w:r>
        <w:rPr>
          <w:rFonts w:hint="eastAsia" w:ascii="宋体" w:hAnsi="宋体" w:cs="宋体"/>
          <w:sz w:val="24"/>
          <w:u w:val="single"/>
        </w:rPr>
        <w:t>（法定代表人参加投标时，须出示此证明）</w:t>
      </w:r>
    </w:p>
    <w:p w14:paraId="578EFBED">
      <w:pPr>
        <w:spacing w:line="360" w:lineRule="auto"/>
        <w:rPr>
          <w:rFonts w:ascii="宋体" w:hAnsi="宋体" w:cs="宋体"/>
          <w:sz w:val="24"/>
        </w:rPr>
      </w:pPr>
      <w:r>
        <w:rPr>
          <w:rFonts w:hint="eastAsia" w:ascii="宋体" w:hAnsi="宋体" w:cs="宋体"/>
          <w:sz w:val="24"/>
        </w:rPr>
        <w:t>江苏商贸职业学院：</w:t>
      </w:r>
    </w:p>
    <w:p w14:paraId="42777BD3">
      <w:pPr>
        <w:spacing w:line="360" w:lineRule="auto"/>
        <w:ind w:firstLine="480" w:firstLineChars="200"/>
        <w:rPr>
          <w:rFonts w:ascii="宋体" w:hAnsi="宋体" w:cs="宋体"/>
          <w:sz w:val="24"/>
        </w:rPr>
      </w:pPr>
      <w:r>
        <w:rPr>
          <w:rFonts w:hint="eastAsia" w:ascii="宋体" w:hAnsi="宋体" w:cs="宋体"/>
          <w:sz w:val="24"/>
        </w:rPr>
        <w:t>我公司法定代表人参加贵单位组织的（采购项目名称及项目编号)项目公开招标采购活动，全权代表我公司处理投标的有关事宜。</w:t>
      </w:r>
    </w:p>
    <w:p w14:paraId="0AACCA11">
      <w:pPr>
        <w:spacing w:line="360" w:lineRule="auto"/>
        <w:ind w:firstLine="480" w:firstLineChars="200"/>
        <w:rPr>
          <w:rFonts w:ascii="宋体" w:hAnsi="宋体" w:cs="宋体"/>
          <w:sz w:val="24"/>
        </w:rPr>
      </w:pPr>
    </w:p>
    <w:p w14:paraId="10D0EBDF">
      <w:pPr>
        <w:spacing w:line="360" w:lineRule="auto"/>
        <w:rPr>
          <w:rFonts w:ascii="宋体" w:hAnsi="宋体" w:cs="宋体"/>
          <w:sz w:val="24"/>
        </w:rPr>
      </w:pPr>
      <w:r>
        <w:rPr>
          <w:rFonts w:hint="eastAsia" w:ascii="宋体" w:hAnsi="宋体" w:cs="宋体"/>
          <w:sz w:val="24"/>
        </w:rPr>
        <w:t>附：法定代表人情况：</w:t>
      </w:r>
    </w:p>
    <w:p w14:paraId="64718540">
      <w:pPr>
        <w:spacing w:line="360" w:lineRule="auto"/>
        <w:rPr>
          <w:rFonts w:ascii="宋体" w:hAnsi="宋体" w:cs="宋体"/>
          <w:sz w:val="24"/>
          <w:u w:val="single"/>
        </w:rPr>
      </w:pPr>
      <w:r>
        <w:rPr>
          <w:rFonts w:hint="eastAsia" w:ascii="宋体" w:hAnsi="宋体" w:cs="宋体"/>
          <w:sz w:val="24"/>
        </w:rPr>
        <w:t>姓名：性别：年龄：职务：</w:t>
      </w:r>
    </w:p>
    <w:p w14:paraId="58248D78">
      <w:pPr>
        <w:spacing w:line="360" w:lineRule="auto"/>
        <w:rPr>
          <w:rFonts w:ascii="宋体" w:hAnsi="宋体" w:cs="宋体"/>
          <w:sz w:val="24"/>
        </w:rPr>
      </w:pPr>
      <w:r>
        <w:rPr>
          <w:rFonts w:hint="eastAsia" w:ascii="宋体" w:hAnsi="宋体" w:cs="宋体"/>
          <w:sz w:val="24"/>
        </w:rPr>
        <w:t>身份证号码：</w:t>
      </w:r>
    </w:p>
    <w:p w14:paraId="2B05E3D0">
      <w:pPr>
        <w:spacing w:line="360" w:lineRule="auto"/>
        <w:rPr>
          <w:rFonts w:ascii="宋体" w:hAnsi="宋体" w:cs="宋体"/>
          <w:sz w:val="24"/>
        </w:rPr>
      </w:pPr>
      <w:r>
        <w:rPr>
          <w:rFonts w:hint="eastAsia" w:ascii="宋体" w:hAnsi="宋体" w:cs="宋体"/>
          <w:sz w:val="24"/>
        </w:rPr>
        <w:t>手机：传真：</w:t>
      </w:r>
    </w:p>
    <w:p w14:paraId="5C0BF2FF">
      <w:pPr>
        <w:spacing w:line="360" w:lineRule="auto"/>
        <w:rPr>
          <w:rFonts w:ascii="宋体" w:hAnsi="宋体" w:cs="宋体"/>
          <w:sz w:val="24"/>
        </w:rPr>
      </w:pPr>
      <w:r>
        <w:rPr>
          <w:rFonts w:hint="eastAsia" w:ascii="宋体" w:hAnsi="宋体" w:cs="宋体"/>
          <w:sz w:val="24"/>
        </w:rPr>
        <w:t>单位名称（公章）法定代表人（签字或盖章）</w:t>
      </w:r>
    </w:p>
    <w:p w14:paraId="4763EE9F">
      <w:pPr>
        <w:spacing w:line="360" w:lineRule="auto"/>
        <w:ind w:firstLine="1200" w:firstLineChars="500"/>
        <w:rPr>
          <w:rFonts w:ascii="宋体" w:hAnsi="宋体" w:cs="宋体"/>
          <w:sz w:val="24"/>
        </w:rPr>
      </w:pPr>
      <w:r>
        <w:rPr>
          <w:rFonts w:hint="eastAsia" w:ascii="宋体" w:hAnsi="宋体" w:cs="宋体"/>
          <w:sz w:val="24"/>
        </w:rPr>
        <w:t>年月日年月日</w:t>
      </w:r>
    </w:p>
    <w:p w14:paraId="2E20B430">
      <w:pPr>
        <w:spacing w:line="360" w:lineRule="auto"/>
        <w:rPr>
          <w:rFonts w:ascii="宋体" w:hAnsi="宋体" w:cs="宋体"/>
          <w:sz w:val="24"/>
        </w:rPr>
      </w:pPr>
    </w:p>
    <w:p w14:paraId="77CE6C8C">
      <w:pPr>
        <w:spacing w:line="360" w:lineRule="auto"/>
        <w:rPr>
          <w:rFonts w:ascii="宋体" w:hAnsi="宋体" w:cs="宋体"/>
          <w:sz w:val="24"/>
        </w:rPr>
      </w:pPr>
    </w:p>
    <w:p w14:paraId="15BC6FF3">
      <w:pPr>
        <w:spacing w:line="360" w:lineRule="auto"/>
        <w:rPr>
          <w:rFonts w:ascii="宋体" w:hAnsi="宋体" w:cs="宋体"/>
          <w:sz w:val="24"/>
        </w:rPr>
      </w:pPr>
      <w:r>
        <w:rPr>
          <w:rFonts w:hint="eastAsia" w:ascii="宋体" w:hAnsi="宋体" w:cs="宋体"/>
          <w:sz w:val="24"/>
        </w:rPr>
        <w:t>法定代表人身份证复印件</w:t>
      </w:r>
    </w:p>
    <w:p w14:paraId="120F8BD0">
      <w:pPr>
        <w:spacing w:line="360" w:lineRule="auto"/>
        <w:rPr>
          <w:rFonts w:ascii="宋体" w:hAnsi="宋体" w:cs="宋体"/>
          <w:sz w:val="24"/>
        </w:rPr>
      </w:pPr>
    </w:p>
    <w:p w14:paraId="67ED6085">
      <w:pPr>
        <w:spacing w:line="360" w:lineRule="auto"/>
        <w:ind w:firstLine="2280" w:firstLineChars="950"/>
        <w:rPr>
          <w:rFonts w:ascii="宋体" w:hAnsi="宋体" w:cs="宋体"/>
          <w:sz w:val="24"/>
        </w:rPr>
      </w:pPr>
      <w:r>
        <w:rPr>
          <w:rFonts w:hint="eastAsia" w:ascii="宋体" w:hAnsi="宋体" w:cs="宋体"/>
          <w:sz w:val="24"/>
        </w:rPr>
        <w:t>（粘贴此处）</w:t>
      </w:r>
    </w:p>
    <w:p w14:paraId="2FAE5B33">
      <w:pPr>
        <w:pStyle w:val="127"/>
        <w:spacing w:line="600" w:lineRule="exact"/>
        <w:rPr>
          <w:rFonts w:ascii="宋体" w:hAnsi="宋体"/>
          <w:b/>
          <w:sz w:val="24"/>
        </w:rPr>
      </w:pPr>
    </w:p>
    <w:p w14:paraId="29958F24">
      <w:pPr>
        <w:spacing w:line="480" w:lineRule="exact"/>
        <w:ind w:firstLine="480" w:firstLineChars="200"/>
        <w:rPr>
          <w:rFonts w:ascii="宋体" w:hAnsi="宋体"/>
          <w:sz w:val="24"/>
        </w:rPr>
      </w:pPr>
    </w:p>
    <w:p w14:paraId="0B3C1078">
      <w:pPr>
        <w:rPr>
          <w:rFonts w:ascii="宋体" w:hAnsi="宋体"/>
        </w:rPr>
      </w:pPr>
    </w:p>
    <w:p w14:paraId="75D1AF29">
      <w:pPr>
        <w:snapToGrid w:val="0"/>
        <w:spacing w:line="400" w:lineRule="exact"/>
        <w:ind w:firstLine="537" w:firstLineChars="192"/>
        <w:contextualSpacing/>
        <w:rPr>
          <w:rFonts w:ascii="宋体" w:hAnsi="宋体" w:cs="宋体"/>
          <w:b/>
          <w:kern w:val="0"/>
          <w:sz w:val="28"/>
          <w:szCs w:val="28"/>
        </w:rPr>
      </w:pPr>
    </w:p>
    <w:p w14:paraId="142F072E">
      <w:pPr>
        <w:snapToGrid w:val="0"/>
        <w:spacing w:line="400" w:lineRule="exact"/>
        <w:ind w:firstLine="537" w:firstLineChars="192"/>
        <w:contextualSpacing/>
        <w:rPr>
          <w:rFonts w:ascii="宋体" w:hAnsi="宋体" w:cs="宋体"/>
          <w:b/>
          <w:kern w:val="0"/>
          <w:sz w:val="28"/>
          <w:szCs w:val="28"/>
          <w:lang w:val="zh-CN"/>
        </w:rPr>
      </w:pPr>
    </w:p>
    <w:p w14:paraId="19769995">
      <w:pPr>
        <w:snapToGrid w:val="0"/>
        <w:spacing w:line="400" w:lineRule="exact"/>
        <w:ind w:firstLine="537" w:firstLineChars="192"/>
        <w:contextualSpacing/>
        <w:rPr>
          <w:rFonts w:ascii="宋体" w:hAnsi="宋体" w:cs="宋体"/>
          <w:b/>
          <w:kern w:val="0"/>
          <w:sz w:val="28"/>
          <w:szCs w:val="28"/>
          <w:lang w:val="zh-CN"/>
        </w:rPr>
      </w:pPr>
    </w:p>
    <w:p w14:paraId="72D5CC34">
      <w:pPr>
        <w:snapToGrid w:val="0"/>
        <w:spacing w:line="400" w:lineRule="exact"/>
        <w:ind w:firstLine="537" w:firstLineChars="192"/>
        <w:contextualSpacing/>
        <w:rPr>
          <w:rFonts w:ascii="宋体" w:hAnsi="宋体" w:cs="宋体"/>
          <w:b/>
          <w:kern w:val="0"/>
          <w:sz w:val="28"/>
          <w:szCs w:val="28"/>
          <w:lang w:val="zh-CN"/>
        </w:rPr>
      </w:pPr>
    </w:p>
    <w:p w14:paraId="222BEA64">
      <w:pPr>
        <w:snapToGrid w:val="0"/>
        <w:spacing w:line="400" w:lineRule="exact"/>
        <w:ind w:firstLine="537" w:firstLineChars="192"/>
        <w:contextualSpacing/>
        <w:rPr>
          <w:rFonts w:ascii="宋体" w:hAnsi="宋体" w:cs="宋体"/>
          <w:b/>
          <w:kern w:val="0"/>
          <w:sz w:val="28"/>
          <w:szCs w:val="28"/>
          <w:lang w:val="zh-CN"/>
        </w:rPr>
      </w:pPr>
    </w:p>
    <w:p w14:paraId="17A61267">
      <w:pPr>
        <w:snapToGrid w:val="0"/>
        <w:spacing w:line="400" w:lineRule="exact"/>
        <w:ind w:firstLine="537" w:firstLineChars="192"/>
        <w:contextualSpacing/>
        <w:rPr>
          <w:rFonts w:ascii="宋体" w:hAnsi="宋体" w:cs="宋体"/>
          <w:b/>
          <w:kern w:val="0"/>
          <w:sz w:val="28"/>
          <w:szCs w:val="28"/>
          <w:lang w:val="zh-CN"/>
        </w:rPr>
      </w:pPr>
    </w:p>
    <w:p w14:paraId="6F322DC1">
      <w:pPr>
        <w:snapToGrid w:val="0"/>
        <w:spacing w:line="400" w:lineRule="exact"/>
        <w:contextualSpacing/>
        <w:rPr>
          <w:rFonts w:ascii="宋体" w:hAnsi="宋体" w:cs="宋体"/>
          <w:b/>
          <w:kern w:val="0"/>
          <w:sz w:val="28"/>
          <w:szCs w:val="28"/>
          <w:lang w:val="zh-CN"/>
        </w:rPr>
      </w:pPr>
    </w:p>
    <w:p w14:paraId="053E3CB6">
      <w:pPr>
        <w:snapToGrid w:val="0"/>
        <w:spacing w:line="300" w:lineRule="auto"/>
        <w:outlineLvl w:val="0"/>
        <w:rPr>
          <w:rFonts w:ascii="宋体" w:hAnsi="宋体"/>
          <w:sz w:val="32"/>
          <w:szCs w:val="32"/>
          <w:lang w:val="zh-CN"/>
        </w:rPr>
      </w:pPr>
      <w:r>
        <w:rPr>
          <w:rFonts w:ascii="宋体" w:hAnsi="宋体"/>
          <w:sz w:val="32"/>
          <w:szCs w:val="32"/>
          <w:lang w:val="zh-CN"/>
        </w:rPr>
        <w:br w:type="page"/>
      </w:r>
      <w:r>
        <w:rPr>
          <w:rFonts w:ascii="宋体" w:hAnsi="宋体"/>
          <w:sz w:val="32"/>
          <w:szCs w:val="32"/>
          <w:lang w:val="zh-CN"/>
        </w:rPr>
        <w:t>附件3</w:t>
      </w:r>
    </w:p>
    <w:p w14:paraId="592B27C5">
      <w:pPr>
        <w:jc w:val="center"/>
        <w:rPr>
          <w:rFonts w:ascii="宋体" w:hAnsi="宋体" w:cs="宋体"/>
          <w:sz w:val="32"/>
          <w:szCs w:val="32"/>
        </w:rPr>
      </w:pPr>
      <w:r>
        <w:rPr>
          <w:rFonts w:hint="eastAsia" w:ascii="宋体" w:hAnsi="宋体" w:cs="宋体"/>
          <w:sz w:val="32"/>
          <w:szCs w:val="32"/>
        </w:rPr>
        <w:t>法定代表人授权委托书</w:t>
      </w:r>
    </w:p>
    <w:p w14:paraId="69C2F189">
      <w:pPr>
        <w:jc w:val="center"/>
        <w:rPr>
          <w:rFonts w:ascii="宋体" w:hAnsi="宋体" w:cs="宋体"/>
          <w:sz w:val="32"/>
          <w:szCs w:val="32"/>
        </w:rPr>
      </w:pPr>
      <w:r>
        <w:rPr>
          <w:rFonts w:hint="eastAsia" w:ascii="宋体" w:hAnsi="宋体" w:cs="宋体"/>
          <w:sz w:val="28"/>
          <w:szCs w:val="28"/>
        </w:rPr>
        <w:t>（如法人参加投标，无需提供）</w:t>
      </w:r>
    </w:p>
    <w:p w14:paraId="0AAA452B">
      <w:pPr>
        <w:snapToGrid w:val="0"/>
        <w:spacing w:line="360" w:lineRule="auto"/>
        <w:rPr>
          <w:rFonts w:ascii="宋体" w:hAnsi="宋体" w:cs="宋体"/>
          <w:sz w:val="24"/>
        </w:rPr>
      </w:pPr>
      <w:r>
        <w:rPr>
          <w:rFonts w:hint="eastAsia" w:ascii="宋体" w:hAnsi="宋体" w:cs="宋体"/>
          <w:sz w:val="24"/>
        </w:rPr>
        <w:t>江苏商贸职业学院：</w:t>
      </w:r>
    </w:p>
    <w:p w14:paraId="0717B13E">
      <w:pPr>
        <w:snapToGrid w:val="0"/>
        <w:spacing w:line="360" w:lineRule="auto"/>
        <w:ind w:firstLine="480" w:firstLineChars="200"/>
        <w:rPr>
          <w:rFonts w:ascii="宋体" w:hAnsi="宋体" w:cs="宋体"/>
          <w:sz w:val="24"/>
        </w:rPr>
      </w:pPr>
      <w:r>
        <w:rPr>
          <w:rFonts w:hint="eastAsia" w:ascii="宋体" w:hAnsi="宋体" w:cs="宋体"/>
          <w:sz w:val="24"/>
        </w:rPr>
        <w:t>兹授权</w:t>
      </w:r>
      <w:r>
        <w:rPr>
          <w:rFonts w:hint="eastAsia" w:ascii="宋体" w:hAnsi="宋体" w:cs="宋体"/>
          <w:sz w:val="24"/>
          <w:u w:val="single"/>
        </w:rPr>
        <w:t>（</w:t>
      </w:r>
      <w:r>
        <w:rPr>
          <w:rFonts w:hint="eastAsia" w:ascii="宋体" w:hAnsi="宋体" w:cs="宋体"/>
          <w:sz w:val="24"/>
        </w:rPr>
        <w:t>被授权人的姓名）代表我公司参加（采购项目名称及项目编号)项目的政府采购活动，全权处理一切与该项目公开招标有关的事务。其在办理上述事宜过程中所签署的所有文件我公司均予以承认。</w:t>
      </w:r>
    </w:p>
    <w:p w14:paraId="39992A42">
      <w:pPr>
        <w:pStyle w:val="9"/>
        <w:adjustRightInd w:val="0"/>
        <w:snapToGrid w:val="0"/>
        <w:spacing w:line="360" w:lineRule="auto"/>
        <w:ind w:firstLine="480" w:firstLineChars="200"/>
        <w:jc w:val="left"/>
        <w:rPr>
          <w:rFonts w:hAnsi="宋体" w:cs="宋体"/>
          <w:sz w:val="24"/>
          <w:szCs w:val="24"/>
        </w:rPr>
      </w:pPr>
      <w:r>
        <w:rPr>
          <w:rFonts w:hint="eastAsia" w:hAnsi="宋体" w:cs="宋体"/>
          <w:sz w:val="24"/>
          <w:szCs w:val="24"/>
        </w:rPr>
        <w:t>被授权人无转委托权，特此委托。</w:t>
      </w:r>
    </w:p>
    <w:p w14:paraId="65E7988C">
      <w:pPr>
        <w:pStyle w:val="9"/>
        <w:adjustRightInd w:val="0"/>
        <w:snapToGrid w:val="0"/>
        <w:spacing w:line="360" w:lineRule="auto"/>
        <w:ind w:firstLine="480" w:firstLineChars="200"/>
        <w:jc w:val="left"/>
        <w:rPr>
          <w:rFonts w:hAnsi="宋体" w:cs="宋体"/>
          <w:sz w:val="24"/>
          <w:szCs w:val="24"/>
        </w:rPr>
      </w:pPr>
    </w:p>
    <w:p w14:paraId="1C777523">
      <w:pPr>
        <w:spacing w:line="360" w:lineRule="auto"/>
        <w:rPr>
          <w:rFonts w:ascii="宋体" w:hAnsi="宋体" w:cs="宋体"/>
          <w:sz w:val="24"/>
        </w:rPr>
      </w:pPr>
      <w:r>
        <w:rPr>
          <w:rFonts w:hint="eastAsia" w:ascii="宋体" w:hAnsi="宋体" w:cs="宋体"/>
          <w:sz w:val="24"/>
        </w:rPr>
        <w:t>附：被授权人情况：</w:t>
      </w:r>
    </w:p>
    <w:p w14:paraId="0625D967">
      <w:pPr>
        <w:spacing w:line="360" w:lineRule="auto"/>
        <w:rPr>
          <w:rFonts w:ascii="宋体" w:hAnsi="宋体" w:cs="宋体"/>
          <w:sz w:val="24"/>
          <w:u w:val="single"/>
        </w:rPr>
      </w:pPr>
      <w:r>
        <w:rPr>
          <w:rFonts w:hint="eastAsia" w:ascii="宋体" w:hAnsi="宋体" w:cs="宋体"/>
          <w:sz w:val="24"/>
        </w:rPr>
        <w:t>姓名：性别：年龄：职务：</w:t>
      </w:r>
    </w:p>
    <w:p w14:paraId="3D41B7C6">
      <w:pPr>
        <w:spacing w:line="360" w:lineRule="auto"/>
        <w:rPr>
          <w:rFonts w:ascii="宋体" w:hAnsi="宋体" w:cs="宋体"/>
          <w:sz w:val="24"/>
        </w:rPr>
      </w:pPr>
      <w:r>
        <w:rPr>
          <w:rFonts w:hint="eastAsia" w:ascii="宋体" w:hAnsi="宋体" w:cs="宋体"/>
          <w:sz w:val="24"/>
        </w:rPr>
        <w:t>身份证号码：</w:t>
      </w:r>
    </w:p>
    <w:p w14:paraId="7FEDFBF5">
      <w:pPr>
        <w:spacing w:line="360" w:lineRule="auto"/>
        <w:rPr>
          <w:rFonts w:ascii="宋体" w:hAnsi="宋体" w:cs="宋体"/>
          <w:sz w:val="24"/>
        </w:rPr>
      </w:pPr>
      <w:r>
        <w:rPr>
          <w:rFonts w:hint="eastAsia" w:ascii="宋体" w:hAnsi="宋体" w:cs="宋体"/>
          <w:sz w:val="24"/>
        </w:rPr>
        <w:t>手机：传真：</w:t>
      </w:r>
    </w:p>
    <w:p w14:paraId="41F9AD11">
      <w:pPr>
        <w:spacing w:line="360" w:lineRule="auto"/>
        <w:rPr>
          <w:rFonts w:ascii="宋体" w:hAnsi="宋体" w:cs="宋体"/>
          <w:sz w:val="24"/>
        </w:rPr>
      </w:pPr>
      <w:r>
        <w:rPr>
          <w:rFonts w:hint="eastAsia" w:ascii="宋体" w:hAnsi="宋体" w:cs="宋体"/>
          <w:sz w:val="24"/>
        </w:rPr>
        <w:t>单位名称（公章）法定代表人（签字或盖章）</w:t>
      </w:r>
    </w:p>
    <w:p w14:paraId="38D2DDD6">
      <w:pPr>
        <w:spacing w:line="360" w:lineRule="auto"/>
        <w:ind w:firstLine="1200" w:firstLineChars="500"/>
        <w:rPr>
          <w:rFonts w:ascii="宋体" w:hAnsi="宋体" w:cs="宋体"/>
          <w:sz w:val="24"/>
        </w:rPr>
      </w:pPr>
      <w:r>
        <w:rPr>
          <w:rFonts w:hint="eastAsia" w:ascii="宋体" w:hAnsi="宋体" w:cs="宋体"/>
          <w:sz w:val="24"/>
        </w:rPr>
        <w:t>年月日年月日</w:t>
      </w:r>
    </w:p>
    <w:p w14:paraId="30912DF5">
      <w:pPr>
        <w:spacing w:line="360" w:lineRule="auto"/>
        <w:rPr>
          <w:rFonts w:ascii="宋体" w:hAnsi="宋体" w:cs="宋体"/>
          <w:sz w:val="24"/>
        </w:rPr>
      </w:pPr>
    </w:p>
    <w:p w14:paraId="2E882CAB">
      <w:pPr>
        <w:spacing w:line="360" w:lineRule="auto"/>
        <w:rPr>
          <w:rFonts w:ascii="宋体" w:hAnsi="宋体" w:cs="宋体"/>
          <w:sz w:val="24"/>
        </w:rPr>
      </w:pPr>
    </w:p>
    <w:p w14:paraId="00CEDB78">
      <w:pPr>
        <w:spacing w:line="360" w:lineRule="auto"/>
        <w:rPr>
          <w:rFonts w:ascii="宋体" w:hAnsi="宋体" w:cs="宋体"/>
          <w:sz w:val="24"/>
        </w:rPr>
      </w:pPr>
      <w:r>
        <w:rPr>
          <w:rFonts w:hint="eastAsia" w:ascii="宋体" w:hAnsi="宋体" w:cs="宋体"/>
          <w:sz w:val="24"/>
        </w:rPr>
        <w:t>法定代表人身份证复印件</w:t>
      </w:r>
    </w:p>
    <w:p w14:paraId="0F033117">
      <w:pPr>
        <w:spacing w:line="360" w:lineRule="auto"/>
        <w:rPr>
          <w:rFonts w:ascii="宋体" w:hAnsi="宋体" w:cs="宋体"/>
          <w:sz w:val="24"/>
        </w:rPr>
      </w:pPr>
    </w:p>
    <w:p w14:paraId="7EAA88BC">
      <w:pPr>
        <w:spacing w:line="360" w:lineRule="auto"/>
        <w:rPr>
          <w:rFonts w:ascii="宋体" w:hAnsi="宋体" w:cs="宋体"/>
          <w:sz w:val="24"/>
        </w:rPr>
      </w:pPr>
    </w:p>
    <w:p w14:paraId="6225C75B">
      <w:pPr>
        <w:spacing w:line="360" w:lineRule="auto"/>
        <w:rPr>
          <w:rFonts w:ascii="宋体" w:hAnsi="宋体" w:cs="宋体"/>
          <w:sz w:val="24"/>
        </w:rPr>
      </w:pPr>
    </w:p>
    <w:p w14:paraId="1757FB69">
      <w:pPr>
        <w:spacing w:line="360" w:lineRule="auto"/>
        <w:rPr>
          <w:rFonts w:ascii="宋体" w:hAnsi="宋体" w:cs="宋体"/>
          <w:sz w:val="24"/>
        </w:rPr>
      </w:pPr>
    </w:p>
    <w:p w14:paraId="63E6E23E">
      <w:pPr>
        <w:spacing w:line="360" w:lineRule="auto"/>
        <w:rPr>
          <w:rFonts w:ascii="宋体" w:hAnsi="宋体" w:cs="宋体"/>
          <w:sz w:val="24"/>
        </w:rPr>
      </w:pPr>
      <w:r>
        <w:rPr>
          <w:rFonts w:hint="eastAsia" w:ascii="宋体" w:hAnsi="宋体" w:cs="宋体"/>
          <w:sz w:val="24"/>
        </w:rPr>
        <w:t>被授权人身份证复印件</w:t>
      </w:r>
    </w:p>
    <w:p w14:paraId="3997B6DA">
      <w:pPr>
        <w:spacing w:line="360" w:lineRule="auto"/>
        <w:rPr>
          <w:rFonts w:ascii="宋体" w:hAnsi="宋体" w:cs="宋体"/>
          <w:sz w:val="24"/>
        </w:rPr>
      </w:pPr>
    </w:p>
    <w:p w14:paraId="21EB88F3">
      <w:pPr>
        <w:spacing w:line="360" w:lineRule="auto"/>
        <w:rPr>
          <w:rFonts w:ascii="宋体" w:hAnsi="宋体" w:cs="宋体"/>
          <w:sz w:val="24"/>
        </w:rPr>
      </w:pPr>
    </w:p>
    <w:p w14:paraId="2196DF8B">
      <w:pPr>
        <w:spacing w:line="360" w:lineRule="auto"/>
        <w:ind w:firstLine="2280" w:firstLineChars="950"/>
        <w:rPr>
          <w:rFonts w:ascii="宋体" w:hAnsi="宋体" w:cs="宋体"/>
          <w:sz w:val="24"/>
        </w:rPr>
      </w:pPr>
      <w:r>
        <w:rPr>
          <w:rFonts w:hint="eastAsia" w:ascii="宋体" w:hAnsi="宋体" w:cs="宋体"/>
          <w:sz w:val="24"/>
        </w:rPr>
        <w:t>（粘贴此处）</w:t>
      </w:r>
    </w:p>
    <w:p w14:paraId="2C8B74F9">
      <w:pPr>
        <w:snapToGrid w:val="0"/>
        <w:spacing w:line="400" w:lineRule="exact"/>
        <w:ind w:firstLine="460" w:firstLineChars="192"/>
        <w:contextualSpacing/>
        <w:rPr>
          <w:rFonts w:ascii="宋体" w:hAnsi="宋体" w:cs="宋体"/>
          <w:b/>
          <w:kern w:val="0"/>
          <w:sz w:val="24"/>
        </w:rPr>
      </w:pPr>
    </w:p>
    <w:p w14:paraId="6CC0E2EC">
      <w:pPr>
        <w:snapToGrid w:val="0"/>
        <w:spacing w:line="400" w:lineRule="exact"/>
        <w:ind w:firstLine="537" w:firstLineChars="192"/>
        <w:contextualSpacing/>
        <w:rPr>
          <w:rFonts w:ascii="宋体" w:hAnsi="宋体" w:cs="宋体"/>
          <w:b/>
          <w:kern w:val="0"/>
          <w:sz w:val="28"/>
          <w:szCs w:val="28"/>
        </w:rPr>
      </w:pPr>
    </w:p>
    <w:p w14:paraId="21643356">
      <w:pPr>
        <w:snapToGrid w:val="0"/>
        <w:spacing w:line="400" w:lineRule="exact"/>
        <w:ind w:firstLine="537" w:firstLineChars="192"/>
        <w:contextualSpacing/>
        <w:rPr>
          <w:rFonts w:ascii="宋体" w:hAnsi="宋体" w:cs="宋体"/>
          <w:b/>
          <w:kern w:val="0"/>
          <w:sz w:val="28"/>
          <w:szCs w:val="28"/>
        </w:rPr>
      </w:pPr>
    </w:p>
    <w:p w14:paraId="0644C9F6">
      <w:pPr>
        <w:snapToGrid w:val="0"/>
        <w:spacing w:line="400" w:lineRule="exact"/>
        <w:ind w:firstLine="537" w:firstLineChars="192"/>
        <w:contextualSpacing/>
        <w:rPr>
          <w:rFonts w:ascii="宋体" w:hAnsi="宋体" w:cs="宋体"/>
          <w:b/>
          <w:kern w:val="0"/>
          <w:sz w:val="28"/>
          <w:szCs w:val="28"/>
        </w:rPr>
      </w:pPr>
    </w:p>
    <w:p w14:paraId="0A971046">
      <w:pPr>
        <w:snapToGrid w:val="0"/>
        <w:spacing w:line="400" w:lineRule="exact"/>
        <w:ind w:firstLine="537" w:firstLineChars="192"/>
        <w:contextualSpacing/>
        <w:rPr>
          <w:rFonts w:ascii="宋体" w:hAnsi="宋体" w:cs="宋体"/>
          <w:b/>
          <w:kern w:val="0"/>
          <w:sz w:val="28"/>
          <w:szCs w:val="28"/>
        </w:rPr>
      </w:pPr>
    </w:p>
    <w:p w14:paraId="0B4FC45E">
      <w:pPr>
        <w:snapToGrid w:val="0"/>
        <w:spacing w:line="460" w:lineRule="exact"/>
        <w:jc w:val="left"/>
        <w:outlineLvl w:val="1"/>
        <w:rPr>
          <w:rFonts w:ascii="宋体" w:hAnsi="宋体" w:cs="宋体"/>
          <w:b/>
          <w:kern w:val="0"/>
          <w:sz w:val="28"/>
          <w:szCs w:val="28"/>
        </w:rPr>
      </w:pPr>
      <w:r>
        <w:rPr>
          <w:rFonts w:hint="eastAsia" w:ascii="宋体" w:hAnsi="宋体"/>
          <w:sz w:val="32"/>
          <w:szCs w:val="32"/>
        </w:rPr>
        <w:t>附件4</w:t>
      </w:r>
    </w:p>
    <w:p w14:paraId="2AE8F616">
      <w:pPr>
        <w:snapToGrid w:val="0"/>
        <w:spacing w:line="460" w:lineRule="exact"/>
        <w:jc w:val="center"/>
        <w:outlineLvl w:val="1"/>
        <w:rPr>
          <w:rFonts w:ascii="宋体" w:hAnsi="宋体" w:cs="仿宋"/>
          <w:b/>
          <w:sz w:val="28"/>
          <w:szCs w:val="28"/>
        </w:rPr>
      </w:pPr>
      <w:r>
        <w:rPr>
          <w:rFonts w:hint="eastAsia" w:ascii="宋体" w:hAnsi="宋体" w:cs="仿宋"/>
          <w:b/>
          <w:bCs/>
          <w:sz w:val="28"/>
          <w:szCs w:val="28"/>
        </w:rPr>
        <w:t>具备履行合同所必需的设备和专业技术能力的书面声明</w:t>
      </w:r>
    </w:p>
    <w:p w14:paraId="3F5635FA">
      <w:pPr>
        <w:snapToGrid w:val="0"/>
        <w:spacing w:line="460" w:lineRule="exact"/>
        <w:ind w:firstLine="560" w:firstLineChars="200"/>
        <w:rPr>
          <w:rFonts w:ascii="宋体" w:hAnsi="宋体" w:cs="仿宋"/>
          <w:sz w:val="28"/>
          <w:szCs w:val="28"/>
        </w:rPr>
      </w:pPr>
    </w:p>
    <w:p w14:paraId="1BD486B1">
      <w:pPr>
        <w:snapToGrid w:val="0"/>
        <w:spacing w:line="460" w:lineRule="exact"/>
        <w:rPr>
          <w:rFonts w:ascii="宋体" w:hAnsi="宋体" w:cs="仿宋"/>
          <w:sz w:val="28"/>
          <w:szCs w:val="28"/>
        </w:rPr>
      </w:pPr>
      <w:r>
        <w:rPr>
          <w:rFonts w:hint="eastAsia" w:ascii="宋体" w:hAnsi="宋体" w:cs="仿宋"/>
          <w:sz w:val="28"/>
          <w:szCs w:val="28"/>
        </w:rPr>
        <w:t>江苏商贸职业学院：</w:t>
      </w:r>
    </w:p>
    <w:p w14:paraId="2433C2BF">
      <w:pPr>
        <w:snapToGrid w:val="0"/>
        <w:spacing w:line="460" w:lineRule="exact"/>
        <w:ind w:firstLine="560" w:firstLineChars="200"/>
        <w:rPr>
          <w:rFonts w:ascii="宋体" w:hAnsi="宋体" w:cs="仿宋"/>
          <w:sz w:val="28"/>
          <w:szCs w:val="28"/>
        </w:rPr>
      </w:pPr>
      <w:r>
        <w:rPr>
          <w:rFonts w:hint="eastAsia" w:ascii="宋体" w:hAnsi="宋体" w:cs="仿宋"/>
          <w:sz w:val="28"/>
          <w:szCs w:val="28"/>
        </w:rPr>
        <w:t>我单位</w:t>
      </w:r>
      <w:r>
        <w:rPr>
          <w:rFonts w:hint="eastAsia" w:ascii="宋体" w:hAnsi="宋体" w:cs="仿宋"/>
          <w:sz w:val="28"/>
          <w:szCs w:val="28"/>
          <w:u w:val="single"/>
        </w:rPr>
        <w:t xml:space="preserve"> （投标单位名称） </w:t>
      </w:r>
      <w:r>
        <w:rPr>
          <w:rFonts w:hint="eastAsia" w:ascii="宋体" w:hAnsi="宋体" w:cs="仿宋"/>
          <w:sz w:val="28"/>
          <w:szCs w:val="28"/>
        </w:rPr>
        <w:t>郑重承诺：</w:t>
      </w:r>
    </w:p>
    <w:p w14:paraId="5BD77990">
      <w:pPr>
        <w:snapToGrid w:val="0"/>
        <w:spacing w:line="460" w:lineRule="exact"/>
        <w:ind w:firstLine="560" w:firstLineChars="200"/>
        <w:rPr>
          <w:rFonts w:ascii="宋体" w:hAnsi="宋体" w:cs="仿宋"/>
          <w:sz w:val="28"/>
          <w:szCs w:val="28"/>
        </w:rPr>
      </w:pPr>
      <w:r>
        <w:rPr>
          <w:rFonts w:hint="eastAsia" w:ascii="宋体" w:hAnsi="宋体" w:cs="仿宋"/>
          <w:sz w:val="28"/>
          <w:szCs w:val="28"/>
        </w:rPr>
        <w:t>贵方组织的</w:t>
      </w:r>
      <w:r>
        <w:rPr>
          <w:rFonts w:hint="eastAsia" w:ascii="宋体" w:hAnsi="宋体" w:cs="仿宋"/>
          <w:sz w:val="28"/>
          <w:szCs w:val="28"/>
          <w:u w:val="single"/>
        </w:rPr>
        <w:t xml:space="preserve"> (项目名称） </w:t>
      </w:r>
      <w:r>
        <w:rPr>
          <w:rFonts w:hint="eastAsia" w:ascii="宋体" w:hAnsi="宋体" w:cs="仿宋"/>
          <w:sz w:val="28"/>
          <w:szCs w:val="28"/>
        </w:rPr>
        <w:t>，我单位</w:t>
      </w:r>
      <w:r>
        <w:rPr>
          <w:rFonts w:hint="eastAsia" w:ascii="宋体" w:hAnsi="宋体" w:cs="仿宋"/>
          <w:sz w:val="28"/>
          <w:szCs w:val="28"/>
          <w:u w:val="single"/>
        </w:rPr>
        <w:t xml:space="preserve"> (在下划线上如实填写：有或没有） </w:t>
      </w:r>
      <w:r>
        <w:rPr>
          <w:rFonts w:hint="eastAsia" w:ascii="宋体" w:hAnsi="宋体" w:cs="仿宋"/>
          <w:sz w:val="28"/>
          <w:szCs w:val="28"/>
        </w:rPr>
        <w:t>履行合同所必需的</w:t>
      </w:r>
      <w:r>
        <w:rPr>
          <w:rFonts w:hint="eastAsia" w:ascii="宋体" w:hAnsi="宋体" w:cs="仿宋"/>
          <w:bCs/>
          <w:sz w:val="28"/>
          <w:szCs w:val="28"/>
        </w:rPr>
        <w:t>设备和</w:t>
      </w:r>
      <w:r>
        <w:rPr>
          <w:rFonts w:hint="eastAsia" w:ascii="宋体" w:hAnsi="宋体" w:cs="仿宋"/>
          <w:sz w:val="28"/>
          <w:szCs w:val="28"/>
        </w:rPr>
        <w:t>专业技术能力。</w:t>
      </w:r>
    </w:p>
    <w:p w14:paraId="58931E2E">
      <w:pPr>
        <w:spacing w:line="460" w:lineRule="exact"/>
        <w:rPr>
          <w:rFonts w:ascii="宋体" w:hAnsi="宋体" w:cs="仿宋"/>
          <w:b/>
          <w:bCs/>
          <w:sz w:val="32"/>
          <w:szCs w:val="32"/>
        </w:rPr>
      </w:pPr>
    </w:p>
    <w:p w14:paraId="5E9DB4D2">
      <w:pPr>
        <w:spacing w:line="460" w:lineRule="exact"/>
        <w:rPr>
          <w:rFonts w:ascii="宋体" w:hAnsi="宋体" w:cs="仿宋"/>
          <w:b/>
          <w:bCs/>
          <w:sz w:val="32"/>
          <w:szCs w:val="32"/>
        </w:rPr>
      </w:pPr>
    </w:p>
    <w:p w14:paraId="798020AF">
      <w:pPr>
        <w:spacing w:line="460" w:lineRule="exact"/>
        <w:rPr>
          <w:rFonts w:ascii="宋体" w:hAnsi="宋体" w:cs="仿宋"/>
          <w:b/>
          <w:bCs/>
          <w:sz w:val="32"/>
          <w:szCs w:val="32"/>
        </w:rPr>
      </w:pPr>
    </w:p>
    <w:p w14:paraId="75DBFFE6">
      <w:pPr>
        <w:spacing w:line="460" w:lineRule="exact"/>
        <w:rPr>
          <w:rFonts w:ascii="宋体" w:hAnsi="宋体" w:cs="仿宋"/>
          <w:b/>
          <w:bCs/>
          <w:sz w:val="32"/>
          <w:szCs w:val="32"/>
        </w:rPr>
      </w:pPr>
    </w:p>
    <w:p w14:paraId="01294281">
      <w:pPr>
        <w:spacing w:line="460" w:lineRule="exact"/>
        <w:ind w:firstLine="560" w:firstLineChars="200"/>
        <w:jc w:val="right"/>
        <w:rPr>
          <w:rFonts w:ascii="宋体" w:hAnsi="宋体" w:cs="仿宋"/>
          <w:sz w:val="28"/>
          <w:szCs w:val="28"/>
        </w:rPr>
      </w:pPr>
      <w:r>
        <w:rPr>
          <w:rFonts w:hint="eastAsia" w:ascii="宋体" w:hAnsi="宋体" w:cs="仿宋"/>
          <w:sz w:val="28"/>
          <w:szCs w:val="28"/>
        </w:rPr>
        <w:t>投标人：（加盖公章）</w:t>
      </w:r>
    </w:p>
    <w:p w14:paraId="4202FEFA">
      <w:pPr>
        <w:spacing w:line="460" w:lineRule="exact"/>
        <w:ind w:firstLine="560" w:firstLineChars="200"/>
        <w:jc w:val="right"/>
        <w:rPr>
          <w:rFonts w:ascii="宋体" w:hAnsi="宋体" w:cs="仿宋"/>
          <w:sz w:val="28"/>
          <w:szCs w:val="28"/>
        </w:rPr>
      </w:pPr>
      <w:r>
        <w:rPr>
          <w:rFonts w:hint="eastAsia" w:ascii="宋体" w:hAnsi="宋体" w:cs="仿宋"/>
          <w:sz w:val="28"/>
          <w:szCs w:val="28"/>
        </w:rPr>
        <w:t>法定代表人或被授权人：（签字或盖章）</w:t>
      </w:r>
    </w:p>
    <w:p w14:paraId="4168B7A5">
      <w:pPr>
        <w:spacing w:line="360" w:lineRule="auto"/>
        <w:jc w:val="right"/>
        <w:outlineLvl w:val="2"/>
        <w:rPr>
          <w:rFonts w:ascii="宋体" w:hAnsi="宋体" w:cs="仿宋"/>
          <w:sz w:val="28"/>
          <w:szCs w:val="28"/>
        </w:rPr>
      </w:pPr>
      <w:r>
        <w:rPr>
          <w:rFonts w:hint="eastAsia" w:ascii="宋体" w:hAnsi="宋体" w:cs="仿宋"/>
          <w:sz w:val="28"/>
          <w:szCs w:val="28"/>
        </w:rPr>
        <w:t>年      月     日</w:t>
      </w:r>
    </w:p>
    <w:p w14:paraId="31E757A3">
      <w:pPr>
        <w:spacing w:line="360" w:lineRule="auto"/>
        <w:jc w:val="left"/>
        <w:outlineLvl w:val="2"/>
        <w:rPr>
          <w:rFonts w:ascii="宋体" w:hAnsi="宋体" w:cs="宋体"/>
          <w:b/>
          <w:kern w:val="0"/>
          <w:sz w:val="28"/>
          <w:szCs w:val="28"/>
        </w:rPr>
      </w:pPr>
      <w:r>
        <w:rPr>
          <w:rFonts w:ascii="宋体" w:hAnsi="宋体" w:cs="宋体"/>
          <w:b/>
          <w:kern w:val="0"/>
          <w:sz w:val="28"/>
          <w:szCs w:val="28"/>
        </w:rPr>
        <w:br w:type="page"/>
      </w:r>
      <w:r>
        <w:rPr>
          <w:rFonts w:hint="eastAsia" w:ascii="宋体" w:hAnsi="宋体"/>
          <w:sz w:val="32"/>
          <w:szCs w:val="32"/>
        </w:rPr>
        <w:t>附件5</w:t>
      </w:r>
    </w:p>
    <w:p w14:paraId="475E2DA5">
      <w:pPr>
        <w:snapToGrid w:val="0"/>
        <w:spacing w:line="360" w:lineRule="auto"/>
        <w:jc w:val="center"/>
        <w:outlineLvl w:val="4"/>
        <w:rPr>
          <w:rFonts w:ascii="宋体" w:hAnsi="宋体" w:cs="仿宋"/>
          <w:b/>
          <w:bCs/>
          <w:sz w:val="28"/>
          <w:szCs w:val="28"/>
        </w:rPr>
      </w:pPr>
      <w:r>
        <w:rPr>
          <w:rFonts w:hint="eastAsia" w:ascii="宋体" w:hAnsi="宋体" w:cs="仿宋"/>
          <w:b/>
          <w:bCs/>
          <w:sz w:val="28"/>
          <w:szCs w:val="28"/>
        </w:rPr>
        <w:t>无重大违法记录声明</w:t>
      </w:r>
    </w:p>
    <w:p w14:paraId="11D05C80">
      <w:pPr>
        <w:spacing w:line="360" w:lineRule="auto"/>
        <w:rPr>
          <w:rFonts w:ascii="宋体" w:hAnsi="宋体" w:cs="仿宋"/>
          <w:sz w:val="28"/>
          <w:szCs w:val="28"/>
        </w:rPr>
      </w:pPr>
      <w:r>
        <w:rPr>
          <w:rFonts w:hint="eastAsia" w:ascii="宋体" w:hAnsi="宋体" w:cs="仿宋"/>
          <w:sz w:val="28"/>
          <w:szCs w:val="28"/>
        </w:rPr>
        <w:t>江苏商贸职业学院：</w:t>
      </w:r>
    </w:p>
    <w:p w14:paraId="701A334D">
      <w:pPr>
        <w:spacing w:line="360" w:lineRule="auto"/>
        <w:rPr>
          <w:rFonts w:ascii="宋体" w:hAnsi="宋体" w:cs="仿宋"/>
          <w:sz w:val="28"/>
          <w:szCs w:val="28"/>
        </w:rPr>
      </w:pPr>
      <w:r>
        <w:rPr>
          <w:rFonts w:hint="eastAsia" w:ascii="宋体" w:hAnsi="宋体" w:cs="仿宋"/>
          <w:sz w:val="28"/>
          <w:szCs w:val="28"/>
        </w:rPr>
        <w:t xml:space="preserve">    我单位（投标人名称）郑重声明：</w:t>
      </w:r>
    </w:p>
    <w:p w14:paraId="7FE78445">
      <w:pPr>
        <w:spacing w:line="360" w:lineRule="auto"/>
        <w:rPr>
          <w:rFonts w:ascii="宋体" w:hAnsi="宋体" w:cs="仿宋"/>
          <w:sz w:val="28"/>
          <w:szCs w:val="28"/>
        </w:rPr>
      </w:pPr>
      <w:r>
        <w:rPr>
          <w:rFonts w:hint="eastAsia" w:ascii="宋体" w:hAnsi="宋体" w:cs="仿宋"/>
          <w:sz w:val="28"/>
          <w:szCs w:val="28"/>
        </w:rPr>
        <w:t xml:space="preserve">    参加政府采购活动前3年内在经营活动中（在下划线上如实填写：有或没有）重大违法记录。</w:t>
      </w:r>
    </w:p>
    <w:p w14:paraId="396B02F1">
      <w:pPr>
        <w:spacing w:line="360" w:lineRule="auto"/>
        <w:ind w:firstLine="480"/>
        <w:rPr>
          <w:rFonts w:ascii="宋体" w:hAnsi="宋体" w:cs="仿宋"/>
          <w:sz w:val="28"/>
          <w:szCs w:val="28"/>
        </w:rPr>
      </w:pPr>
      <w:r>
        <w:rPr>
          <w:rFonts w:hint="eastAsia" w:ascii="宋体" w:hAnsi="宋体" w:cs="仿宋"/>
          <w:sz w:val="28"/>
          <w:szCs w:val="28"/>
        </w:rPr>
        <w:t>在投标截止时间节点，没有被“信用中国”（www.creditchina.gov.cn）、“中国政府采购网”（www.ccgp.gov.cn）、“信用江苏”（www.jscredit.cn/index.htm）网站列入失信被执行人、重大税收违法案件当事人名单、政府采购严重违法失信行为记录名单。</w:t>
      </w:r>
    </w:p>
    <w:p w14:paraId="76B14A3C">
      <w:pPr>
        <w:spacing w:line="360" w:lineRule="auto"/>
        <w:ind w:firstLine="480"/>
        <w:rPr>
          <w:rFonts w:ascii="宋体" w:hAnsi="宋体" w:cs="仿宋"/>
          <w:sz w:val="28"/>
          <w:szCs w:val="28"/>
        </w:rPr>
      </w:pPr>
    </w:p>
    <w:p w14:paraId="0F1FAE15">
      <w:pPr>
        <w:spacing w:line="360" w:lineRule="auto"/>
        <w:ind w:firstLine="480"/>
        <w:rPr>
          <w:rFonts w:ascii="宋体" w:hAnsi="宋体" w:cs="仿宋"/>
          <w:sz w:val="28"/>
          <w:szCs w:val="28"/>
        </w:rPr>
      </w:pPr>
      <w:r>
        <w:rPr>
          <w:rFonts w:hint="eastAsia" w:ascii="宋体" w:hAnsi="宋体" w:cs="仿宋"/>
          <w:sz w:val="28"/>
          <w:szCs w:val="28"/>
        </w:rPr>
        <w:t>（说明：政府采购法第二十二条第一款第五项所称重大违法记录，是指供应商因违法经营受到刑事处罚或者责令停产停业、吊销许可证或者执照、较大数额罚款等行政处罚。）</w:t>
      </w:r>
    </w:p>
    <w:p w14:paraId="12A8ADD8">
      <w:pPr>
        <w:spacing w:line="360" w:lineRule="auto"/>
        <w:ind w:firstLine="560" w:firstLineChars="200"/>
        <w:jc w:val="right"/>
        <w:rPr>
          <w:rFonts w:ascii="宋体" w:hAnsi="宋体" w:cs="仿宋"/>
          <w:sz w:val="28"/>
          <w:szCs w:val="28"/>
        </w:rPr>
      </w:pPr>
      <w:r>
        <w:rPr>
          <w:rFonts w:hint="eastAsia" w:ascii="宋体" w:hAnsi="宋体" w:cs="仿宋"/>
          <w:sz w:val="28"/>
          <w:szCs w:val="28"/>
        </w:rPr>
        <w:t xml:space="preserve">                                  投标人：（加盖公章）</w:t>
      </w:r>
    </w:p>
    <w:p w14:paraId="6AFFFD09">
      <w:pPr>
        <w:spacing w:line="360" w:lineRule="auto"/>
        <w:ind w:firstLine="560" w:firstLineChars="200"/>
        <w:jc w:val="right"/>
        <w:rPr>
          <w:rFonts w:ascii="宋体" w:hAnsi="宋体" w:cs="仿宋"/>
          <w:sz w:val="28"/>
          <w:szCs w:val="28"/>
        </w:rPr>
      </w:pPr>
      <w:r>
        <w:rPr>
          <w:rFonts w:hint="eastAsia" w:ascii="宋体" w:hAnsi="宋体" w:cs="仿宋"/>
          <w:sz w:val="28"/>
          <w:szCs w:val="28"/>
        </w:rPr>
        <w:t>法定代表人或被授权人：（签字或盖章）</w:t>
      </w:r>
    </w:p>
    <w:p w14:paraId="0671F746">
      <w:pPr>
        <w:spacing w:line="360" w:lineRule="auto"/>
        <w:ind w:firstLine="1540" w:firstLineChars="550"/>
        <w:jc w:val="right"/>
        <w:rPr>
          <w:rFonts w:ascii="宋体" w:hAnsi="宋体" w:cs="仿宋"/>
          <w:sz w:val="28"/>
          <w:szCs w:val="28"/>
        </w:rPr>
      </w:pPr>
      <w:r>
        <w:rPr>
          <w:rFonts w:hint="eastAsia" w:ascii="宋体" w:hAnsi="宋体" w:cs="仿宋"/>
          <w:sz w:val="28"/>
          <w:szCs w:val="28"/>
        </w:rPr>
        <w:t>年      月     日</w:t>
      </w:r>
    </w:p>
    <w:p w14:paraId="18B0DDBB">
      <w:pPr>
        <w:snapToGrid w:val="0"/>
        <w:spacing w:line="300" w:lineRule="auto"/>
        <w:outlineLvl w:val="0"/>
        <w:rPr>
          <w:rFonts w:ascii="宋体" w:hAnsi="宋体"/>
          <w:sz w:val="32"/>
          <w:szCs w:val="32"/>
        </w:rPr>
      </w:pPr>
      <w:r>
        <w:rPr>
          <w:rFonts w:ascii="宋体" w:hAnsi="宋体"/>
          <w:sz w:val="32"/>
          <w:szCs w:val="32"/>
        </w:rPr>
        <w:br w:type="column"/>
      </w:r>
      <w:r>
        <w:rPr>
          <w:rFonts w:ascii="宋体" w:hAnsi="宋体"/>
          <w:sz w:val="32"/>
          <w:szCs w:val="32"/>
        </w:rPr>
        <w:t>附件</w:t>
      </w:r>
      <w:r>
        <w:rPr>
          <w:rFonts w:hint="eastAsia" w:ascii="宋体" w:hAnsi="宋体"/>
          <w:sz w:val="32"/>
          <w:szCs w:val="32"/>
        </w:rPr>
        <w:t xml:space="preserve">6 </w:t>
      </w:r>
    </w:p>
    <w:p w14:paraId="723B27FE">
      <w:pPr>
        <w:snapToGrid w:val="0"/>
        <w:spacing w:line="300" w:lineRule="auto"/>
        <w:contextualSpacing/>
        <w:jc w:val="center"/>
        <w:rPr>
          <w:rFonts w:ascii="宋体" w:hAnsi="宋体"/>
          <w:b/>
          <w:sz w:val="32"/>
          <w:szCs w:val="32"/>
        </w:rPr>
      </w:pPr>
      <w:r>
        <w:rPr>
          <w:rFonts w:hint="eastAsia" w:ascii="宋体" w:hAnsi="宋体"/>
          <w:b/>
          <w:sz w:val="32"/>
          <w:szCs w:val="32"/>
        </w:rPr>
        <w:t>商务部分正负偏离表</w:t>
      </w:r>
    </w:p>
    <w:p w14:paraId="1943CE13">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3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08DE1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06B15FF9">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1FBE636">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582CAE8F">
            <w:pPr>
              <w:spacing w:line="340" w:lineRule="exact"/>
              <w:jc w:val="center"/>
              <w:rPr>
                <w:rFonts w:ascii="宋体" w:hAnsi="宋体"/>
                <w:sz w:val="24"/>
              </w:rPr>
            </w:pPr>
            <w:r>
              <w:rPr>
                <w:rFonts w:hint="eastAsia" w:ascii="宋体" w:hAnsi="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41964260">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670072B">
            <w:pPr>
              <w:spacing w:line="340" w:lineRule="exact"/>
              <w:jc w:val="center"/>
              <w:rPr>
                <w:rFonts w:ascii="宋体" w:hAnsi="宋体"/>
                <w:sz w:val="24"/>
              </w:rPr>
            </w:pPr>
          </w:p>
          <w:p w14:paraId="0213F9CF">
            <w:pPr>
              <w:spacing w:line="340" w:lineRule="exact"/>
              <w:jc w:val="center"/>
              <w:rPr>
                <w:rFonts w:ascii="宋体" w:hAnsi="宋体"/>
                <w:sz w:val="24"/>
              </w:rPr>
            </w:pPr>
            <w:r>
              <w:rPr>
                <w:rFonts w:hint="eastAsia" w:ascii="宋体" w:hAnsi="宋体"/>
                <w:sz w:val="24"/>
              </w:rPr>
              <w:t>偏离说明</w:t>
            </w:r>
          </w:p>
        </w:tc>
      </w:tr>
      <w:tr w14:paraId="277B8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20D0BDC0">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2FE9E876">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D3C43A2">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494A89F">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3D0FF562">
            <w:pPr>
              <w:spacing w:line="340" w:lineRule="exact"/>
              <w:jc w:val="left"/>
              <w:rPr>
                <w:rFonts w:ascii="宋体" w:hAnsi="宋体"/>
                <w:sz w:val="24"/>
              </w:rPr>
            </w:pPr>
          </w:p>
        </w:tc>
      </w:tr>
      <w:tr w14:paraId="463135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4F5C0EC7">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07DBC01D">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21BA8D6">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369A2D7">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4425E3A8">
            <w:pPr>
              <w:spacing w:line="340" w:lineRule="exact"/>
              <w:jc w:val="left"/>
              <w:rPr>
                <w:rFonts w:ascii="宋体" w:hAnsi="宋体"/>
                <w:sz w:val="24"/>
              </w:rPr>
            </w:pPr>
          </w:p>
        </w:tc>
      </w:tr>
      <w:tr w14:paraId="68C17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7891804A">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350140C8">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F5E6969">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4FA4157">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5E3F2B6E">
            <w:pPr>
              <w:spacing w:line="340" w:lineRule="exact"/>
              <w:jc w:val="left"/>
              <w:rPr>
                <w:rFonts w:ascii="宋体" w:hAnsi="宋体"/>
                <w:sz w:val="24"/>
              </w:rPr>
            </w:pPr>
          </w:p>
        </w:tc>
      </w:tr>
      <w:tr w14:paraId="18BC96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7CFADEB2">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32E39D5E">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9125CE8">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45AAC39">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49FE1404">
            <w:pPr>
              <w:spacing w:line="340" w:lineRule="exact"/>
              <w:jc w:val="left"/>
              <w:rPr>
                <w:rFonts w:ascii="宋体" w:hAnsi="宋体"/>
                <w:sz w:val="24"/>
              </w:rPr>
            </w:pPr>
          </w:p>
        </w:tc>
      </w:tr>
    </w:tbl>
    <w:p w14:paraId="4D066C3B">
      <w:pPr>
        <w:snapToGrid w:val="0"/>
        <w:spacing w:line="300" w:lineRule="auto"/>
        <w:contextualSpacing/>
        <w:rPr>
          <w:rFonts w:ascii="宋体" w:hAnsi="宋体"/>
          <w:b/>
          <w:sz w:val="24"/>
        </w:rPr>
      </w:pPr>
      <w:r>
        <w:rPr>
          <w:rFonts w:hint="eastAsia" w:ascii="宋体" w:hAnsi="宋体"/>
          <w:b/>
          <w:sz w:val="24"/>
        </w:rPr>
        <w:t>注：</w:t>
      </w:r>
    </w:p>
    <w:p w14:paraId="32479E5E">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1.供应商提交的响应文件中与招标文件第三部分“项目需求”中的商务部分的要求，应逐条填列在偏离表中。</w:t>
      </w:r>
    </w:p>
    <w:p w14:paraId="7B984E98">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503ED8BF">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316654B8">
      <w:pPr>
        <w:snapToGrid w:val="0"/>
        <w:spacing w:line="400" w:lineRule="exact"/>
        <w:ind w:firstLine="537" w:firstLineChars="192"/>
        <w:contextualSpacing/>
        <w:rPr>
          <w:rFonts w:ascii="宋体" w:hAnsi="宋体" w:cs="宋体"/>
          <w:b/>
          <w:kern w:val="0"/>
          <w:sz w:val="28"/>
          <w:szCs w:val="28"/>
        </w:rPr>
      </w:pPr>
    </w:p>
    <w:p w14:paraId="43D117C9">
      <w:pPr>
        <w:snapToGrid w:val="0"/>
        <w:spacing w:line="400" w:lineRule="exact"/>
        <w:ind w:firstLine="537" w:firstLineChars="192"/>
        <w:contextualSpacing/>
        <w:rPr>
          <w:rFonts w:ascii="宋体" w:hAnsi="宋体" w:cs="宋体"/>
          <w:b/>
          <w:kern w:val="0"/>
          <w:sz w:val="28"/>
          <w:szCs w:val="28"/>
        </w:rPr>
      </w:pPr>
    </w:p>
    <w:p w14:paraId="487AEBA3">
      <w:pPr>
        <w:snapToGrid w:val="0"/>
        <w:spacing w:line="400" w:lineRule="exact"/>
        <w:ind w:firstLine="537" w:firstLineChars="192"/>
        <w:contextualSpacing/>
        <w:rPr>
          <w:rFonts w:ascii="宋体" w:hAnsi="宋体" w:cs="宋体"/>
          <w:b/>
          <w:kern w:val="0"/>
          <w:sz w:val="28"/>
          <w:szCs w:val="28"/>
        </w:rPr>
      </w:pPr>
    </w:p>
    <w:p w14:paraId="32021749">
      <w:pPr>
        <w:snapToGrid w:val="0"/>
        <w:spacing w:line="400" w:lineRule="exact"/>
        <w:ind w:firstLine="537" w:firstLineChars="192"/>
        <w:contextualSpacing/>
        <w:rPr>
          <w:rFonts w:ascii="宋体" w:hAnsi="宋体" w:cs="宋体"/>
          <w:b/>
          <w:kern w:val="0"/>
          <w:sz w:val="28"/>
          <w:szCs w:val="28"/>
        </w:rPr>
      </w:pPr>
    </w:p>
    <w:p w14:paraId="4C2DA443">
      <w:pPr>
        <w:snapToGrid w:val="0"/>
        <w:spacing w:line="400" w:lineRule="exact"/>
        <w:ind w:firstLine="537" w:firstLineChars="192"/>
        <w:contextualSpacing/>
        <w:rPr>
          <w:rFonts w:ascii="宋体" w:hAnsi="宋体" w:cs="宋体"/>
          <w:b/>
          <w:kern w:val="0"/>
          <w:sz w:val="28"/>
          <w:szCs w:val="28"/>
        </w:rPr>
      </w:pPr>
    </w:p>
    <w:p w14:paraId="0ECBD21E">
      <w:pPr>
        <w:snapToGrid w:val="0"/>
        <w:spacing w:line="400" w:lineRule="exact"/>
        <w:ind w:firstLine="537" w:firstLineChars="192"/>
        <w:contextualSpacing/>
        <w:rPr>
          <w:rFonts w:ascii="宋体" w:hAnsi="宋体" w:cs="宋体"/>
          <w:b/>
          <w:kern w:val="0"/>
          <w:sz w:val="28"/>
          <w:szCs w:val="28"/>
        </w:rPr>
      </w:pPr>
    </w:p>
    <w:p w14:paraId="7427F39C">
      <w:pPr>
        <w:snapToGrid w:val="0"/>
        <w:spacing w:line="400" w:lineRule="exact"/>
        <w:ind w:firstLine="537" w:firstLineChars="192"/>
        <w:contextualSpacing/>
        <w:rPr>
          <w:rFonts w:ascii="宋体" w:hAnsi="宋体" w:cs="宋体"/>
          <w:b/>
          <w:kern w:val="0"/>
          <w:sz w:val="28"/>
          <w:szCs w:val="28"/>
        </w:rPr>
      </w:pPr>
    </w:p>
    <w:p w14:paraId="6B4B613C">
      <w:pPr>
        <w:snapToGrid w:val="0"/>
        <w:spacing w:line="400" w:lineRule="exact"/>
        <w:ind w:firstLine="537" w:firstLineChars="192"/>
        <w:contextualSpacing/>
        <w:rPr>
          <w:rFonts w:ascii="宋体" w:hAnsi="宋体" w:cs="宋体"/>
          <w:b/>
          <w:kern w:val="0"/>
          <w:sz w:val="28"/>
          <w:szCs w:val="28"/>
        </w:rPr>
      </w:pPr>
    </w:p>
    <w:p w14:paraId="6AA3082F">
      <w:pPr>
        <w:snapToGrid w:val="0"/>
        <w:spacing w:line="400" w:lineRule="exact"/>
        <w:ind w:firstLine="537" w:firstLineChars="192"/>
        <w:contextualSpacing/>
        <w:rPr>
          <w:rFonts w:ascii="宋体" w:hAnsi="宋体" w:cs="宋体"/>
          <w:b/>
          <w:kern w:val="0"/>
          <w:sz w:val="28"/>
          <w:szCs w:val="28"/>
        </w:rPr>
      </w:pPr>
    </w:p>
    <w:p w14:paraId="63B880B6">
      <w:pPr>
        <w:snapToGrid w:val="0"/>
        <w:spacing w:line="400" w:lineRule="exact"/>
        <w:ind w:firstLine="537" w:firstLineChars="192"/>
        <w:contextualSpacing/>
        <w:rPr>
          <w:rFonts w:ascii="宋体" w:hAnsi="宋体" w:cs="宋体"/>
          <w:b/>
          <w:kern w:val="0"/>
          <w:sz w:val="28"/>
          <w:szCs w:val="28"/>
        </w:rPr>
      </w:pPr>
    </w:p>
    <w:p w14:paraId="6C3BAC1E">
      <w:pPr>
        <w:snapToGrid w:val="0"/>
        <w:spacing w:line="400" w:lineRule="exact"/>
        <w:ind w:firstLine="537" w:firstLineChars="192"/>
        <w:contextualSpacing/>
        <w:rPr>
          <w:rFonts w:ascii="宋体" w:hAnsi="宋体" w:cs="宋体"/>
          <w:b/>
          <w:kern w:val="0"/>
          <w:sz w:val="28"/>
          <w:szCs w:val="28"/>
        </w:rPr>
      </w:pPr>
    </w:p>
    <w:p w14:paraId="1DA12237">
      <w:pPr>
        <w:snapToGrid w:val="0"/>
        <w:spacing w:line="400" w:lineRule="exact"/>
        <w:ind w:firstLine="537" w:firstLineChars="192"/>
        <w:contextualSpacing/>
        <w:rPr>
          <w:rFonts w:ascii="宋体" w:hAnsi="宋体" w:cs="宋体"/>
          <w:b/>
          <w:kern w:val="0"/>
          <w:sz w:val="28"/>
          <w:szCs w:val="28"/>
        </w:rPr>
      </w:pPr>
    </w:p>
    <w:p w14:paraId="695F6376">
      <w:pPr>
        <w:snapToGrid w:val="0"/>
        <w:spacing w:line="400" w:lineRule="exact"/>
        <w:ind w:firstLine="537" w:firstLineChars="192"/>
        <w:contextualSpacing/>
        <w:rPr>
          <w:rFonts w:ascii="宋体" w:hAnsi="宋体" w:cs="宋体"/>
          <w:b/>
          <w:kern w:val="0"/>
          <w:sz w:val="28"/>
          <w:szCs w:val="28"/>
        </w:rPr>
      </w:pPr>
    </w:p>
    <w:p w14:paraId="2DC0F0C9">
      <w:pPr>
        <w:snapToGrid w:val="0"/>
        <w:spacing w:line="400" w:lineRule="exact"/>
        <w:ind w:firstLine="537" w:firstLineChars="192"/>
        <w:contextualSpacing/>
        <w:rPr>
          <w:rFonts w:ascii="宋体" w:hAnsi="宋体" w:cs="宋体"/>
          <w:b/>
          <w:kern w:val="0"/>
          <w:sz w:val="28"/>
          <w:szCs w:val="28"/>
        </w:rPr>
      </w:pPr>
    </w:p>
    <w:p w14:paraId="231607D4">
      <w:pPr>
        <w:snapToGrid w:val="0"/>
        <w:spacing w:line="400" w:lineRule="exact"/>
        <w:ind w:firstLine="537" w:firstLineChars="192"/>
        <w:contextualSpacing/>
        <w:rPr>
          <w:rFonts w:ascii="宋体" w:hAnsi="宋体" w:cs="宋体"/>
          <w:b/>
          <w:kern w:val="0"/>
          <w:sz w:val="28"/>
          <w:szCs w:val="28"/>
        </w:rPr>
      </w:pPr>
    </w:p>
    <w:p w14:paraId="3EB28014">
      <w:pPr>
        <w:snapToGrid w:val="0"/>
        <w:spacing w:line="400" w:lineRule="exact"/>
        <w:contextualSpacing/>
        <w:rPr>
          <w:rFonts w:ascii="宋体" w:hAnsi="宋体" w:cs="宋体"/>
          <w:kern w:val="0"/>
          <w:sz w:val="28"/>
          <w:szCs w:val="28"/>
        </w:rPr>
      </w:pPr>
    </w:p>
    <w:p w14:paraId="44F79272">
      <w:pPr>
        <w:pStyle w:val="2"/>
      </w:pPr>
    </w:p>
    <w:p w14:paraId="0BE32D65">
      <w:pPr>
        <w:snapToGrid w:val="0"/>
        <w:spacing w:line="300" w:lineRule="auto"/>
        <w:contextualSpacing/>
        <w:jc w:val="center"/>
        <w:rPr>
          <w:rFonts w:ascii="宋体" w:hAnsi="宋体"/>
          <w:b/>
          <w:sz w:val="32"/>
          <w:szCs w:val="32"/>
        </w:rPr>
      </w:pPr>
    </w:p>
    <w:p w14:paraId="3955184D">
      <w:pPr>
        <w:snapToGrid w:val="0"/>
        <w:spacing w:line="300" w:lineRule="auto"/>
        <w:contextualSpacing/>
        <w:rPr>
          <w:rFonts w:ascii="宋体" w:hAnsi="宋体"/>
          <w:sz w:val="32"/>
          <w:szCs w:val="32"/>
        </w:rPr>
      </w:pPr>
      <w:r>
        <w:rPr>
          <w:rFonts w:ascii="宋体" w:hAnsi="宋体"/>
          <w:sz w:val="32"/>
          <w:szCs w:val="32"/>
        </w:rPr>
        <w:t>附件</w:t>
      </w:r>
      <w:r>
        <w:rPr>
          <w:rFonts w:hint="eastAsia" w:ascii="宋体" w:hAnsi="宋体"/>
          <w:sz w:val="32"/>
          <w:szCs w:val="32"/>
        </w:rPr>
        <w:t xml:space="preserve">7 </w:t>
      </w:r>
    </w:p>
    <w:p w14:paraId="36AC3E23">
      <w:pPr>
        <w:snapToGrid w:val="0"/>
        <w:spacing w:line="300" w:lineRule="auto"/>
        <w:contextualSpacing/>
        <w:jc w:val="center"/>
        <w:rPr>
          <w:rFonts w:ascii="宋体" w:hAnsi="宋体"/>
          <w:b/>
          <w:sz w:val="32"/>
          <w:szCs w:val="32"/>
        </w:rPr>
      </w:pPr>
      <w:r>
        <w:rPr>
          <w:rFonts w:hint="eastAsia" w:ascii="宋体" w:hAnsi="宋体"/>
          <w:b/>
          <w:sz w:val="32"/>
          <w:szCs w:val="32"/>
        </w:rPr>
        <w:t>技术部分正负偏离表</w:t>
      </w:r>
    </w:p>
    <w:p w14:paraId="3F2D6139">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3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60B66A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343ECB38">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60334F7E">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0D7B97E">
            <w:pPr>
              <w:spacing w:line="340" w:lineRule="exact"/>
              <w:jc w:val="center"/>
              <w:rPr>
                <w:rFonts w:ascii="宋体" w:hAnsi="宋体"/>
                <w:sz w:val="24"/>
              </w:rPr>
            </w:pPr>
            <w:r>
              <w:rPr>
                <w:rFonts w:hint="eastAsia" w:ascii="宋体" w:hAnsi="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5964A096">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3828D5FF">
            <w:pPr>
              <w:spacing w:line="340" w:lineRule="exact"/>
              <w:jc w:val="center"/>
              <w:rPr>
                <w:rFonts w:ascii="宋体" w:hAnsi="宋体"/>
                <w:sz w:val="24"/>
              </w:rPr>
            </w:pPr>
          </w:p>
          <w:p w14:paraId="2248B047">
            <w:pPr>
              <w:spacing w:line="340" w:lineRule="exact"/>
              <w:jc w:val="center"/>
              <w:rPr>
                <w:rFonts w:ascii="宋体" w:hAnsi="宋体"/>
                <w:sz w:val="24"/>
              </w:rPr>
            </w:pPr>
            <w:r>
              <w:rPr>
                <w:rFonts w:hint="eastAsia" w:ascii="宋体" w:hAnsi="宋体"/>
                <w:sz w:val="24"/>
              </w:rPr>
              <w:t>偏离说明</w:t>
            </w:r>
          </w:p>
        </w:tc>
      </w:tr>
      <w:tr w14:paraId="4A157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1D96FD19">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49155668">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8B7F1D5">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A6A6DF4">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24D8FEBC">
            <w:pPr>
              <w:spacing w:line="340" w:lineRule="exact"/>
              <w:jc w:val="left"/>
              <w:rPr>
                <w:rFonts w:ascii="宋体" w:hAnsi="宋体"/>
                <w:sz w:val="24"/>
              </w:rPr>
            </w:pPr>
          </w:p>
        </w:tc>
      </w:tr>
      <w:tr w14:paraId="40C04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4D15E277">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6AEE5C7B">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04FAFA5">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20BD285">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465D0011">
            <w:pPr>
              <w:spacing w:line="340" w:lineRule="exact"/>
              <w:jc w:val="left"/>
              <w:rPr>
                <w:rFonts w:ascii="宋体" w:hAnsi="宋体"/>
                <w:sz w:val="24"/>
              </w:rPr>
            </w:pPr>
          </w:p>
        </w:tc>
      </w:tr>
      <w:tr w14:paraId="649B6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DBDBEE4">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6FCCCF87">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8AF97F7">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17774C5">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5CD2A09F">
            <w:pPr>
              <w:spacing w:line="340" w:lineRule="exact"/>
              <w:jc w:val="left"/>
              <w:rPr>
                <w:rFonts w:ascii="宋体" w:hAnsi="宋体"/>
                <w:sz w:val="24"/>
              </w:rPr>
            </w:pPr>
          </w:p>
        </w:tc>
      </w:tr>
      <w:tr w14:paraId="2DFA5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75FCAB24">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301DC863">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19F1EC6">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F449B25">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5A977DB7">
            <w:pPr>
              <w:spacing w:line="340" w:lineRule="exact"/>
              <w:jc w:val="left"/>
              <w:rPr>
                <w:rFonts w:ascii="宋体" w:hAnsi="宋体"/>
                <w:sz w:val="24"/>
              </w:rPr>
            </w:pPr>
          </w:p>
        </w:tc>
      </w:tr>
    </w:tbl>
    <w:p w14:paraId="151EB736">
      <w:pPr>
        <w:snapToGrid w:val="0"/>
        <w:spacing w:line="300" w:lineRule="auto"/>
        <w:contextualSpacing/>
        <w:rPr>
          <w:rFonts w:ascii="宋体" w:hAnsi="宋体"/>
          <w:b/>
          <w:sz w:val="24"/>
        </w:rPr>
      </w:pPr>
      <w:r>
        <w:rPr>
          <w:rFonts w:hint="eastAsia" w:ascii="宋体" w:hAnsi="宋体"/>
          <w:b/>
          <w:sz w:val="24"/>
        </w:rPr>
        <w:t>注：</w:t>
      </w:r>
    </w:p>
    <w:p w14:paraId="71AE3CD5">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1.供应商提交的响应文件中与招标文件第三部分“项目需求”中的技术部分的要求，应逐条填列在偏离表中。</w:t>
      </w:r>
    </w:p>
    <w:p w14:paraId="05AF5460">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3B44A9E1">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798F724C">
      <w:pPr>
        <w:pStyle w:val="19"/>
        <w:rPr>
          <w:rFonts w:ascii="宋体" w:hAnsi="宋体"/>
          <w:color w:val="auto"/>
        </w:rPr>
        <w:sectPr>
          <w:headerReference r:id="rId4" w:type="default"/>
          <w:pgSz w:w="11906" w:h="16838"/>
          <w:pgMar w:top="1134" w:right="1134" w:bottom="1134" w:left="1134" w:header="851" w:footer="992" w:gutter="0"/>
          <w:cols w:space="720" w:num="1"/>
          <w:docGrid w:type="linesAndChars" w:linePitch="312" w:charSpace="0"/>
        </w:sectPr>
      </w:pPr>
    </w:p>
    <w:p w14:paraId="2E9C114D">
      <w:pPr>
        <w:pStyle w:val="76"/>
        <w:ind w:left="0"/>
        <w:rPr>
          <w:rFonts w:ascii="宋体" w:hAnsi="宋体"/>
          <w:sz w:val="32"/>
          <w:szCs w:val="32"/>
          <w:lang w:eastAsia="zh-CN"/>
        </w:rPr>
      </w:pPr>
      <w:r>
        <w:rPr>
          <w:rFonts w:hint="eastAsia" w:ascii="宋体" w:hAnsi="宋体"/>
          <w:sz w:val="32"/>
          <w:szCs w:val="32"/>
          <w:lang w:eastAsia="zh-CN"/>
        </w:rPr>
        <w:t>附件8：</w:t>
      </w:r>
    </w:p>
    <w:p w14:paraId="7792538C">
      <w:pPr>
        <w:pStyle w:val="76"/>
        <w:rPr>
          <w:rFonts w:ascii="宋体" w:hAnsi="宋体"/>
          <w:sz w:val="32"/>
          <w:szCs w:val="32"/>
        </w:rPr>
      </w:pPr>
    </w:p>
    <w:p w14:paraId="2AABA3CD">
      <w:pPr>
        <w:pStyle w:val="76"/>
        <w:rPr>
          <w:rFonts w:ascii="宋体" w:hAnsi="宋体"/>
          <w:sz w:val="32"/>
          <w:szCs w:val="32"/>
        </w:rPr>
      </w:pPr>
    </w:p>
    <w:p w14:paraId="5AAE88CF">
      <w:pPr>
        <w:pStyle w:val="87"/>
        <w:snapToGrid w:val="0"/>
        <w:spacing w:line="300" w:lineRule="auto"/>
        <w:ind w:firstLine="640" w:firstLineChars="200"/>
        <w:jc w:val="center"/>
        <w:outlineLvl w:val="0"/>
        <w:rPr>
          <w:rFonts w:ascii="宋体" w:eastAsia="宋体" w:cs="仿宋"/>
          <w:b/>
          <w:bCs/>
          <w:sz w:val="32"/>
          <w:szCs w:val="32"/>
        </w:rPr>
      </w:pPr>
      <w:bookmarkStart w:id="110" w:name="_Toc23203"/>
      <w:r>
        <w:rPr>
          <w:rFonts w:hint="eastAsia" w:ascii="宋体" w:eastAsia="宋体" w:cs="仿宋"/>
          <w:b/>
          <w:bCs/>
          <w:sz w:val="32"/>
          <w:szCs w:val="32"/>
        </w:rPr>
        <w:t>价格标响应文件</w:t>
      </w:r>
      <w:bookmarkEnd w:id="110"/>
    </w:p>
    <w:tbl>
      <w:tblPr>
        <w:tblStyle w:val="39"/>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15D5D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602C7A8B">
            <w:pPr>
              <w:kinsoku w:val="0"/>
              <w:topLinePunct/>
              <w:spacing w:line="440" w:lineRule="exact"/>
              <w:jc w:val="center"/>
              <w:rPr>
                <w:rFonts w:ascii="宋体" w:hAnsi="宋体" w:cs="仿宋"/>
                <w:sz w:val="24"/>
              </w:rPr>
            </w:pPr>
            <w:r>
              <w:rPr>
                <w:rFonts w:hint="eastAsia" w:ascii="宋体" w:hAnsi="宋体" w:cs="仿宋"/>
                <w:sz w:val="24"/>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1BD0A00A">
            <w:pPr>
              <w:kinsoku w:val="0"/>
              <w:topLinePunct/>
              <w:spacing w:line="440" w:lineRule="exact"/>
              <w:jc w:val="center"/>
              <w:rPr>
                <w:rFonts w:ascii="宋体" w:hAnsi="宋体" w:cs="仿宋"/>
                <w:sz w:val="24"/>
              </w:rPr>
            </w:pPr>
            <w:r>
              <w:rPr>
                <w:rFonts w:hint="eastAsia" w:ascii="宋体" w:hAnsi="宋体" w:cs="仿宋"/>
                <w:sz w:val="24"/>
              </w:rPr>
              <w:t>投标报价（元）</w:t>
            </w:r>
          </w:p>
        </w:tc>
        <w:tc>
          <w:tcPr>
            <w:tcW w:w="1990" w:type="dxa"/>
            <w:tcBorders>
              <w:top w:val="single" w:color="auto" w:sz="4" w:space="0"/>
              <w:left w:val="single" w:color="auto" w:sz="4" w:space="0"/>
              <w:bottom w:val="single" w:color="auto" w:sz="4" w:space="0"/>
              <w:right w:val="single" w:color="auto" w:sz="4" w:space="0"/>
            </w:tcBorders>
            <w:vAlign w:val="center"/>
          </w:tcPr>
          <w:p w14:paraId="40D61FFF">
            <w:pPr>
              <w:kinsoku w:val="0"/>
              <w:topLinePunct/>
              <w:spacing w:line="440" w:lineRule="exact"/>
              <w:jc w:val="center"/>
              <w:rPr>
                <w:rFonts w:ascii="宋体" w:hAnsi="宋体" w:cs="仿宋"/>
                <w:sz w:val="24"/>
              </w:rPr>
            </w:pPr>
            <w:r>
              <w:rPr>
                <w:rFonts w:hint="eastAsia" w:ascii="宋体" w:hAnsi="宋体" w:cs="仿宋"/>
                <w:sz w:val="24"/>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54EDA9E1">
            <w:pPr>
              <w:kinsoku w:val="0"/>
              <w:topLinePunct/>
              <w:spacing w:line="440" w:lineRule="exact"/>
              <w:jc w:val="center"/>
              <w:rPr>
                <w:rFonts w:ascii="宋体" w:hAnsi="宋体" w:cs="仿宋"/>
                <w:sz w:val="24"/>
              </w:rPr>
            </w:pPr>
            <w:r>
              <w:rPr>
                <w:rFonts w:hint="eastAsia" w:ascii="宋体" w:hAnsi="宋体" w:cs="仿宋"/>
                <w:sz w:val="24"/>
              </w:rPr>
              <w:t>付款方式</w:t>
            </w:r>
          </w:p>
        </w:tc>
      </w:tr>
      <w:tr w14:paraId="6203B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1ECBAFFA">
            <w:pPr>
              <w:kinsoku w:val="0"/>
              <w:topLinePunct/>
              <w:spacing w:line="440" w:lineRule="exact"/>
              <w:rPr>
                <w:rFonts w:ascii="宋体" w:hAnsi="宋体" w:cs="仿宋"/>
                <w:b/>
                <w:bCs/>
                <w:sz w:val="24"/>
              </w:rPr>
            </w:pPr>
          </w:p>
        </w:tc>
        <w:tc>
          <w:tcPr>
            <w:tcW w:w="2400" w:type="dxa"/>
            <w:tcBorders>
              <w:top w:val="single" w:color="auto" w:sz="4" w:space="0"/>
              <w:left w:val="single" w:color="auto" w:sz="4" w:space="0"/>
              <w:bottom w:val="single" w:color="auto" w:sz="4" w:space="0"/>
              <w:right w:val="single" w:color="auto" w:sz="4" w:space="0"/>
            </w:tcBorders>
            <w:vAlign w:val="center"/>
          </w:tcPr>
          <w:p w14:paraId="60AE3AA9">
            <w:pPr>
              <w:kinsoku w:val="0"/>
              <w:topLinePunct/>
              <w:spacing w:line="440" w:lineRule="exact"/>
              <w:ind w:left="960" w:hanging="960" w:hangingChars="400"/>
              <w:rPr>
                <w:rFonts w:ascii="宋体" w:hAnsi="宋体"/>
                <w:sz w:val="24"/>
                <w:u w:val="single"/>
              </w:rPr>
            </w:pPr>
            <w:r>
              <w:rPr>
                <w:rFonts w:hint="eastAsia" w:ascii="宋体" w:hAnsi="宋体" w:cs="仿宋"/>
                <w:sz w:val="24"/>
              </w:rPr>
              <w:t>大写：</w:t>
            </w:r>
            <w:r>
              <w:rPr>
                <w:rFonts w:hint="eastAsia" w:ascii="宋体" w:hAnsi="宋体" w:cs="仿宋"/>
                <w:sz w:val="24"/>
                <w:u w:val="single"/>
              </w:rPr>
              <w:t xml:space="preserve">     元</w:t>
            </w:r>
          </w:p>
          <w:p w14:paraId="253D0E99">
            <w:pPr>
              <w:pStyle w:val="77"/>
              <w:rPr>
                <w:rFonts w:ascii="宋体" w:hAnsi="宋体"/>
                <w:sz w:val="24"/>
                <w:szCs w:val="24"/>
              </w:rPr>
            </w:pPr>
            <w:r>
              <w:rPr>
                <w:rFonts w:hint="eastAsia" w:ascii="宋体" w:hAnsi="宋体" w:cs="仿宋"/>
                <w:sz w:val="24"/>
                <w:szCs w:val="24"/>
              </w:rPr>
              <w:t>小写：</w:t>
            </w:r>
            <w:r>
              <w:rPr>
                <w:rFonts w:hint="eastAsia" w:ascii="宋体" w:hAnsi="宋体" w:cs="仿宋"/>
                <w:sz w:val="24"/>
                <w:szCs w:val="24"/>
                <w:u w:val="single"/>
              </w:rPr>
              <w:t xml:space="preserve">     元</w:t>
            </w:r>
          </w:p>
        </w:tc>
        <w:tc>
          <w:tcPr>
            <w:tcW w:w="1990" w:type="dxa"/>
            <w:tcBorders>
              <w:top w:val="single" w:color="auto" w:sz="4" w:space="0"/>
              <w:left w:val="single" w:color="auto" w:sz="4" w:space="0"/>
              <w:bottom w:val="single" w:color="auto" w:sz="4" w:space="0"/>
              <w:right w:val="single" w:color="auto" w:sz="4" w:space="0"/>
            </w:tcBorders>
            <w:vAlign w:val="center"/>
          </w:tcPr>
          <w:p w14:paraId="4AD9AAB6">
            <w:pPr>
              <w:kinsoku w:val="0"/>
              <w:topLinePunct/>
              <w:spacing w:line="440" w:lineRule="exact"/>
              <w:rPr>
                <w:rFonts w:ascii="宋体" w:hAnsi="宋体" w:cs="仿宋"/>
                <w:sz w:val="24"/>
              </w:rPr>
            </w:pPr>
            <w:r>
              <w:rPr>
                <w:rFonts w:hint="eastAsia" w:ascii="宋体" w:hAnsi="宋体" w:cs="仿宋"/>
                <w:sz w:val="24"/>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1255450A">
            <w:pPr>
              <w:kinsoku w:val="0"/>
              <w:topLinePunct/>
              <w:spacing w:line="440" w:lineRule="exact"/>
              <w:rPr>
                <w:rFonts w:ascii="宋体" w:hAnsi="宋体" w:cs="仿宋"/>
                <w:sz w:val="24"/>
              </w:rPr>
            </w:pPr>
            <w:r>
              <w:rPr>
                <w:rFonts w:hint="eastAsia" w:ascii="宋体" w:hAnsi="宋体" w:cs="仿宋"/>
                <w:sz w:val="24"/>
              </w:rPr>
              <w:t>完全响应招标文件要求的付款方式</w:t>
            </w:r>
          </w:p>
        </w:tc>
      </w:tr>
    </w:tbl>
    <w:p w14:paraId="35E00D13">
      <w:pPr>
        <w:widowControl/>
        <w:spacing w:line="440" w:lineRule="exact"/>
        <w:jc w:val="left"/>
        <w:rPr>
          <w:rFonts w:ascii="宋体" w:hAnsi="宋体" w:cs="仿宋"/>
          <w:kern w:val="0"/>
          <w:sz w:val="28"/>
          <w:szCs w:val="28"/>
        </w:rPr>
      </w:pPr>
    </w:p>
    <w:p w14:paraId="778083AA">
      <w:pPr>
        <w:widowControl/>
        <w:spacing w:line="480" w:lineRule="exact"/>
        <w:ind w:firstLine="240" w:firstLineChars="100"/>
        <w:jc w:val="left"/>
        <w:rPr>
          <w:rFonts w:ascii="宋体" w:hAnsi="宋体" w:cs="仿宋"/>
          <w:kern w:val="0"/>
          <w:sz w:val="24"/>
        </w:rPr>
      </w:pPr>
      <w:r>
        <w:rPr>
          <w:rFonts w:hint="eastAsia" w:ascii="宋体" w:hAnsi="宋体" w:cs="仿宋"/>
          <w:kern w:val="0"/>
          <w:sz w:val="24"/>
        </w:rPr>
        <w:t>（1）本表为格式表，不得自行改动，必须提供，否则视为未实质性响应招标文件。</w:t>
      </w:r>
    </w:p>
    <w:p w14:paraId="043E41B8">
      <w:pPr>
        <w:spacing w:line="480" w:lineRule="exact"/>
        <w:rPr>
          <w:rFonts w:ascii="宋体" w:hAnsi="宋体" w:cs="仿宋"/>
          <w:b/>
          <w:bCs/>
          <w:spacing w:val="7"/>
          <w:kern w:val="0"/>
          <w:sz w:val="24"/>
        </w:rPr>
      </w:pPr>
    </w:p>
    <w:p w14:paraId="2729AFD3">
      <w:pPr>
        <w:spacing w:line="480" w:lineRule="exact"/>
        <w:rPr>
          <w:rFonts w:ascii="宋体" w:hAnsi="宋体" w:cs="仿宋"/>
          <w:kern w:val="0"/>
          <w:sz w:val="24"/>
        </w:rPr>
      </w:pPr>
    </w:p>
    <w:p w14:paraId="0BF8EC44">
      <w:pPr>
        <w:snapToGrid w:val="0"/>
        <w:spacing w:line="480" w:lineRule="exact"/>
        <w:ind w:firstLine="460" w:firstLineChars="192"/>
        <w:contextualSpacing/>
        <w:rPr>
          <w:rFonts w:ascii="宋体" w:hAnsi="宋体" w:cs="仿宋"/>
          <w:b/>
          <w:kern w:val="0"/>
          <w:sz w:val="24"/>
        </w:rPr>
      </w:pPr>
    </w:p>
    <w:p w14:paraId="23D3CBAA">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投标人名称：（盖章）</w:t>
      </w:r>
    </w:p>
    <w:p w14:paraId="4571CDF9">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法定代表人或授权委托人（签字）：</w:t>
      </w:r>
    </w:p>
    <w:p w14:paraId="68262209">
      <w:pPr>
        <w:snapToGrid w:val="0"/>
        <w:spacing w:line="500" w:lineRule="exact"/>
        <w:ind w:left="1133" w:hanging="1132" w:hangingChars="472"/>
        <w:jc w:val="center"/>
        <w:rPr>
          <w:rFonts w:ascii="宋体" w:hAnsi="宋体" w:cs="仿宋"/>
          <w:sz w:val="24"/>
        </w:rPr>
      </w:pPr>
      <w:r>
        <w:rPr>
          <w:rFonts w:hint="eastAsia" w:ascii="宋体" w:hAnsi="宋体" w:cs="仿宋"/>
          <w:sz w:val="24"/>
        </w:rPr>
        <w:t>日期：</w:t>
      </w:r>
    </w:p>
    <w:p w14:paraId="519E0D9D">
      <w:pPr>
        <w:snapToGrid w:val="0"/>
        <w:spacing w:line="400" w:lineRule="exact"/>
        <w:ind w:firstLine="537" w:firstLineChars="192"/>
        <w:contextualSpacing/>
        <w:rPr>
          <w:rFonts w:ascii="宋体" w:hAnsi="宋体" w:cs="宋体"/>
          <w:b/>
          <w:kern w:val="0"/>
          <w:sz w:val="28"/>
          <w:szCs w:val="28"/>
        </w:rPr>
      </w:pPr>
    </w:p>
    <w:p w14:paraId="0A63BE10">
      <w:pPr>
        <w:snapToGrid w:val="0"/>
        <w:spacing w:line="400" w:lineRule="exact"/>
        <w:ind w:firstLine="537" w:firstLineChars="192"/>
        <w:contextualSpacing/>
        <w:rPr>
          <w:rFonts w:ascii="宋体" w:hAnsi="宋体" w:cs="宋体"/>
          <w:b/>
          <w:kern w:val="0"/>
          <w:sz w:val="28"/>
          <w:szCs w:val="28"/>
        </w:rPr>
      </w:pPr>
    </w:p>
    <w:p w14:paraId="2663F05B">
      <w:pPr>
        <w:snapToGrid w:val="0"/>
        <w:spacing w:line="400" w:lineRule="exact"/>
        <w:ind w:firstLine="537" w:firstLineChars="192"/>
        <w:contextualSpacing/>
        <w:rPr>
          <w:rFonts w:ascii="宋体" w:hAnsi="宋体" w:cs="宋体"/>
          <w:b/>
          <w:kern w:val="0"/>
          <w:sz w:val="28"/>
          <w:szCs w:val="28"/>
        </w:rPr>
      </w:pPr>
    </w:p>
    <w:p w14:paraId="381BF8BC">
      <w:pPr>
        <w:snapToGrid w:val="0"/>
        <w:spacing w:line="400" w:lineRule="exact"/>
        <w:ind w:firstLine="537" w:firstLineChars="192"/>
        <w:contextualSpacing/>
        <w:rPr>
          <w:rFonts w:ascii="宋体" w:hAnsi="宋体" w:cs="宋体"/>
          <w:b/>
          <w:kern w:val="0"/>
          <w:sz w:val="28"/>
          <w:szCs w:val="28"/>
        </w:rPr>
      </w:pPr>
    </w:p>
    <w:p w14:paraId="107695BD">
      <w:pPr>
        <w:pStyle w:val="13"/>
        <w:rPr>
          <w:rFonts w:ascii="宋体" w:hAnsi="宋体"/>
        </w:rPr>
      </w:pPr>
    </w:p>
    <w:p w14:paraId="5A23BF09">
      <w:pPr>
        <w:snapToGrid w:val="0"/>
        <w:spacing w:line="400" w:lineRule="exact"/>
        <w:ind w:firstLine="537" w:firstLineChars="192"/>
        <w:contextualSpacing/>
        <w:rPr>
          <w:rFonts w:ascii="宋体" w:hAnsi="宋体" w:cs="宋体"/>
          <w:b/>
          <w:kern w:val="0"/>
          <w:sz w:val="28"/>
          <w:szCs w:val="28"/>
        </w:rPr>
      </w:pPr>
    </w:p>
    <w:p w14:paraId="0C11DFD6">
      <w:pPr>
        <w:widowControl/>
        <w:shd w:val="clear" w:color="auto" w:fill="FFFFFF"/>
        <w:spacing w:line="315" w:lineRule="atLeast"/>
        <w:ind w:firstLine="480"/>
        <w:jc w:val="left"/>
        <w:rPr>
          <w:rFonts w:ascii="宋体" w:hAnsi="宋体"/>
          <w:sz w:val="32"/>
          <w:szCs w:val="32"/>
        </w:rPr>
      </w:pPr>
    </w:p>
    <w:p w14:paraId="487BA89E">
      <w:pPr>
        <w:widowControl/>
        <w:shd w:val="clear" w:color="auto" w:fill="FFFFFF"/>
        <w:spacing w:line="315" w:lineRule="atLeast"/>
        <w:ind w:firstLine="480"/>
        <w:jc w:val="left"/>
        <w:rPr>
          <w:rFonts w:ascii="宋体" w:hAnsi="宋体"/>
          <w:sz w:val="32"/>
          <w:szCs w:val="32"/>
        </w:rPr>
      </w:pPr>
    </w:p>
    <w:p w14:paraId="0882C5B7">
      <w:pPr>
        <w:widowControl/>
        <w:shd w:val="clear" w:color="auto" w:fill="FFFFFF"/>
        <w:spacing w:line="315" w:lineRule="atLeast"/>
        <w:ind w:firstLine="480"/>
        <w:jc w:val="left"/>
        <w:rPr>
          <w:rFonts w:ascii="宋体" w:hAnsi="宋体"/>
          <w:sz w:val="32"/>
          <w:szCs w:val="32"/>
        </w:rPr>
      </w:pPr>
    </w:p>
    <w:p w14:paraId="68068855">
      <w:pPr>
        <w:widowControl/>
        <w:shd w:val="clear" w:color="auto" w:fill="FFFFFF"/>
        <w:spacing w:line="315" w:lineRule="atLeast"/>
        <w:ind w:firstLine="480"/>
        <w:jc w:val="left"/>
        <w:rPr>
          <w:rFonts w:ascii="宋体" w:hAnsi="宋体"/>
          <w:sz w:val="32"/>
          <w:szCs w:val="32"/>
        </w:rPr>
      </w:pPr>
    </w:p>
    <w:p w14:paraId="24A3630A">
      <w:pPr>
        <w:widowControl/>
        <w:shd w:val="clear" w:color="auto" w:fill="FFFFFF"/>
        <w:spacing w:line="315" w:lineRule="atLeast"/>
        <w:ind w:firstLine="480"/>
        <w:jc w:val="left"/>
        <w:rPr>
          <w:rFonts w:ascii="宋体" w:hAnsi="宋体"/>
          <w:sz w:val="32"/>
          <w:szCs w:val="32"/>
        </w:rPr>
      </w:pPr>
    </w:p>
    <w:p w14:paraId="1EBA40DA">
      <w:pPr>
        <w:pStyle w:val="76"/>
        <w:ind w:left="0"/>
        <w:rPr>
          <w:rFonts w:ascii="宋体" w:hAnsi="宋体" w:cs="宋体"/>
          <w:sz w:val="32"/>
          <w:szCs w:val="32"/>
          <w:lang w:eastAsia="zh-CN"/>
        </w:rPr>
      </w:pPr>
      <w:r>
        <w:rPr>
          <w:rFonts w:hint="eastAsia" w:ascii="宋体" w:hAnsi="宋体" w:cs="宋体"/>
          <w:sz w:val="32"/>
          <w:szCs w:val="32"/>
          <w:lang w:eastAsia="zh-CN"/>
        </w:rPr>
        <w:t>附件9</w:t>
      </w:r>
    </w:p>
    <w:p w14:paraId="461DEC64">
      <w:pPr>
        <w:pStyle w:val="37"/>
        <w:ind w:firstLine="0" w:firstLineChars="0"/>
        <w:jc w:val="center"/>
        <w:rPr>
          <w:rFonts w:ascii="宋体" w:hAnsi="宋体" w:cs="宋体"/>
          <w:sz w:val="32"/>
          <w:szCs w:val="32"/>
        </w:rPr>
      </w:pPr>
      <w:r>
        <w:rPr>
          <w:rFonts w:hint="eastAsia" w:ascii="宋体" w:hAnsi="宋体" w:cs="仿宋"/>
          <w:sz w:val="32"/>
          <w:szCs w:val="32"/>
        </w:rPr>
        <w:t>报价明细表</w:t>
      </w:r>
    </w:p>
    <w:tbl>
      <w:tblPr>
        <w:tblStyle w:val="39"/>
        <w:tblW w:w="8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140"/>
        <w:gridCol w:w="3158"/>
        <w:gridCol w:w="495"/>
        <w:gridCol w:w="465"/>
        <w:gridCol w:w="480"/>
        <w:gridCol w:w="884"/>
        <w:gridCol w:w="884"/>
      </w:tblGrid>
      <w:tr w14:paraId="5D2B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3DEBFEB0">
            <w:pPr>
              <w:widowControl/>
              <w:spacing w:line="460" w:lineRule="exact"/>
              <w:jc w:val="center"/>
              <w:rPr>
                <w:rFonts w:ascii="宋体" w:hAnsi="宋体" w:cs="宋体"/>
                <w:b/>
                <w:bCs/>
                <w:kern w:val="0"/>
                <w:sz w:val="24"/>
              </w:rPr>
            </w:pPr>
            <w:r>
              <w:rPr>
                <w:rFonts w:hint="eastAsia" w:ascii="宋体" w:hAnsi="宋体" w:cs="宋体"/>
                <w:b/>
                <w:bCs/>
                <w:kern w:val="0"/>
                <w:sz w:val="24"/>
              </w:rPr>
              <w:t>序号</w:t>
            </w:r>
          </w:p>
        </w:tc>
        <w:tc>
          <w:tcPr>
            <w:tcW w:w="1140" w:type="dxa"/>
            <w:tcBorders>
              <w:tl2br w:val="nil"/>
              <w:tr2bl w:val="nil"/>
            </w:tcBorders>
            <w:vAlign w:val="center"/>
          </w:tcPr>
          <w:p w14:paraId="6299856E">
            <w:pPr>
              <w:widowControl/>
              <w:spacing w:line="460" w:lineRule="exact"/>
              <w:jc w:val="center"/>
              <w:rPr>
                <w:rFonts w:ascii="宋体" w:hAnsi="宋体" w:cs="宋体"/>
                <w:b/>
                <w:bCs/>
                <w:kern w:val="0"/>
                <w:sz w:val="24"/>
              </w:rPr>
            </w:pPr>
            <w:r>
              <w:rPr>
                <w:rFonts w:hint="eastAsia" w:ascii="宋体" w:hAnsi="宋体" w:cs="宋体"/>
                <w:b/>
                <w:bCs/>
                <w:kern w:val="0"/>
                <w:sz w:val="24"/>
              </w:rPr>
              <w:t>名称</w:t>
            </w:r>
          </w:p>
        </w:tc>
        <w:tc>
          <w:tcPr>
            <w:tcW w:w="3158" w:type="dxa"/>
            <w:tcBorders>
              <w:tl2br w:val="nil"/>
              <w:tr2bl w:val="nil"/>
            </w:tcBorders>
          </w:tcPr>
          <w:p w14:paraId="1AC9E162">
            <w:pPr>
              <w:widowControl/>
              <w:spacing w:line="460" w:lineRule="exact"/>
              <w:jc w:val="center"/>
              <w:rPr>
                <w:rFonts w:ascii="宋体" w:hAnsi="宋体" w:cs="宋体"/>
                <w:b/>
                <w:bCs/>
                <w:kern w:val="0"/>
                <w:sz w:val="24"/>
              </w:rPr>
            </w:pPr>
          </w:p>
          <w:p w14:paraId="56FC3D1D">
            <w:pPr>
              <w:widowControl/>
              <w:spacing w:line="460" w:lineRule="exact"/>
              <w:jc w:val="center"/>
              <w:rPr>
                <w:rFonts w:ascii="宋体" w:hAnsi="宋体" w:cs="宋体"/>
                <w:b/>
                <w:bCs/>
                <w:kern w:val="0"/>
                <w:sz w:val="24"/>
              </w:rPr>
            </w:pPr>
            <w:r>
              <w:rPr>
                <w:rFonts w:hint="eastAsia" w:ascii="宋体" w:hAnsi="宋体" w:cs="宋体"/>
                <w:b/>
                <w:bCs/>
                <w:kern w:val="0"/>
                <w:sz w:val="24"/>
              </w:rPr>
              <w:t>规格型号</w:t>
            </w:r>
          </w:p>
        </w:tc>
        <w:tc>
          <w:tcPr>
            <w:tcW w:w="495" w:type="dxa"/>
            <w:tcBorders>
              <w:tl2br w:val="nil"/>
              <w:tr2bl w:val="nil"/>
            </w:tcBorders>
            <w:vAlign w:val="center"/>
          </w:tcPr>
          <w:p w14:paraId="6EDA4F01">
            <w:pPr>
              <w:widowControl/>
              <w:spacing w:line="460" w:lineRule="exact"/>
              <w:jc w:val="center"/>
              <w:rPr>
                <w:rFonts w:ascii="宋体" w:hAnsi="宋体" w:cs="宋体"/>
                <w:b/>
                <w:bCs/>
                <w:kern w:val="0"/>
                <w:sz w:val="24"/>
              </w:rPr>
            </w:pPr>
            <w:r>
              <w:rPr>
                <w:rFonts w:hint="eastAsia" w:ascii="宋体" w:hAnsi="宋体" w:cs="宋体"/>
                <w:b/>
                <w:bCs/>
                <w:kern w:val="0"/>
                <w:sz w:val="24"/>
              </w:rPr>
              <w:t>单位</w:t>
            </w:r>
          </w:p>
        </w:tc>
        <w:tc>
          <w:tcPr>
            <w:tcW w:w="465" w:type="dxa"/>
            <w:tcBorders>
              <w:tl2br w:val="nil"/>
              <w:tr2bl w:val="nil"/>
            </w:tcBorders>
            <w:vAlign w:val="center"/>
          </w:tcPr>
          <w:p w14:paraId="527EBE60">
            <w:pPr>
              <w:widowControl/>
              <w:spacing w:line="460" w:lineRule="exact"/>
              <w:jc w:val="center"/>
              <w:rPr>
                <w:rFonts w:ascii="宋体" w:hAnsi="宋体" w:cs="宋体"/>
                <w:b/>
                <w:bCs/>
                <w:kern w:val="0"/>
                <w:sz w:val="24"/>
              </w:rPr>
            </w:pPr>
            <w:r>
              <w:rPr>
                <w:rFonts w:hint="eastAsia" w:ascii="宋体" w:hAnsi="宋体" w:cs="宋体"/>
                <w:b/>
                <w:bCs/>
                <w:kern w:val="0"/>
                <w:sz w:val="24"/>
              </w:rPr>
              <w:t>数量</w:t>
            </w:r>
          </w:p>
        </w:tc>
        <w:tc>
          <w:tcPr>
            <w:tcW w:w="480" w:type="dxa"/>
            <w:tcBorders>
              <w:tl2br w:val="nil"/>
              <w:tr2bl w:val="nil"/>
            </w:tcBorders>
            <w:vAlign w:val="center"/>
          </w:tcPr>
          <w:p w14:paraId="0D54B6C2">
            <w:pPr>
              <w:widowControl/>
              <w:spacing w:line="460" w:lineRule="exact"/>
              <w:jc w:val="center"/>
              <w:rPr>
                <w:rFonts w:ascii="宋体" w:hAnsi="宋体" w:cs="宋体"/>
                <w:b/>
                <w:bCs/>
                <w:kern w:val="0"/>
                <w:sz w:val="24"/>
              </w:rPr>
            </w:pPr>
            <w:r>
              <w:rPr>
                <w:rFonts w:hint="eastAsia" w:ascii="宋体" w:hAnsi="宋体" w:cs="宋体"/>
                <w:b/>
                <w:bCs/>
                <w:kern w:val="0"/>
                <w:sz w:val="24"/>
              </w:rPr>
              <w:t>备注</w:t>
            </w:r>
          </w:p>
        </w:tc>
        <w:tc>
          <w:tcPr>
            <w:tcW w:w="884" w:type="dxa"/>
            <w:tcBorders>
              <w:tl2br w:val="nil"/>
              <w:tr2bl w:val="nil"/>
            </w:tcBorders>
            <w:vAlign w:val="center"/>
          </w:tcPr>
          <w:p w14:paraId="16C4CC03">
            <w:pPr>
              <w:widowControl/>
              <w:spacing w:line="460" w:lineRule="exact"/>
              <w:jc w:val="center"/>
              <w:rPr>
                <w:rFonts w:ascii="宋体" w:hAnsi="宋体" w:cs="宋体"/>
                <w:b/>
                <w:bCs/>
                <w:kern w:val="0"/>
                <w:sz w:val="24"/>
              </w:rPr>
            </w:pPr>
            <w:r>
              <w:rPr>
                <w:rFonts w:hint="eastAsia" w:ascii="宋体" w:hAnsi="宋体" w:cs="宋体"/>
                <w:b/>
                <w:bCs/>
                <w:kern w:val="0"/>
                <w:sz w:val="24"/>
              </w:rPr>
              <w:t>投标单价（元）</w:t>
            </w:r>
          </w:p>
        </w:tc>
        <w:tc>
          <w:tcPr>
            <w:tcW w:w="884" w:type="dxa"/>
            <w:tcBorders>
              <w:tl2br w:val="nil"/>
              <w:tr2bl w:val="nil"/>
            </w:tcBorders>
            <w:vAlign w:val="center"/>
          </w:tcPr>
          <w:p w14:paraId="5EBA0249">
            <w:pPr>
              <w:widowControl/>
              <w:spacing w:line="460" w:lineRule="exact"/>
              <w:jc w:val="center"/>
              <w:rPr>
                <w:rFonts w:ascii="宋体" w:hAnsi="宋体" w:cs="宋体"/>
                <w:b/>
                <w:bCs/>
                <w:kern w:val="0"/>
                <w:sz w:val="24"/>
              </w:rPr>
            </w:pPr>
            <w:r>
              <w:rPr>
                <w:rFonts w:hint="eastAsia" w:ascii="宋体" w:hAnsi="宋体" w:cs="宋体"/>
                <w:b/>
                <w:bCs/>
                <w:kern w:val="0"/>
                <w:sz w:val="24"/>
              </w:rPr>
              <w:t>投标总价（元）</w:t>
            </w:r>
          </w:p>
        </w:tc>
      </w:tr>
      <w:tr w14:paraId="0C25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61CE8D72">
            <w:pPr>
              <w:widowControl/>
              <w:spacing w:line="460" w:lineRule="exact"/>
              <w:jc w:val="center"/>
              <w:rPr>
                <w:rFonts w:ascii="宋体" w:hAnsi="宋体" w:cs="宋体"/>
                <w:kern w:val="0"/>
                <w:sz w:val="24"/>
              </w:rPr>
            </w:pPr>
          </w:p>
        </w:tc>
        <w:tc>
          <w:tcPr>
            <w:tcW w:w="1140" w:type="dxa"/>
            <w:tcBorders>
              <w:tl2br w:val="nil"/>
              <w:tr2bl w:val="nil"/>
            </w:tcBorders>
            <w:vAlign w:val="center"/>
          </w:tcPr>
          <w:p w14:paraId="2CFD24FC">
            <w:pPr>
              <w:widowControl/>
              <w:spacing w:line="460" w:lineRule="exact"/>
              <w:jc w:val="center"/>
              <w:rPr>
                <w:rFonts w:ascii="宋体" w:hAnsi="宋体" w:cs="宋体"/>
                <w:kern w:val="0"/>
                <w:sz w:val="24"/>
              </w:rPr>
            </w:pPr>
          </w:p>
        </w:tc>
        <w:tc>
          <w:tcPr>
            <w:tcW w:w="3158" w:type="dxa"/>
            <w:tcBorders>
              <w:tl2br w:val="nil"/>
              <w:tr2bl w:val="nil"/>
            </w:tcBorders>
          </w:tcPr>
          <w:p w14:paraId="51D20729">
            <w:pPr>
              <w:widowControl/>
              <w:spacing w:line="460" w:lineRule="exact"/>
              <w:jc w:val="left"/>
              <w:rPr>
                <w:rFonts w:ascii="宋体" w:hAnsi="宋体" w:cs="宋体"/>
                <w:kern w:val="0"/>
                <w:sz w:val="24"/>
              </w:rPr>
            </w:pPr>
          </w:p>
        </w:tc>
        <w:tc>
          <w:tcPr>
            <w:tcW w:w="495" w:type="dxa"/>
            <w:tcBorders>
              <w:tl2br w:val="nil"/>
              <w:tr2bl w:val="nil"/>
            </w:tcBorders>
            <w:vAlign w:val="center"/>
          </w:tcPr>
          <w:p w14:paraId="2C79B69C">
            <w:pPr>
              <w:widowControl/>
              <w:spacing w:line="460" w:lineRule="exact"/>
              <w:jc w:val="center"/>
              <w:rPr>
                <w:rFonts w:ascii="宋体" w:hAnsi="宋体" w:cs="宋体"/>
                <w:kern w:val="0"/>
                <w:sz w:val="24"/>
              </w:rPr>
            </w:pPr>
          </w:p>
        </w:tc>
        <w:tc>
          <w:tcPr>
            <w:tcW w:w="465" w:type="dxa"/>
            <w:tcBorders>
              <w:tl2br w:val="nil"/>
              <w:tr2bl w:val="nil"/>
            </w:tcBorders>
            <w:vAlign w:val="center"/>
          </w:tcPr>
          <w:p w14:paraId="0CBB930E">
            <w:pPr>
              <w:widowControl/>
              <w:spacing w:line="460" w:lineRule="exact"/>
              <w:jc w:val="center"/>
              <w:rPr>
                <w:rFonts w:ascii="宋体" w:hAnsi="宋体" w:cs="宋体"/>
                <w:kern w:val="0"/>
                <w:sz w:val="24"/>
              </w:rPr>
            </w:pPr>
          </w:p>
        </w:tc>
        <w:tc>
          <w:tcPr>
            <w:tcW w:w="480" w:type="dxa"/>
            <w:tcBorders>
              <w:tl2br w:val="nil"/>
              <w:tr2bl w:val="nil"/>
            </w:tcBorders>
            <w:vAlign w:val="center"/>
          </w:tcPr>
          <w:p w14:paraId="0DA1933C">
            <w:pPr>
              <w:widowControl/>
              <w:spacing w:line="460" w:lineRule="exact"/>
              <w:jc w:val="center"/>
              <w:rPr>
                <w:rFonts w:ascii="宋体" w:hAnsi="宋体" w:cs="宋体"/>
                <w:kern w:val="0"/>
                <w:sz w:val="24"/>
              </w:rPr>
            </w:pPr>
          </w:p>
        </w:tc>
        <w:tc>
          <w:tcPr>
            <w:tcW w:w="884" w:type="dxa"/>
            <w:tcBorders>
              <w:tl2br w:val="nil"/>
              <w:tr2bl w:val="nil"/>
            </w:tcBorders>
            <w:vAlign w:val="center"/>
          </w:tcPr>
          <w:p w14:paraId="4D098BDD">
            <w:pPr>
              <w:widowControl/>
              <w:spacing w:line="460" w:lineRule="exact"/>
              <w:jc w:val="center"/>
              <w:rPr>
                <w:rFonts w:ascii="宋体" w:hAnsi="宋体" w:cs="宋体"/>
                <w:kern w:val="0"/>
                <w:sz w:val="24"/>
              </w:rPr>
            </w:pPr>
          </w:p>
        </w:tc>
        <w:tc>
          <w:tcPr>
            <w:tcW w:w="884" w:type="dxa"/>
            <w:tcBorders>
              <w:tl2br w:val="nil"/>
              <w:tr2bl w:val="nil"/>
            </w:tcBorders>
            <w:vAlign w:val="center"/>
          </w:tcPr>
          <w:p w14:paraId="639D45D4">
            <w:pPr>
              <w:widowControl/>
              <w:spacing w:line="460" w:lineRule="exact"/>
              <w:jc w:val="center"/>
              <w:rPr>
                <w:rFonts w:ascii="宋体" w:hAnsi="宋体" w:cs="宋体"/>
                <w:kern w:val="0"/>
                <w:sz w:val="24"/>
              </w:rPr>
            </w:pPr>
          </w:p>
        </w:tc>
      </w:tr>
      <w:tr w14:paraId="56C8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200265E7">
            <w:pPr>
              <w:widowControl/>
              <w:spacing w:line="460" w:lineRule="exact"/>
              <w:jc w:val="center"/>
              <w:rPr>
                <w:rFonts w:ascii="宋体" w:hAnsi="宋体" w:cs="宋体"/>
                <w:kern w:val="0"/>
                <w:sz w:val="24"/>
              </w:rPr>
            </w:pPr>
          </w:p>
        </w:tc>
        <w:tc>
          <w:tcPr>
            <w:tcW w:w="1140" w:type="dxa"/>
            <w:tcBorders>
              <w:tl2br w:val="nil"/>
              <w:tr2bl w:val="nil"/>
            </w:tcBorders>
            <w:vAlign w:val="center"/>
          </w:tcPr>
          <w:p w14:paraId="28B3BF09">
            <w:pPr>
              <w:widowControl/>
              <w:spacing w:line="460" w:lineRule="exact"/>
              <w:jc w:val="center"/>
              <w:rPr>
                <w:rFonts w:ascii="宋体" w:hAnsi="宋体" w:cs="宋体"/>
                <w:kern w:val="0"/>
                <w:sz w:val="24"/>
              </w:rPr>
            </w:pPr>
          </w:p>
        </w:tc>
        <w:tc>
          <w:tcPr>
            <w:tcW w:w="3158" w:type="dxa"/>
            <w:tcBorders>
              <w:tl2br w:val="nil"/>
              <w:tr2bl w:val="nil"/>
            </w:tcBorders>
          </w:tcPr>
          <w:p w14:paraId="15D3E3E2">
            <w:pPr>
              <w:widowControl/>
              <w:spacing w:line="460" w:lineRule="exact"/>
              <w:rPr>
                <w:rFonts w:ascii="宋体" w:hAnsi="宋体" w:cs="宋体"/>
                <w:kern w:val="0"/>
                <w:sz w:val="24"/>
              </w:rPr>
            </w:pPr>
          </w:p>
        </w:tc>
        <w:tc>
          <w:tcPr>
            <w:tcW w:w="495" w:type="dxa"/>
            <w:tcBorders>
              <w:tl2br w:val="nil"/>
              <w:tr2bl w:val="nil"/>
            </w:tcBorders>
            <w:vAlign w:val="center"/>
          </w:tcPr>
          <w:p w14:paraId="3DCE302C">
            <w:pPr>
              <w:widowControl/>
              <w:spacing w:line="460" w:lineRule="exact"/>
              <w:jc w:val="center"/>
              <w:rPr>
                <w:rFonts w:ascii="宋体" w:hAnsi="宋体" w:cs="宋体"/>
                <w:kern w:val="0"/>
                <w:sz w:val="24"/>
              </w:rPr>
            </w:pPr>
          </w:p>
        </w:tc>
        <w:tc>
          <w:tcPr>
            <w:tcW w:w="465" w:type="dxa"/>
            <w:tcBorders>
              <w:tl2br w:val="nil"/>
              <w:tr2bl w:val="nil"/>
            </w:tcBorders>
            <w:vAlign w:val="center"/>
          </w:tcPr>
          <w:p w14:paraId="157EA97B">
            <w:pPr>
              <w:widowControl/>
              <w:spacing w:line="460" w:lineRule="exact"/>
              <w:jc w:val="center"/>
              <w:rPr>
                <w:rFonts w:ascii="宋体" w:hAnsi="宋体" w:cs="宋体"/>
                <w:kern w:val="0"/>
                <w:sz w:val="24"/>
              </w:rPr>
            </w:pPr>
          </w:p>
        </w:tc>
        <w:tc>
          <w:tcPr>
            <w:tcW w:w="480" w:type="dxa"/>
            <w:tcBorders>
              <w:tl2br w:val="nil"/>
              <w:tr2bl w:val="nil"/>
            </w:tcBorders>
            <w:vAlign w:val="center"/>
          </w:tcPr>
          <w:p w14:paraId="79420A10">
            <w:pPr>
              <w:widowControl/>
              <w:spacing w:line="460" w:lineRule="exact"/>
              <w:jc w:val="center"/>
              <w:rPr>
                <w:rFonts w:ascii="宋体" w:hAnsi="宋体" w:cs="宋体"/>
                <w:kern w:val="0"/>
                <w:sz w:val="24"/>
              </w:rPr>
            </w:pPr>
          </w:p>
        </w:tc>
        <w:tc>
          <w:tcPr>
            <w:tcW w:w="884" w:type="dxa"/>
            <w:tcBorders>
              <w:tl2br w:val="nil"/>
              <w:tr2bl w:val="nil"/>
            </w:tcBorders>
            <w:vAlign w:val="center"/>
          </w:tcPr>
          <w:p w14:paraId="4B300D3C">
            <w:pPr>
              <w:widowControl/>
              <w:spacing w:line="460" w:lineRule="exact"/>
              <w:jc w:val="center"/>
              <w:rPr>
                <w:rFonts w:ascii="宋体" w:hAnsi="宋体" w:cs="宋体"/>
                <w:kern w:val="0"/>
                <w:sz w:val="24"/>
              </w:rPr>
            </w:pPr>
          </w:p>
        </w:tc>
        <w:tc>
          <w:tcPr>
            <w:tcW w:w="884" w:type="dxa"/>
            <w:tcBorders>
              <w:tl2br w:val="nil"/>
              <w:tr2bl w:val="nil"/>
            </w:tcBorders>
            <w:vAlign w:val="center"/>
          </w:tcPr>
          <w:p w14:paraId="4C81F884">
            <w:pPr>
              <w:widowControl/>
              <w:spacing w:line="460" w:lineRule="exact"/>
              <w:jc w:val="center"/>
              <w:rPr>
                <w:rFonts w:ascii="宋体" w:hAnsi="宋体" w:cs="宋体"/>
                <w:kern w:val="0"/>
                <w:sz w:val="24"/>
              </w:rPr>
            </w:pPr>
          </w:p>
        </w:tc>
      </w:tr>
      <w:tr w14:paraId="620C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4B7196A4">
            <w:pPr>
              <w:widowControl/>
              <w:spacing w:line="460" w:lineRule="exact"/>
              <w:jc w:val="center"/>
              <w:rPr>
                <w:rFonts w:ascii="宋体" w:hAnsi="宋体" w:cs="宋体"/>
                <w:kern w:val="0"/>
                <w:sz w:val="24"/>
              </w:rPr>
            </w:pPr>
          </w:p>
        </w:tc>
        <w:tc>
          <w:tcPr>
            <w:tcW w:w="1140" w:type="dxa"/>
            <w:tcBorders>
              <w:tl2br w:val="nil"/>
              <w:tr2bl w:val="nil"/>
            </w:tcBorders>
            <w:noWrap/>
            <w:vAlign w:val="center"/>
          </w:tcPr>
          <w:p w14:paraId="6BFEF5D8">
            <w:pPr>
              <w:widowControl/>
              <w:spacing w:line="460" w:lineRule="exact"/>
              <w:jc w:val="center"/>
              <w:rPr>
                <w:rFonts w:ascii="宋体" w:hAnsi="宋体" w:cs="宋体"/>
                <w:kern w:val="0"/>
                <w:sz w:val="24"/>
              </w:rPr>
            </w:pPr>
          </w:p>
        </w:tc>
        <w:tc>
          <w:tcPr>
            <w:tcW w:w="3158" w:type="dxa"/>
            <w:tcBorders>
              <w:tl2br w:val="nil"/>
              <w:tr2bl w:val="nil"/>
            </w:tcBorders>
            <w:noWrap/>
            <w:vAlign w:val="center"/>
          </w:tcPr>
          <w:p w14:paraId="5A1A2260">
            <w:pPr>
              <w:widowControl/>
              <w:spacing w:line="460" w:lineRule="exact"/>
              <w:rPr>
                <w:rFonts w:ascii="宋体" w:hAnsi="宋体" w:cs="宋体"/>
                <w:kern w:val="0"/>
                <w:sz w:val="24"/>
              </w:rPr>
            </w:pPr>
          </w:p>
        </w:tc>
        <w:tc>
          <w:tcPr>
            <w:tcW w:w="495" w:type="dxa"/>
            <w:tcBorders>
              <w:tl2br w:val="nil"/>
              <w:tr2bl w:val="nil"/>
            </w:tcBorders>
            <w:noWrap/>
            <w:vAlign w:val="center"/>
          </w:tcPr>
          <w:p w14:paraId="7A137F05">
            <w:pPr>
              <w:widowControl/>
              <w:spacing w:line="460" w:lineRule="exact"/>
              <w:jc w:val="center"/>
              <w:rPr>
                <w:rFonts w:ascii="宋体" w:hAnsi="宋体" w:cs="宋体"/>
                <w:kern w:val="0"/>
                <w:sz w:val="24"/>
              </w:rPr>
            </w:pPr>
          </w:p>
        </w:tc>
        <w:tc>
          <w:tcPr>
            <w:tcW w:w="465" w:type="dxa"/>
            <w:tcBorders>
              <w:tl2br w:val="nil"/>
              <w:tr2bl w:val="nil"/>
            </w:tcBorders>
            <w:noWrap/>
            <w:vAlign w:val="center"/>
          </w:tcPr>
          <w:p w14:paraId="3E49409F">
            <w:pPr>
              <w:widowControl/>
              <w:spacing w:line="460" w:lineRule="exact"/>
              <w:jc w:val="center"/>
              <w:rPr>
                <w:rFonts w:ascii="宋体" w:hAnsi="宋体" w:cs="宋体"/>
                <w:kern w:val="0"/>
                <w:sz w:val="24"/>
              </w:rPr>
            </w:pPr>
          </w:p>
        </w:tc>
        <w:tc>
          <w:tcPr>
            <w:tcW w:w="480" w:type="dxa"/>
            <w:tcBorders>
              <w:tl2br w:val="nil"/>
              <w:tr2bl w:val="nil"/>
            </w:tcBorders>
            <w:vAlign w:val="center"/>
          </w:tcPr>
          <w:p w14:paraId="709FD429">
            <w:pPr>
              <w:widowControl/>
              <w:spacing w:line="460" w:lineRule="exact"/>
              <w:jc w:val="center"/>
              <w:rPr>
                <w:rFonts w:ascii="宋体" w:hAnsi="宋体" w:cs="宋体"/>
                <w:kern w:val="0"/>
                <w:sz w:val="24"/>
              </w:rPr>
            </w:pPr>
          </w:p>
        </w:tc>
        <w:tc>
          <w:tcPr>
            <w:tcW w:w="884" w:type="dxa"/>
            <w:tcBorders>
              <w:tl2br w:val="nil"/>
              <w:tr2bl w:val="nil"/>
            </w:tcBorders>
            <w:vAlign w:val="center"/>
          </w:tcPr>
          <w:p w14:paraId="28BB76DE">
            <w:pPr>
              <w:widowControl/>
              <w:spacing w:line="460" w:lineRule="exact"/>
              <w:jc w:val="center"/>
              <w:rPr>
                <w:rFonts w:ascii="宋体" w:hAnsi="宋体" w:cs="宋体"/>
                <w:kern w:val="0"/>
                <w:sz w:val="24"/>
              </w:rPr>
            </w:pPr>
          </w:p>
        </w:tc>
        <w:tc>
          <w:tcPr>
            <w:tcW w:w="884" w:type="dxa"/>
            <w:tcBorders>
              <w:tl2br w:val="nil"/>
              <w:tr2bl w:val="nil"/>
            </w:tcBorders>
            <w:vAlign w:val="center"/>
          </w:tcPr>
          <w:p w14:paraId="5DBF50E0">
            <w:pPr>
              <w:widowControl/>
              <w:spacing w:line="460" w:lineRule="exact"/>
              <w:jc w:val="center"/>
              <w:rPr>
                <w:rFonts w:ascii="宋体" w:hAnsi="宋体" w:cs="宋体"/>
                <w:kern w:val="0"/>
                <w:sz w:val="24"/>
              </w:rPr>
            </w:pPr>
          </w:p>
        </w:tc>
      </w:tr>
      <w:tr w14:paraId="5FFC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0BD54E77">
            <w:pPr>
              <w:widowControl/>
              <w:spacing w:line="460" w:lineRule="exact"/>
              <w:jc w:val="center"/>
              <w:rPr>
                <w:rFonts w:ascii="宋体" w:hAnsi="宋体" w:cs="宋体"/>
                <w:kern w:val="0"/>
                <w:sz w:val="24"/>
              </w:rPr>
            </w:pPr>
          </w:p>
        </w:tc>
        <w:tc>
          <w:tcPr>
            <w:tcW w:w="1140" w:type="dxa"/>
            <w:tcBorders>
              <w:tl2br w:val="nil"/>
              <w:tr2bl w:val="nil"/>
            </w:tcBorders>
            <w:vAlign w:val="center"/>
          </w:tcPr>
          <w:p w14:paraId="2F5E4EAD">
            <w:pPr>
              <w:widowControl/>
              <w:spacing w:line="460" w:lineRule="exact"/>
              <w:jc w:val="center"/>
              <w:rPr>
                <w:rFonts w:ascii="宋体" w:hAnsi="宋体" w:cs="宋体"/>
                <w:kern w:val="0"/>
                <w:sz w:val="24"/>
              </w:rPr>
            </w:pPr>
          </w:p>
        </w:tc>
        <w:tc>
          <w:tcPr>
            <w:tcW w:w="3158" w:type="dxa"/>
            <w:tcBorders>
              <w:tl2br w:val="nil"/>
              <w:tr2bl w:val="nil"/>
            </w:tcBorders>
            <w:vAlign w:val="center"/>
          </w:tcPr>
          <w:p w14:paraId="4FACC9C9">
            <w:pPr>
              <w:widowControl/>
              <w:spacing w:line="460" w:lineRule="exact"/>
              <w:rPr>
                <w:rFonts w:ascii="宋体" w:hAnsi="宋体" w:cs="宋体"/>
                <w:kern w:val="0"/>
                <w:sz w:val="24"/>
              </w:rPr>
            </w:pPr>
          </w:p>
        </w:tc>
        <w:tc>
          <w:tcPr>
            <w:tcW w:w="495" w:type="dxa"/>
            <w:tcBorders>
              <w:tl2br w:val="nil"/>
              <w:tr2bl w:val="nil"/>
            </w:tcBorders>
            <w:vAlign w:val="center"/>
          </w:tcPr>
          <w:p w14:paraId="5C50F909">
            <w:pPr>
              <w:widowControl/>
              <w:spacing w:line="460" w:lineRule="exact"/>
              <w:jc w:val="center"/>
              <w:rPr>
                <w:rFonts w:ascii="宋体" w:hAnsi="宋体" w:cs="宋体"/>
                <w:kern w:val="0"/>
                <w:sz w:val="24"/>
              </w:rPr>
            </w:pPr>
          </w:p>
        </w:tc>
        <w:tc>
          <w:tcPr>
            <w:tcW w:w="465" w:type="dxa"/>
            <w:tcBorders>
              <w:tl2br w:val="nil"/>
              <w:tr2bl w:val="nil"/>
            </w:tcBorders>
            <w:vAlign w:val="center"/>
          </w:tcPr>
          <w:p w14:paraId="405D2B09">
            <w:pPr>
              <w:widowControl/>
              <w:spacing w:line="460" w:lineRule="exact"/>
              <w:jc w:val="center"/>
              <w:rPr>
                <w:rFonts w:ascii="宋体" w:hAnsi="宋体" w:cs="宋体"/>
                <w:kern w:val="0"/>
                <w:sz w:val="24"/>
              </w:rPr>
            </w:pPr>
          </w:p>
        </w:tc>
        <w:tc>
          <w:tcPr>
            <w:tcW w:w="480" w:type="dxa"/>
            <w:tcBorders>
              <w:tl2br w:val="nil"/>
              <w:tr2bl w:val="nil"/>
            </w:tcBorders>
            <w:noWrap/>
            <w:vAlign w:val="center"/>
          </w:tcPr>
          <w:p w14:paraId="3E5A7B0B">
            <w:pPr>
              <w:widowControl/>
              <w:spacing w:line="460" w:lineRule="exact"/>
              <w:jc w:val="left"/>
              <w:rPr>
                <w:rFonts w:ascii="宋体" w:hAnsi="宋体" w:cs="宋体"/>
                <w:kern w:val="0"/>
                <w:sz w:val="24"/>
              </w:rPr>
            </w:pPr>
          </w:p>
        </w:tc>
        <w:tc>
          <w:tcPr>
            <w:tcW w:w="884" w:type="dxa"/>
            <w:tcBorders>
              <w:tl2br w:val="nil"/>
              <w:tr2bl w:val="nil"/>
            </w:tcBorders>
            <w:noWrap/>
            <w:vAlign w:val="center"/>
          </w:tcPr>
          <w:p w14:paraId="3EB21DF5">
            <w:pPr>
              <w:widowControl/>
              <w:spacing w:line="460" w:lineRule="exact"/>
              <w:jc w:val="left"/>
              <w:rPr>
                <w:rFonts w:ascii="宋体" w:hAnsi="宋体" w:cs="宋体"/>
                <w:kern w:val="0"/>
                <w:sz w:val="24"/>
              </w:rPr>
            </w:pPr>
          </w:p>
        </w:tc>
        <w:tc>
          <w:tcPr>
            <w:tcW w:w="884" w:type="dxa"/>
            <w:tcBorders>
              <w:tl2br w:val="nil"/>
              <w:tr2bl w:val="nil"/>
            </w:tcBorders>
            <w:noWrap/>
            <w:vAlign w:val="center"/>
          </w:tcPr>
          <w:p w14:paraId="3F2C865A">
            <w:pPr>
              <w:widowControl/>
              <w:spacing w:line="460" w:lineRule="exact"/>
              <w:jc w:val="left"/>
              <w:rPr>
                <w:rFonts w:ascii="宋体" w:hAnsi="宋体" w:cs="宋体"/>
                <w:kern w:val="0"/>
                <w:sz w:val="24"/>
              </w:rPr>
            </w:pPr>
          </w:p>
        </w:tc>
      </w:tr>
      <w:tr w14:paraId="2E97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580F2E22">
            <w:pPr>
              <w:widowControl/>
              <w:spacing w:line="460" w:lineRule="exact"/>
              <w:jc w:val="center"/>
              <w:rPr>
                <w:rFonts w:ascii="宋体" w:hAnsi="宋体" w:cs="宋体"/>
                <w:kern w:val="0"/>
                <w:sz w:val="24"/>
              </w:rPr>
            </w:pPr>
          </w:p>
        </w:tc>
        <w:tc>
          <w:tcPr>
            <w:tcW w:w="1140" w:type="dxa"/>
            <w:tcBorders>
              <w:tl2br w:val="nil"/>
              <w:tr2bl w:val="nil"/>
            </w:tcBorders>
            <w:vAlign w:val="center"/>
          </w:tcPr>
          <w:p w14:paraId="7BD94605">
            <w:pPr>
              <w:widowControl/>
              <w:spacing w:line="460" w:lineRule="exact"/>
              <w:jc w:val="center"/>
              <w:rPr>
                <w:rFonts w:ascii="宋体" w:hAnsi="宋体" w:cs="宋体"/>
                <w:kern w:val="0"/>
                <w:sz w:val="24"/>
              </w:rPr>
            </w:pPr>
          </w:p>
        </w:tc>
        <w:tc>
          <w:tcPr>
            <w:tcW w:w="3158" w:type="dxa"/>
            <w:tcBorders>
              <w:tl2br w:val="nil"/>
              <w:tr2bl w:val="nil"/>
            </w:tcBorders>
            <w:vAlign w:val="center"/>
          </w:tcPr>
          <w:p w14:paraId="3102DF76">
            <w:pPr>
              <w:widowControl/>
              <w:spacing w:line="460" w:lineRule="exact"/>
              <w:rPr>
                <w:rFonts w:ascii="宋体" w:hAnsi="宋体" w:cs="宋体"/>
                <w:kern w:val="0"/>
                <w:sz w:val="24"/>
              </w:rPr>
            </w:pPr>
          </w:p>
        </w:tc>
        <w:tc>
          <w:tcPr>
            <w:tcW w:w="495" w:type="dxa"/>
            <w:tcBorders>
              <w:tl2br w:val="nil"/>
              <w:tr2bl w:val="nil"/>
            </w:tcBorders>
            <w:vAlign w:val="center"/>
          </w:tcPr>
          <w:p w14:paraId="27730C16">
            <w:pPr>
              <w:widowControl/>
              <w:spacing w:line="460" w:lineRule="exact"/>
              <w:jc w:val="center"/>
              <w:rPr>
                <w:rFonts w:ascii="宋体" w:hAnsi="宋体" w:cs="宋体"/>
                <w:kern w:val="0"/>
                <w:sz w:val="24"/>
              </w:rPr>
            </w:pPr>
          </w:p>
        </w:tc>
        <w:tc>
          <w:tcPr>
            <w:tcW w:w="465" w:type="dxa"/>
            <w:tcBorders>
              <w:tl2br w:val="nil"/>
              <w:tr2bl w:val="nil"/>
            </w:tcBorders>
            <w:vAlign w:val="center"/>
          </w:tcPr>
          <w:p w14:paraId="5EE11EE0">
            <w:pPr>
              <w:widowControl/>
              <w:spacing w:line="460" w:lineRule="exact"/>
              <w:jc w:val="center"/>
              <w:rPr>
                <w:rFonts w:ascii="宋体" w:hAnsi="宋体" w:cs="宋体"/>
                <w:kern w:val="0"/>
                <w:sz w:val="24"/>
              </w:rPr>
            </w:pPr>
          </w:p>
        </w:tc>
        <w:tc>
          <w:tcPr>
            <w:tcW w:w="480" w:type="dxa"/>
            <w:tcBorders>
              <w:tl2br w:val="nil"/>
              <w:tr2bl w:val="nil"/>
            </w:tcBorders>
            <w:vAlign w:val="center"/>
          </w:tcPr>
          <w:p w14:paraId="07099DE2">
            <w:pPr>
              <w:widowControl/>
              <w:spacing w:line="460" w:lineRule="exact"/>
              <w:jc w:val="center"/>
              <w:rPr>
                <w:rFonts w:ascii="宋体" w:hAnsi="宋体" w:cs="宋体"/>
                <w:kern w:val="0"/>
                <w:sz w:val="24"/>
              </w:rPr>
            </w:pPr>
          </w:p>
        </w:tc>
        <w:tc>
          <w:tcPr>
            <w:tcW w:w="884" w:type="dxa"/>
            <w:tcBorders>
              <w:tl2br w:val="nil"/>
              <w:tr2bl w:val="nil"/>
            </w:tcBorders>
            <w:vAlign w:val="center"/>
          </w:tcPr>
          <w:p w14:paraId="4BF8E238">
            <w:pPr>
              <w:widowControl/>
              <w:spacing w:line="460" w:lineRule="exact"/>
              <w:jc w:val="center"/>
              <w:rPr>
                <w:rFonts w:ascii="宋体" w:hAnsi="宋体" w:cs="宋体"/>
                <w:kern w:val="0"/>
                <w:sz w:val="24"/>
              </w:rPr>
            </w:pPr>
          </w:p>
        </w:tc>
        <w:tc>
          <w:tcPr>
            <w:tcW w:w="884" w:type="dxa"/>
            <w:tcBorders>
              <w:tl2br w:val="nil"/>
              <w:tr2bl w:val="nil"/>
            </w:tcBorders>
            <w:vAlign w:val="center"/>
          </w:tcPr>
          <w:p w14:paraId="36250E91">
            <w:pPr>
              <w:widowControl/>
              <w:spacing w:line="460" w:lineRule="exact"/>
              <w:jc w:val="center"/>
              <w:rPr>
                <w:rFonts w:ascii="宋体" w:hAnsi="宋体" w:cs="宋体"/>
                <w:kern w:val="0"/>
                <w:sz w:val="24"/>
              </w:rPr>
            </w:pPr>
          </w:p>
        </w:tc>
      </w:tr>
      <w:tr w14:paraId="190F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5838F49F">
            <w:pPr>
              <w:widowControl/>
              <w:spacing w:line="460" w:lineRule="exact"/>
              <w:jc w:val="center"/>
              <w:rPr>
                <w:rFonts w:ascii="宋体" w:hAnsi="宋体" w:cs="宋体"/>
                <w:kern w:val="0"/>
                <w:sz w:val="24"/>
              </w:rPr>
            </w:pPr>
          </w:p>
        </w:tc>
        <w:tc>
          <w:tcPr>
            <w:tcW w:w="1140" w:type="dxa"/>
            <w:tcBorders>
              <w:tl2br w:val="nil"/>
              <w:tr2bl w:val="nil"/>
            </w:tcBorders>
            <w:noWrap/>
            <w:vAlign w:val="center"/>
          </w:tcPr>
          <w:p w14:paraId="3275238D">
            <w:pPr>
              <w:widowControl/>
              <w:spacing w:line="460" w:lineRule="exact"/>
              <w:jc w:val="center"/>
              <w:rPr>
                <w:rFonts w:ascii="宋体" w:hAnsi="宋体" w:cs="宋体"/>
                <w:kern w:val="0"/>
                <w:sz w:val="24"/>
              </w:rPr>
            </w:pPr>
          </w:p>
        </w:tc>
        <w:tc>
          <w:tcPr>
            <w:tcW w:w="3158" w:type="dxa"/>
            <w:tcBorders>
              <w:tl2br w:val="nil"/>
              <w:tr2bl w:val="nil"/>
            </w:tcBorders>
            <w:noWrap/>
            <w:vAlign w:val="center"/>
          </w:tcPr>
          <w:p w14:paraId="37AF479B">
            <w:pPr>
              <w:widowControl/>
              <w:spacing w:line="460" w:lineRule="exact"/>
              <w:rPr>
                <w:rFonts w:ascii="宋体" w:hAnsi="宋体" w:cs="宋体"/>
                <w:kern w:val="0"/>
                <w:sz w:val="24"/>
              </w:rPr>
            </w:pPr>
          </w:p>
        </w:tc>
        <w:tc>
          <w:tcPr>
            <w:tcW w:w="495" w:type="dxa"/>
            <w:tcBorders>
              <w:tl2br w:val="nil"/>
              <w:tr2bl w:val="nil"/>
            </w:tcBorders>
            <w:vAlign w:val="center"/>
          </w:tcPr>
          <w:p w14:paraId="09DF43C2">
            <w:pPr>
              <w:widowControl/>
              <w:spacing w:line="460" w:lineRule="exact"/>
              <w:jc w:val="center"/>
              <w:rPr>
                <w:rFonts w:ascii="宋体" w:hAnsi="宋体" w:cs="宋体"/>
                <w:kern w:val="0"/>
                <w:sz w:val="24"/>
              </w:rPr>
            </w:pPr>
          </w:p>
        </w:tc>
        <w:tc>
          <w:tcPr>
            <w:tcW w:w="465" w:type="dxa"/>
            <w:tcBorders>
              <w:tl2br w:val="nil"/>
              <w:tr2bl w:val="nil"/>
            </w:tcBorders>
            <w:vAlign w:val="center"/>
          </w:tcPr>
          <w:p w14:paraId="47BF9FFB">
            <w:pPr>
              <w:widowControl/>
              <w:spacing w:line="460" w:lineRule="exact"/>
              <w:jc w:val="center"/>
              <w:rPr>
                <w:rFonts w:ascii="宋体" w:hAnsi="宋体" w:cs="宋体"/>
                <w:kern w:val="0"/>
                <w:sz w:val="24"/>
              </w:rPr>
            </w:pPr>
          </w:p>
        </w:tc>
        <w:tc>
          <w:tcPr>
            <w:tcW w:w="480" w:type="dxa"/>
            <w:tcBorders>
              <w:tl2br w:val="nil"/>
              <w:tr2bl w:val="nil"/>
            </w:tcBorders>
            <w:vAlign w:val="center"/>
          </w:tcPr>
          <w:p w14:paraId="2A67D2EC">
            <w:pPr>
              <w:widowControl/>
              <w:spacing w:line="460" w:lineRule="exact"/>
              <w:jc w:val="center"/>
              <w:rPr>
                <w:rFonts w:ascii="宋体" w:hAnsi="宋体" w:cs="宋体"/>
                <w:kern w:val="0"/>
                <w:sz w:val="24"/>
              </w:rPr>
            </w:pPr>
          </w:p>
        </w:tc>
        <w:tc>
          <w:tcPr>
            <w:tcW w:w="884" w:type="dxa"/>
            <w:tcBorders>
              <w:tl2br w:val="nil"/>
              <w:tr2bl w:val="nil"/>
            </w:tcBorders>
            <w:vAlign w:val="center"/>
          </w:tcPr>
          <w:p w14:paraId="39B4FF64">
            <w:pPr>
              <w:widowControl/>
              <w:spacing w:line="460" w:lineRule="exact"/>
              <w:jc w:val="center"/>
              <w:rPr>
                <w:rFonts w:ascii="宋体" w:hAnsi="宋体" w:cs="宋体"/>
                <w:kern w:val="0"/>
                <w:sz w:val="24"/>
              </w:rPr>
            </w:pPr>
          </w:p>
        </w:tc>
        <w:tc>
          <w:tcPr>
            <w:tcW w:w="884" w:type="dxa"/>
            <w:tcBorders>
              <w:tl2br w:val="nil"/>
              <w:tr2bl w:val="nil"/>
            </w:tcBorders>
            <w:vAlign w:val="center"/>
          </w:tcPr>
          <w:p w14:paraId="58846053">
            <w:pPr>
              <w:widowControl/>
              <w:spacing w:line="460" w:lineRule="exact"/>
              <w:jc w:val="center"/>
              <w:rPr>
                <w:rFonts w:ascii="宋体" w:hAnsi="宋体" w:cs="宋体"/>
                <w:kern w:val="0"/>
                <w:sz w:val="24"/>
              </w:rPr>
            </w:pPr>
          </w:p>
        </w:tc>
      </w:tr>
      <w:tr w14:paraId="09CA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2F97B6B1">
            <w:pPr>
              <w:widowControl/>
              <w:spacing w:line="460" w:lineRule="exact"/>
              <w:jc w:val="center"/>
              <w:rPr>
                <w:rFonts w:ascii="宋体" w:hAnsi="宋体" w:cs="宋体"/>
                <w:kern w:val="0"/>
                <w:sz w:val="24"/>
              </w:rPr>
            </w:pPr>
          </w:p>
        </w:tc>
        <w:tc>
          <w:tcPr>
            <w:tcW w:w="1140" w:type="dxa"/>
            <w:tcBorders>
              <w:tl2br w:val="nil"/>
              <w:tr2bl w:val="nil"/>
            </w:tcBorders>
            <w:vAlign w:val="center"/>
          </w:tcPr>
          <w:p w14:paraId="4F1EFF17">
            <w:pPr>
              <w:widowControl/>
              <w:spacing w:line="460" w:lineRule="exact"/>
              <w:jc w:val="center"/>
              <w:rPr>
                <w:rFonts w:ascii="宋体" w:hAnsi="宋体" w:cs="宋体"/>
                <w:kern w:val="0"/>
                <w:sz w:val="24"/>
              </w:rPr>
            </w:pPr>
          </w:p>
        </w:tc>
        <w:tc>
          <w:tcPr>
            <w:tcW w:w="3158" w:type="dxa"/>
            <w:tcBorders>
              <w:tl2br w:val="nil"/>
              <w:tr2bl w:val="nil"/>
            </w:tcBorders>
            <w:vAlign w:val="center"/>
          </w:tcPr>
          <w:p w14:paraId="560A2A2C">
            <w:pPr>
              <w:widowControl/>
              <w:spacing w:line="460" w:lineRule="exact"/>
              <w:rPr>
                <w:rFonts w:ascii="宋体" w:hAnsi="宋体" w:cs="宋体"/>
                <w:kern w:val="0"/>
                <w:sz w:val="24"/>
              </w:rPr>
            </w:pPr>
          </w:p>
        </w:tc>
        <w:tc>
          <w:tcPr>
            <w:tcW w:w="495" w:type="dxa"/>
            <w:tcBorders>
              <w:tl2br w:val="nil"/>
              <w:tr2bl w:val="nil"/>
            </w:tcBorders>
            <w:vAlign w:val="center"/>
          </w:tcPr>
          <w:p w14:paraId="45438A4C">
            <w:pPr>
              <w:widowControl/>
              <w:spacing w:line="460" w:lineRule="exact"/>
              <w:jc w:val="center"/>
              <w:rPr>
                <w:rFonts w:ascii="宋体" w:hAnsi="宋体" w:cs="宋体"/>
                <w:kern w:val="0"/>
                <w:sz w:val="24"/>
              </w:rPr>
            </w:pPr>
          </w:p>
        </w:tc>
        <w:tc>
          <w:tcPr>
            <w:tcW w:w="465" w:type="dxa"/>
            <w:tcBorders>
              <w:tl2br w:val="nil"/>
              <w:tr2bl w:val="nil"/>
            </w:tcBorders>
            <w:vAlign w:val="center"/>
          </w:tcPr>
          <w:p w14:paraId="65BD3491">
            <w:pPr>
              <w:widowControl/>
              <w:spacing w:line="460" w:lineRule="exact"/>
              <w:jc w:val="center"/>
              <w:rPr>
                <w:rFonts w:ascii="宋体" w:hAnsi="宋体" w:cs="宋体"/>
                <w:kern w:val="0"/>
                <w:sz w:val="24"/>
              </w:rPr>
            </w:pPr>
          </w:p>
        </w:tc>
        <w:tc>
          <w:tcPr>
            <w:tcW w:w="480" w:type="dxa"/>
            <w:tcBorders>
              <w:tl2br w:val="nil"/>
              <w:tr2bl w:val="nil"/>
            </w:tcBorders>
            <w:vAlign w:val="center"/>
          </w:tcPr>
          <w:p w14:paraId="674792EA">
            <w:pPr>
              <w:widowControl/>
              <w:spacing w:line="460" w:lineRule="exact"/>
              <w:jc w:val="center"/>
              <w:rPr>
                <w:rFonts w:ascii="宋体" w:hAnsi="宋体" w:cs="宋体"/>
                <w:kern w:val="0"/>
                <w:sz w:val="24"/>
              </w:rPr>
            </w:pPr>
          </w:p>
        </w:tc>
        <w:tc>
          <w:tcPr>
            <w:tcW w:w="884" w:type="dxa"/>
            <w:tcBorders>
              <w:tl2br w:val="nil"/>
              <w:tr2bl w:val="nil"/>
            </w:tcBorders>
            <w:vAlign w:val="center"/>
          </w:tcPr>
          <w:p w14:paraId="7681E0AA">
            <w:pPr>
              <w:widowControl/>
              <w:spacing w:line="460" w:lineRule="exact"/>
              <w:jc w:val="center"/>
              <w:rPr>
                <w:rFonts w:ascii="宋体" w:hAnsi="宋体" w:cs="宋体"/>
                <w:kern w:val="0"/>
                <w:sz w:val="24"/>
              </w:rPr>
            </w:pPr>
          </w:p>
        </w:tc>
        <w:tc>
          <w:tcPr>
            <w:tcW w:w="884" w:type="dxa"/>
            <w:tcBorders>
              <w:tl2br w:val="nil"/>
              <w:tr2bl w:val="nil"/>
            </w:tcBorders>
            <w:vAlign w:val="center"/>
          </w:tcPr>
          <w:p w14:paraId="3DC982A7">
            <w:pPr>
              <w:widowControl/>
              <w:spacing w:line="460" w:lineRule="exact"/>
              <w:jc w:val="center"/>
              <w:rPr>
                <w:rFonts w:ascii="宋体" w:hAnsi="宋体" w:cs="宋体"/>
                <w:kern w:val="0"/>
                <w:sz w:val="24"/>
              </w:rPr>
            </w:pPr>
          </w:p>
        </w:tc>
      </w:tr>
      <w:tr w14:paraId="54B3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3A91E71B">
            <w:pPr>
              <w:widowControl/>
              <w:spacing w:line="460" w:lineRule="exact"/>
              <w:jc w:val="center"/>
              <w:rPr>
                <w:rFonts w:ascii="宋体" w:hAnsi="宋体" w:cs="宋体"/>
                <w:kern w:val="0"/>
                <w:sz w:val="24"/>
              </w:rPr>
            </w:pPr>
          </w:p>
        </w:tc>
        <w:tc>
          <w:tcPr>
            <w:tcW w:w="1140" w:type="dxa"/>
            <w:tcBorders>
              <w:tl2br w:val="nil"/>
              <w:tr2bl w:val="nil"/>
            </w:tcBorders>
            <w:vAlign w:val="center"/>
          </w:tcPr>
          <w:p w14:paraId="5AFC912B">
            <w:pPr>
              <w:widowControl/>
              <w:spacing w:line="460" w:lineRule="exact"/>
              <w:jc w:val="center"/>
              <w:rPr>
                <w:rFonts w:ascii="宋体" w:hAnsi="宋体" w:cs="宋体"/>
                <w:kern w:val="0"/>
                <w:sz w:val="24"/>
              </w:rPr>
            </w:pPr>
          </w:p>
        </w:tc>
        <w:tc>
          <w:tcPr>
            <w:tcW w:w="3158" w:type="dxa"/>
            <w:tcBorders>
              <w:tl2br w:val="nil"/>
              <w:tr2bl w:val="nil"/>
            </w:tcBorders>
            <w:vAlign w:val="center"/>
          </w:tcPr>
          <w:p w14:paraId="77168860">
            <w:pPr>
              <w:widowControl/>
              <w:spacing w:line="460" w:lineRule="exact"/>
              <w:rPr>
                <w:rFonts w:ascii="宋体" w:hAnsi="宋体" w:cs="宋体"/>
                <w:kern w:val="0"/>
                <w:sz w:val="24"/>
              </w:rPr>
            </w:pPr>
          </w:p>
        </w:tc>
        <w:tc>
          <w:tcPr>
            <w:tcW w:w="495" w:type="dxa"/>
            <w:tcBorders>
              <w:tl2br w:val="nil"/>
              <w:tr2bl w:val="nil"/>
            </w:tcBorders>
            <w:vAlign w:val="center"/>
          </w:tcPr>
          <w:p w14:paraId="7E7C85AF">
            <w:pPr>
              <w:widowControl/>
              <w:spacing w:line="460" w:lineRule="exact"/>
              <w:jc w:val="center"/>
              <w:rPr>
                <w:rFonts w:ascii="宋体" w:hAnsi="宋体" w:cs="宋体"/>
                <w:kern w:val="0"/>
                <w:sz w:val="24"/>
              </w:rPr>
            </w:pPr>
          </w:p>
        </w:tc>
        <w:tc>
          <w:tcPr>
            <w:tcW w:w="465" w:type="dxa"/>
            <w:tcBorders>
              <w:tl2br w:val="nil"/>
              <w:tr2bl w:val="nil"/>
            </w:tcBorders>
            <w:vAlign w:val="center"/>
          </w:tcPr>
          <w:p w14:paraId="63CA1AAA">
            <w:pPr>
              <w:widowControl/>
              <w:spacing w:line="460" w:lineRule="exact"/>
              <w:jc w:val="center"/>
              <w:rPr>
                <w:rFonts w:ascii="宋体" w:hAnsi="宋体" w:cs="宋体"/>
                <w:kern w:val="0"/>
                <w:sz w:val="24"/>
              </w:rPr>
            </w:pPr>
          </w:p>
        </w:tc>
        <w:tc>
          <w:tcPr>
            <w:tcW w:w="480" w:type="dxa"/>
            <w:tcBorders>
              <w:tl2br w:val="nil"/>
              <w:tr2bl w:val="nil"/>
            </w:tcBorders>
            <w:vAlign w:val="center"/>
          </w:tcPr>
          <w:p w14:paraId="5EABC45A">
            <w:pPr>
              <w:widowControl/>
              <w:spacing w:line="460" w:lineRule="exact"/>
              <w:jc w:val="center"/>
              <w:rPr>
                <w:rFonts w:ascii="宋体" w:hAnsi="宋体" w:cs="宋体"/>
                <w:kern w:val="0"/>
                <w:sz w:val="24"/>
              </w:rPr>
            </w:pPr>
          </w:p>
        </w:tc>
        <w:tc>
          <w:tcPr>
            <w:tcW w:w="884" w:type="dxa"/>
            <w:tcBorders>
              <w:tl2br w:val="nil"/>
              <w:tr2bl w:val="nil"/>
            </w:tcBorders>
            <w:vAlign w:val="center"/>
          </w:tcPr>
          <w:p w14:paraId="63274286">
            <w:pPr>
              <w:widowControl/>
              <w:spacing w:line="460" w:lineRule="exact"/>
              <w:jc w:val="center"/>
              <w:rPr>
                <w:rFonts w:ascii="宋体" w:hAnsi="宋体" w:cs="宋体"/>
                <w:kern w:val="0"/>
                <w:sz w:val="24"/>
              </w:rPr>
            </w:pPr>
          </w:p>
        </w:tc>
        <w:tc>
          <w:tcPr>
            <w:tcW w:w="884" w:type="dxa"/>
            <w:tcBorders>
              <w:tl2br w:val="nil"/>
              <w:tr2bl w:val="nil"/>
            </w:tcBorders>
            <w:vAlign w:val="center"/>
          </w:tcPr>
          <w:p w14:paraId="32AA8C4A">
            <w:pPr>
              <w:widowControl/>
              <w:spacing w:line="460" w:lineRule="exact"/>
              <w:jc w:val="center"/>
              <w:rPr>
                <w:rFonts w:ascii="宋体" w:hAnsi="宋体" w:cs="宋体"/>
                <w:kern w:val="0"/>
                <w:sz w:val="24"/>
              </w:rPr>
            </w:pPr>
          </w:p>
        </w:tc>
      </w:tr>
      <w:tr w14:paraId="4447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065F8D04">
            <w:pPr>
              <w:widowControl/>
              <w:spacing w:line="460" w:lineRule="exact"/>
              <w:jc w:val="center"/>
              <w:rPr>
                <w:rFonts w:ascii="宋体" w:hAnsi="宋体" w:cs="宋体"/>
                <w:kern w:val="0"/>
                <w:sz w:val="24"/>
              </w:rPr>
            </w:pPr>
          </w:p>
        </w:tc>
        <w:tc>
          <w:tcPr>
            <w:tcW w:w="1140" w:type="dxa"/>
            <w:tcBorders>
              <w:tl2br w:val="nil"/>
              <w:tr2bl w:val="nil"/>
            </w:tcBorders>
            <w:vAlign w:val="center"/>
          </w:tcPr>
          <w:p w14:paraId="1BB60184">
            <w:pPr>
              <w:widowControl/>
              <w:spacing w:line="460" w:lineRule="exact"/>
              <w:jc w:val="center"/>
              <w:rPr>
                <w:rFonts w:ascii="宋体" w:hAnsi="宋体" w:cs="宋体"/>
                <w:kern w:val="0"/>
                <w:sz w:val="24"/>
              </w:rPr>
            </w:pPr>
          </w:p>
        </w:tc>
        <w:tc>
          <w:tcPr>
            <w:tcW w:w="3158" w:type="dxa"/>
            <w:tcBorders>
              <w:tl2br w:val="nil"/>
              <w:tr2bl w:val="nil"/>
            </w:tcBorders>
          </w:tcPr>
          <w:p w14:paraId="799CA0F7">
            <w:pPr>
              <w:widowControl/>
              <w:spacing w:line="460" w:lineRule="exact"/>
              <w:rPr>
                <w:rFonts w:ascii="宋体" w:hAnsi="宋体" w:cs="宋体"/>
                <w:kern w:val="0"/>
                <w:sz w:val="24"/>
              </w:rPr>
            </w:pPr>
          </w:p>
        </w:tc>
        <w:tc>
          <w:tcPr>
            <w:tcW w:w="495" w:type="dxa"/>
            <w:tcBorders>
              <w:tl2br w:val="nil"/>
              <w:tr2bl w:val="nil"/>
            </w:tcBorders>
            <w:vAlign w:val="center"/>
          </w:tcPr>
          <w:p w14:paraId="3C08D9C6">
            <w:pPr>
              <w:widowControl/>
              <w:spacing w:line="460" w:lineRule="exact"/>
              <w:jc w:val="center"/>
              <w:rPr>
                <w:rFonts w:ascii="宋体" w:hAnsi="宋体" w:cs="宋体"/>
                <w:kern w:val="0"/>
                <w:sz w:val="24"/>
              </w:rPr>
            </w:pPr>
          </w:p>
        </w:tc>
        <w:tc>
          <w:tcPr>
            <w:tcW w:w="465" w:type="dxa"/>
            <w:tcBorders>
              <w:tl2br w:val="nil"/>
              <w:tr2bl w:val="nil"/>
            </w:tcBorders>
            <w:vAlign w:val="center"/>
          </w:tcPr>
          <w:p w14:paraId="7BE445FC">
            <w:pPr>
              <w:widowControl/>
              <w:spacing w:line="460" w:lineRule="exact"/>
              <w:jc w:val="center"/>
              <w:rPr>
                <w:rFonts w:ascii="宋体" w:hAnsi="宋体" w:cs="宋体"/>
                <w:kern w:val="0"/>
                <w:sz w:val="24"/>
              </w:rPr>
            </w:pPr>
          </w:p>
        </w:tc>
        <w:tc>
          <w:tcPr>
            <w:tcW w:w="480" w:type="dxa"/>
            <w:tcBorders>
              <w:tl2br w:val="nil"/>
              <w:tr2bl w:val="nil"/>
            </w:tcBorders>
            <w:vAlign w:val="center"/>
          </w:tcPr>
          <w:p w14:paraId="65815594">
            <w:pPr>
              <w:widowControl/>
              <w:spacing w:line="460" w:lineRule="exact"/>
              <w:jc w:val="center"/>
              <w:rPr>
                <w:rFonts w:ascii="宋体" w:hAnsi="宋体" w:cs="宋体"/>
                <w:kern w:val="0"/>
                <w:sz w:val="24"/>
              </w:rPr>
            </w:pPr>
          </w:p>
        </w:tc>
        <w:tc>
          <w:tcPr>
            <w:tcW w:w="884" w:type="dxa"/>
            <w:tcBorders>
              <w:tl2br w:val="nil"/>
              <w:tr2bl w:val="nil"/>
            </w:tcBorders>
            <w:vAlign w:val="center"/>
          </w:tcPr>
          <w:p w14:paraId="712C0818">
            <w:pPr>
              <w:widowControl/>
              <w:spacing w:line="460" w:lineRule="exact"/>
              <w:jc w:val="center"/>
              <w:rPr>
                <w:rFonts w:ascii="宋体" w:hAnsi="宋体" w:cs="宋体"/>
                <w:kern w:val="0"/>
                <w:sz w:val="24"/>
              </w:rPr>
            </w:pPr>
          </w:p>
        </w:tc>
        <w:tc>
          <w:tcPr>
            <w:tcW w:w="884" w:type="dxa"/>
            <w:tcBorders>
              <w:tl2br w:val="nil"/>
              <w:tr2bl w:val="nil"/>
            </w:tcBorders>
            <w:vAlign w:val="center"/>
          </w:tcPr>
          <w:p w14:paraId="699DE51F">
            <w:pPr>
              <w:widowControl/>
              <w:spacing w:line="460" w:lineRule="exact"/>
              <w:jc w:val="center"/>
              <w:rPr>
                <w:rFonts w:ascii="宋体" w:hAnsi="宋体" w:cs="宋体"/>
                <w:kern w:val="0"/>
                <w:sz w:val="24"/>
              </w:rPr>
            </w:pPr>
          </w:p>
        </w:tc>
      </w:tr>
    </w:tbl>
    <w:p w14:paraId="2C9B52B1">
      <w:pPr>
        <w:rPr>
          <w:rFonts w:ascii="宋体" w:hAnsi="宋体" w:cs="宋体"/>
          <w:sz w:val="32"/>
          <w:szCs w:val="32"/>
        </w:rPr>
      </w:pPr>
    </w:p>
    <w:p w14:paraId="24D6B6BA">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投标人名称：（盖章）</w:t>
      </w:r>
    </w:p>
    <w:p w14:paraId="2530B879">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法定代表人或授权委托人（签字）：</w:t>
      </w:r>
    </w:p>
    <w:p w14:paraId="40CF84AD">
      <w:pPr>
        <w:snapToGrid w:val="0"/>
        <w:spacing w:line="500" w:lineRule="exact"/>
        <w:ind w:left="1133" w:hanging="1132" w:hangingChars="472"/>
        <w:jc w:val="center"/>
        <w:rPr>
          <w:rFonts w:ascii="宋体" w:hAnsi="宋体" w:cs="仿宋"/>
          <w:sz w:val="24"/>
        </w:rPr>
      </w:pPr>
      <w:r>
        <w:rPr>
          <w:rFonts w:hint="eastAsia" w:ascii="宋体" w:hAnsi="宋体" w:cs="仿宋"/>
          <w:sz w:val="24"/>
        </w:rPr>
        <w:t>日期：</w:t>
      </w:r>
    </w:p>
    <w:p w14:paraId="52A174B7">
      <w:pPr>
        <w:widowControl/>
        <w:shd w:val="clear" w:color="auto" w:fill="FFFFFF"/>
        <w:spacing w:line="315" w:lineRule="atLeast"/>
        <w:ind w:firstLine="480"/>
        <w:jc w:val="left"/>
        <w:rPr>
          <w:rFonts w:ascii="宋体" w:hAnsi="宋体"/>
          <w:sz w:val="32"/>
          <w:szCs w:val="32"/>
        </w:rPr>
      </w:pPr>
      <w:r>
        <w:rPr>
          <w:rFonts w:ascii="宋体" w:hAnsi="宋体"/>
          <w:sz w:val="32"/>
          <w:szCs w:val="32"/>
        </w:rPr>
        <w:br w:type="page"/>
      </w:r>
    </w:p>
    <w:p w14:paraId="6BAAC1FD">
      <w:pPr>
        <w:snapToGrid w:val="0"/>
        <w:spacing w:line="300" w:lineRule="auto"/>
        <w:jc w:val="left"/>
        <w:outlineLvl w:val="0"/>
        <w:rPr>
          <w:rFonts w:ascii="宋体" w:hAnsi="宋体"/>
          <w:sz w:val="32"/>
          <w:szCs w:val="32"/>
        </w:rPr>
      </w:pPr>
      <w:r>
        <w:rPr>
          <w:rFonts w:hint="eastAsia" w:ascii="宋体" w:hAnsi="宋体"/>
          <w:sz w:val="32"/>
          <w:szCs w:val="32"/>
        </w:rPr>
        <w:t>附</w:t>
      </w:r>
      <w:r>
        <w:rPr>
          <w:rFonts w:ascii="宋体" w:hAnsi="宋体"/>
          <w:sz w:val="32"/>
          <w:szCs w:val="32"/>
        </w:rPr>
        <w:t>件</w:t>
      </w:r>
      <w:r>
        <w:rPr>
          <w:rFonts w:hint="eastAsia" w:ascii="宋体" w:hAnsi="宋体"/>
          <w:sz w:val="32"/>
          <w:szCs w:val="32"/>
        </w:rPr>
        <w:t>10</w:t>
      </w:r>
    </w:p>
    <w:p w14:paraId="6238A6FE">
      <w:pPr>
        <w:snapToGrid w:val="0"/>
        <w:spacing w:line="300" w:lineRule="auto"/>
        <w:jc w:val="center"/>
        <w:outlineLvl w:val="0"/>
        <w:rPr>
          <w:rFonts w:ascii="宋体" w:hAnsi="宋体"/>
          <w:b/>
          <w:bCs/>
          <w:sz w:val="28"/>
          <w:szCs w:val="28"/>
          <w:lang w:bidi="zh-CN"/>
        </w:rPr>
      </w:pPr>
      <w:r>
        <w:rPr>
          <w:rFonts w:hint="eastAsia" w:ascii="宋体" w:hAnsi="宋体"/>
          <w:b/>
          <w:bCs/>
          <w:sz w:val="28"/>
          <w:szCs w:val="28"/>
          <w:lang w:bidi="zh-CN"/>
        </w:rPr>
        <w:t>中小</w:t>
      </w:r>
      <w:r>
        <w:rPr>
          <w:rFonts w:ascii="宋体" w:hAnsi="宋体"/>
          <w:b/>
          <w:bCs/>
          <w:sz w:val="28"/>
          <w:szCs w:val="28"/>
          <w:lang w:bidi="zh-CN"/>
        </w:rPr>
        <w:t>企业声明函（</w:t>
      </w:r>
      <w:r>
        <w:rPr>
          <w:rFonts w:hint="eastAsia" w:ascii="宋体" w:hAnsi="宋体"/>
          <w:b/>
          <w:bCs/>
          <w:sz w:val="28"/>
          <w:szCs w:val="28"/>
          <w:lang w:bidi="zh-CN"/>
        </w:rPr>
        <w:t>服务</w:t>
      </w:r>
      <w:r>
        <w:rPr>
          <w:rFonts w:ascii="宋体" w:hAnsi="宋体"/>
          <w:b/>
          <w:bCs/>
          <w:sz w:val="28"/>
          <w:szCs w:val="28"/>
          <w:lang w:bidi="zh-CN"/>
        </w:rPr>
        <w:t>）</w:t>
      </w:r>
    </w:p>
    <w:p w14:paraId="25713180">
      <w:pPr>
        <w:autoSpaceDE w:val="0"/>
        <w:autoSpaceDN w:val="0"/>
        <w:spacing w:before="55" w:line="360" w:lineRule="auto"/>
        <w:ind w:left="220" w:right="415" w:firstLine="640"/>
        <w:rPr>
          <w:rFonts w:ascii="宋体" w:hAnsi="宋体" w:cs="宋体"/>
          <w:kern w:val="0"/>
          <w:sz w:val="28"/>
          <w:szCs w:val="28"/>
        </w:rPr>
      </w:pPr>
      <w:r>
        <w:rPr>
          <w:rFonts w:hint="eastAsia" w:ascii="宋体" w:hAnsi="宋体" w:cs="宋体"/>
          <w:kern w:val="0"/>
          <w:sz w:val="28"/>
          <w:szCs w:val="28"/>
        </w:rPr>
        <w:t>本公司（联合体）郑重声明，根据《政府采购促进中小企业发展管理办法》（财库﹝2020﹞46 号）的规定，本公司（联合体）参加</w:t>
      </w:r>
      <w:r>
        <w:rPr>
          <w:rFonts w:hint="eastAsia" w:ascii="宋体" w:hAnsi="宋体" w:cs="宋体"/>
          <w:w w:val="95"/>
          <w:kern w:val="0"/>
          <w:sz w:val="28"/>
          <w:szCs w:val="28"/>
          <w:u w:val="single"/>
        </w:rPr>
        <w:t>（项目名称）</w:t>
      </w:r>
      <w:r>
        <w:rPr>
          <w:rFonts w:hint="eastAsia" w:ascii="宋体" w:hAnsi="宋体" w:cs="宋体"/>
          <w:kern w:val="0"/>
          <w:sz w:val="28"/>
          <w:szCs w:val="28"/>
        </w:rPr>
        <w:t>采购活动，提供的服务全部由符合政策要求的中小企业提供。相关企业（含联合体中的中小企业、签订分包意向协议的中小企业）的具体情况如下：</w:t>
      </w:r>
    </w:p>
    <w:p w14:paraId="272513C0">
      <w:pPr>
        <w:numPr>
          <w:ilvl w:val="0"/>
          <w:numId w:val="3"/>
        </w:numPr>
        <w:tabs>
          <w:tab w:val="left" w:pos="1183"/>
          <w:tab w:val="left" w:pos="1484"/>
          <w:tab w:val="left" w:pos="4662"/>
          <w:tab w:val="left" w:pos="6903"/>
        </w:tabs>
        <w:autoSpaceDE w:val="0"/>
        <w:autoSpaceDN w:val="0"/>
        <w:spacing w:line="360" w:lineRule="auto"/>
        <w:ind w:right="169" w:firstLine="655"/>
        <w:rPr>
          <w:rFonts w:ascii="宋体" w:hAnsi="宋体" w:cs="宋体"/>
          <w:kern w:val="0"/>
          <w:sz w:val="28"/>
          <w:szCs w:val="28"/>
        </w:rPr>
      </w:pPr>
      <w:r>
        <w:rPr>
          <w:rFonts w:hint="eastAsia" w:ascii="宋体" w:hAnsi="宋体" w:cs="宋体"/>
          <w:i/>
          <w:iCs/>
          <w:kern w:val="0"/>
          <w:sz w:val="28"/>
          <w:szCs w:val="28"/>
          <w:u w:val="single"/>
        </w:rPr>
        <w:t>（</w:t>
      </w:r>
      <w:r>
        <w:rPr>
          <w:rFonts w:hint="eastAsia" w:ascii="宋体" w:hAnsi="宋体" w:cs="宋体"/>
          <w:w w:val="95"/>
          <w:kern w:val="0"/>
          <w:sz w:val="28"/>
          <w:szCs w:val="28"/>
          <w:u w:val="single"/>
        </w:rPr>
        <w:t>标的名称）</w:t>
      </w:r>
      <w:r>
        <w:rPr>
          <w:rFonts w:hint="eastAsia" w:ascii="宋体" w:hAnsi="宋体" w:cs="宋体"/>
          <w:kern w:val="0"/>
          <w:sz w:val="28"/>
          <w:szCs w:val="28"/>
        </w:rPr>
        <w:t>，属于</w:t>
      </w:r>
      <w:r>
        <w:rPr>
          <w:rFonts w:hint="eastAsia" w:ascii="宋体" w:hAnsi="宋体" w:cs="宋体"/>
          <w:i/>
          <w:iCs/>
          <w:kern w:val="0"/>
          <w:sz w:val="28"/>
          <w:szCs w:val="28"/>
        </w:rPr>
        <w:t>（</w:t>
      </w:r>
      <w:r>
        <w:rPr>
          <w:rFonts w:hint="eastAsia" w:ascii="宋体" w:hAnsi="宋体" w:cs="宋体"/>
          <w:w w:val="95"/>
          <w:kern w:val="0"/>
          <w:sz w:val="28"/>
          <w:szCs w:val="28"/>
          <w:u w:val="single"/>
        </w:rPr>
        <w:t>采购文件中明确的所属行业）行业</w:t>
      </w:r>
      <w:r>
        <w:rPr>
          <w:rFonts w:hint="eastAsia" w:ascii="宋体" w:hAnsi="宋体" w:cs="宋体"/>
          <w:kern w:val="0"/>
          <w:sz w:val="28"/>
          <w:szCs w:val="28"/>
        </w:rPr>
        <w:t>；服务商为</w:t>
      </w:r>
      <w:r>
        <w:rPr>
          <w:rFonts w:hint="eastAsia" w:ascii="宋体" w:hAnsi="宋体" w:cs="宋体"/>
          <w:w w:val="95"/>
          <w:kern w:val="0"/>
          <w:sz w:val="28"/>
          <w:szCs w:val="28"/>
          <w:u w:val="single"/>
        </w:rPr>
        <w:t>（企业名称）</w:t>
      </w:r>
      <w:r>
        <w:rPr>
          <w:rFonts w:hint="eastAsia" w:ascii="宋体" w:hAnsi="宋体" w:cs="宋体"/>
          <w:kern w:val="0"/>
          <w:sz w:val="28"/>
          <w:szCs w:val="28"/>
        </w:rPr>
        <w:t>，从业人员</w:t>
      </w:r>
      <w:r>
        <w:rPr>
          <w:rFonts w:hint="eastAsia" w:ascii="宋体" w:hAnsi="宋体" w:cs="宋体"/>
          <w:kern w:val="0"/>
          <w:sz w:val="28"/>
          <w:szCs w:val="28"/>
          <w:u w:val="single"/>
        </w:rPr>
        <w:tab/>
      </w:r>
      <w:r>
        <w:rPr>
          <w:rFonts w:hint="eastAsia" w:ascii="宋体" w:hAnsi="宋体" w:cs="宋体"/>
          <w:kern w:val="0"/>
          <w:sz w:val="28"/>
          <w:szCs w:val="28"/>
          <w:u w:val="single"/>
        </w:rPr>
        <w:tab/>
      </w:r>
      <w:r>
        <w:rPr>
          <w:rFonts w:hint="eastAsia" w:ascii="宋体" w:hAnsi="宋体" w:cs="宋体"/>
          <w:kern w:val="0"/>
          <w:sz w:val="28"/>
          <w:szCs w:val="28"/>
        </w:rPr>
        <w:t>人，营业收入为</w:t>
      </w:r>
      <w:r>
        <w:rPr>
          <w:rFonts w:hint="eastAsia" w:ascii="宋体" w:hAnsi="宋体" w:cs="宋体"/>
          <w:kern w:val="0"/>
          <w:sz w:val="28"/>
          <w:szCs w:val="28"/>
          <w:u w:val="single"/>
        </w:rPr>
        <w:tab/>
      </w:r>
      <w:r>
        <w:rPr>
          <w:rFonts w:hint="eastAsia" w:ascii="宋体" w:hAnsi="宋体" w:cs="宋体"/>
          <w:kern w:val="0"/>
          <w:sz w:val="28"/>
          <w:szCs w:val="28"/>
        </w:rPr>
        <w:t>万元，资产总额为</w:t>
      </w:r>
      <w:r>
        <w:rPr>
          <w:rFonts w:hint="eastAsia" w:ascii="宋体" w:hAnsi="宋体" w:cs="宋体"/>
          <w:kern w:val="0"/>
          <w:sz w:val="28"/>
          <w:szCs w:val="28"/>
          <w:u w:val="single"/>
        </w:rPr>
        <w:tab/>
      </w:r>
      <w:r>
        <w:rPr>
          <w:rFonts w:hint="eastAsia" w:ascii="宋体" w:hAnsi="宋体" w:cs="宋体"/>
          <w:kern w:val="0"/>
          <w:sz w:val="28"/>
          <w:szCs w:val="28"/>
        </w:rPr>
        <w:t>万元，属于</w:t>
      </w:r>
      <w:r>
        <w:rPr>
          <w:rFonts w:hint="eastAsia" w:ascii="宋体" w:hAnsi="宋体" w:cs="宋体"/>
          <w:w w:val="95"/>
          <w:kern w:val="0"/>
          <w:sz w:val="28"/>
          <w:szCs w:val="28"/>
          <w:u w:val="single"/>
        </w:rPr>
        <w:t>（中型企业、小型企业、微型企业</w:t>
      </w:r>
      <w:r>
        <w:rPr>
          <w:rFonts w:hint="eastAsia" w:ascii="宋体" w:hAnsi="宋体" w:cs="宋体"/>
          <w:i/>
          <w:iCs/>
          <w:kern w:val="0"/>
          <w:sz w:val="28"/>
          <w:szCs w:val="28"/>
          <w:u w:val="single"/>
        </w:rPr>
        <w:t>）</w:t>
      </w:r>
      <w:r>
        <w:rPr>
          <w:rFonts w:hint="eastAsia" w:ascii="宋体" w:hAnsi="宋体" w:cs="宋体"/>
          <w:kern w:val="0"/>
          <w:sz w:val="28"/>
          <w:szCs w:val="28"/>
        </w:rPr>
        <w:t>；</w:t>
      </w:r>
    </w:p>
    <w:p w14:paraId="45BC56C7">
      <w:pPr>
        <w:numPr>
          <w:ilvl w:val="0"/>
          <w:numId w:val="3"/>
        </w:numPr>
        <w:tabs>
          <w:tab w:val="left" w:pos="1183"/>
          <w:tab w:val="left" w:pos="4362"/>
          <w:tab w:val="left" w:pos="6577"/>
        </w:tabs>
        <w:autoSpaceDE w:val="0"/>
        <w:autoSpaceDN w:val="0"/>
        <w:spacing w:line="360" w:lineRule="auto"/>
        <w:ind w:right="169" w:firstLine="655"/>
        <w:rPr>
          <w:rFonts w:ascii="宋体" w:hAnsi="宋体" w:cs="宋体"/>
          <w:kern w:val="0"/>
          <w:sz w:val="28"/>
          <w:szCs w:val="28"/>
        </w:rPr>
      </w:pPr>
      <w:r>
        <w:rPr>
          <w:rFonts w:hint="eastAsia" w:ascii="宋体" w:hAnsi="宋体" w:cs="宋体"/>
          <w:w w:val="95"/>
          <w:kern w:val="0"/>
          <w:sz w:val="28"/>
          <w:szCs w:val="28"/>
          <w:u w:val="single"/>
        </w:rPr>
        <w:t>（标的名称）</w:t>
      </w:r>
      <w:r>
        <w:rPr>
          <w:rFonts w:hint="eastAsia" w:ascii="宋体" w:hAnsi="宋体" w:cs="宋体"/>
          <w:kern w:val="0"/>
          <w:sz w:val="28"/>
          <w:szCs w:val="28"/>
        </w:rPr>
        <w:t>，属于</w:t>
      </w:r>
      <w:r>
        <w:rPr>
          <w:rFonts w:hint="eastAsia" w:ascii="宋体" w:hAnsi="宋体" w:cs="宋体"/>
          <w:w w:val="95"/>
          <w:kern w:val="0"/>
          <w:sz w:val="28"/>
          <w:szCs w:val="28"/>
          <w:u w:val="single"/>
        </w:rPr>
        <w:t>（采购文件中明确的所属行业）行业</w:t>
      </w:r>
      <w:r>
        <w:rPr>
          <w:rFonts w:hint="eastAsia" w:ascii="宋体" w:hAnsi="宋体" w:cs="宋体"/>
          <w:kern w:val="0"/>
          <w:sz w:val="28"/>
          <w:szCs w:val="28"/>
        </w:rPr>
        <w:t>；服务商为</w:t>
      </w:r>
      <w:r>
        <w:rPr>
          <w:rFonts w:hint="eastAsia" w:ascii="宋体" w:hAnsi="宋体" w:cs="宋体"/>
          <w:i/>
          <w:iCs/>
          <w:kern w:val="0"/>
          <w:sz w:val="28"/>
          <w:szCs w:val="28"/>
          <w:u w:val="single"/>
        </w:rPr>
        <w:t>（</w:t>
      </w:r>
      <w:r>
        <w:rPr>
          <w:rFonts w:hint="eastAsia" w:ascii="宋体" w:hAnsi="宋体" w:cs="宋体"/>
          <w:w w:val="95"/>
          <w:kern w:val="0"/>
          <w:sz w:val="28"/>
          <w:szCs w:val="28"/>
          <w:u w:val="single"/>
        </w:rPr>
        <w:t>企业名称）</w:t>
      </w:r>
      <w:r>
        <w:rPr>
          <w:rFonts w:hint="eastAsia" w:ascii="宋体" w:hAnsi="宋体" w:cs="宋体"/>
          <w:kern w:val="0"/>
          <w:sz w:val="28"/>
          <w:szCs w:val="28"/>
        </w:rPr>
        <w:t>，从业人员</w:t>
      </w:r>
      <w:r>
        <w:rPr>
          <w:rFonts w:hint="eastAsia" w:ascii="宋体" w:hAnsi="宋体" w:cs="宋体"/>
          <w:kern w:val="0"/>
          <w:sz w:val="28"/>
          <w:szCs w:val="28"/>
          <w:u w:val="single"/>
        </w:rPr>
        <w:tab/>
      </w:r>
      <w:r>
        <w:rPr>
          <w:rFonts w:hint="eastAsia" w:ascii="宋体" w:hAnsi="宋体" w:cs="宋体"/>
          <w:kern w:val="0"/>
          <w:sz w:val="28"/>
          <w:szCs w:val="28"/>
        </w:rPr>
        <w:t>人，营业收入为</w:t>
      </w:r>
      <w:r>
        <w:rPr>
          <w:rFonts w:hint="eastAsia" w:ascii="宋体" w:hAnsi="宋体" w:cs="宋体"/>
          <w:kern w:val="0"/>
          <w:sz w:val="28"/>
          <w:szCs w:val="28"/>
          <w:u w:val="single"/>
        </w:rPr>
        <w:tab/>
      </w:r>
      <w:r>
        <w:rPr>
          <w:rFonts w:hint="eastAsia" w:ascii="宋体" w:hAnsi="宋体" w:cs="宋体"/>
          <w:kern w:val="0"/>
          <w:sz w:val="28"/>
          <w:szCs w:val="28"/>
        </w:rPr>
        <w:t>万元，资产总额为</w:t>
      </w:r>
      <w:r>
        <w:rPr>
          <w:rFonts w:hint="eastAsia" w:ascii="宋体" w:hAnsi="宋体" w:cs="宋体"/>
          <w:kern w:val="0"/>
          <w:sz w:val="28"/>
          <w:szCs w:val="28"/>
          <w:u w:val="single"/>
        </w:rPr>
        <w:tab/>
      </w:r>
      <w:r>
        <w:rPr>
          <w:rFonts w:hint="eastAsia" w:ascii="宋体" w:hAnsi="宋体" w:cs="宋体"/>
          <w:kern w:val="0"/>
          <w:sz w:val="28"/>
          <w:szCs w:val="28"/>
        </w:rPr>
        <w:t>万元，属于</w:t>
      </w:r>
      <w:r>
        <w:rPr>
          <w:rFonts w:hint="eastAsia" w:ascii="宋体" w:hAnsi="宋体" w:cs="宋体"/>
          <w:i/>
          <w:iCs/>
          <w:kern w:val="0"/>
          <w:sz w:val="28"/>
          <w:szCs w:val="28"/>
          <w:u w:val="single"/>
        </w:rPr>
        <w:t>（</w:t>
      </w:r>
      <w:r>
        <w:rPr>
          <w:rFonts w:hint="eastAsia" w:ascii="宋体" w:hAnsi="宋体" w:cs="宋体"/>
          <w:w w:val="95"/>
          <w:kern w:val="0"/>
          <w:sz w:val="28"/>
          <w:szCs w:val="28"/>
          <w:u w:val="single"/>
        </w:rPr>
        <w:t>中型企业、小型企业、微型企业）</w:t>
      </w:r>
      <w:r>
        <w:rPr>
          <w:rFonts w:hint="eastAsia" w:ascii="宋体" w:hAnsi="宋体" w:cs="宋体"/>
          <w:kern w:val="0"/>
          <w:sz w:val="28"/>
          <w:szCs w:val="28"/>
        </w:rPr>
        <w:t>；</w:t>
      </w:r>
    </w:p>
    <w:p w14:paraId="437E33B0">
      <w:pPr>
        <w:autoSpaceDE w:val="0"/>
        <w:autoSpaceDN w:val="0"/>
        <w:spacing w:line="360" w:lineRule="auto"/>
        <w:ind w:left="860"/>
        <w:rPr>
          <w:rFonts w:ascii="宋体" w:hAnsi="宋体" w:cs="宋体"/>
          <w:kern w:val="0"/>
          <w:sz w:val="28"/>
          <w:szCs w:val="28"/>
        </w:rPr>
      </w:pPr>
      <w:r>
        <w:rPr>
          <w:rFonts w:hint="eastAsia" w:ascii="宋体" w:hAnsi="宋体" w:cs="宋体"/>
          <w:kern w:val="0"/>
          <w:sz w:val="28"/>
          <w:szCs w:val="28"/>
        </w:rPr>
        <w:t>……</w:t>
      </w:r>
    </w:p>
    <w:p w14:paraId="3D03F668">
      <w:pPr>
        <w:autoSpaceDE w:val="0"/>
        <w:autoSpaceDN w:val="0"/>
        <w:spacing w:before="105" w:line="360" w:lineRule="auto"/>
        <w:ind w:left="220" w:right="417" w:firstLine="645"/>
        <w:rPr>
          <w:rFonts w:ascii="宋体" w:hAnsi="宋体" w:cs="宋体"/>
          <w:spacing w:val="-3"/>
          <w:kern w:val="0"/>
          <w:sz w:val="28"/>
          <w:szCs w:val="28"/>
        </w:rPr>
      </w:pPr>
      <w:r>
        <w:rPr>
          <w:rFonts w:hint="eastAsia" w:ascii="宋体" w:hAnsi="宋体" w:cs="宋体"/>
          <w:spacing w:val="-3"/>
          <w:kern w:val="0"/>
          <w:sz w:val="28"/>
          <w:szCs w:val="28"/>
        </w:rPr>
        <w:t>以上企业，不属于大企业的分支机构，不存在控股股东为大企业的情形，也不存在与大企业的负责人为同一人的情形。</w:t>
      </w:r>
    </w:p>
    <w:p w14:paraId="2437B188">
      <w:pPr>
        <w:autoSpaceDE w:val="0"/>
        <w:autoSpaceDN w:val="0"/>
        <w:spacing w:before="105" w:line="360" w:lineRule="auto"/>
        <w:ind w:left="220" w:right="417" w:firstLine="645"/>
        <w:rPr>
          <w:rFonts w:ascii="宋体" w:hAnsi="宋体" w:cs="宋体"/>
          <w:spacing w:val="-3"/>
          <w:kern w:val="0"/>
          <w:sz w:val="28"/>
          <w:szCs w:val="28"/>
        </w:rPr>
      </w:pPr>
      <w:r>
        <w:rPr>
          <w:rFonts w:hint="eastAsia" w:ascii="宋体" w:hAnsi="宋体" w:cs="宋体"/>
          <w:spacing w:val="-3"/>
          <w:kern w:val="0"/>
          <w:sz w:val="28"/>
          <w:szCs w:val="28"/>
        </w:rPr>
        <w:t>本企业对上述声明内容的真实性负责。如有虚假，将依法承担相应责任。</w:t>
      </w:r>
    </w:p>
    <w:p w14:paraId="5D5E27B0">
      <w:pPr>
        <w:kinsoku w:val="0"/>
        <w:topLinePunct/>
        <w:snapToGrid w:val="0"/>
        <w:spacing w:line="360" w:lineRule="auto"/>
        <w:ind w:firstLine="6020" w:firstLineChars="2150"/>
        <w:jc w:val="left"/>
        <w:rPr>
          <w:rFonts w:ascii="宋体" w:hAnsi="宋体" w:cs="宋体"/>
          <w:sz w:val="28"/>
          <w:szCs w:val="28"/>
        </w:rPr>
      </w:pPr>
      <w:r>
        <w:rPr>
          <w:rFonts w:hint="eastAsia" w:ascii="宋体" w:hAnsi="宋体" w:cs="宋体"/>
          <w:sz w:val="28"/>
          <w:szCs w:val="28"/>
        </w:rPr>
        <w:t>供应商：（盖章）</w:t>
      </w:r>
    </w:p>
    <w:p w14:paraId="472D3B0C">
      <w:pPr>
        <w:kinsoku w:val="0"/>
        <w:topLinePunct/>
        <w:snapToGrid w:val="0"/>
        <w:spacing w:line="360" w:lineRule="auto"/>
        <w:ind w:firstLine="4760" w:firstLineChars="1700"/>
        <w:jc w:val="left"/>
        <w:rPr>
          <w:rFonts w:ascii="宋体" w:hAnsi="宋体" w:cs="宋体"/>
          <w:sz w:val="28"/>
          <w:szCs w:val="28"/>
        </w:rPr>
      </w:pPr>
      <w:r>
        <w:rPr>
          <w:rFonts w:hint="eastAsia" w:ascii="宋体" w:hAnsi="宋体" w:cs="宋体"/>
          <w:sz w:val="28"/>
          <w:szCs w:val="28"/>
        </w:rPr>
        <w:t>法定代表人或被授权人（签字或盖章）：</w:t>
      </w:r>
    </w:p>
    <w:p w14:paraId="339098F8">
      <w:pPr>
        <w:kinsoku w:val="0"/>
        <w:topLinePunct/>
        <w:snapToGrid w:val="0"/>
        <w:spacing w:line="360" w:lineRule="auto"/>
        <w:ind w:firstLine="6860" w:firstLineChars="2450"/>
        <w:jc w:val="left"/>
        <w:rPr>
          <w:rFonts w:ascii="宋体" w:hAnsi="宋体" w:cs="宋体"/>
          <w:sz w:val="28"/>
          <w:szCs w:val="28"/>
        </w:rPr>
      </w:pPr>
      <w:r>
        <w:rPr>
          <w:rFonts w:hint="eastAsia" w:ascii="宋体" w:hAnsi="宋体" w:cs="宋体"/>
          <w:sz w:val="28"/>
          <w:szCs w:val="28"/>
        </w:rPr>
        <w:t>日期：</w:t>
      </w:r>
    </w:p>
    <w:p w14:paraId="4823C9A4">
      <w:pPr>
        <w:snapToGrid w:val="0"/>
        <w:spacing w:line="360" w:lineRule="auto"/>
        <w:ind w:firstLine="576" w:firstLineChars="206"/>
        <w:rPr>
          <w:rFonts w:ascii="宋体" w:hAnsi="宋体" w:cs="宋体"/>
          <w:sz w:val="28"/>
          <w:szCs w:val="28"/>
        </w:rPr>
      </w:pPr>
      <w:r>
        <w:rPr>
          <w:rFonts w:hint="eastAsia" w:ascii="宋体" w:hAnsi="宋体" w:cs="宋体"/>
          <w:sz w:val="28"/>
          <w:szCs w:val="28"/>
        </w:rPr>
        <w:t>注：</w:t>
      </w:r>
    </w:p>
    <w:p w14:paraId="0CB6BE11">
      <w:pPr>
        <w:snapToGrid w:val="0"/>
        <w:spacing w:line="360" w:lineRule="auto"/>
        <w:ind w:firstLine="576" w:firstLineChars="206"/>
        <w:rPr>
          <w:rFonts w:ascii="宋体" w:hAnsi="宋体" w:cs="宋体"/>
          <w:sz w:val="28"/>
          <w:szCs w:val="28"/>
        </w:rPr>
      </w:pPr>
      <w:r>
        <w:rPr>
          <w:rFonts w:hint="eastAsia" w:ascii="宋体" w:hAnsi="宋体" w:cs="宋体"/>
          <w:sz w:val="28"/>
          <w:szCs w:val="28"/>
        </w:rPr>
        <w:t>（1）从业人员、营业收入、资产总额填报上一年度数据，无上一年度数据的新成立企业可不填报。</w:t>
      </w:r>
    </w:p>
    <w:p w14:paraId="3ECFE010">
      <w:pPr>
        <w:snapToGrid w:val="0"/>
        <w:spacing w:line="360" w:lineRule="auto"/>
        <w:ind w:firstLine="576" w:firstLineChars="206"/>
        <w:rPr>
          <w:rFonts w:ascii="宋体" w:hAnsi="宋体" w:cs="宋体"/>
          <w:sz w:val="28"/>
          <w:szCs w:val="28"/>
        </w:rPr>
      </w:pPr>
      <w:r>
        <w:rPr>
          <w:rFonts w:hint="eastAsia" w:ascii="宋体" w:hAnsi="宋体" w:cs="宋体"/>
          <w:sz w:val="28"/>
          <w:szCs w:val="28"/>
        </w:rPr>
        <w:t>（2）关于落实政府采购政策，详见本招标文件第四章第七条的规定内容。</w:t>
      </w:r>
    </w:p>
    <w:p w14:paraId="6649ABC4">
      <w:pPr>
        <w:pStyle w:val="37"/>
        <w:ind w:firstLine="548" w:firstLineChars="196"/>
        <w:rPr>
          <w:rFonts w:ascii="宋体" w:hAnsi="宋体"/>
        </w:rPr>
      </w:pPr>
      <w:r>
        <w:rPr>
          <w:rFonts w:hint="eastAsia" w:ascii="宋体" w:hAnsi="宋体" w:cs="宋体"/>
          <w:b/>
          <w:bCs/>
          <w:kern w:val="2"/>
          <w:sz w:val="28"/>
          <w:szCs w:val="28"/>
        </w:rPr>
        <w:t>（3）本项目不享受中小企业扶持政策的投标人，无须提供“中小企业声明函”。</w:t>
      </w:r>
    </w:p>
    <w:p w14:paraId="3873AC7D">
      <w:pPr>
        <w:pStyle w:val="37"/>
        <w:ind w:firstLine="470" w:firstLineChars="196"/>
        <w:rPr>
          <w:rFonts w:ascii="宋体" w:hAnsi="宋体"/>
        </w:rPr>
      </w:pPr>
    </w:p>
    <w:p w14:paraId="57CEE90F">
      <w:pPr>
        <w:pStyle w:val="37"/>
        <w:ind w:firstLine="5280" w:firstLineChars="2200"/>
        <w:rPr>
          <w:rFonts w:ascii="宋体" w:hAnsi="宋体"/>
        </w:rPr>
      </w:pPr>
    </w:p>
    <w:p w14:paraId="6005E988">
      <w:pPr>
        <w:snapToGrid w:val="0"/>
        <w:spacing w:line="300" w:lineRule="auto"/>
        <w:outlineLvl w:val="0"/>
        <w:rPr>
          <w:rFonts w:ascii="宋体" w:hAnsi="宋体" w:cs="仿宋"/>
          <w:sz w:val="28"/>
          <w:szCs w:val="28"/>
        </w:rPr>
      </w:pPr>
    </w:p>
    <w:p w14:paraId="62C486C5">
      <w:pPr>
        <w:snapToGrid w:val="0"/>
        <w:spacing w:line="300" w:lineRule="auto"/>
        <w:outlineLvl w:val="0"/>
        <w:rPr>
          <w:rFonts w:ascii="宋体" w:hAnsi="宋体" w:cs="仿宋"/>
          <w:sz w:val="32"/>
          <w:szCs w:val="32"/>
        </w:rPr>
      </w:pPr>
      <w:r>
        <w:rPr>
          <w:rFonts w:hint="eastAsia" w:ascii="宋体" w:hAnsi="宋体" w:cs="仿宋"/>
          <w:sz w:val="32"/>
          <w:szCs w:val="32"/>
        </w:rPr>
        <w:br w:type="page"/>
      </w:r>
      <w:r>
        <w:rPr>
          <w:rFonts w:hint="eastAsia" w:ascii="宋体" w:hAnsi="宋体" w:cs="仿宋"/>
          <w:sz w:val="32"/>
          <w:szCs w:val="32"/>
        </w:rPr>
        <w:t>附件11</w:t>
      </w:r>
    </w:p>
    <w:p w14:paraId="316C8789">
      <w:pPr>
        <w:spacing w:line="460" w:lineRule="exact"/>
        <w:jc w:val="center"/>
        <w:rPr>
          <w:rFonts w:ascii="宋体" w:hAnsi="宋体" w:cs="仿宋"/>
          <w:b/>
          <w:sz w:val="32"/>
          <w:szCs w:val="32"/>
        </w:rPr>
      </w:pPr>
      <w:r>
        <w:rPr>
          <w:rFonts w:hint="eastAsia" w:ascii="宋体" w:hAnsi="宋体" w:cs="仿宋"/>
          <w:b/>
          <w:sz w:val="32"/>
          <w:szCs w:val="32"/>
        </w:rPr>
        <w:t>残疾人福利性单位声明函</w:t>
      </w:r>
    </w:p>
    <w:p w14:paraId="1953D2ED">
      <w:pPr>
        <w:spacing w:line="588" w:lineRule="exact"/>
        <w:ind w:firstLine="560" w:firstLineChars="200"/>
        <w:rPr>
          <w:rFonts w:ascii="宋体" w:hAnsi="宋体" w:cs="仿宋"/>
          <w:sz w:val="28"/>
          <w:szCs w:val="28"/>
        </w:rPr>
      </w:pPr>
      <w:r>
        <w:rPr>
          <w:rFonts w:hint="eastAsia" w:ascii="宋体" w:hAnsi="宋体" w:cs="仿宋"/>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162231D3">
      <w:pPr>
        <w:spacing w:line="588" w:lineRule="exact"/>
        <w:ind w:firstLine="560" w:firstLineChars="200"/>
        <w:rPr>
          <w:rFonts w:ascii="宋体" w:hAnsi="宋体" w:cs="仿宋"/>
          <w:sz w:val="28"/>
          <w:szCs w:val="28"/>
        </w:rPr>
      </w:pPr>
      <w:r>
        <w:rPr>
          <w:rFonts w:hint="eastAsia" w:ascii="宋体" w:hAnsi="宋体" w:cs="仿宋"/>
          <w:sz w:val="28"/>
          <w:szCs w:val="28"/>
        </w:rPr>
        <w:t>本单位对上述声明的真实性负责。如有虚假，将依法承担相应责任。</w:t>
      </w:r>
    </w:p>
    <w:p w14:paraId="3F2FF066">
      <w:pPr>
        <w:spacing w:line="588" w:lineRule="exact"/>
        <w:ind w:firstLine="560" w:firstLineChars="200"/>
        <w:rPr>
          <w:rFonts w:ascii="宋体" w:hAnsi="宋体" w:cs="仿宋"/>
          <w:sz w:val="28"/>
          <w:szCs w:val="28"/>
        </w:rPr>
      </w:pPr>
      <w:r>
        <w:rPr>
          <w:rFonts w:hint="eastAsia" w:ascii="宋体" w:hAnsi="宋体" w:cs="仿宋"/>
          <w:sz w:val="28"/>
          <w:szCs w:val="28"/>
        </w:rPr>
        <w:t>（备注：1、供应商如不提供此声明函，价格将不做相应扣除。2、中标供应商为残疾人福利单位的，此声明函将随中标结果同时公告，接受社会监督）</w:t>
      </w:r>
    </w:p>
    <w:p w14:paraId="50112CF5">
      <w:pPr>
        <w:spacing w:line="588" w:lineRule="exact"/>
        <w:ind w:firstLine="584" w:firstLineChars="200"/>
        <w:rPr>
          <w:rFonts w:ascii="宋体" w:hAnsi="宋体" w:cs="仿宋"/>
          <w:spacing w:val="6"/>
          <w:sz w:val="28"/>
          <w:szCs w:val="28"/>
        </w:rPr>
      </w:pPr>
    </w:p>
    <w:p w14:paraId="1C6F81B4">
      <w:pPr>
        <w:spacing w:line="588" w:lineRule="exact"/>
        <w:ind w:firstLine="584" w:firstLineChars="200"/>
        <w:rPr>
          <w:rFonts w:ascii="宋体" w:hAnsi="宋体" w:cs="仿宋"/>
          <w:spacing w:val="6"/>
          <w:sz w:val="28"/>
          <w:szCs w:val="28"/>
        </w:rPr>
      </w:pPr>
    </w:p>
    <w:p w14:paraId="52C6DCBE">
      <w:pPr>
        <w:spacing w:line="588" w:lineRule="exact"/>
        <w:ind w:firstLine="584" w:firstLineChars="200"/>
        <w:rPr>
          <w:rFonts w:ascii="宋体" w:hAnsi="宋体" w:cs="仿宋"/>
          <w:spacing w:val="6"/>
          <w:sz w:val="28"/>
          <w:szCs w:val="28"/>
        </w:rPr>
      </w:pPr>
    </w:p>
    <w:p w14:paraId="78BA94C5">
      <w:pPr>
        <w:spacing w:line="588" w:lineRule="exact"/>
        <w:ind w:firstLine="584" w:firstLineChars="200"/>
        <w:rPr>
          <w:rFonts w:ascii="宋体" w:hAnsi="宋体" w:cs="仿宋"/>
          <w:spacing w:val="6"/>
          <w:sz w:val="28"/>
          <w:szCs w:val="28"/>
        </w:rPr>
      </w:pPr>
    </w:p>
    <w:p w14:paraId="3110A4EB">
      <w:pPr>
        <w:tabs>
          <w:tab w:val="left" w:pos="4860"/>
        </w:tabs>
        <w:spacing w:line="588" w:lineRule="exact"/>
        <w:ind w:right="1560" w:firstLine="560" w:firstLineChars="200"/>
        <w:jc w:val="center"/>
        <w:rPr>
          <w:rFonts w:ascii="宋体" w:hAnsi="宋体" w:cs="仿宋"/>
          <w:sz w:val="28"/>
          <w:szCs w:val="28"/>
        </w:rPr>
      </w:pPr>
      <w:r>
        <w:rPr>
          <w:rFonts w:hint="eastAsia" w:ascii="宋体" w:hAnsi="宋体" w:cs="仿宋"/>
          <w:sz w:val="28"/>
          <w:szCs w:val="28"/>
        </w:rPr>
        <w:t xml:space="preserve">           供应商全称（盖章）：</w:t>
      </w:r>
    </w:p>
    <w:p w14:paraId="50175751">
      <w:pPr>
        <w:tabs>
          <w:tab w:val="left" w:pos="4860"/>
        </w:tabs>
        <w:spacing w:line="588" w:lineRule="exact"/>
        <w:ind w:right="1560" w:firstLine="560" w:firstLineChars="200"/>
        <w:jc w:val="center"/>
        <w:rPr>
          <w:rFonts w:ascii="宋体" w:hAnsi="宋体" w:cs="仿宋"/>
          <w:sz w:val="28"/>
          <w:szCs w:val="28"/>
        </w:rPr>
      </w:pPr>
      <w:r>
        <w:rPr>
          <w:rFonts w:hint="eastAsia" w:ascii="宋体" w:hAnsi="宋体" w:cs="仿宋"/>
          <w:sz w:val="28"/>
          <w:szCs w:val="28"/>
        </w:rPr>
        <w:t xml:space="preserve">              日  期：</w:t>
      </w:r>
    </w:p>
    <w:p w14:paraId="45A1D36F">
      <w:pPr>
        <w:ind w:firstLine="420"/>
        <w:rPr>
          <w:rFonts w:ascii="宋体" w:hAnsi="宋体" w:cs="仿宋"/>
          <w:sz w:val="28"/>
          <w:szCs w:val="28"/>
        </w:rPr>
      </w:pPr>
    </w:p>
    <w:p w14:paraId="34457D18">
      <w:pPr>
        <w:snapToGrid w:val="0"/>
        <w:spacing w:line="300" w:lineRule="auto"/>
        <w:outlineLvl w:val="0"/>
        <w:rPr>
          <w:rFonts w:ascii="宋体" w:hAnsi="宋体" w:cs="仿宋"/>
          <w:sz w:val="28"/>
          <w:szCs w:val="28"/>
        </w:rPr>
      </w:pPr>
    </w:p>
    <w:p w14:paraId="041DC2C8">
      <w:pPr>
        <w:snapToGrid w:val="0"/>
        <w:spacing w:line="300" w:lineRule="auto"/>
        <w:outlineLvl w:val="0"/>
        <w:rPr>
          <w:rFonts w:ascii="宋体" w:hAnsi="宋体" w:cs="仿宋"/>
          <w:sz w:val="28"/>
          <w:szCs w:val="28"/>
        </w:rPr>
      </w:pPr>
    </w:p>
    <w:p w14:paraId="0D9A1CB4">
      <w:pPr>
        <w:snapToGrid w:val="0"/>
        <w:spacing w:line="300" w:lineRule="auto"/>
        <w:outlineLvl w:val="0"/>
        <w:rPr>
          <w:rFonts w:ascii="宋体" w:hAnsi="宋体" w:cs="仿宋"/>
          <w:sz w:val="28"/>
          <w:szCs w:val="28"/>
        </w:rPr>
      </w:pPr>
    </w:p>
    <w:p w14:paraId="6EE3E159">
      <w:pPr>
        <w:snapToGrid w:val="0"/>
        <w:spacing w:line="300" w:lineRule="auto"/>
        <w:outlineLvl w:val="0"/>
        <w:rPr>
          <w:rFonts w:ascii="宋体" w:hAnsi="宋体" w:cs="仿宋"/>
          <w:sz w:val="28"/>
          <w:szCs w:val="28"/>
        </w:rPr>
      </w:pPr>
    </w:p>
    <w:p w14:paraId="3F304AED">
      <w:pPr>
        <w:snapToGrid w:val="0"/>
        <w:spacing w:line="300" w:lineRule="auto"/>
        <w:outlineLvl w:val="0"/>
        <w:rPr>
          <w:rFonts w:ascii="宋体" w:hAnsi="宋体" w:cs="仿宋"/>
          <w:sz w:val="32"/>
          <w:szCs w:val="32"/>
        </w:rPr>
      </w:pPr>
    </w:p>
    <w:p w14:paraId="2A4B893D">
      <w:pPr>
        <w:snapToGrid w:val="0"/>
        <w:spacing w:line="300" w:lineRule="auto"/>
        <w:outlineLvl w:val="0"/>
        <w:rPr>
          <w:rFonts w:ascii="宋体" w:hAnsi="宋体" w:cs="仿宋"/>
          <w:sz w:val="32"/>
          <w:szCs w:val="32"/>
        </w:rPr>
      </w:pPr>
      <w:r>
        <w:rPr>
          <w:rFonts w:hint="eastAsia" w:ascii="宋体" w:hAnsi="宋体" w:cs="仿宋"/>
          <w:sz w:val="32"/>
          <w:szCs w:val="32"/>
        </w:rPr>
        <w:br w:type="page"/>
      </w:r>
      <w:r>
        <w:rPr>
          <w:rFonts w:hint="eastAsia" w:ascii="宋体" w:hAnsi="宋体" w:cs="仿宋"/>
          <w:sz w:val="32"/>
          <w:szCs w:val="32"/>
        </w:rPr>
        <w:t>附件12</w:t>
      </w:r>
    </w:p>
    <w:p w14:paraId="3990DDB4">
      <w:pPr>
        <w:snapToGrid w:val="0"/>
        <w:spacing w:line="420" w:lineRule="exact"/>
        <w:jc w:val="center"/>
        <w:outlineLvl w:val="3"/>
        <w:rPr>
          <w:rFonts w:ascii="宋体" w:hAnsi="宋体" w:cs="仿宋"/>
          <w:b/>
          <w:bCs/>
          <w:sz w:val="32"/>
          <w:szCs w:val="32"/>
        </w:rPr>
      </w:pPr>
      <w:r>
        <w:rPr>
          <w:rFonts w:hint="eastAsia" w:ascii="宋体" w:hAnsi="宋体" w:cs="仿宋"/>
          <w:b/>
          <w:bCs/>
          <w:sz w:val="32"/>
          <w:szCs w:val="32"/>
        </w:rPr>
        <w:t>监狱和戒毒企业证明材料</w:t>
      </w:r>
    </w:p>
    <w:p w14:paraId="51FDBFB0">
      <w:pPr>
        <w:snapToGrid w:val="0"/>
        <w:spacing w:line="420" w:lineRule="exact"/>
        <w:ind w:firstLine="495" w:firstLineChars="177"/>
        <w:rPr>
          <w:rFonts w:ascii="宋体" w:hAnsi="宋体" w:cs="仿宋"/>
          <w:sz w:val="28"/>
          <w:szCs w:val="28"/>
        </w:rPr>
      </w:pPr>
    </w:p>
    <w:p w14:paraId="3CC8A5C9">
      <w:pPr>
        <w:snapToGrid w:val="0"/>
        <w:spacing w:line="420" w:lineRule="exact"/>
        <w:ind w:firstLine="495" w:firstLineChars="177"/>
        <w:rPr>
          <w:rFonts w:ascii="宋体" w:hAnsi="宋体" w:cs="仿宋"/>
          <w:b/>
          <w:sz w:val="28"/>
          <w:szCs w:val="28"/>
        </w:rPr>
      </w:pPr>
      <w:r>
        <w:rPr>
          <w:rFonts w:hint="eastAsia" w:ascii="宋体" w:hAnsi="宋体" w:cs="仿宋"/>
          <w:b/>
          <w:sz w:val="28"/>
          <w:szCs w:val="28"/>
        </w:rPr>
        <w:t>（格式自拟）</w:t>
      </w:r>
    </w:p>
    <w:p w14:paraId="783BD5C6">
      <w:pPr>
        <w:snapToGrid w:val="0"/>
        <w:spacing w:line="420" w:lineRule="exact"/>
        <w:ind w:firstLine="495" w:firstLineChars="177"/>
        <w:rPr>
          <w:rFonts w:ascii="宋体" w:hAnsi="宋体" w:cs="仿宋"/>
          <w:sz w:val="28"/>
          <w:szCs w:val="28"/>
        </w:rPr>
      </w:pPr>
    </w:p>
    <w:p w14:paraId="384484C7">
      <w:pPr>
        <w:snapToGrid w:val="0"/>
        <w:spacing w:line="420" w:lineRule="exact"/>
        <w:ind w:firstLine="660" w:firstLineChars="236"/>
        <w:rPr>
          <w:rFonts w:ascii="宋体" w:hAnsi="宋体" w:cs="仿宋"/>
          <w:sz w:val="28"/>
          <w:szCs w:val="28"/>
        </w:rPr>
      </w:pPr>
      <w:r>
        <w:rPr>
          <w:rFonts w:hint="eastAsia" w:ascii="宋体" w:hAnsi="宋体" w:cs="仿宋"/>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4AF1987">
      <w:pPr>
        <w:pStyle w:val="74"/>
        <w:rPr>
          <w:rFonts w:hAnsi="宋体"/>
        </w:rPr>
        <w:sectPr>
          <w:headerReference r:id="rId5" w:type="default"/>
          <w:pgSz w:w="11906" w:h="16838"/>
          <w:pgMar w:top="1134" w:right="1134" w:bottom="1134" w:left="1134" w:header="851" w:footer="992" w:gutter="0"/>
          <w:cols w:space="720" w:num="1"/>
          <w:docGrid w:type="linesAndChars" w:linePitch="312" w:charSpace="0"/>
        </w:sectPr>
      </w:pPr>
    </w:p>
    <w:p w14:paraId="36480A03">
      <w:pPr>
        <w:snapToGrid w:val="0"/>
        <w:spacing w:line="400" w:lineRule="exact"/>
        <w:contextualSpacing/>
        <w:rPr>
          <w:rFonts w:ascii="宋体" w:hAnsi="宋体" w:cs="宋体"/>
          <w:b/>
          <w:kern w:val="0"/>
          <w:sz w:val="28"/>
          <w:szCs w:val="28"/>
        </w:rPr>
      </w:pPr>
      <w:r>
        <w:rPr>
          <w:rFonts w:ascii="宋体" w:hAnsi="宋体"/>
          <w:sz w:val="32"/>
          <w:szCs w:val="32"/>
        </w:rPr>
        <w:t>附件</w:t>
      </w:r>
      <w:r>
        <w:rPr>
          <w:rFonts w:hint="eastAsia" w:ascii="宋体" w:hAnsi="宋体"/>
          <w:sz w:val="32"/>
          <w:szCs w:val="32"/>
        </w:rPr>
        <w:t>13</w:t>
      </w:r>
    </w:p>
    <w:p w14:paraId="40DC0884">
      <w:pPr>
        <w:jc w:val="center"/>
        <w:rPr>
          <w:rFonts w:ascii="宋体" w:hAnsi="宋体" w:cs="仿宋"/>
          <w:bCs/>
          <w:sz w:val="44"/>
          <w:szCs w:val="44"/>
        </w:rPr>
      </w:pPr>
      <w:r>
        <w:rPr>
          <w:rFonts w:hint="eastAsia" w:ascii="宋体" w:hAnsi="宋体" w:cs="仿宋"/>
          <w:bCs/>
          <w:sz w:val="44"/>
          <w:szCs w:val="44"/>
        </w:rPr>
        <w:t>质疑函范本</w:t>
      </w:r>
    </w:p>
    <w:p w14:paraId="7D466AFD">
      <w:pPr>
        <w:adjustRightInd w:val="0"/>
        <w:snapToGrid w:val="0"/>
        <w:spacing w:beforeLines="100" w:line="460" w:lineRule="exact"/>
        <w:rPr>
          <w:rFonts w:ascii="宋体" w:hAnsi="宋体" w:cs="仿宋"/>
          <w:bCs/>
          <w:sz w:val="28"/>
          <w:szCs w:val="28"/>
        </w:rPr>
      </w:pPr>
      <w:r>
        <w:rPr>
          <w:rFonts w:hint="eastAsia" w:ascii="宋体" w:hAnsi="宋体" w:cs="仿宋"/>
          <w:bCs/>
          <w:sz w:val="28"/>
          <w:szCs w:val="28"/>
        </w:rPr>
        <w:t>一、质疑供应商基本信息</w:t>
      </w:r>
    </w:p>
    <w:p w14:paraId="4AC2D50D">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质疑供应商：</w:t>
      </w:r>
    </w:p>
    <w:p w14:paraId="2903D902">
      <w:pPr>
        <w:adjustRightInd w:val="0"/>
        <w:snapToGrid w:val="0"/>
        <w:spacing w:line="460" w:lineRule="exact"/>
        <w:rPr>
          <w:rFonts w:ascii="宋体" w:hAnsi="宋体" w:cs="仿宋"/>
          <w:sz w:val="28"/>
          <w:szCs w:val="28"/>
        </w:rPr>
      </w:pPr>
      <w:r>
        <w:rPr>
          <w:rFonts w:hint="eastAsia" w:ascii="宋体" w:hAnsi="宋体" w:cs="仿宋"/>
          <w:sz w:val="28"/>
          <w:szCs w:val="28"/>
        </w:rPr>
        <w:t>地址：邮编：</w:t>
      </w:r>
    </w:p>
    <w:p w14:paraId="5770A520">
      <w:pPr>
        <w:adjustRightInd w:val="0"/>
        <w:snapToGrid w:val="0"/>
        <w:spacing w:line="460" w:lineRule="exact"/>
        <w:rPr>
          <w:rFonts w:ascii="宋体" w:hAnsi="宋体" w:cs="仿宋"/>
          <w:sz w:val="28"/>
          <w:szCs w:val="28"/>
        </w:rPr>
      </w:pPr>
      <w:r>
        <w:rPr>
          <w:rFonts w:hint="eastAsia" w:ascii="宋体" w:hAnsi="宋体" w:cs="仿宋"/>
          <w:sz w:val="28"/>
          <w:szCs w:val="28"/>
        </w:rPr>
        <w:t>联系人：联系电话：</w:t>
      </w:r>
    </w:p>
    <w:p w14:paraId="13E34E46">
      <w:pPr>
        <w:adjustRightInd w:val="0"/>
        <w:snapToGrid w:val="0"/>
        <w:spacing w:line="460" w:lineRule="exact"/>
        <w:rPr>
          <w:rFonts w:ascii="宋体" w:hAnsi="宋体" w:cs="仿宋"/>
          <w:sz w:val="28"/>
          <w:szCs w:val="28"/>
          <w:u w:val="dotted"/>
        </w:rPr>
      </w:pPr>
      <w:r>
        <w:rPr>
          <w:rFonts w:hint="eastAsia" w:ascii="宋体" w:hAnsi="宋体" w:cs="仿宋"/>
          <w:sz w:val="28"/>
          <w:szCs w:val="28"/>
        </w:rPr>
        <w:t>授权代表：</w:t>
      </w:r>
    </w:p>
    <w:p w14:paraId="26AEA875">
      <w:pPr>
        <w:adjustRightInd w:val="0"/>
        <w:snapToGrid w:val="0"/>
        <w:spacing w:line="460" w:lineRule="exact"/>
        <w:rPr>
          <w:rFonts w:ascii="宋体" w:hAnsi="宋体" w:cs="仿宋"/>
          <w:sz w:val="28"/>
          <w:szCs w:val="28"/>
        </w:rPr>
      </w:pPr>
      <w:r>
        <w:rPr>
          <w:rFonts w:hint="eastAsia" w:ascii="宋体" w:hAnsi="宋体" w:cs="仿宋"/>
          <w:sz w:val="28"/>
          <w:szCs w:val="28"/>
        </w:rPr>
        <w:t>联系电话：</w:t>
      </w:r>
    </w:p>
    <w:p w14:paraId="5ABDD167">
      <w:pPr>
        <w:adjustRightInd w:val="0"/>
        <w:snapToGrid w:val="0"/>
        <w:spacing w:line="460" w:lineRule="exact"/>
        <w:rPr>
          <w:rFonts w:ascii="宋体" w:hAnsi="宋体" w:cs="仿宋"/>
          <w:sz w:val="28"/>
          <w:szCs w:val="28"/>
        </w:rPr>
      </w:pPr>
      <w:r>
        <w:rPr>
          <w:rFonts w:hint="eastAsia" w:ascii="宋体" w:hAnsi="宋体" w:cs="仿宋"/>
          <w:sz w:val="28"/>
          <w:szCs w:val="28"/>
        </w:rPr>
        <w:t>地址：邮编：</w:t>
      </w:r>
    </w:p>
    <w:p w14:paraId="4AEA0E37">
      <w:pPr>
        <w:adjustRightInd w:val="0"/>
        <w:snapToGrid w:val="0"/>
        <w:spacing w:line="460" w:lineRule="exact"/>
        <w:rPr>
          <w:rFonts w:ascii="宋体" w:hAnsi="宋体" w:cs="仿宋"/>
          <w:bCs/>
          <w:sz w:val="28"/>
          <w:szCs w:val="28"/>
        </w:rPr>
      </w:pPr>
      <w:r>
        <w:rPr>
          <w:rFonts w:hint="eastAsia" w:ascii="宋体" w:hAnsi="宋体" w:cs="仿宋"/>
          <w:bCs/>
          <w:sz w:val="28"/>
          <w:szCs w:val="28"/>
        </w:rPr>
        <w:t>二、质疑项目基本情况</w:t>
      </w:r>
    </w:p>
    <w:p w14:paraId="3B5C9A12">
      <w:pPr>
        <w:adjustRightInd w:val="0"/>
        <w:snapToGrid w:val="0"/>
        <w:spacing w:line="460" w:lineRule="exact"/>
        <w:rPr>
          <w:rFonts w:ascii="宋体" w:hAnsi="宋体" w:cs="仿宋"/>
          <w:sz w:val="28"/>
          <w:szCs w:val="28"/>
        </w:rPr>
      </w:pPr>
      <w:r>
        <w:rPr>
          <w:rFonts w:hint="eastAsia" w:ascii="宋体" w:hAnsi="宋体" w:cs="仿宋"/>
          <w:sz w:val="28"/>
          <w:szCs w:val="28"/>
        </w:rPr>
        <w:t>质疑项目的名称：</w:t>
      </w:r>
    </w:p>
    <w:p w14:paraId="1A34D042">
      <w:pPr>
        <w:adjustRightInd w:val="0"/>
        <w:snapToGrid w:val="0"/>
        <w:spacing w:line="460" w:lineRule="exact"/>
        <w:rPr>
          <w:rFonts w:ascii="宋体" w:hAnsi="宋体" w:cs="仿宋"/>
          <w:sz w:val="28"/>
          <w:szCs w:val="28"/>
        </w:rPr>
      </w:pPr>
      <w:r>
        <w:rPr>
          <w:rFonts w:hint="eastAsia" w:ascii="宋体" w:hAnsi="宋体" w:cs="仿宋"/>
          <w:sz w:val="28"/>
          <w:szCs w:val="28"/>
        </w:rPr>
        <w:t>质疑项目的编号：包号：</w:t>
      </w:r>
    </w:p>
    <w:p w14:paraId="37B24FCE">
      <w:pPr>
        <w:adjustRightInd w:val="0"/>
        <w:snapToGrid w:val="0"/>
        <w:spacing w:line="460" w:lineRule="exact"/>
        <w:rPr>
          <w:rFonts w:ascii="宋体" w:hAnsi="宋体" w:cs="仿宋"/>
          <w:sz w:val="28"/>
          <w:szCs w:val="28"/>
          <w:u w:val="dotted"/>
        </w:rPr>
      </w:pPr>
      <w:r>
        <w:rPr>
          <w:rFonts w:hint="eastAsia" w:ascii="宋体" w:hAnsi="宋体" w:cs="仿宋"/>
          <w:sz w:val="28"/>
          <w:szCs w:val="28"/>
        </w:rPr>
        <w:t>招标人名称：</w:t>
      </w:r>
    </w:p>
    <w:p w14:paraId="3F5C1AF4">
      <w:pPr>
        <w:adjustRightInd w:val="0"/>
        <w:snapToGrid w:val="0"/>
        <w:spacing w:line="460" w:lineRule="exact"/>
        <w:rPr>
          <w:rFonts w:ascii="宋体" w:hAnsi="宋体" w:cs="仿宋"/>
          <w:sz w:val="28"/>
          <w:szCs w:val="28"/>
        </w:rPr>
      </w:pPr>
      <w:r>
        <w:rPr>
          <w:rFonts w:hint="eastAsia" w:ascii="宋体" w:hAnsi="宋体" w:cs="仿宋"/>
          <w:sz w:val="28"/>
          <w:szCs w:val="28"/>
        </w:rPr>
        <w:t>采购文件获取日期：</w:t>
      </w:r>
    </w:p>
    <w:p w14:paraId="779BEFB6">
      <w:pPr>
        <w:adjustRightInd w:val="0"/>
        <w:snapToGrid w:val="0"/>
        <w:spacing w:line="460" w:lineRule="exact"/>
        <w:rPr>
          <w:rFonts w:ascii="宋体" w:hAnsi="宋体" w:cs="仿宋"/>
          <w:bCs/>
          <w:sz w:val="28"/>
          <w:szCs w:val="28"/>
        </w:rPr>
      </w:pPr>
      <w:r>
        <w:rPr>
          <w:rFonts w:hint="eastAsia" w:ascii="宋体" w:hAnsi="宋体" w:cs="仿宋"/>
          <w:bCs/>
          <w:sz w:val="28"/>
          <w:szCs w:val="28"/>
        </w:rPr>
        <w:t>三、质疑事项具体内容</w:t>
      </w:r>
    </w:p>
    <w:p w14:paraId="1E87DFDA">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质疑事项1：</w:t>
      </w:r>
    </w:p>
    <w:p w14:paraId="1A2011B4">
      <w:pPr>
        <w:adjustRightInd w:val="0"/>
        <w:snapToGrid w:val="0"/>
        <w:spacing w:line="460" w:lineRule="exact"/>
        <w:rPr>
          <w:rFonts w:ascii="宋体" w:hAnsi="宋体" w:cs="仿宋"/>
          <w:sz w:val="28"/>
          <w:szCs w:val="28"/>
          <w:u w:val="dotted"/>
        </w:rPr>
      </w:pPr>
      <w:r>
        <w:rPr>
          <w:rFonts w:hint="eastAsia" w:ascii="宋体" w:hAnsi="宋体" w:cs="仿宋"/>
          <w:sz w:val="28"/>
          <w:szCs w:val="28"/>
        </w:rPr>
        <w:t>事实依据：</w:t>
      </w:r>
    </w:p>
    <w:p w14:paraId="7F13D948">
      <w:pPr>
        <w:adjustRightInd w:val="0"/>
        <w:snapToGrid w:val="0"/>
        <w:spacing w:line="460" w:lineRule="exact"/>
        <w:rPr>
          <w:rFonts w:ascii="宋体" w:hAnsi="宋体" w:cs="仿宋"/>
          <w:sz w:val="28"/>
          <w:szCs w:val="28"/>
        </w:rPr>
      </w:pPr>
    </w:p>
    <w:p w14:paraId="0D2D50A2">
      <w:pPr>
        <w:adjustRightInd w:val="0"/>
        <w:snapToGrid w:val="0"/>
        <w:spacing w:line="460" w:lineRule="exact"/>
        <w:rPr>
          <w:rFonts w:ascii="宋体" w:hAnsi="宋体" w:cs="仿宋"/>
          <w:sz w:val="28"/>
          <w:szCs w:val="28"/>
          <w:u w:val="dotted"/>
        </w:rPr>
      </w:pPr>
      <w:r>
        <w:rPr>
          <w:rFonts w:hint="eastAsia" w:ascii="宋体" w:hAnsi="宋体" w:cs="仿宋"/>
          <w:sz w:val="28"/>
          <w:szCs w:val="28"/>
        </w:rPr>
        <w:t>法律依据：</w:t>
      </w:r>
    </w:p>
    <w:p w14:paraId="09A350A3">
      <w:pPr>
        <w:adjustRightInd w:val="0"/>
        <w:snapToGrid w:val="0"/>
        <w:spacing w:line="460" w:lineRule="exact"/>
        <w:rPr>
          <w:rFonts w:ascii="宋体" w:hAnsi="宋体" w:cs="仿宋"/>
          <w:sz w:val="28"/>
          <w:szCs w:val="28"/>
          <w:u w:val="dotted"/>
        </w:rPr>
      </w:pPr>
    </w:p>
    <w:p w14:paraId="05B6EB69">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质疑事项2</w:t>
      </w:r>
    </w:p>
    <w:p w14:paraId="26D0677C">
      <w:pPr>
        <w:adjustRightInd w:val="0"/>
        <w:snapToGrid w:val="0"/>
        <w:spacing w:line="460" w:lineRule="exact"/>
        <w:rPr>
          <w:rFonts w:ascii="宋体" w:hAnsi="宋体" w:cs="仿宋"/>
          <w:sz w:val="28"/>
          <w:szCs w:val="28"/>
        </w:rPr>
      </w:pPr>
      <w:r>
        <w:rPr>
          <w:rFonts w:hint="eastAsia" w:ascii="宋体" w:hAnsi="宋体" w:cs="仿宋"/>
          <w:sz w:val="28"/>
          <w:szCs w:val="28"/>
        </w:rPr>
        <w:t>……</w:t>
      </w:r>
    </w:p>
    <w:p w14:paraId="12A6FFCE">
      <w:pPr>
        <w:adjustRightInd w:val="0"/>
        <w:snapToGrid w:val="0"/>
        <w:spacing w:line="460" w:lineRule="exact"/>
        <w:rPr>
          <w:rFonts w:ascii="宋体" w:hAnsi="宋体" w:cs="仿宋"/>
          <w:bCs/>
          <w:sz w:val="28"/>
          <w:szCs w:val="28"/>
        </w:rPr>
      </w:pPr>
      <w:r>
        <w:rPr>
          <w:rFonts w:hint="eastAsia" w:ascii="宋体" w:hAnsi="宋体" w:cs="仿宋"/>
          <w:bCs/>
          <w:sz w:val="28"/>
          <w:szCs w:val="28"/>
        </w:rPr>
        <w:t>四、与质疑事项相关的质疑请求</w:t>
      </w:r>
    </w:p>
    <w:p w14:paraId="7A7464D9">
      <w:pPr>
        <w:adjustRightInd w:val="0"/>
        <w:snapToGrid w:val="0"/>
        <w:spacing w:line="460" w:lineRule="exact"/>
        <w:rPr>
          <w:rFonts w:ascii="宋体" w:hAnsi="宋体" w:cs="仿宋"/>
          <w:sz w:val="28"/>
          <w:szCs w:val="28"/>
          <w:u w:val="dotted"/>
        </w:rPr>
      </w:pPr>
      <w:r>
        <w:rPr>
          <w:rFonts w:hint="eastAsia" w:ascii="宋体" w:hAnsi="宋体" w:cs="仿宋"/>
          <w:sz w:val="28"/>
          <w:szCs w:val="28"/>
        </w:rPr>
        <w:t>请求：</w:t>
      </w:r>
    </w:p>
    <w:p w14:paraId="73A3256D">
      <w:pPr>
        <w:spacing w:line="460" w:lineRule="exact"/>
        <w:rPr>
          <w:rFonts w:ascii="宋体" w:hAnsi="宋体"/>
          <w:sz w:val="28"/>
          <w:szCs w:val="28"/>
        </w:rPr>
      </w:pPr>
      <w:r>
        <w:rPr>
          <w:rFonts w:hint="eastAsia" w:ascii="宋体" w:hAnsi="宋体"/>
          <w:sz w:val="28"/>
          <w:szCs w:val="28"/>
        </w:rPr>
        <w:t xml:space="preserve">签字(签章)：                   公章：                      </w:t>
      </w:r>
    </w:p>
    <w:p w14:paraId="1B1ED997">
      <w:pPr>
        <w:spacing w:line="460" w:lineRule="exact"/>
        <w:rPr>
          <w:rFonts w:ascii="宋体" w:hAnsi="宋体"/>
          <w:sz w:val="28"/>
          <w:szCs w:val="28"/>
        </w:rPr>
      </w:pPr>
      <w:r>
        <w:rPr>
          <w:rFonts w:hint="eastAsia" w:ascii="宋体" w:hAnsi="宋体"/>
          <w:sz w:val="28"/>
          <w:szCs w:val="28"/>
        </w:rPr>
        <w:t xml:space="preserve">日期：    </w:t>
      </w:r>
    </w:p>
    <w:p w14:paraId="79A98580">
      <w:pPr>
        <w:adjustRightInd w:val="0"/>
        <w:snapToGrid w:val="0"/>
        <w:spacing w:line="360" w:lineRule="auto"/>
        <w:rPr>
          <w:rFonts w:ascii="宋体" w:hAnsi="宋体" w:cs="仿宋"/>
          <w:sz w:val="28"/>
          <w:szCs w:val="28"/>
        </w:rPr>
      </w:pPr>
    </w:p>
    <w:p w14:paraId="0E541123">
      <w:pPr>
        <w:rPr>
          <w:rFonts w:ascii="宋体" w:hAnsi="宋体"/>
          <w:b/>
          <w:sz w:val="28"/>
          <w:szCs w:val="28"/>
        </w:rPr>
      </w:pPr>
    </w:p>
    <w:p w14:paraId="15FFC0B3">
      <w:pPr>
        <w:rPr>
          <w:rFonts w:ascii="宋体" w:hAnsi="宋体"/>
          <w:b/>
          <w:sz w:val="28"/>
          <w:szCs w:val="28"/>
        </w:rPr>
      </w:pPr>
      <w:r>
        <w:rPr>
          <w:rFonts w:hint="eastAsia" w:ascii="宋体" w:hAnsi="宋体"/>
          <w:b/>
          <w:sz w:val="28"/>
          <w:szCs w:val="28"/>
        </w:rPr>
        <w:t>质疑函制作说明：</w:t>
      </w:r>
    </w:p>
    <w:p w14:paraId="500F94AA">
      <w:pPr>
        <w:widowControl/>
        <w:ind w:firstLine="560" w:firstLineChars="200"/>
        <w:jc w:val="left"/>
        <w:rPr>
          <w:rFonts w:ascii="宋体" w:hAnsi="宋体"/>
          <w:sz w:val="28"/>
          <w:szCs w:val="28"/>
        </w:rPr>
      </w:pPr>
      <w:r>
        <w:rPr>
          <w:rFonts w:hint="eastAsia" w:ascii="宋体" w:hAnsi="宋体"/>
          <w:sz w:val="28"/>
          <w:szCs w:val="28"/>
        </w:rPr>
        <w:t>1.供应商提出质疑时，应提交质疑函和必要的证明材料。</w:t>
      </w:r>
    </w:p>
    <w:p w14:paraId="3AB030D4">
      <w:pPr>
        <w:widowControl/>
        <w:ind w:firstLine="560" w:firstLineChars="200"/>
        <w:jc w:val="left"/>
        <w:rPr>
          <w:rFonts w:ascii="宋体" w:hAnsi="宋体"/>
          <w:sz w:val="28"/>
          <w:szCs w:val="28"/>
        </w:rPr>
      </w:pPr>
      <w:r>
        <w:rPr>
          <w:rFonts w:hint="eastAsia" w:ascii="宋体" w:hAnsi="宋体"/>
          <w:sz w:val="28"/>
          <w:szCs w:val="28"/>
        </w:rPr>
        <w:t>2.质疑供应商若委托代理人进行质疑的，质疑函应按要求列明“授权代表”的有关内容，并在附件中提交由质疑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14:paraId="2C2E56EC">
      <w:pPr>
        <w:widowControl/>
        <w:ind w:firstLine="560" w:firstLineChars="200"/>
        <w:jc w:val="left"/>
        <w:rPr>
          <w:rFonts w:ascii="宋体" w:hAnsi="宋体"/>
          <w:sz w:val="28"/>
          <w:szCs w:val="28"/>
        </w:rPr>
      </w:pPr>
      <w:r>
        <w:rPr>
          <w:rFonts w:hint="eastAsia" w:ascii="宋体" w:hAnsi="宋体"/>
          <w:sz w:val="28"/>
          <w:szCs w:val="28"/>
        </w:rPr>
        <w:t>3.质疑供应商若对项目的某一分包进行质疑，质疑函中应列明具体分包号。</w:t>
      </w:r>
    </w:p>
    <w:p w14:paraId="5C4985D6">
      <w:pPr>
        <w:widowControl/>
        <w:ind w:firstLine="560" w:firstLineChars="200"/>
        <w:jc w:val="left"/>
        <w:rPr>
          <w:rFonts w:ascii="宋体" w:hAnsi="宋体"/>
          <w:sz w:val="28"/>
          <w:szCs w:val="28"/>
        </w:rPr>
      </w:pPr>
      <w:r>
        <w:rPr>
          <w:rFonts w:hint="eastAsia" w:ascii="宋体" w:hAnsi="宋体"/>
          <w:sz w:val="28"/>
          <w:szCs w:val="28"/>
        </w:rPr>
        <w:t>4.质疑函的质疑事项应具体、明确，并有必要的事实依据和法律依据。</w:t>
      </w:r>
    </w:p>
    <w:p w14:paraId="58C05739">
      <w:pPr>
        <w:widowControl/>
        <w:ind w:firstLine="560" w:firstLineChars="200"/>
        <w:jc w:val="left"/>
        <w:rPr>
          <w:rFonts w:ascii="宋体" w:hAnsi="宋体"/>
          <w:sz w:val="28"/>
          <w:szCs w:val="28"/>
        </w:rPr>
      </w:pPr>
      <w:r>
        <w:rPr>
          <w:rFonts w:hint="eastAsia" w:ascii="宋体" w:hAnsi="宋体"/>
          <w:sz w:val="28"/>
          <w:szCs w:val="28"/>
        </w:rPr>
        <w:t>5.质疑函的质疑请求应与质疑事项相关。</w:t>
      </w:r>
    </w:p>
    <w:p w14:paraId="1805F55B">
      <w:pPr>
        <w:widowControl/>
        <w:ind w:firstLine="560" w:firstLineChars="200"/>
        <w:jc w:val="left"/>
        <w:rPr>
          <w:rFonts w:ascii="宋体" w:hAnsi="宋体"/>
          <w:sz w:val="28"/>
          <w:szCs w:val="28"/>
        </w:rPr>
      </w:pPr>
      <w:r>
        <w:rPr>
          <w:rFonts w:hint="eastAsia" w:ascii="宋体" w:hAnsi="宋体"/>
          <w:sz w:val="28"/>
          <w:szCs w:val="28"/>
        </w:rPr>
        <w:t>6.质疑供应商为自然人的，质疑函应由本人签字；质疑供应商为法人或者其他组织的，质疑函应由法定代表人、主要负责人，或者其授权代表签字或者盖章，并加盖公章。</w:t>
      </w:r>
    </w:p>
    <w:p w14:paraId="4D3738FC">
      <w:pPr>
        <w:pStyle w:val="2"/>
      </w:pPr>
    </w:p>
    <w:p w14:paraId="4F96404B"/>
    <w:p w14:paraId="5F58C05E">
      <w:pPr>
        <w:pStyle w:val="2"/>
      </w:pPr>
    </w:p>
    <w:p w14:paraId="3221794C"/>
    <w:p w14:paraId="45E244BD">
      <w:pPr>
        <w:pStyle w:val="2"/>
      </w:pPr>
    </w:p>
    <w:p w14:paraId="1502DAFA"/>
    <w:p w14:paraId="78B364FC">
      <w:pPr>
        <w:pStyle w:val="2"/>
      </w:pPr>
    </w:p>
    <w:p w14:paraId="0D4BD168"/>
    <w:p w14:paraId="6BE00CAD">
      <w:pPr>
        <w:pStyle w:val="2"/>
      </w:pPr>
    </w:p>
    <w:p w14:paraId="15360260"/>
    <w:p w14:paraId="328AF666">
      <w:pPr>
        <w:pStyle w:val="2"/>
      </w:pPr>
    </w:p>
    <w:p w14:paraId="608155B7"/>
    <w:p w14:paraId="220EAF4F">
      <w:pPr>
        <w:pStyle w:val="2"/>
      </w:pPr>
    </w:p>
    <w:p w14:paraId="0EDA0D1F"/>
    <w:p w14:paraId="0433DF58">
      <w:pPr>
        <w:snapToGrid w:val="0"/>
        <w:spacing w:line="400" w:lineRule="exact"/>
        <w:contextualSpacing/>
        <w:rPr>
          <w:rFonts w:ascii="宋体" w:hAnsi="宋体"/>
          <w:sz w:val="32"/>
          <w:szCs w:val="32"/>
        </w:rPr>
      </w:pPr>
    </w:p>
    <w:p w14:paraId="5655A1B9">
      <w:pPr>
        <w:spacing w:line="460" w:lineRule="exact"/>
        <w:rPr>
          <w:sz w:val="28"/>
          <w:szCs w:val="28"/>
        </w:rPr>
      </w:pPr>
    </w:p>
    <w:sectPr>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83BFD">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7E7CD">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6E75D">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73FA9D"/>
    <w:multiLevelType w:val="singleLevel"/>
    <w:tmpl w:val="EA73FA9D"/>
    <w:lvl w:ilvl="0" w:tentative="0">
      <w:start w:val="1"/>
      <w:numFmt w:val="decimal"/>
      <w:lvlText w:val="%1."/>
      <w:lvlJc w:val="left"/>
      <w:pPr>
        <w:tabs>
          <w:tab w:val="left" w:pos="312"/>
        </w:tabs>
      </w:pPr>
    </w:lvl>
  </w:abstractNum>
  <w:abstractNum w:abstractNumId="1">
    <w:nsid w:val="3E4510A2"/>
    <w:multiLevelType w:val="multilevel"/>
    <w:tmpl w:val="3E4510A2"/>
    <w:lvl w:ilvl="0" w:tentative="0">
      <w:start w:val="1"/>
      <w:numFmt w:val="decimal"/>
      <w:lvlText w:val="%1."/>
      <w:lvlJc w:val="left"/>
      <w:pPr>
        <w:ind w:left="205" w:hanging="322"/>
      </w:pPr>
      <w:rPr>
        <w:rFonts w:hint="default" w:ascii="仿宋" w:hAnsi="仿宋" w:eastAsia="仿宋"/>
        <w:spacing w:val="-46"/>
        <w:w w:val="99"/>
        <w:sz w:val="30"/>
        <w:szCs w:val="30"/>
      </w:rPr>
    </w:lvl>
    <w:lvl w:ilvl="1" w:tentative="0">
      <w:start w:val="0"/>
      <w:numFmt w:val="bullet"/>
      <w:lvlText w:val="•"/>
      <w:lvlJc w:val="left"/>
      <w:pPr>
        <w:ind w:left="1074" w:hanging="322"/>
      </w:pPr>
      <w:rPr>
        <w:rFonts w:hint="default"/>
      </w:rPr>
    </w:lvl>
    <w:lvl w:ilvl="2" w:tentative="0">
      <w:start w:val="0"/>
      <w:numFmt w:val="bullet"/>
      <w:lvlText w:val="•"/>
      <w:lvlJc w:val="left"/>
      <w:pPr>
        <w:ind w:left="1949" w:hanging="322"/>
      </w:pPr>
      <w:rPr>
        <w:rFonts w:hint="default"/>
      </w:rPr>
    </w:lvl>
    <w:lvl w:ilvl="3" w:tentative="0">
      <w:start w:val="0"/>
      <w:numFmt w:val="bullet"/>
      <w:lvlText w:val="•"/>
      <w:lvlJc w:val="left"/>
      <w:pPr>
        <w:ind w:left="2823" w:hanging="322"/>
      </w:pPr>
      <w:rPr>
        <w:rFonts w:hint="default"/>
      </w:rPr>
    </w:lvl>
    <w:lvl w:ilvl="4" w:tentative="0">
      <w:start w:val="0"/>
      <w:numFmt w:val="bullet"/>
      <w:lvlText w:val="•"/>
      <w:lvlJc w:val="left"/>
      <w:pPr>
        <w:ind w:left="3698" w:hanging="322"/>
      </w:pPr>
      <w:rPr>
        <w:rFonts w:hint="default"/>
      </w:rPr>
    </w:lvl>
    <w:lvl w:ilvl="5" w:tentative="0">
      <w:start w:val="0"/>
      <w:numFmt w:val="bullet"/>
      <w:lvlText w:val="•"/>
      <w:lvlJc w:val="left"/>
      <w:pPr>
        <w:ind w:left="4573" w:hanging="322"/>
      </w:pPr>
      <w:rPr>
        <w:rFonts w:hint="default"/>
      </w:rPr>
    </w:lvl>
    <w:lvl w:ilvl="6" w:tentative="0">
      <w:start w:val="0"/>
      <w:numFmt w:val="bullet"/>
      <w:lvlText w:val="•"/>
      <w:lvlJc w:val="left"/>
      <w:pPr>
        <w:ind w:left="5447" w:hanging="322"/>
      </w:pPr>
      <w:rPr>
        <w:rFonts w:hint="default"/>
      </w:rPr>
    </w:lvl>
    <w:lvl w:ilvl="7" w:tentative="0">
      <w:start w:val="0"/>
      <w:numFmt w:val="bullet"/>
      <w:lvlText w:val="•"/>
      <w:lvlJc w:val="left"/>
      <w:pPr>
        <w:ind w:left="6322" w:hanging="322"/>
      </w:pPr>
      <w:rPr>
        <w:rFonts w:hint="default"/>
      </w:rPr>
    </w:lvl>
    <w:lvl w:ilvl="8" w:tentative="0">
      <w:start w:val="0"/>
      <w:numFmt w:val="bullet"/>
      <w:lvlText w:val="•"/>
      <w:lvlJc w:val="left"/>
      <w:pPr>
        <w:ind w:left="7196" w:hanging="322"/>
      </w:pPr>
      <w:rPr>
        <w:rFonts w:hint="default"/>
      </w:rPr>
    </w:lvl>
  </w:abstractNum>
  <w:abstractNum w:abstractNumId="2">
    <w:nsid w:val="6DE82FB3"/>
    <w:multiLevelType w:val="multilevel"/>
    <w:tmpl w:val="6DE82FB3"/>
    <w:lvl w:ilvl="0" w:tentative="0">
      <w:start w:val="1"/>
      <w:numFmt w:val="decimal"/>
      <w:lvlText w:val="%1"/>
      <w:lvlJc w:val="left"/>
      <w:pPr>
        <w:tabs>
          <w:tab w:val="left" w:pos="284"/>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D0"/>
    <w:rsid w:val="0001723B"/>
    <w:rsid w:val="00021A1D"/>
    <w:rsid w:val="00023D1C"/>
    <w:rsid w:val="0003455F"/>
    <w:rsid w:val="0004632B"/>
    <w:rsid w:val="00046E24"/>
    <w:rsid w:val="00055F8C"/>
    <w:rsid w:val="00067B26"/>
    <w:rsid w:val="00072979"/>
    <w:rsid w:val="000A70CA"/>
    <w:rsid w:val="000A73AA"/>
    <w:rsid w:val="000B10AC"/>
    <w:rsid w:val="000C6259"/>
    <w:rsid w:val="000D6F13"/>
    <w:rsid w:val="000E7A73"/>
    <w:rsid w:val="0010119D"/>
    <w:rsid w:val="00116DB1"/>
    <w:rsid w:val="001265AA"/>
    <w:rsid w:val="00142580"/>
    <w:rsid w:val="0017488E"/>
    <w:rsid w:val="00174A84"/>
    <w:rsid w:val="00184784"/>
    <w:rsid w:val="001A2BE9"/>
    <w:rsid w:val="001A7D42"/>
    <w:rsid w:val="001B091D"/>
    <w:rsid w:val="001B44F3"/>
    <w:rsid w:val="001B74EB"/>
    <w:rsid w:val="001C3A94"/>
    <w:rsid w:val="001D64C7"/>
    <w:rsid w:val="001E1608"/>
    <w:rsid w:val="001E28D5"/>
    <w:rsid w:val="001E60BE"/>
    <w:rsid w:val="00242BAF"/>
    <w:rsid w:val="00275EBB"/>
    <w:rsid w:val="00277AE5"/>
    <w:rsid w:val="002913CD"/>
    <w:rsid w:val="002B0E60"/>
    <w:rsid w:val="002C198F"/>
    <w:rsid w:val="002C73DB"/>
    <w:rsid w:val="002E3F70"/>
    <w:rsid w:val="00320424"/>
    <w:rsid w:val="00332A55"/>
    <w:rsid w:val="00362597"/>
    <w:rsid w:val="003806B7"/>
    <w:rsid w:val="00381F29"/>
    <w:rsid w:val="003875F4"/>
    <w:rsid w:val="003910AE"/>
    <w:rsid w:val="00393292"/>
    <w:rsid w:val="003976A4"/>
    <w:rsid w:val="003E0BFC"/>
    <w:rsid w:val="003E0D69"/>
    <w:rsid w:val="003E2999"/>
    <w:rsid w:val="004059D0"/>
    <w:rsid w:val="00405BDB"/>
    <w:rsid w:val="004150E0"/>
    <w:rsid w:val="00423984"/>
    <w:rsid w:val="00441B20"/>
    <w:rsid w:val="00443FEA"/>
    <w:rsid w:val="004445A3"/>
    <w:rsid w:val="00450610"/>
    <w:rsid w:val="00457704"/>
    <w:rsid w:val="00457E29"/>
    <w:rsid w:val="004700F5"/>
    <w:rsid w:val="00470C3A"/>
    <w:rsid w:val="00473688"/>
    <w:rsid w:val="00494FC6"/>
    <w:rsid w:val="004B7B34"/>
    <w:rsid w:val="004C0DFE"/>
    <w:rsid w:val="004E6AA5"/>
    <w:rsid w:val="004F6B01"/>
    <w:rsid w:val="005126EE"/>
    <w:rsid w:val="00513FD4"/>
    <w:rsid w:val="0052286E"/>
    <w:rsid w:val="00523BB9"/>
    <w:rsid w:val="00536516"/>
    <w:rsid w:val="00540829"/>
    <w:rsid w:val="00546BC1"/>
    <w:rsid w:val="00547E11"/>
    <w:rsid w:val="00552E12"/>
    <w:rsid w:val="00572666"/>
    <w:rsid w:val="00572A4D"/>
    <w:rsid w:val="00577E5F"/>
    <w:rsid w:val="00577EFA"/>
    <w:rsid w:val="00582768"/>
    <w:rsid w:val="00591067"/>
    <w:rsid w:val="005922A7"/>
    <w:rsid w:val="005B2BF8"/>
    <w:rsid w:val="005C3508"/>
    <w:rsid w:val="005F245C"/>
    <w:rsid w:val="00601D36"/>
    <w:rsid w:val="00615122"/>
    <w:rsid w:val="006457DA"/>
    <w:rsid w:val="00691303"/>
    <w:rsid w:val="006A27BE"/>
    <w:rsid w:val="006C31C7"/>
    <w:rsid w:val="006C3B85"/>
    <w:rsid w:val="006C7A37"/>
    <w:rsid w:val="00702201"/>
    <w:rsid w:val="00707ACF"/>
    <w:rsid w:val="00713FA7"/>
    <w:rsid w:val="00715532"/>
    <w:rsid w:val="00730E4A"/>
    <w:rsid w:val="00765B9F"/>
    <w:rsid w:val="00767B24"/>
    <w:rsid w:val="007846B5"/>
    <w:rsid w:val="007924CC"/>
    <w:rsid w:val="007A42B9"/>
    <w:rsid w:val="007B2D25"/>
    <w:rsid w:val="007C48B4"/>
    <w:rsid w:val="007E5122"/>
    <w:rsid w:val="007F1078"/>
    <w:rsid w:val="00801953"/>
    <w:rsid w:val="0082100A"/>
    <w:rsid w:val="00827F57"/>
    <w:rsid w:val="00832A79"/>
    <w:rsid w:val="00861F8E"/>
    <w:rsid w:val="008A184C"/>
    <w:rsid w:val="008D0578"/>
    <w:rsid w:val="008D3514"/>
    <w:rsid w:val="008D3E8C"/>
    <w:rsid w:val="008D6C49"/>
    <w:rsid w:val="008F3683"/>
    <w:rsid w:val="00927ACA"/>
    <w:rsid w:val="00942E74"/>
    <w:rsid w:val="0094650E"/>
    <w:rsid w:val="00956206"/>
    <w:rsid w:val="00956B89"/>
    <w:rsid w:val="00982B34"/>
    <w:rsid w:val="00987592"/>
    <w:rsid w:val="009D3412"/>
    <w:rsid w:val="009E2C40"/>
    <w:rsid w:val="009F3919"/>
    <w:rsid w:val="009F4122"/>
    <w:rsid w:val="00A21F4A"/>
    <w:rsid w:val="00A44AF6"/>
    <w:rsid w:val="00A47263"/>
    <w:rsid w:val="00A51D30"/>
    <w:rsid w:val="00A53828"/>
    <w:rsid w:val="00A947F0"/>
    <w:rsid w:val="00AB4F7A"/>
    <w:rsid w:val="00AC3737"/>
    <w:rsid w:val="00AC40CB"/>
    <w:rsid w:val="00AE3CF2"/>
    <w:rsid w:val="00AF367B"/>
    <w:rsid w:val="00B11A02"/>
    <w:rsid w:val="00B149E7"/>
    <w:rsid w:val="00B23308"/>
    <w:rsid w:val="00B26E58"/>
    <w:rsid w:val="00B3695F"/>
    <w:rsid w:val="00B552AC"/>
    <w:rsid w:val="00B66353"/>
    <w:rsid w:val="00B77FFA"/>
    <w:rsid w:val="00B827EA"/>
    <w:rsid w:val="00BB470B"/>
    <w:rsid w:val="00BF195E"/>
    <w:rsid w:val="00C05B31"/>
    <w:rsid w:val="00C403A3"/>
    <w:rsid w:val="00C539B5"/>
    <w:rsid w:val="00C652B0"/>
    <w:rsid w:val="00C71F33"/>
    <w:rsid w:val="00C755A2"/>
    <w:rsid w:val="00CA62E3"/>
    <w:rsid w:val="00CC22E7"/>
    <w:rsid w:val="00CD6214"/>
    <w:rsid w:val="00CF2D8A"/>
    <w:rsid w:val="00D06688"/>
    <w:rsid w:val="00D32BA8"/>
    <w:rsid w:val="00D33C52"/>
    <w:rsid w:val="00D53DFF"/>
    <w:rsid w:val="00D70656"/>
    <w:rsid w:val="00D73098"/>
    <w:rsid w:val="00D75509"/>
    <w:rsid w:val="00DA7026"/>
    <w:rsid w:val="00DD4E7F"/>
    <w:rsid w:val="00E17D0A"/>
    <w:rsid w:val="00E17DA4"/>
    <w:rsid w:val="00E2091E"/>
    <w:rsid w:val="00E25B47"/>
    <w:rsid w:val="00E26EB6"/>
    <w:rsid w:val="00E31AE3"/>
    <w:rsid w:val="00E81809"/>
    <w:rsid w:val="00EE38B8"/>
    <w:rsid w:val="00EF3FF0"/>
    <w:rsid w:val="00EF4F79"/>
    <w:rsid w:val="00F043C3"/>
    <w:rsid w:val="00F42D17"/>
    <w:rsid w:val="00F56984"/>
    <w:rsid w:val="00F76323"/>
    <w:rsid w:val="00FA55AF"/>
    <w:rsid w:val="00FA798C"/>
    <w:rsid w:val="00FB1019"/>
    <w:rsid w:val="00FD5E6E"/>
    <w:rsid w:val="00FE0864"/>
    <w:rsid w:val="00FF28F7"/>
    <w:rsid w:val="00FF3497"/>
    <w:rsid w:val="025567EB"/>
    <w:rsid w:val="0D755B9A"/>
    <w:rsid w:val="0D780CCE"/>
    <w:rsid w:val="0E6D42A4"/>
    <w:rsid w:val="0F604D1B"/>
    <w:rsid w:val="134B5798"/>
    <w:rsid w:val="136A5F2F"/>
    <w:rsid w:val="14AB6873"/>
    <w:rsid w:val="157F0EBB"/>
    <w:rsid w:val="19B117EF"/>
    <w:rsid w:val="1EAC6A29"/>
    <w:rsid w:val="1ED10481"/>
    <w:rsid w:val="20E11063"/>
    <w:rsid w:val="24223249"/>
    <w:rsid w:val="24741D97"/>
    <w:rsid w:val="28C0401F"/>
    <w:rsid w:val="2ED438FE"/>
    <w:rsid w:val="3555351F"/>
    <w:rsid w:val="4A3A056B"/>
    <w:rsid w:val="4BFE0015"/>
    <w:rsid w:val="4CBB0392"/>
    <w:rsid w:val="563770D5"/>
    <w:rsid w:val="5B48305A"/>
    <w:rsid w:val="5D7616CD"/>
    <w:rsid w:val="64A57607"/>
    <w:rsid w:val="661A68A1"/>
    <w:rsid w:val="6A08286B"/>
    <w:rsid w:val="73886292"/>
    <w:rsid w:val="748F1CDA"/>
    <w:rsid w:val="7F217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50"/>
    <w:qFormat/>
    <w:uiPriority w:val="0"/>
    <w:pPr>
      <w:keepNext/>
      <w:keepLines/>
      <w:spacing w:before="260" w:after="260" w:line="416" w:lineRule="auto"/>
      <w:outlineLvl w:val="2"/>
    </w:pPr>
    <w:rPr>
      <w:b/>
      <w:bCs/>
      <w:kern w:val="0"/>
      <w:sz w:val="32"/>
      <w:szCs w:val="32"/>
    </w:rPr>
  </w:style>
  <w:style w:type="paragraph" w:styleId="2">
    <w:name w:val="heading 4"/>
    <w:basedOn w:val="1"/>
    <w:next w:val="1"/>
    <w:link w:val="47"/>
    <w:qFormat/>
    <w:uiPriority w:val="0"/>
    <w:pPr>
      <w:keepNext/>
      <w:jc w:val="center"/>
      <w:outlineLvl w:val="3"/>
    </w:pPr>
    <w:rPr>
      <w:rFonts w:eastAsia="新宋体"/>
      <w:kern w:val="0"/>
      <w:sz w:val="30"/>
      <w:szCs w:val="21"/>
    </w:rPr>
  </w:style>
  <w:style w:type="paragraph" w:styleId="6">
    <w:name w:val="heading 5"/>
    <w:basedOn w:val="1"/>
    <w:next w:val="1"/>
    <w:link w:val="51"/>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2"/>
    <w:qFormat/>
    <w:uiPriority w:val="0"/>
    <w:pPr>
      <w:keepNext/>
      <w:jc w:val="center"/>
      <w:outlineLvl w:val="5"/>
    </w:pPr>
    <w:rPr>
      <w:b/>
      <w:kern w:val="0"/>
      <w:sz w:val="44"/>
      <w:szCs w:val="20"/>
    </w:rPr>
  </w:style>
  <w:style w:type="paragraph" w:styleId="10">
    <w:name w:val="heading 7"/>
    <w:basedOn w:val="1"/>
    <w:next w:val="1"/>
    <w:link w:val="55"/>
    <w:qFormat/>
    <w:uiPriority w:val="0"/>
    <w:pPr>
      <w:keepNext/>
      <w:keepLines/>
      <w:spacing w:before="240" w:after="64" w:line="320" w:lineRule="auto"/>
      <w:outlineLvl w:val="6"/>
    </w:pPr>
    <w:rPr>
      <w:b/>
      <w:bCs/>
      <w:kern w:val="0"/>
      <w:sz w:val="24"/>
    </w:rPr>
  </w:style>
  <w:style w:type="paragraph" w:styleId="11">
    <w:name w:val="heading 8"/>
    <w:basedOn w:val="1"/>
    <w:next w:val="1"/>
    <w:link w:val="56"/>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7"/>
    <w:qFormat/>
    <w:uiPriority w:val="0"/>
    <w:pPr>
      <w:keepNext/>
      <w:keepLines/>
      <w:spacing w:before="240" w:after="64" w:line="320" w:lineRule="auto"/>
      <w:outlineLvl w:val="8"/>
    </w:pPr>
    <w:rPr>
      <w:rFonts w:ascii="Arial" w:hAnsi="Arial" w:eastAsia="黑体"/>
      <w:kern w:val="0"/>
      <w:sz w:val="24"/>
      <w:szCs w:val="21"/>
    </w:rPr>
  </w:style>
  <w:style w:type="character" w:default="1" w:styleId="41">
    <w:name w:val="Default Paragraph Font"/>
    <w:semiHidden/>
    <w:unhideWhenUsed/>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link w:val="53"/>
    <w:qFormat/>
    <w:uiPriority w:val="0"/>
    <w:pPr>
      <w:ind w:firstLine="420"/>
    </w:pPr>
    <w:rPr>
      <w:kern w:val="0"/>
      <w:sz w:val="20"/>
      <w:szCs w:val="20"/>
    </w:rPr>
  </w:style>
  <w:style w:type="paragraph" w:styleId="9">
    <w:name w:val="Plain Text"/>
    <w:basedOn w:val="1"/>
    <w:link w:val="54"/>
    <w:qFormat/>
    <w:uiPriority w:val="0"/>
    <w:rPr>
      <w:rFonts w:ascii="宋体" w:hAnsi="Courier New"/>
      <w:kern w:val="0"/>
      <w:sz w:val="20"/>
      <w:szCs w:val="21"/>
    </w:rPr>
  </w:style>
  <w:style w:type="paragraph" w:styleId="13">
    <w:name w:val="Note Heading"/>
    <w:basedOn w:val="1"/>
    <w:next w:val="1"/>
    <w:qFormat/>
    <w:uiPriority w:val="0"/>
    <w:rPr>
      <w:rFonts w:ascii="Verdana" w:hAnsi="Verdana"/>
      <w:szCs w:val="20"/>
    </w:rPr>
  </w:style>
  <w:style w:type="paragraph" w:styleId="14">
    <w:name w:val="Document Map"/>
    <w:basedOn w:val="1"/>
    <w:link w:val="58"/>
    <w:semiHidden/>
    <w:qFormat/>
    <w:uiPriority w:val="0"/>
    <w:pPr>
      <w:shd w:val="clear" w:color="auto" w:fill="000080"/>
    </w:pPr>
    <w:rPr>
      <w:kern w:val="0"/>
      <w:sz w:val="20"/>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59"/>
    <w:unhideWhenUsed/>
    <w:qFormat/>
    <w:uiPriority w:val="99"/>
    <w:pPr>
      <w:jc w:val="left"/>
    </w:pPr>
  </w:style>
  <w:style w:type="paragraph" w:styleId="17">
    <w:name w:val="Body Text 3"/>
    <w:basedOn w:val="1"/>
    <w:link w:val="60"/>
    <w:qFormat/>
    <w:uiPriority w:val="0"/>
    <w:pPr>
      <w:spacing w:after="120"/>
    </w:pPr>
    <w:rPr>
      <w:kern w:val="0"/>
      <w:sz w:val="16"/>
      <w:szCs w:val="16"/>
    </w:rPr>
  </w:style>
  <w:style w:type="paragraph" w:styleId="18">
    <w:name w:val="Body Text"/>
    <w:basedOn w:val="1"/>
    <w:next w:val="19"/>
    <w:link w:val="61"/>
    <w:qFormat/>
    <w:uiPriority w:val="0"/>
    <w:rPr>
      <w:rFonts w:ascii="仿宋_GB2312" w:eastAsia="仿宋_GB2312"/>
      <w:kern w:val="0"/>
      <w:sz w:val="24"/>
      <w:szCs w:val="20"/>
    </w:rPr>
  </w:style>
  <w:style w:type="paragraph" w:customStyle="1" w:styleId="19">
    <w:name w:val="Default"/>
    <w:next w:val="20"/>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styleId="20">
    <w:name w:val="Intense Quote"/>
    <w:next w:val="1"/>
    <w:qFormat/>
    <w:uiPriority w:val="0"/>
    <w:pPr>
      <w:widowControl w:val="0"/>
      <w:wordWrap w:val="0"/>
      <w:spacing w:before="360" w:after="360"/>
      <w:ind w:left="950" w:right="950"/>
      <w:jc w:val="center"/>
    </w:pPr>
    <w:rPr>
      <w:rFonts w:ascii="Times New Roman" w:hAnsi="Times New Roman" w:eastAsia="宋体" w:cs="Times New Roman"/>
      <w:i/>
      <w:kern w:val="2"/>
      <w:sz w:val="21"/>
      <w:szCs w:val="24"/>
      <w:lang w:val="en-US" w:eastAsia="zh-CN" w:bidi="ar-SA"/>
    </w:rPr>
  </w:style>
  <w:style w:type="paragraph" w:styleId="21">
    <w:name w:val="Body Text Indent"/>
    <w:basedOn w:val="1"/>
    <w:next w:val="22"/>
    <w:link w:val="62"/>
    <w:qFormat/>
    <w:uiPriority w:val="0"/>
    <w:pPr>
      <w:ind w:left="765"/>
    </w:pPr>
    <w:rPr>
      <w:rFonts w:ascii="仿宋_GB2312" w:eastAsia="仿宋_GB2312"/>
      <w:kern w:val="0"/>
      <w:sz w:val="28"/>
      <w:szCs w:val="20"/>
    </w:rPr>
  </w:style>
  <w:style w:type="paragraph" w:styleId="22">
    <w:name w:val="envelope return"/>
    <w:basedOn w:val="1"/>
    <w:unhideWhenUsed/>
    <w:qFormat/>
    <w:uiPriority w:val="99"/>
    <w:pPr>
      <w:snapToGrid w:val="0"/>
    </w:pPr>
    <w:rPr>
      <w:rFonts w:ascii="Arial" w:hAnsi="Arial"/>
    </w:rPr>
  </w:style>
  <w:style w:type="paragraph" w:styleId="23">
    <w:name w:val="List 2"/>
    <w:basedOn w:val="1"/>
    <w:unhideWhenUsed/>
    <w:qFormat/>
    <w:uiPriority w:val="0"/>
    <w:pPr>
      <w:ind w:left="100" w:leftChars="200" w:hanging="200" w:hangingChars="200"/>
      <w:contextualSpacing/>
    </w:pPr>
  </w:style>
  <w:style w:type="paragraph" w:styleId="24">
    <w:name w:val="index 4"/>
    <w:basedOn w:val="1"/>
    <w:next w:val="1"/>
    <w:unhideWhenUsed/>
    <w:qFormat/>
    <w:uiPriority w:val="99"/>
    <w:pPr>
      <w:ind w:left="600" w:leftChars="600"/>
    </w:pPr>
    <w:rPr>
      <w:rFonts w:ascii="Verdana" w:hAnsi="Verdana"/>
      <w:kern w:val="0"/>
      <w:sz w:val="24"/>
      <w:szCs w:val="20"/>
    </w:rPr>
  </w:style>
  <w:style w:type="paragraph" w:styleId="25">
    <w:name w:val="Date"/>
    <w:basedOn w:val="1"/>
    <w:next w:val="1"/>
    <w:link w:val="63"/>
    <w:qFormat/>
    <w:uiPriority w:val="0"/>
    <w:rPr>
      <w:kern w:val="0"/>
      <w:sz w:val="24"/>
      <w:szCs w:val="20"/>
    </w:rPr>
  </w:style>
  <w:style w:type="paragraph" w:styleId="26">
    <w:name w:val="Body Text Indent 2"/>
    <w:basedOn w:val="1"/>
    <w:link w:val="64"/>
    <w:qFormat/>
    <w:uiPriority w:val="0"/>
    <w:pPr>
      <w:spacing w:line="500" w:lineRule="exact"/>
      <w:ind w:firstLine="560" w:firstLineChars="200"/>
    </w:pPr>
    <w:rPr>
      <w:rFonts w:eastAsia="仿宋_GB2312"/>
      <w:kern w:val="0"/>
      <w:sz w:val="28"/>
      <w:szCs w:val="20"/>
    </w:rPr>
  </w:style>
  <w:style w:type="paragraph" w:styleId="27">
    <w:name w:val="Balloon Text"/>
    <w:basedOn w:val="1"/>
    <w:link w:val="65"/>
    <w:semiHidden/>
    <w:qFormat/>
    <w:uiPriority w:val="0"/>
    <w:rPr>
      <w:kern w:val="0"/>
      <w:sz w:val="18"/>
      <w:szCs w:val="18"/>
    </w:rPr>
  </w:style>
  <w:style w:type="paragraph" w:styleId="28">
    <w:name w:val="footer"/>
    <w:basedOn w:val="1"/>
    <w:link w:val="66"/>
    <w:qFormat/>
    <w:uiPriority w:val="0"/>
    <w:pPr>
      <w:tabs>
        <w:tab w:val="center" w:pos="4153"/>
        <w:tab w:val="right" w:pos="8306"/>
      </w:tabs>
      <w:snapToGrid w:val="0"/>
      <w:jc w:val="left"/>
    </w:pPr>
    <w:rPr>
      <w:kern w:val="0"/>
      <w:sz w:val="18"/>
      <w:szCs w:val="20"/>
    </w:rPr>
  </w:style>
  <w:style w:type="paragraph" w:styleId="29">
    <w:name w:val="header"/>
    <w:basedOn w:val="1"/>
    <w:link w:val="67"/>
    <w:qFormat/>
    <w:uiPriority w:val="0"/>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semiHidden/>
    <w:qFormat/>
    <w:uiPriority w:val="0"/>
    <w:rPr>
      <w:sz w:val="24"/>
    </w:rPr>
  </w:style>
  <w:style w:type="paragraph" w:styleId="31">
    <w:name w:val="List"/>
    <w:basedOn w:val="1"/>
    <w:qFormat/>
    <w:uiPriority w:val="0"/>
    <w:pPr>
      <w:ind w:left="200" w:hanging="200" w:hangingChars="200"/>
    </w:pPr>
  </w:style>
  <w:style w:type="paragraph" w:styleId="32">
    <w:name w:val="Body Text Indent 3"/>
    <w:basedOn w:val="1"/>
    <w:next w:val="15"/>
    <w:link w:val="68"/>
    <w:qFormat/>
    <w:uiPriority w:val="0"/>
    <w:pPr>
      <w:spacing w:after="120"/>
      <w:ind w:left="420" w:leftChars="200"/>
    </w:pPr>
    <w:rPr>
      <w:kern w:val="0"/>
      <w:sz w:val="16"/>
      <w:szCs w:val="16"/>
    </w:rPr>
  </w:style>
  <w:style w:type="paragraph" w:styleId="33">
    <w:name w:val="Body Text 2"/>
    <w:basedOn w:val="1"/>
    <w:link w:val="69"/>
    <w:qFormat/>
    <w:uiPriority w:val="0"/>
    <w:pPr>
      <w:snapToGrid w:val="0"/>
    </w:pPr>
    <w:rPr>
      <w:b/>
      <w:bCs/>
      <w:kern w:val="0"/>
      <w:sz w:val="18"/>
    </w:rPr>
  </w:style>
  <w:style w:type="paragraph" w:styleId="34">
    <w:name w:val="HTML Preformatted"/>
    <w:basedOn w:val="1"/>
    <w:link w:val="7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6">
    <w:name w:val="annotation subject"/>
    <w:basedOn w:val="16"/>
    <w:next w:val="16"/>
    <w:link w:val="71"/>
    <w:unhideWhenUsed/>
    <w:qFormat/>
    <w:uiPriority w:val="99"/>
    <w:rPr>
      <w:b/>
      <w:bCs/>
    </w:rPr>
  </w:style>
  <w:style w:type="paragraph" w:styleId="37">
    <w:name w:val="Body Text First Indent"/>
    <w:basedOn w:val="18"/>
    <w:next w:val="38"/>
    <w:link w:val="72"/>
    <w:qFormat/>
    <w:uiPriority w:val="0"/>
    <w:pPr>
      <w:spacing w:after="120"/>
      <w:ind w:firstLine="420" w:firstLineChars="100"/>
    </w:pPr>
    <w:rPr>
      <w:rFonts w:ascii="Times New Roman" w:eastAsia="宋体"/>
      <w:szCs w:val="24"/>
    </w:rPr>
  </w:style>
  <w:style w:type="paragraph" w:styleId="38">
    <w:name w:val="Body Text First Indent 2"/>
    <w:basedOn w:val="21"/>
    <w:next w:val="1"/>
    <w:unhideWhenUsed/>
    <w:qFormat/>
    <w:uiPriority w:val="99"/>
    <w:pPr>
      <w:ind w:firstLine="200" w:firstLineChars="200"/>
    </w:pPr>
  </w:style>
  <w:style w:type="table" w:styleId="40">
    <w:name w:val="Table Grid"/>
    <w:basedOn w:val="3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qFormat/>
    <w:uiPriority w:val="0"/>
  </w:style>
  <w:style w:type="character" w:styleId="44">
    <w:name w:val="Emphasis"/>
    <w:qFormat/>
    <w:uiPriority w:val="20"/>
  </w:style>
  <w:style w:type="character" w:styleId="45">
    <w:name w:val="Hyperlink"/>
    <w:qFormat/>
    <w:uiPriority w:val="0"/>
    <w:rPr>
      <w:color w:val="666666"/>
      <w:u w:val="none"/>
    </w:rPr>
  </w:style>
  <w:style w:type="character" w:styleId="46">
    <w:name w:val="annotation reference"/>
    <w:basedOn w:val="41"/>
    <w:unhideWhenUsed/>
    <w:qFormat/>
    <w:uiPriority w:val="99"/>
    <w:rPr>
      <w:sz w:val="21"/>
      <w:szCs w:val="21"/>
    </w:rPr>
  </w:style>
  <w:style w:type="character" w:customStyle="1" w:styleId="47">
    <w:name w:val="标题 4 Char"/>
    <w:link w:val="2"/>
    <w:qFormat/>
    <w:uiPriority w:val="0"/>
    <w:rPr>
      <w:rFonts w:ascii="Times New Roman" w:hAnsi="Times New Roman" w:eastAsia="新宋体" w:cs="Times New Roman"/>
      <w:sz w:val="30"/>
      <w:szCs w:val="21"/>
    </w:rPr>
  </w:style>
  <w:style w:type="character" w:customStyle="1" w:styleId="48">
    <w:name w:val="标题 1 Char"/>
    <w:link w:val="3"/>
    <w:qFormat/>
    <w:uiPriority w:val="0"/>
    <w:rPr>
      <w:rFonts w:ascii="Times New Roman" w:hAnsi="Times New Roman" w:eastAsia="宋体" w:cs="Times New Roman"/>
      <w:b/>
      <w:bCs/>
      <w:kern w:val="44"/>
      <w:sz w:val="44"/>
      <w:szCs w:val="44"/>
    </w:rPr>
  </w:style>
  <w:style w:type="character" w:customStyle="1" w:styleId="49">
    <w:name w:val="标题 2 Char"/>
    <w:link w:val="4"/>
    <w:qFormat/>
    <w:uiPriority w:val="0"/>
    <w:rPr>
      <w:rFonts w:ascii="Arial" w:hAnsi="Arial" w:eastAsia="黑体" w:cs="Times New Roman"/>
      <w:b/>
      <w:bCs/>
      <w:sz w:val="32"/>
      <w:szCs w:val="32"/>
    </w:rPr>
  </w:style>
  <w:style w:type="character" w:customStyle="1" w:styleId="50">
    <w:name w:val="标题 3 Char"/>
    <w:link w:val="5"/>
    <w:qFormat/>
    <w:uiPriority w:val="0"/>
    <w:rPr>
      <w:rFonts w:ascii="Times New Roman" w:hAnsi="Times New Roman" w:eastAsia="宋体" w:cs="Times New Roman"/>
      <w:b/>
      <w:bCs/>
      <w:sz w:val="32"/>
      <w:szCs w:val="32"/>
    </w:rPr>
  </w:style>
  <w:style w:type="character" w:customStyle="1" w:styleId="51">
    <w:name w:val="标题 5 Char"/>
    <w:link w:val="6"/>
    <w:qFormat/>
    <w:uiPriority w:val="0"/>
    <w:rPr>
      <w:rFonts w:ascii="Times New Roman" w:hAnsi="Times New Roman" w:eastAsia="宋体" w:cs="Times New Roman"/>
      <w:b/>
      <w:bCs/>
      <w:sz w:val="28"/>
      <w:szCs w:val="28"/>
    </w:rPr>
  </w:style>
  <w:style w:type="character" w:customStyle="1" w:styleId="52">
    <w:name w:val="标题 6 Char"/>
    <w:link w:val="7"/>
    <w:qFormat/>
    <w:uiPriority w:val="0"/>
    <w:rPr>
      <w:rFonts w:ascii="Times New Roman" w:hAnsi="Times New Roman" w:eastAsia="宋体" w:cs="Times New Roman"/>
      <w:b/>
      <w:sz w:val="44"/>
      <w:szCs w:val="20"/>
    </w:rPr>
  </w:style>
  <w:style w:type="character" w:customStyle="1" w:styleId="53">
    <w:name w:val="正文缩进 Char1"/>
    <w:link w:val="8"/>
    <w:qFormat/>
    <w:uiPriority w:val="0"/>
    <w:rPr>
      <w:rFonts w:ascii="Times New Roman" w:hAnsi="Times New Roman" w:eastAsia="宋体" w:cs="Times New Roman"/>
      <w:kern w:val="0"/>
      <w:sz w:val="20"/>
      <w:szCs w:val="20"/>
    </w:rPr>
  </w:style>
  <w:style w:type="character" w:customStyle="1" w:styleId="54">
    <w:name w:val="纯文本 Char1"/>
    <w:link w:val="9"/>
    <w:qFormat/>
    <w:uiPriority w:val="0"/>
    <w:rPr>
      <w:rFonts w:ascii="宋体" w:hAnsi="Courier New" w:eastAsia="宋体" w:cs="Courier New"/>
      <w:szCs w:val="21"/>
    </w:rPr>
  </w:style>
  <w:style w:type="character" w:customStyle="1" w:styleId="55">
    <w:name w:val="标题 7 Char"/>
    <w:link w:val="10"/>
    <w:qFormat/>
    <w:uiPriority w:val="0"/>
    <w:rPr>
      <w:rFonts w:ascii="Times New Roman" w:hAnsi="Times New Roman" w:eastAsia="宋体" w:cs="Times New Roman"/>
      <w:b/>
      <w:bCs/>
      <w:sz w:val="24"/>
      <w:szCs w:val="24"/>
    </w:rPr>
  </w:style>
  <w:style w:type="character" w:customStyle="1" w:styleId="56">
    <w:name w:val="标题 8 Char"/>
    <w:link w:val="11"/>
    <w:qFormat/>
    <w:uiPriority w:val="0"/>
    <w:rPr>
      <w:rFonts w:ascii="Arial" w:hAnsi="Arial" w:eastAsia="黑体" w:cs="Times New Roman"/>
      <w:sz w:val="24"/>
      <w:szCs w:val="24"/>
    </w:rPr>
  </w:style>
  <w:style w:type="character" w:customStyle="1" w:styleId="57">
    <w:name w:val="标题 9 Char"/>
    <w:link w:val="12"/>
    <w:qFormat/>
    <w:uiPriority w:val="0"/>
    <w:rPr>
      <w:rFonts w:ascii="Arial" w:hAnsi="Arial" w:eastAsia="黑体" w:cs="Times New Roman"/>
      <w:sz w:val="24"/>
      <w:szCs w:val="21"/>
    </w:rPr>
  </w:style>
  <w:style w:type="character" w:customStyle="1" w:styleId="58">
    <w:name w:val="文档结构图 Char"/>
    <w:link w:val="14"/>
    <w:semiHidden/>
    <w:qFormat/>
    <w:uiPriority w:val="0"/>
    <w:rPr>
      <w:szCs w:val="24"/>
      <w:shd w:val="clear" w:color="auto" w:fill="000080"/>
    </w:rPr>
  </w:style>
  <w:style w:type="character" w:customStyle="1" w:styleId="59">
    <w:name w:val="批注文字 Char"/>
    <w:basedOn w:val="41"/>
    <w:link w:val="16"/>
    <w:qFormat/>
    <w:uiPriority w:val="99"/>
    <w:rPr>
      <w:kern w:val="2"/>
      <w:sz w:val="21"/>
      <w:szCs w:val="24"/>
    </w:rPr>
  </w:style>
  <w:style w:type="character" w:customStyle="1" w:styleId="60">
    <w:name w:val="正文文本 3 Char"/>
    <w:link w:val="17"/>
    <w:qFormat/>
    <w:uiPriority w:val="0"/>
    <w:rPr>
      <w:rFonts w:ascii="Times New Roman" w:hAnsi="Times New Roman" w:eastAsia="宋体" w:cs="Times New Roman"/>
      <w:sz w:val="16"/>
      <w:szCs w:val="16"/>
    </w:rPr>
  </w:style>
  <w:style w:type="character" w:customStyle="1" w:styleId="61">
    <w:name w:val="正文文本 Char"/>
    <w:link w:val="18"/>
    <w:qFormat/>
    <w:uiPriority w:val="0"/>
    <w:rPr>
      <w:rFonts w:ascii="仿宋_GB2312" w:hAnsi="Times New Roman" w:eastAsia="仿宋_GB2312" w:cs="Times New Roman"/>
      <w:sz w:val="24"/>
      <w:szCs w:val="20"/>
    </w:rPr>
  </w:style>
  <w:style w:type="character" w:customStyle="1" w:styleId="62">
    <w:name w:val="正文文本缩进 Char"/>
    <w:link w:val="21"/>
    <w:qFormat/>
    <w:uiPriority w:val="0"/>
    <w:rPr>
      <w:rFonts w:ascii="仿宋_GB2312" w:hAnsi="Times New Roman" w:eastAsia="仿宋_GB2312" w:cs="Times New Roman"/>
      <w:sz w:val="28"/>
      <w:szCs w:val="20"/>
    </w:rPr>
  </w:style>
  <w:style w:type="character" w:customStyle="1" w:styleId="63">
    <w:name w:val="日期 Char"/>
    <w:link w:val="25"/>
    <w:qFormat/>
    <w:uiPriority w:val="0"/>
    <w:rPr>
      <w:rFonts w:ascii="Times New Roman" w:hAnsi="Times New Roman" w:eastAsia="宋体" w:cs="Times New Roman"/>
      <w:sz w:val="24"/>
      <w:szCs w:val="20"/>
    </w:rPr>
  </w:style>
  <w:style w:type="character" w:customStyle="1" w:styleId="64">
    <w:name w:val="正文文本缩进 2 Char"/>
    <w:link w:val="26"/>
    <w:qFormat/>
    <w:uiPriority w:val="0"/>
    <w:rPr>
      <w:rFonts w:ascii="Times New Roman" w:hAnsi="Times New Roman" w:eastAsia="仿宋_GB2312" w:cs="Times New Roman"/>
      <w:sz w:val="28"/>
      <w:szCs w:val="20"/>
    </w:rPr>
  </w:style>
  <w:style w:type="character" w:customStyle="1" w:styleId="65">
    <w:name w:val="批注框文本 Char"/>
    <w:link w:val="27"/>
    <w:semiHidden/>
    <w:uiPriority w:val="0"/>
    <w:rPr>
      <w:sz w:val="18"/>
      <w:szCs w:val="18"/>
    </w:rPr>
  </w:style>
  <w:style w:type="character" w:customStyle="1" w:styleId="66">
    <w:name w:val="页脚 Char"/>
    <w:link w:val="28"/>
    <w:qFormat/>
    <w:uiPriority w:val="0"/>
    <w:rPr>
      <w:rFonts w:ascii="Times New Roman" w:hAnsi="Times New Roman" w:eastAsia="宋体" w:cs="Times New Roman"/>
      <w:sz w:val="18"/>
      <w:szCs w:val="20"/>
    </w:rPr>
  </w:style>
  <w:style w:type="character" w:customStyle="1" w:styleId="67">
    <w:name w:val="页眉 Char"/>
    <w:link w:val="29"/>
    <w:qFormat/>
    <w:uiPriority w:val="0"/>
    <w:rPr>
      <w:rFonts w:ascii="Times New Roman" w:hAnsi="Times New Roman" w:eastAsia="宋体" w:cs="Times New Roman"/>
      <w:sz w:val="18"/>
      <w:szCs w:val="18"/>
    </w:rPr>
  </w:style>
  <w:style w:type="character" w:customStyle="1" w:styleId="68">
    <w:name w:val="正文文本缩进 3 Char"/>
    <w:link w:val="32"/>
    <w:qFormat/>
    <w:uiPriority w:val="0"/>
    <w:rPr>
      <w:rFonts w:ascii="Times New Roman" w:hAnsi="Times New Roman" w:eastAsia="宋体" w:cs="Times New Roman"/>
      <w:sz w:val="16"/>
      <w:szCs w:val="16"/>
    </w:rPr>
  </w:style>
  <w:style w:type="character" w:customStyle="1" w:styleId="69">
    <w:name w:val="正文文本 2 Char"/>
    <w:link w:val="33"/>
    <w:qFormat/>
    <w:uiPriority w:val="0"/>
    <w:rPr>
      <w:rFonts w:ascii="Times New Roman" w:hAnsi="Times New Roman" w:eastAsia="宋体" w:cs="Times New Roman"/>
      <w:b/>
      <w:bCs/>
      <w:sz w:val="18"/>
      <w:szCs w:val="24"/>
    </w:rPr>
  </w:style>
  <w:style w:type="character" w:customStyle="1" w:styleId="70">
    <w:name w:val="HTML 预设格式 Char"/>
    <w:basedOn w:val="41"/>
    <w:link w:val="34"/>
    <w:qFormat/>
    <w:uiPriority w:val="99"/>
    <w:rPr>
      <w:rFonts w:ascii="宋体" w:hAnsi="宋体" w:cs="宋体"/>
      <w:sz w:val="24"/>
      <w:szCs w:val="24"/>
    </w:rPr>
  </w:style>
  <w:style w:type="character" w:customStyle="1" w:styleId="71">
    <w:name w:val="批注主题 Char"/>
    <w:basedOn w:val="59"/>
    <w:link w:val="36"/>
    <w:qFormat/>
    <w:uiPriority w:val="0"/>
    <w:rPr>
      <w:kern w:val="2"/>
      <w:sz w:val="21"/>
      <w:szCs w:val="24"/>
    </w:rPr>
  </w:style>
  <w:style w:type="character" w:customStyle="1" w:styleId="72">
    <w:name w:val="正文首行缩进 Char"/>
    <w:link w:val="37"/>
    <w:qFormat/>
    <w:uiPriority w:val="0"/>
    <w:rPr>
      <w:rFonts w:ascii="Times New Roman" w:hAnsi="Times New Roman" w:eastAsia="宋体" w:cs="Times New Roman"/>
      <w:sz w:val="24"/>
      <w:szCs w:val="24"/>
    </w:rPr>
  </w:style>
  <w:style w:type="character" w:customStyle="1" w:styleId="73">
    <w:name w:val="访问过的超链接1"/>
    <w:qFormat/>
    <w:uiPriority w:val="0"/>
    <w:rPr>
      <w:color w:val="666666"/>
      <w:u w:val="none"/>
    </w:rPr>
  </w:style>
  <w:style w:type="paragraph" w:customStyle="1" w:styleId="74">
    <w:name w:val="style4"/>
    <w:basedOn w:val="1"/>
    <w:next w:val="75"/>
    <w:qFormat/>
    <w:uiPriority w:val="0"/>
    <w:pPr>
      <w:widowControl/>
      <w:spacing w:before="280" w:after="280"/>
    </w:pPr>
    <w:rPr>
      <w:rFonts w:ascii="宋体"/>
      <w:sz w:val="18"/>
    </w:rPr>
  </w:style>
  <w:style w:type="paragraph" w:customStyle="1" w:styleId="75">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6">
    <w:name w:val="列出段落1"/>
    <w:basedOn w:val="1"/>
    <w:qFormat/>
    <w:uiPriority w:val="34"/>
    <w:pPr>
      <w:widowControl/>
      <w:ind w:left="720"/>
      <w:contextualSpacing/>
      <w:jc w:val="left"/>
    </w:pPr>
    <w:rPr>
      <w:kern w:val="0"/>
      <w:sz w:val="24"/>
      <w:lang w:eastAsia="en-US" w:bidi="en-US"/>
    </w:rPr>
  </w:style>
  <w:style w:type="paragraph" w:customStyle="1" w:styleId="77">
    <w:name w:val="无间隔1"/>
    <w:qFormat/>
    <w:uiPriority w:val="0"/>
    <w:rPr>
      <w:rFonts w:ascii="Times New Roman" w:hAnsi="Times New Roman" w:eastAsia="宋体" w:cs="Calibri"/>
      <w:sz w:val="22"/>
      <w:lang w:val="en-US" w:eastAsia="zh-CN" w:bidi="ar-SA"/>
    </w:rPr>
  </w:style>
  <w:style w:type="paragraph" w:customStyle="1" w:styleId="78">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9">
    <w:name w:val="列出段落 Char"/>
    <w:link w:val="80"/>
    <w:qFormat/>
    <w:locked/>
    <w:uiPriority w:val="99"/>
  </w:style>
  <w:style w:type="paragraph" w:styleId="80">
    <w:name w:val="List Paragraph"/>
    <w:basedOn w:val="1"/>
    <w:link w:val="79"/>
    <w:qFormat/>
    <w:uiPriority w:val="34"/>
    <w:pPr>
      <w:ind w:firstLine="420" w:firstLineChars="200"/>
    </w:pPr>
    <w:rPr>
      <w:kern w:val="0"/>
      <w:sz w:val="20"/>
      <w:szCs w:val="20"/>
    </w:rPr>
  </w:style>
  <w:style w:type="character" w:customStyle="1" w:styleId="81">
    <w:name w:val="文档结构图 Char1"/>
    <w:semiHidden/>
    <w:qFormat/>
    <w:uiPriority w:val="99"/>
    <w:rPr>
      <w:rFonts w:ascii="宋体" w:hAnsi="Times New Roman" w:eastAsia="宋体" w:cs="Times New Roman"/>
      <w:sz w:val="18"/>
      <w:szCs w:val="18"/>
    </w:rPr>
  </w:style>
  <w:style w:type="character" w:customStyle="1" w:styleId="82">
    <w:name w:val="普通正文 Char"/>
    <w:link w:val="83"/>
    <w:qFormat/>
    <w:uiPriority w:val="0"/>
    <w:rPr>
      <w:rFonts w:ascii="Arial" w:hAnsi="Arial"/>
      <w:sz w:val="24"/>
      <w:szCs w:val="24"/>
    </w:rPr>
  </w:style>
  <w:style w:type="paragraph" w:customStyle="1" w:styleId="83">
    <w:name w:val="普通正文"/>
    <w:basedOn w:val="1"/>
    <w:link w:val="82"/>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4">
    <w:name w:val="FA正文 Char"/>
    <w:link w:val="85"/>
    <w:qFormat/>
    <w:uiPriority w:val="0"/>
    <w:rPr>
      <w:rFonts w:ascii="宋体" w:hAnsi="宋体" w:eastAsia="宋体" w:cs="Times New Roman"/>
      <w:sz w:val="28"/>
      <w:szCs w:val="28"/>
    </w:rPr>
  </w:style>
  <w:style w:type="paragraph" w:customStyle="1" w:styleId="85">
    <w:name w:val="FA正文"/>
    <w:basedOn w:val="1"/>
    <w:link w:val="84"/>
    <w:qFormat/>
    <w:uiPriority w:val="0"/>
    <w:pPr>
      <w:tabs>
        <w:tab w:val="left" w:pos="3375"/>
      </w:tabs>
      <w:spacing w:line="440" w:lineRule="atLeast"/>
      <w:ind w:firstLine="538" w:firstLineChars="192"/>
    </w:pPr>
    <w:rPr>
      <w:rFonts w:ascii="宋体" w:hAnsi="宋体"/>
      <w:kern w:val="0"/>
      <w:sz w:val="28"/>
      <w:szCs w:val="28"/>
    </w:rPr>
  </w:style>
  <w:style w:type="character" w:customStyle="1" w:styleId="86">
    <w:name w:val="正文缩进2格 Char"/>
    <w:link w:val="87"/>
    <w:qFormat/>
    <w:uiPriority w:val="0"/>
    <w:rPr>
      <w:rFonts w:ascii="仿宋_GB2312" w:hAnsi="宋体" w:eastAsia="仿宋_GB2312" w:cs="Times New Roman"/>
      <w:sz w:val="31"/>
      <w:szCs w:val="28"/>
    </w:rPr>
  </w:style>
  <w:style w:type="paragraph" w:customStyle="1" w:styleId="87">
    <w:name w:val="正文缩进2格"/>
    <w:basedOn w:val="1"/>
    <w:link w:val="86"/>
    <w:qFormat/>
    <w:uiPriority w:val="0"/>
    <w:pPr>
      <w:spacing w:line="600" w:lineRule="exact"/>
      <w:ind w:firstLine="639" w:firstLineChars="206"/>
    </w:pPr>
    <w:rPr>
      <w:rFonts w:ascii="仿宋_GB2312" w:hAnsi="宋体" w:eastAsia="仿宋_GB2312"/>
      <w:kern w:val="0"/>
      <w:sz w:val="31"/>
      <w:szCs w:val="28"/>
    </w:rPr>
  </w:style>
  <w:style w:type="character" w:customStyle="1" w:styleId="88">
    <w:name w:val="cn_text1"/>
    <w:qFormat/>
    <w:uiPriority w:val="0"/>
    <w:rPr>
      <w:rFonts w:hint="default" w:ascii="ˎ̥" w:hAnsi="ˎ̥"/>
      <w:color w:val="003399"/>
      <w:spacing w:val="15"/>
      <w:sz w:val="18"/>
      <w:szCs w:val="18"/>
    </w:rPr>
  </w:style>
  <w:style w:type="character" w:customStyle="1" w:styleId="89">
    <w:name w:val="ssss Char"/>
    <w:qFormat/>
    <w:uiPriority w:val="0"/>
    <w:rPr>
      <w:rFonts w:eastAsia="宋体"/>
      <w:kern w:val="2"/>
      <w:sz w:val="24"/>
      <w:szCs w:val="24"/>
      <w:lang w:val="en-US" w:eastAsia="zh-CN" w:bidi="ar-SA"/>
    </w:rPr>
  </w:style>
  <w:style w:type="character" w:customStyle="1" w:styleId="90">
    <w:name w:val="ssss Char1"/>
    <w:link w:val="91"/>
    <w:qFormat/>
    <w:uiPriority w:val="0"/>
    <w:rPr>
      <w:rFonts w:ascii="Times New Roman" w:hAnsi="Times New Roman" w:eastAsia="宋体" w:cs="Times New Roman"/>
      <w:sz w:val="24"/>
      <w:szCs w:val="24"/>
    </w:rPr>
  </w:style>
  <w:style w:type="paragraph" w:customStyle="1" w:styleId="91">
    <w:name w:val="ssss"/>
    <w:basedOn w:val="1"/>
    <w:link w:val="90"/>
    <w:qFormat/>
    <w:uiPriority w:val="0"/>
    <w:pPr>
      <w:spacing w:line="360" w:lineRule="auto"/>
      <w:ind w:firstLine="480" w:firstLineChars="200"/>
    </w:pPr>
    <w:rPr>
      <w:kern w:val="0"/>
      <w:sz w:val="24"/>
    </w:rPr>
  </w:style>
  <w:style w:type="character" w:customStyle="1" w:styleId="92">
    <w:name w:val="标题 4 Char1"/>
    <w:qFormat/>
    <w:uiPriority w:val="0"/>
    <w:rPr>
      <w:rFonts w:ascii="Arial" w:hAnsi="Arial" w:eastAsia="黑体"/>
      <w:b/>
      <w:bCs/>
      <w:kern w:val="2"/>
      <w:sz w:val="28"/>
      <w:szCs w:val="28"/>
      <w:lang w:val="en-US" w:eastAsia="zh-CN" w:bidi="ar-SA"/>
    </w:rPr>
  </w:style>
  <w:style w:type="character" w:customStyle="1" w:styleId="93">
    <w:name w:val="列表段落 字符"/>
    <w:qFormat/>
    <w:uiPriority w:val="34"/>
    <w:rPr>
      <w:rFonts w:ascii="Calibri" w:hAnsi="Calibri"/>
      <w:kern w:val="2"/>
      <w:sz w:val="21"/>
      <w:szCs w:val="22"/>
    </w:rPr>
  </w:style>
  <w:style w:type="character" w:customStyle="1" w:styleId="94">
    <w:name w:val="批注框文本 Char1"/>
    <w:semiHidden/>
    <w:qFormat/>
    <w:uiPriority w:val="99"/>
    <w:rPr>
      <w:rFonts w:ascii="Times New Roman" w:hAnsi="Times New Roman" w:eastAsia="宋体" w:cs="Times New Roman"/>
      <w:sz w:val="18"/>
      <w:szCs w:val="18"/>
    </w:rPr>
  </w:style>
  <w:style w:type="character" w:customStyle="1" w:styleId="95">
    <w:name w:val="样式 ssss + 宋体 五号1 Char"/>
    <w:link w:val="96"/>
    <w:qFormat/>
    <w:uiPriority w:val="0"/>
    <w:rPr>
      <w:rFonts w:ascii="宋体" w:hAnsi="宋体" w:eastAsia="宋体" w:cs="Times New Roman"/>
      <w:sz w:val="24"/>
      <w:szCs w:val="24"/>
    </w:rPr>
  </w:style>
  <w:style w:type="paragraph" w:customStyle="1" w:styleId="96">
    <w:name w:val="样式 ssss + 宋体 五号1"/>
    <w:basedOn w:val="91"/>
    <w:link w:val="95"/>
    <w:qFormat/>
    <w:uiPriority w:val="0"/>
    <w:rPr>
      <w:rFonts w:ascii="宋体" w:hAnsi="宋体"/>
    </w:rPr>
  </w:style>
  <w:style w:type="character" w:customStyle="1" w:styleId="97">
    <w:name w:val="point_normal1"/>
    <w:qFormat/>
    <w:uiPriority w:val="0"/>
    <w:rPr>
      <w:rFonts w:hint="default" w:ascii="Arial" w:hAnsi="Arial" w:cs="Arial"/>
      <w:sz w:val="16"/>
      <w:szCs w:val="16"/>
    </w:rPr>
  </w:style>
  <w:style w:type="paragraph" w:customStyle="1" w:styleId="98">
    <w:name w:val="样式 正文文本缩进 3 + 四号"/>
    <w:basedOn w:val="32"/>
    <w:qFormat/>
    <w:uiPriority w:val="0"/>
    <w:pPr>
      <w:spacing w:after="0" w:line="360" w:lineRule="auto"/>
      <w:ind w:left="0" w:leftChars="0" w:firstLine="437"/>
    </w:pPr>
    <w:rPr>
      <w:sz w:val="24"/>
      <w:szCs w:val="21"/>
    </w:rPr>
  </w:style>
  <w:style w:type="paragraph" w:customStyle="1" w:styleId="99">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01">
    <w:name w:val="Char Char Char Char"/>
    <w:basedOn w:val="1"/>
    <w:qFormat/>
    <w:uiPriority w:val="0"/>
    <w:rPr>
      <w:rFonts w:ascii="Tahoma" w:hAnsi="Tahoma"/>
      <w:sz w:val="24"/>
      <w:szCs w:val="20"/>
    </w:rPr>
  </w:style>
  <w:style w:type="paragraph" w:customStyle="1" w:styleId="102">
    <w:name w:val="Char Char Char Char Char Char Char Char Char Char Char Char Char"/>
    <w:basedOn w:val="1"/>
    <w:qFormat/>
    <w:uiPriority w:val="0"/>
  </w:style>
  <w:style w:type="paragraph" w:customStyle="1" w:styleId="103">
    <w:name w:val="表格正文"/>
    <w:basedOn w:val="1"/>
    <w:qFormat/>
    <w:uiPriority w:val="0"/>
    <w:pPr>
      <w:spacing w:line="360" w:lineRule="auto"/>
      <w:jc w:val="left"/>
    </w:pPr>
    <w:rPr>
      <w:rFonts w:ascii="Calibri" w:hAnsi="Calibri"/>
      <w:color w:val="000000"/>
      <w:szCs w:val="28"/>
    </w:rPr>
  </w:style>
  <w:style w:type="paragraph" w:customStyle="1" w:styleId="104">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5">
    <w:name w:val="Char Char Char Char1"/>
    <w:basedOn w:val="1"/>
    <w:qFormat/>
    <w:uiPriority w:val="0"/>
    <w:rPr>
      <w:rFonts w:ascii="Tahoma" w:hAnsi="Tahoma"/>
      <w:sz w:val="24"/>
      <w:szCs w:val="20"/>
    </w:rPr>
  </w:style>
  <w:style w:type="paragraph" w:customStyle="1" w:styleId="106">
    <w:name w:val="Char Char Char"/>
    <w:basedOn w:val="1"/>
    <w:qFormat/>
    <w:uiPriority w:val="0"/>
    <w:rPr>
      <w:rFonts w:ascii="Tahoma" w:hAnsi="Tahoma"/>
      <w:sz w:val="24"/>
      <w:szCs w:val="20"/>
    </w:rPr>
  </w:style>
  <w:style w:type="paragraph" w:customStyle="1" w:styleId="107">
    <w:name w:val="标题-----3"/>
    <w:basedOn w:val="5"/>
    <w:qFormat/>
    <w:uiPriority w:val="0"/>
    <w:pPr>
      <w:spacing w:before="0" w:after="0" w:line="240" w:lineRule="auto"/>
      <w:outlineLvl w:val="0"/>
    </w:pPr>
    <w:rPr>
      <w:rFonts w:ascii="宋体" w:hAnsi="宋体"/>
      <w:b w:val="0"/>
      <w:bCs w:val="0"/>
      <w:sz w:val="28"/>
      <w:szCs w:val="28"/>
    </w:rPr>
  </w:style>
  <w:style w:type="paragraph" w:customStyle="1" w:styleId="108">
    <w:name w:val="样式 ssss + 居中"/>
    <w:basedOn w:val="91"/>
    <w:qFormat/>
    <w:uiPriority w:val="0"/>
    <w:pPr>
      <w:jc w:val="center"/>
    </w:pPr>
    <w:rPr>
      <w:rFonts w:cs="宋体"/>
      <w:szCs w:val="20"/>
    </w:rPr>
  </w:style>
  <w:style w:type="paragraph" w:customStyle="1" w:styleId="109">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10">
    <w:name w:val="样式 样式 ssss + 宋体 五号 + 首行缩进:  2 字符"/>
    <w:basedOn w:val="111"/>
    <w:qFormat/>
    <w:uiPriority w:val="0"/>
    <w:pPr>
      <w:ind w:firstLine="480"/>
    </w:pPr>
  </w:style>
  <w:style w:type="paragraph" w:customStyle="1" w:styleId="111">
    <w:name w:val="样式 ssss + 宋体 五号"/>
    <w:basedOn w:val="91"/>
    <w:qFormat/>
    <w:uiPriority w:val="0"/>
    <w:pPr>
      <w:ind w:firstLine="420"/>
    </w:pPr>
    <w:rPr>
      <w:rFonts w:ascii="宋体" w:hAnsi="宋体" w:cs="宋体"/>
      <w:szCs w:val="20"/>
    </w:rPr>
  </w:style>
  <w:style w:type="paragraph" w:customStyle="1" w:styleId="112">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Char"/>
    <w:basedOn w:val="1"/>
    <w:qFormat/>
    <w:uiPriority w:val="0"/>
    <w:rPr>
      <w:rFonts w:ascii="Tahoma" w:hAnsi="Tahoma"/>
      <w:sz w:val="24"/>
      <w:szCs w:val="20"/>
    </w:rPr>
  </w:style>
  <w:style w:type="paragraph" w:customStyle="1" w:styleId="114">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5">
    <w:name w:val="标题------4"/>
    <w:basedOn w:val="2"/>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6">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Char Char Char Char Char Char Char Char Char Char Char Char Char1"/>
    <w:basedOn w:val="1"/>
    <w:qFormat/>
    <w:uiPriority w:val="0"/>
    <w:rPr>
      <w:sz w:val="24"/>
    </w:rPr>
  </w:style>
  <w:style w:type="paragraph" w:customStyle="1" w:styleId="118">
    <w:name w:val="表格"/>
    <w:basedOn w:val="1"/>
    <w:qFormat/>
    <w:uiPriority w:val="0"/>
    <w:rPr>
      <w:rFonts w:ascii="Arial" w:hAnsi="Arial"/>
      <w:sz w:val="24"/>
    </w:rPr>
  </w:style>
  <w:style w:type="paragraph" w:customStyle="1" w:styleId="119">
    <w:name w:val="正文样式1"/>
    <w:basedOn w:val="1"/>
    <w:qFormat/>
    <w:uiPriority w:val="0"/>
    <w:pPr>
      <w:spacing w:before="120" w:after="120" w:line="360" w:lineRule="auto"/>
      <w:ind w:firstLine="480" w:firstLineChars="200"/>
    </w:pPr>
    <w:rPr>
      <w:sz w:val="24"/>
      <w:szCs w:val="20"/>
    </w:rPr>
  </w:style>
  <w:style w:type="paragraph" w:customStyle="1" w:styleId="12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1">
    <w:name w:val="Char Char Char Char Char Char Char Char Char Char"/>
    <w:basedOn w:val="1"/>
    <w:qFormat/>
    <w:uiPriority w:val="0"/>
    <w:rPr>
      <w:rFonts w:ascii="Tahoma" w:hAnsi="Tahoma"/>
      <w:sz w:val="24"/>
      <w:szCs w:val="20"/>
    </w:rPr>
  </w:style>
  <w:style w:type="paragraph" w:customStyle="1" w:styleId="122">
    <w:name w:val="Char1"/>
    <w:basedOn w:val="1"/>
    <w:qFormat/>
    <w:uiPriority w:val="0"/>
    <w:pPr>
      <w:tabs>
        <w:tab w:val="left" w:pos="360"/>
      </w:tabs>
    </w:pPr>
    <w:rPr>
      <w:sz w:val="24"/>
    </w:rPr>
  </w:style>
  <w:style w:type="paragraph" w:customStyle="1" w:styleId="12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4">
    <w:name w:val="Header2"/>
    <w:basedOn w:val="1"/>
    <w:qFormat/>
    <w:uiPriority w:val="0"/>
    <w:pPr>
      <w:tabs>
        <w:tab w:val="left" w:pos="480"/>
      </w:tabs>
      <w:ind w:left="480" w:hanging="480"/>
    </w:pPr>
  </w:style>
  <w:style w:type="paragraph" w:customStyle="1" w:styleId="125">
    <w:name w:val="Char Char 字元 字元 字元 Char Char Char Char"/>
    <w:basedOn w:val="1"/>
    <w:qFormat/>
    <w:uiPriority w:val="0"/>
    <w:pPr>
      <w:adjustRightInd w:val="0"/>
      <w:spacing w:line="360" w:lineRule="auto"/>
    </w:pPr>
    <w:rPr>
      <w:kern w:val="0"/>
      <w:sz w:val="24"/>
      <w:szCs w:val="20"/>
    </w:rPr>
  </w:style>
  <w:style w:type="paragraph" w:customStyle="1" w:styleId="126">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9">
    <w:name w:val="网格型1"/>
    <w:basedOn w:val="39"/>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0">
    <w:name w:val="DAS正文"/>
    <w:basedOn w:val="1"/>
    <w:qFormat/>
    <w:uiPriority w:val="0"/>
    <w:pPr>
      <w:spacing w:line="360" w:lineRule="auto"/>
      <w:ind w:right="181" w:firstLine="480" w:firstLineChars="200"/>
    </w:pPr>
    <w:rPr>
      <w:rFonts w:ascii="Verdana" w:hAnsi="Verdana"/>
      <w:sz w:val="24"/>
      <w:szCs w:val="20"/>
    </w:rPr>
  </w:style>
  <w:style w:type="paragraph" w:customStyle="1" w:styleId="131">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2">
    <w:name w:val="标书的正文"/>
    <w:basedOn w:val="1"/>
    <w:qFormat/>
    <w:uiPriority w:val="0"/>
    <w:pPr>
      <w:spacing w:line="360" w:lineRule="auto"/>
      <w:ind w:firstLine="482"/>
      <w:jc w:val="left"/>
    </w:pPr>
    <w:rPr>
      <w:rFonts w:ascii="宋体" w:hAnsi="宋体"/>
      <w:kern w:val="3"/>
      <w:sz w:val="24"/>
      <w:szCs w:val="20"/>
    </w:rPr>
  </w:style>
  <w:style w:type="paragraph" w:customStyle="1" w:styleId="133">
    <w:name w:val="样式 标题 1 + 宋体 段前: 0 磅 段后: 0 磅 行距: 单倍行距"/>
    <w:basedOn w:val="134"/>
    <w:next w:val="1"/>
    <w:qFormat/>
    <w:uiPriority w:val="99"/>
    <w:pPr>
      <w:spacing w:beforeLines="100" w:afterLines="100"/>
    </w:pPr>
    <w:rPr>
      <w:rFonts w:ascii="仿宋_GB2312" w:hAnsi="宋体" w:cs="仿宋_GB2312"/>
    </w:rPr>
  </w:style>
  <w:style w:type="paragraph" w:customStyle="1" w:styleId="134">
    <w:name w:val="标题 11"/>
    <w:basedOn w:val="1"/>
    <w:qFormat/>
    <w:uiPriority w:val="0"/>
    <w:pPr>
      <w:keepNext/>
      <w:keepLines/>
      <w:spacing w:before="340" w:after="330" w:line="578" w:lineRule="auto"/>
      <w:outlineLvl w:val="0"/>
    </w:pPr>
    <w:rPr>
      <w:b/>
      <w:bCs/>
      <w:kern w:val="44"/>
      <w:sz w:val="44"/>
      <w:szCs w:val="44"/>
    </w:rPr>
  </w:style>
  <w:style w:type="paragraph" w:customStyle="1" w:styleId="135">
    <w:name w:val="正文文本1"/>
    <w:basedOn w:val="1"/>
    <w:qFormat/>
    <w:uiPriority w:val="0"/>
    <w:rPr>
      <w:rFonts w:ascii="仿宋_GB2312" w:eastAsia="仿宋_GB2312"/>
    </w:rPr>
  </w:style>
  <w:style w:type="paragraph" w:customStyle="1" w:styleId="136">
    <w:name w:val="纯文本1"/>
    <w:basedOn w:val="1"/>
    <w:qFormat/>
    <w:uiPriority w:val="0"/>
    <w:rPr>
      <w:rFonts w:hAnsi="Courier New"/>
      <w:sz w:val="20"/>
      <w:szCs w:val="21"/>
    </w:rPr>
  </w:style>
  <w:style w:type="paragraph" w:customStyle="1" w:styleId="137">
    <w:name w:val="正文格式"/>
    <w:basedOn w:val="1"/>
    <w:qFormat/>
    <w:uiPriority w:val="0"/>
    <w:pPr>
      <w:spacing w:line="400" w:lineRule="exact"/>
      <w:jc w:val="left"/>
    </w:pPr>
    <w:rPr>
      <w:rFonts w:ascii="仿宋" w:hAnsi="仿宋" w:eastAsia="仿宋"/>
      <w:color w:val="000000"/>
      <w:sz w:val="24"/>
    </w:rPr>
  </w:style>
  <w:style w:type="paragraph" w:customStyle="1" w:styleId="138">
    <w:name w:val="图例"/>
    <w:basedOn w:val="1"/>
    <w:qFormat/>
    <w:uiPriority w:val="0"/>
    <w:pPr>
      <w:spacing w:before="120" w:after="120" w:line="360" w:lineRule="auto"/>
      <w:jc w:val="center"/>
    </w:pPr>
    <w:rPr>
      <w:rFonts w:eastAsia="仿宋_GB2312"/>
      <w:b/>
      <w:sz w:val="24"/>
    </w:rPr>
  </w:style>
  <w:style w:type="paragraph" w:customStyle="1" w:styleId="139">
    <w:name w:val="Table Text"/>
    <w:basedOn w:val="1"/>
    <w:semiHidden/>
    <w:qFormat/>
    <w:uiPriority w:val="0"/>
    <w:rPr>
      <w:rFonts w:ascii="宋体" w:hAnsi="宋体" w:cs="宋体"/>
      <w:szCs w:val="21"/>
      <w:lang w:eastAsia="en-US"/>
    </w:rPr>
  </w:style>
  <w:style w:type="table" w:customStyle="1" w:styleId="140">
    <w:name w:val="Table Normal"/>
    <w:unhideWhenUsed/>
    <w:qFormat/>
    <w:uiPriority w:val="0"/>
    <w:tblPr>
      <w:tblCellMar>
        <w:top w:w="0" w:type="dxa"/>
        <w:left w:w="0" w:type="dxa"/>
        <w:bottom w:w="0" w:type="dxa"/>
        <w:right w:w="0" w:type="dxa"/>
      </w:tblCellMar>
    </w:tblPr>
  </w:style>
  <w:style w:type="character" w:customStyle="1" w:styleId="141">
    <w:name w:val="正文缩进 Char"/>
    <w:qFormat/>
    <w:uiPriority w:val="0"/>
    <w:rPr>
      <w:rFonts w:ascii="Times New Roman" w:hAnsi="Times New Roman" w:eastAsia="宋体" w:cs="Times New Roman"/>
      <w:kern w:val="0"/>
      <w:sz w:val="20"/>
      <w:szCs w:val="20"/>
    </w:rPr>
  </w:style>
  <w:style w:type="character" w:customStyle="1" w:styleId="142">
    <w:name w:val="纯文本 Char"/>
    <w:qFormat/>
    <w:uiPriority w:val="0"/>
    <w:rPr>
      <w:rFonts w:ascii="宋体" w:hAnsi="Courier New" w:eastAsia="宋体" w:cs="Courier New"/>
      <w:szCs w:val="21"/>
    </w:rPr>
  </w:style>
  <w:style w:type="table" w:customStyle="1" w:styleId="143">
    <w:name w:val="网格型2"/>
    <w:basedOn w:val="39"/>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4">
    <w:name w:val="网格型3"/>
    <w:basedOn w:val="3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5">
    <w:name w:val="font31"/>
    <w:basedOn w:val="41"/>
    <w:qFormat/>
    <w:uiPriority w:val="0"/>
    <w:rPr>
      <w:rFonts w:hint="eastAsia" w:ascii="宋体" w:hAnsi="宋体" w:eastAsia="宋体" w:cs="宋体"/>
      <w:color w:val="000000"/>
      <w:sz w:val="20"/>
      <w:szCs w:val="20"/>
      <w:u w:val="none"/>
    </w:rPr>
  </w:style>
  <w:style w:type="paragraph" w:customStyle="1" w:styleId="146">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315AB-2248-4AA6-B47E-9A8BF8A780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17872</Words>
  <Characters>19911</Characters>
  <Lines>209</Lines>
  <Paragraphs>58</Paragraphs>
  <TotalTime>150</TotalTime>
  <ScaleCrop>false</ScaleCrop>
  <LinksUpToDate>false</LinksUpToDate>
  <CharactersWithSpaces>20180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2025-07-23T03:12:00Z</dcterms:created>
  <dc:creator>jessie</dc:creator>
  <cp:lastModifiedBy>jessie</cp:lastModifiedBy>
  <cp:lastPrinted>2021-12-09T23:11:00Z</cp:lastPrinted>
  <dcterms:modified xsi:type="dcterms:W3CDTF">2025-08-12T07:46:54Z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1A9389728313406F9D933601C1698404_13</vt:lpwstr>
  </property>
  <property fmtid="{D5CDD505-2E9C-101B-9397-08002B2CF9AE}" pid="4" name="KSOTemplateDocerSaveRecord">
    <vt:lpwstr>eyJoZGlkIjoiMTY2YTExYjU4MWEzY2MzM2I4OTY2NWYxMWY5ZTNlMmIiLCJ1c2VySWQiOiI2Mzc4MTQzODgifQ==</vt:lpwstr>
  </property>
</Properties>
</file>