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13EA4">
      <w:pPr>
        <w:spacing w:line="360" w:lineRule="auto"/>
        <w:jc w:val="center"/>
        <w:rPr>
          <w:rFonts w:hint="eastAsia" w:ascii="宋体" w:hAnsi="宋体" w:eastAsia="宋体" w:cs="宋体"/>
          <w:b/>
          <w:color w:val="auto"/>
          <w:sz w:val="96"/>
          <w:szCs w:val="96"/>
          <w:lang w:eastAsia="zh-CN"/>
        </w:rPr>
      </w:pPr>
      <w:r>
        <w:rPr>
          <w:rFonts w:hint="eastAsia" w:ascii="宋体" w:hAnsi="宋体" w:cs="宋体"/>
          <w:b/>
          <w:bCs/>
          <w:color w:val="auto"/>
          <w:sz w:val="44"/>
          <w:szCs w:val="44"/>
          <w:lang w:eastAsia="zh-CN"/>
        </w:rPr>
        <w:t>江苏商贸职业学院工会 2025年度节日慰问品采购项目</w:t>
      </w:r>
    </w:p>
    <w:p w14:paraId="011A64DA">
      <w:pPr>
        <w:spacing w:line="360" w:lineRule="auto"/>
        <w:rPr>
          <w:rFonts w:ascii="宋体" w:hAnsi="宋体" w:cs="宋体"/>
          <w:b/>
          <w:color w:val="auto"/>
          <w:sz w:val="100"/>
          <w:szCs w:val="100"/>
        </w:rPr>
      </w:pPr>
    </w:p>
    <w:p w14:paraId="207FB788">
      <w:pPr>
        <w:spacing w:line="360" w:lineRule="auto"/>
        <w:jc w:val="center"/>
        <w:rPr>
          <w:rFonts w:ascii="宋体" w:hAnsi="宋体" w:cs="宋体"/>
          <w:b/>
          <w:color w:val="auto"/>
          <w:sz w:val="100"/>
          <w:szCs w:val="100"/>
        </w:rPr>
      </w:pPr>
      <w:r>
        <w:rPr>
          <w:rFonts w:hint="eastAsia" w:ascii="宋体" w:hAnsi="宋体" w:cs="宋体"/>
          <w:b/>
          <w:color w:val="auto"/>
          <w:sz w:val="100"/>
          <w:szCs w:val="100"/>
        </w:rPr>
        <w:t>磋商采购文件</w:t>
      </w:r>
    </w:p>
    <w:p w14:paraId="0630C221">
      <w:pPr>
        <w:keepNext/>
        <w:spacing w:line="360" w:lineRule="auto"/>
        <w:jc w:val="center"/>
        <w:rPr>
          <w:rFonts w:ascii="宋体" w:hAnsi="宋体" w:cs="宋体"/>
          <w:b/>
          <w:color w:val="auto"/>
          <w:kern w:val="0"/>
          <w:sz w:val="36"/>
          <w:szCs w:val="36"/>
        </w:rPr>
      </w:pPr>
    </w:p>
    <w:p w14:paraId="4B59084C">
      <w:pPr>
        <w:keepNext/>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采购文件编号：JSSYCG20251126068</w:t>
      </w:r>
    </w:p>
    <w:p w14:paraId="21B741FB">
      <w:pPr>
        <w:spacing w:line="360" w:lineRule="auto"/>
        <w:jc w:val="center"/>
        <w:rPr>
          <w:rFonts w:ascii="宋体" w:hAnsi="宋体" w:cs="宋体"/>
          <w:b/>
          <w:color w:val="auto"/>
          <w:sz w:val="36"/>
        </w:rPr>
      </w:pPr>
    </w:p>
    <w:p w14:paraId="4499F221">
      <w:pPr>
        <w:spacing w:line="360" w:lineRule="auto"/>
        <w:jc w:val="center"/>
        <w:rPr>
          <w:rFonts w:ascii="宋体" w:hAnsi="宋体" w:cs="宋体"/>
          <w:b/>
          <w:color w:val="auto"/>
          <w:sz w:val="36"/>
        </w:rPr>
      </w:pPr>
    </w:p>
    <w:p w14:paraId="3C79E76C">
      <w:pPr>
        <w:spacing w:line="360" w:lineRule="auto"/>
        <w:jc w:val="center"/>
        <w:rPr>
          <w:rFonts w:ascii="宋体" w:hAnsi="宋体" w:cs="宋体"/>
          <w:b/>
          <w:color w:val="auto"/>
          <w:sz w:val="36"/>
        </w:rPr>
      </w:pPr>
    </w:p>
    <w:p w14:paraId="3B3C191B">
      <w:pPr>
        <w:spacing w:line="360" w:lineRule="auto"/>
        <w:jc w:val="center"/>
        <w:rPr>
          <w:rFonts w:ascii="宋体" w:hAnsi="宋体" w:cs="宋体"/>
          <w:b/>
          <w:color w:val="auto"/>
          <w:sz w:val="36"/>
        </w:rPr>
      </w:pPr>
    </w:p>
    <w:p w14:paraId="6DC95481">
      <w:pPr>
        <w:spacing w:line="360" w:lineRule="auto"/>
        <w:jc w:val="center"/>
        <w:rPr>
          <w:rFonts w:ascii="宋体" w:hAnsi="宋体" w:cs="宋体"/>
          <w:b/>
          <w:color w:val="auto"/>
          <w:sz w:val="36"/>
        </w:rPr>
      </w:pPr>
    </w:p>
    <w:p w14:paraId="2BF8F9A5">
      <w:pPr>
        <w:adjustRightInd w:val="0"/>
        <w:spacing w:before="120" w:after="120" w:line="360" w:lineRule="auto"/>
        <w:ind w:right="120"/>
        <w:textAlignment w:val="baseline"/>
        <w:rPr>
          <w:rFonts w:ascii="宋体" w:hAnsi="宋体" w:cs="宋体"/>
          <w:b/>
          <w:color w:val="auto"/>
          <w:spacing w:val="20"/>
          <w:sz w:val="32"/>
          <w:szCs w:val="32"/>
        </w:rPr>
      </w:pPr>
    </w:p>
    <w:p w14:paraId="324ADE5D">
      <w:pPr>
        <w:adjustRightInd w:val="0"/>
        <w:spacing w:before="120" w:after="120" w:line="360" w:lineRule="auto"/>
        <w:ind w:left="-2" w:right="120"/>
        <w:jc w:val="center"/>
        <w:textAlignment w:val="baseline"/>
        <w:rPr>
          <w:rFonts w:ascii="宋体" w:hAnsi="宋体" w:cs="宋体"/>
          <w:b/>
          <w:color w:val="auto"/>
          <w:spacing w:val="20"/>
          <w:sz w:val="32"/>
          <w:szCs w:val="32"/>
        </w:rPr>
      </w:pPr>
    </w:p>
    <w:p w14:paraId="7F35BED3">
      <w:pPr>
        <w:adjustRightInd w:val="0"/>
        <w:spacing w:before="120" w:after="120" w:line="360" w:lineRule="auto"/>
        <w:ind w:left="-2" w:right="120"/>
        <w:jc w:val="center"/>
        <w:textAlignment w:val="baseline"/>
        <w:rPr>
          <w:rFonts w:ascii="宋体" w:hAnsi="宋体" w:cs="宋体"/>
          <w:b/>
          <w:color w:val="auto"/>
          <w:spacing w:val="20"/>
          <w:sz w:val="32"/>
          <w:szCs w:val="32"/>
        </w:rPr>
      </w:pPr>
    </w:p>
    <w:p w14:paraId="3C4FF459">
      <w:pPr>
        <w:adjustRightInd w:val="0"/>
        <w:spacing w:before="120" w:after="120" w:line="360" w:lineRule="auto"/>
        <w:ind w:left="-2" w:right="120"/>
        <w:jc w:val="center"/>
        <w:textAlignment w:val="baseline"/>
        <w:rPr>
          <w:rFonts w:hint="eastAsia" w:ascii="宋体" w:hAnsi="宋体" w:cs="宋体"/>
          <w:b/>
          <w:bCs/>
          <w:color w:val="auto"/>
          <w:kern w:val="0"/>
          <w:sz w:val="32"/>
          <w:szCs w:val="32"/>
        </w:rPr>
      </w:pPr>
    </w:p>
    <w:p w14:paraId="6E36FB70">
      <w:pPr>
        <w:adjustRightInd w:val="0"/>
        <w:spacing w:before="120" w:after="120" w:line="360" w:lineRule="auto"/>
        <w:ind w:left="-2" w:right="120"/>
        <w:jc w:val="center"/>
        <w:textAlignment w:val="baseline"/>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lang w:eastAsia="zh-CN"/>
        </w:rPr>
        <w:t>江苏商贸职业学院</w:t>
      </w:r>
    </w:p>
    <w:p w14:paraId="2E6DA2DB">
      <w:pPr>
        <w:adjustRightInd w:val="0"/>
        <w:spacing w:before="120" w:after="120" w:line="360" w:lineRule="auto"/>
        <w:ind w:left="-2" w:right="120"/>
        <w:jc w:val="center"/>
        <w:textAlignment w:val="baseline"/>
        <w:rPr>
          <w:rFonts w:hint="eastAsia" w:ascii="宋体" w:hAnsi="宋体" w:cs="宋体"/>
          <w:color w:val="auto"/>
          <w:sz w:val="44"/>
          <w:szCs w:val="44"/>
          <w:lang w:val="zh-CN"/>
        </w:rPr>
      </w:pPr>
      <w:r>
        <w:rPr>
          <w:rFonts w:hint="eastAsia" w:ascii="宋体" w:hAnsi="宋体" w:cs="宋体"/>
          <w:b/>
          <w:bCs/>
          <w:color w:val="auto"/>
          <w:kern w:val="0"/>
          <w:sz w:val="32"/>
          <w:szCs w:val="32"/>
        </w:rPr>
        <w:t>2025年</w:t>
      </w:r>
      <w:r>
        <w:rPr>
          <w:rFonts w:hint="eastAsia" w:ascii="宋体" w:hAnsi="宋体" w:cs="宋体"/>
          <w:b/>
          <w:bCs/>
          <w:color w:val="auto"/>
          <w:kern w:val="0"/>
          <w:sz w:val="32"/>
          <w:szCs w:val="32"/>
          <w:lang w:val="en-US" w:eastAsia="zh-CN"/>
        </w:rPr>
        <w:t>11</w:t>
      </w:r>
      <w:r>
        <w:rPr>
          <w:rFonts w:hint="eastAsia" w:ascii="宋体" w:hAnsi="宋体" w:cs="宋体"/>
          <w:b/>
          <w:bCs/>
          <w:color w:val="auto"/>
          <w:kern w:val="0"/>
          <w:sz w:val="32"/>
          <w:szCs w:val="32"/>
        </w:rPr>
        <w:t>月</w:t>
      </w:r>
    </w:p>
    <w:p w14:paraId="31E1275B">
      <w:pPr>
        <w:adjustRightInd w:val="0"/>
        <w:snapToGrid w:val="0"/>
        <w:spacing w:line="360" w:lineRule="auto"/>
        <w:ind w:left="-158" w:leftChars="-75"/>
        <w:jc w:val="center"/>
        <w:rPr>
          <w:rFonts w:ascii="宋体" w:hAnsi="宋体" w:cs="宋体"/>
          <w:color w:val="auto"/>
          <w:sz w:val="44"/>
          <w:szCs w:val="44"/>
          <w:lang w:val="zh-CN"/>
        </w:rPr>
      </w:pPr>
      <w:r>
        <w:rPr>
          <w:rFonts w:hint="eastAsia" w:ascii="宋体" w:hAnsi="宋体" w:cs="宋体"/>
          <w:color w:val="auto"/>
          <w:sz w:val="44"/>
          <w:szCs w:val="44"/>
          <w:lang w:val="zh-CN"/>
        </w:rPr>
        <w:br w:type="page"/>
      </w:r>
      <w:r>
        <w:rPr>
          <w:rFonts w:hint="eastAsia" w:ascii="宋体" w:hAnsi="宋体" w:cs="宋体"/>
          <w:color w:val="auto"/>
          <w:sz w:val="44"/>
          <w:szCs w:val="44"/>
          <w:lang w:val="zh-CN"/>
        </w:rPr>
        <w:t xml:space="preserve">目 </w:t>
      </w:r>
      <w:r>
        <w:rPr>
          <w:rFonts w:hint="eastAsia" w:ascii="宋体" w:hAnsi="宋体" w:cs="宋体"/>
          <w:color w:val="auto"/>
          <w:sz w:val="44"/>
          <w:szCs w:val="44"/>
        </w:rPr>
        <w:t xml:space="preserve">  </w:t>
      </w:r>
      <w:r>
        <w:rPr>
          <w:rFonts w:hint="eastAsia" w:ascii="宋体" w:hAnsi="宋体" w:cs="宋体"/>
          <w:color w:val="auto"/>
          <w:sz w:val="44"/>
          <w:szCs w:val="44"/>
          <w:lang w:val="zh-CN"/>
        </w:rPr>
        <w:t>录</w:t>
      </w:r>
    </w:p>
    <w:p w14:paraId="0C2729FA">
      <w:pPr>
        <w:autoSpaceDE w:val="0"/>
        <w:autoSpaceDN w:val="0"/>
        <w:adjustRightInd w:val="0"/>
        <w:snapToGrid w:val="0"/>
        <w:spacing w:line="1000" w:lineRule="exact"/>
        <w:ind w:firstLine="556"/>
        <w:rPr>
          <w:rFonts w:ascii="宋体" w:hAnsi="宋体" w:cs="宋体"/>
          <w:color w:val="auto"/>
          <w:sz w:val="32"/>
          <w:szCs w:val="32"/>
        </w:rPr>
      </w:pPr>
      <w:r>
        <w:rPr>
          <w:rFonts w:hint="eastAsia" w:ascii="宋体" w:hAnsi="宋体" w:cs="宋体"/>
          <w:color w:val="auto"/>
          <w:sz w:val="32"/>
          <w:szCs w:val="32"/>
        </w:rPr>
        <w:t>第一部分  磋商公告</w:t>
      </w:r>
    </w:p>
    <w:p w14:paraId="1B364C85">
      <w:pPr>
        <w:autoSpaceDE w:val="0"/>
        <w:autoSpaceDN w:val="0"/>
        <w:adjustRightInd w:val="0"/>
        <w:snapToGrid w:val="0"/>
        <w:spacing w:line="1000" w:lineRule="exact"/>
        <w:ind w:firstLine="556"/>
        <w:rPr>
          <w:rFonts w:ascii="宋体" w:hAnsi="宋体" w:cs="宋体"/>
          <w:color w:val="auto"/>
          <w:sz w:val="32"/>
          <w:szCs w:val="32"/>
        </w:rPr>
      </w:pPr>
      <w:r>
        <w:rPr>
          <w:rFonts w:hint="eastAsia" w:ascii="宋体" w:hAnsi="宋体" w:cs="宋体"/>
          <w:color w:val="auto"/>
          <w:sz w:val="32"/>
          <w:szCs w:val="32"/>
        </w:rPr>
        <w:t>第二部分  磋商须知</w:t>
      </w:r>
    </w:p>
    <w:p w14:paraId="7A1A4CF0">
      <w:pPr>
        <w:autoSpaceDE w:val="0"/>
        <w:autoSpaceDN w:val="0"/>
        <w:adjustRightInd w:val="0"/>
        <w:snapToGrid w:val="0"/>
        <w:spacing w:line="1000" w:lineRule="exact"/>
        <w:ind w:firstLine="537"/>
        <w:rPr>
          <w:rFonts w:ascii="宋体" w:hAnsi="宋体" w:cs="宋体"/>
          <w:color w:val="auto"/>
          <w:sz w:val="32"/>
          <w:szCs w:val="32"/>
        </w:rPr>
      </w:pPr>
      <w:r>
        <w:rPr>
          <w:rFonts w:hint="eastAsia" w:ascii="宋体" w:hAnsi="宋体" w:cs="宋体"/>
          <w:color w:val="auto"/>
          <w:sz w:val="32"/>
          <w:szCs w:val="32"/>
        </w:rPr>
        <w:t>第三部分  项目需求</w:t>
      </w:r>
    </w:p>
    <w:p w14:paraId="2690AAB0">
      <w:pPr>
        <w:autoSpaceDE w:val="0"/>
        <w:autoSpaceDN w:val="0"/>
        <w:adjustRightInd w:val="0"/>
        <w:snapToGrid w:val="0"/>
        <w:spacing w:line="1000" w:lineRule="exact"/>
        <w:ind w:firstLine="537"/>
        <w:rPr>
          <w:rFonts w:ascii="宋体" w:hAnsi="宋体" w:cs="宋体"/>
          <w:color w:val="auto"/>
          <w:sz w:val="32"/>
          <w:szCs w:val="32"/>
        </w:rPr>
      </w:pPr>
      <w:r>
        <w:rPr>
          <w:rFonts w:hint="eastAsia" w:ascii="宋体" w:hAnsi="宋体" w:cs="宋体"/>
          <w:color w:val="auto"/>
          <w:sz w:val="32"/>
          <w:szCs w:val="32"/>
        </w:rPr>
        <w:t>第四部分  评审方法和评审标准</w:t>
      </w:r>
    </w:p>
    <w:p w14:paraId="1C4F035E">
      <w:pPr>
        <w:autoSpaceDE w:val="0"/>
        <w:autoSpaceDN w:val="0"/>
        <w:adjustRightInd w:val="0"/>
        <w:snapToGrid w:val="0"/>
        <w:spacing w:line="1000" w:lineRule="exact"/>
        <w:ind w:firstLine="556"/>
        <w:rPr>
          <w:rFonts w:ascii="宋体" w:hAnsi="宋体" w:cs="宋体"/>
          <w:color w:val="auto"/>
          <w:sz w:val="32"/>
          <w:szCs w:val="32"/>
        </w:rPr>
      </w:pPr>
      <w:r>
        <w:rPr>
          <w:rFonts w:hint="eastAsia" w:ascii="宋体" w:hAnsi="宋体" w:cs="宋体"/>
          <w:color w:val="auto"/>
          <w:sz w:val="32"/>
          <w:szCs w:val="32"/>
        </w:rPr>
        <w:t>第五部分  响应文件组成</w:t>
      </w:r>
    </w:p>
    <w:p w14:paraId="2A922B8A">
      <w:pPr>
        <w:tabs>
          <w:tab w:val="left" w:pos="7740"/>
        </w:tabs>
        <w:spacing w:line="360" w:lineRule="auto"/>
        <w:rPr>
          <w:rFonts w:ascii="宋体" w:hAnsi="宋体" w:cs="宋体"/>
          <w:bCs/>
          <w:color w:val="auto"/>
          <w:sz w:val="32"/>
          <w:szCs w:val="32"/>
        </w:rPr>
      </w:pPr>
    </w:p>
    <w:p w14:paraId="5B89A61D">
      <w:pPr>
        <w:tabs>
          <w:tab w:val="left" w:pos="7740"/>
        </w:tabs>
        <w:spacing w:line="360" w:lineRule="auto"/>
        <w:rPr>
          <w:rFonts w:ascii="宋体" w:hAnsi="宋体" w:cs="宋体"/>
          <w:bCs/>
          <w:color w:val="auto"/>
          <w:sz w:val="32"/>
          <w:szCs w:val="32"/>
        </w:rPr>
      </w:pPr>
    </w:p>
    <w:p w14:paraId="11C84CBF">
      <w:pPr>
        <w:autoSpaceDE w:val="0"/>
        <w:autoSpaceDN w:val="0"/>
        <w:adjustRightInd w:val="0"/>
        <w:spacing w:line="360" w:lineRule="auto"/>
        <w:jc w:val="center"/>
        <w:rPr>
          <w:rFonts w:ascii="宋体" w:hAnsi="宋体" w:cs="宋体"/>
          <w:b/>
          <w:bCs/>
          <w:color w:val="auto"/>
          <w:sz w:val="36"/>
          <w:szCs w:val="36"/>
          <w:lang w:val="zh-CN"/>
        </w:rPr>
      </w:pPr>
    </w:p>
    <w:p w14:paraId="14F6A725">
      <w:pPr>
        <w:autoSpaceDE w:val="0"/>
        <w:autoSpaceDN w:val="0"/>
        <w:adjustRightInd w:val="0"/>
        <w:spacing w:line="360" w:lineRule="auto"/>
        <w:rPr>
          <w:rFonts w:ascii="宋体" w:hAnsi="宋体" w:cs="宋体"/>
          <w:b/>
          <w:bCs/>
          <w:color w:val="auto"/>
          <w:sz w:val="36"/>
          <w:szCs w:val="36"/>
          <w:lang w:val="zh-CN"/>
        </w:rPr>
      </w:pPr>
    </w:p>
    <w:p w14:paraId="28F8BED9">
      <w:pPr>
        <w:autoSpaceDE w:val="0"/>
        <w:autoSpaceDN w:val="0"/>
        <w:adjustRightInd w:val="0"/>
        <w:spacing w:line="360" w:lineRule="auto"/>
        <w:jc w:val="center"/>
        <w:rPr>
          <w:rFonts w:ascii="宋体" w:hAnsi="宋体" w:cs="宋体"/>
          <w:b/>
          <w:bCs/>
          <w:color w:val="auto"/>
          <w:sz w:val="36"/>
          <w:szCs w:val="36"/>
          <w:lang w:val="zh-CN"/>
        </w:rPr>
      </w:pPr>
    </w:p>
    <w:p w14:paraId="71ED8D70">
      <w:pPr>
        <w:autoSpaceDE w:val="0"/>
        <w:autoSpaceDN w:val="0"/>
        <w:adjustRightInd w:val="0"/>
        <w:spacing w:line="360" w:lineRule="auto"/>
        <w:jc w:val="center"/>
        <w:rPr>
          <w:rFonts w:ascii="宋体" w:hAnsi="宋体" w:cs="宋体"/>
          <w:b/>
          <w:bCs/>
          <w:color w:val="auto"/>
          <w:sz w:val="36"/>
          <w:szCs w:val="36"/>
          <w:lang w:val="zh-CN"/>
        </w:rPr>
      </w:pPr>
    </w:p>
    <w:p w14:paraId="37035137">
      <w:pPr>
        <w:autoSpaceDE w:val="0"/>
        <w:autoSpaceDN w:val="0"/>
        <w:adjustRightInd w:val="0"/>
        <w:spacing w:line="360" w:lineRule="auto"/>
        <w:jc w:val="center"/>
        <w:rPr>
          <w:rFonts w:ascii="宋体" w:hAnsi="宋体" w:cs="宋体"/>
          <w:b/>
          <w:bCs/>
          <w:color w:val="auto"/>
          <w:sz w:val="36"/>
          <w:szCs w:val="36"/>
          <w:lang w:val="zh-CN"/>
        </w:rPr>
      </w:pPr>
    </w:p>
    <w:p w14:paraId="26174675">
      <w:pPr>
        <w:autoSpaceDE w:val="0"/>
        <w:autoSpaceDN w:val="0"/>
        <w:adjustRightInd w:val="0"/>
        <w:spacing w:line="360" w:lineRule="auto"/>
        <w:jc w:val="center"/>
        <w:rPr>
          <w:rFonts w:ascii="宋体" w:hAnsi="宋体" w:cs="宋体"/>
          <w:b/>
          <w:bCs/>
          <w:color w:val="auto"/>
          <w:sz w:val="36"/>
          <w:szCs w:val="36"/>
          <w:lang w:val="zh-CN"/>
        </w:rPr>
      </w:pPr>
    </w:p>
    <w:p w14:paraId="39B70777">
      <w:pPr>
        <w:autoSpaceDE w:val="0"/>
        <w:autoSpaceDN w:val="0"/>
        <w:adjustRightInd w:val="0"/>
        <w:spacing w:line="360" w:lineRule="auto"/>
        <w:jc w:val="center"/>
        <w:rPr>
          <w:rFonts w:ascii="宋体" w:hAnsi="宋体" w:cs="宋体"/>
          <w:b/>
          <w:bCs/>
          <w:color w:val="auto"/>
          <w:sz w:val="36"/>
          <w:szCs w:val="36"/>
          <w:lang w:val="zh-CN"/>
        </w:rPr>
      </w:pPr>
    </w:p>
    <w:p w14:paraId="63E9E0BD">
      <w:pPr>
        <w:autoSpaceDE w:val="0"/>
        <w:autoSpaceDN w:val="0"/>
        <w:adjustRightInd w:val="0"/>
        <w:spacing w:line="360" w:lineRule="auto"/>
        <w:jc w:val="center"/>
        <w:rPr>
          <w:rFonts w:ascii="宋体" w:hAnsi="宋体" w:cs="宋体"/>
          <w:b/>
          <w:bCs/>
          <w:color w:val="auto"/>
          <w:sz w:val="36"/>
          <w:szCs w:val="36"/>
          <w:lang w:val="zh-CN"/>
        </w:rPr>
      </w:pPr>
    </w:p>
    <w:p w14:paraId="16469EEE">
      <w:pPr>
        <w:autoSpaceDE w:val="0"/>
        <w:autoSpaceDN w:val="0"/>
        <w:adjustRightInd w:val="0"/>
        <w:spacing w:line="360" w:lineRule="auto"/>
        <w:jc w:val="center"/>
        <w:rPr>
          <w:rFonts w:ascii="宋体" w:hAnsi="宋体" w:cs="宋体"/>
          <w:b/>
          <w:bCs/>
          <w:color w:val="auto"/>
          <w:sz w:val="36"/>
          <w:szCs w:val="36"/>
          <w:lang w:val="zh-CN"/>
        </w:rPr>
      </w:pPr>
    </w:p>
    <w:p w14:paraId="5678119E">
      <w:pPr>
        <w:autoSpaceDE w:val="0"/>
        <w:autoSpaceDN w:val="0"/>
        <w:adjustRightInd w:val="0"/>
        <w:snapToGrid w:val="0"/>
        <w:spacing w:line="360" w:lineRule="auto"/>
        <w:jc w:val="center"/>
        <w:rPr>
          <w:rFonts w:ascii="宋体" w:hAnsi="宋体" w:cs="宋体"/>
          <w:color w:val="auto"/>
          <w:sz w:val="36"/>
          <w:szCs w:val="36"/>
          <w:lang w:val="zh-CN"/>
        </w:rPr>
      </w:pPr>
    </w:p>
    <w:p w14:paraId="5CC88C25">
      <w:pPr>
        <w:autoSpaceDE w:val="0"/>
        <w:autoSpaceDN w:val="0"/>
        <w:adjustRightInd w:val="0"/>
        <w:snapToGrid w:val="0"/>
        <w:spacing w:line="360" w:lineRule="auto"/>
        <w:jc w:val="center"/>
        <w:rPr>
          <w:rFonts w:ascii="宋体" w:hAnsi="宋体" w:cs="宋体"/>
          <w:color w:val="auto"/>
          <w:sz w:val="36"/>
          <w:szCs w:val="36"/>
          <w:lang w:val="zh-CN"/>
        </w:rPr>
      </w:pPr>
    </w:p>
    <w:p w14:paraId="16D00DD3">
      <w:pPr>
        <w:autoSpaceDE w:val="0"/>
        <w:autoSpaceDN w:val="0"/>
        <w:adjustRightInd w:val="0"/>
        <w:snapToGrid w:val="0"/>
        <w:spacing w:line="360" w:lineRule="auto"/>
        <w:jc w:val="center"/>
        <w:rPr>
          <w:rFonts w:ascii="宋体" w:hAnsi="宋体" w:cs="宋体"/>
          <w:color w:val="auto"/>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autoSpaceDE w:val="0"/>
        <w:autoSpaceDN w:val="0"/>
        <w:adjustRightInd w:val="0"/>
        <w:snapToGrid w:val="0"/>
        <w:spacing w:line="800" w:lineRule="exact"/>
        <w:jc w:val="center"/>
        <w:outlineLvl w:val="0"/>
        <w:rPr>
          <w:rFonts w:ascii="宋体" w:hAnsi="宋体" w:cs="宋体"/>
          <w:color w:val="auto"/>
          <w:sz w:val="36"/>
          <w:szCs w:val="36"/>
          <w:lang w:val="zh-CN"/>
        </w:rPr>
      </w:pPr>
      <w:r>
        <w:rPr>
          <w:rFonts w:hint="eastAsia" w:ascii="宋体" w:hAnsi="宋体" w:cs="宋体"/>
          <w:color w:val="auto"/>
          <w:sz w:val="36"/>
          <w:szCs w:val="36"/>
          <w:lang w:val="zh-CN"/>
        </w:rPr>
        <w:t>第一部分 磋商公告</w:t>
      </w:r>
    </w:p>
    <w:p w14:paraId="275760D0">
      <w:pPr>
        <w:wordWrap w:val="0"/>
        <w:adjustRightInd w:val="0"/>
        <w:snapToGrid w:val="0"/>
        <w:spacing w:line="460" w:lineRule="exact"/>
        <w:ind w:firstLine="560" w:firstLineChars="200"/>
        <w:rPr>
          <w:rFonts w:ascii="宋体" w:hAnsi="宋体" w:cs="宋体"/>
          <w:color w:val="auto"/>
          <w:sz w:val="28"/>
          <w:szCs w:val="28"/>
          <w:lang w:val="zh-CN"/>
        </w:rPr>
      </w:pPr>
      <w:r>
        <w:rPr>
          <w:rFonts w:hint="eastAsia" w:ascii="宋体" w:hAnsi="宋体" w:cs="宋体"/>
          <w:color w:val="auto"/>
          <w:sz w:val="28"/>
          <w:szCs w:val="28"/>
        </w:rPr>
        <w:t>受[</w:t>
      </w:r>
      <w:r>
        <w:rPr>
          <w:rFonts w:hint="eastAsia" w:ascii="宋体" w:hAnsi="宋体" w:cs="宋体"/>
          <w:color w:val="auto"/>
          <w:sz w:val="28"/>
          <w:szCs w:val="28"/>
          <w:lang w:eastAsia="zh-CN"/>
        </w:rPr>
        <w:t>江苏商贸职业学院</w:t>
      </w:r>
      <w:r>
        <w:rPr>
          <w:rFonts w:hint="eastAsia" w:ascii="宋体" w:hAnsi="宋体" w:cs="宋体"/>
          <w:color w:val="auto"/>
          <w:sz w:val="28"/>
          <w:szCs w:val="28"/>
        </w:rPr>
        <w:t>]的委托，江苏中润工程建设咨询有限公司就[</w:t>
      </w:r>
      <w:r>
        <w:rPr>
          <w:rFonts w:hint="eastAsia" w:ascii="宋体" w:hAnsi="宋体" w:cs="宋体"/>
          <w:color w:val="auto"/>
          <w:sz w:val="28"/>
          <w:szCs w:val="28"/>
          <w:lang w:eastAsia="zh-CN"/>
        </w:rPr>
        <w:t>江苏商贸职业学院工会 2025 年度节日慰问品采购项目</w:t>
      </w:r>
      <w:r>
        <w:rPr>
          <w:rFonts w:hint="eastAsia" w:ascii="宋体" w:hAnsi="宋体" w:cs="宋体"/>
          <w:color w:val="auto"/>
          <w:sz w:val="28"/>
          <w:szCs w:val="28"/>
        </w:rPr>
        <w:t>](项目编号:</w:t>
      </w:r>
      <w:r>
        <w:rPr>
          <w:rFonts w:hint="eastAsia" w:ascii="宋体" w:hAnsi="宋体" w:cs="宋体"/>
          <w:color w:val="auto"/>
          <w:sz w:val="28"/>
          <w:szCs w:val="28"/>
          <w:lang w:val="en-US" w:eastAsia="zh-CN"/>
        </w:rPr>
        <w:t xml:space="preserve"> JSSYCG20251126068</w:t>
      </w:r>
      <w:r>
        <w:rPr>
          <w:rFonts w:hint="eastAsia" w:ascii="宋体" w:hAnsi="宋体" w:cs="宋体"/>
          <w:color w:val="auto"/>
          <w:sz w:val="28"/>
          <w:szCs w:val="28"/>
        </w:rPr>
        <w:t>)进行磋商采购，欢迎符合条件的供应商参加磋商。</w:t>
      </w:r>
    </w:p>
    <w:p w14:paraId="4F748BAA">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项目概况</w:t>
      </w:r>
    </w:p>
    <w:p w14:paraId="2425F4DE">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w:t>
      </w:r>
      <w:r>
        <w:rPr>
          <w:rFonts w:hint="eastAsia" w:ascii="宋体" w:hAnsi="宋体" w:cs="宋体"/>
          <w:color w:val="auto"/>
          <w:sz w:val="28"/>
          <w:szCs w:val="28"/>
          <w:lang w:eastAsia="zh-CN"/>
        </w:rPr>
        <w:t>江苏商贸职业学院</w:t>
      </w:r>
      <w:r>
        <w:rPr>
          <w:rFonts w:hint="eastAsia" w:ascii="宋体" w:hAnsi="宋体" w:cs="宋体"/>
          <w:color w:val="auto"/>
          <w:sz w:val="28"/>
          <w:szCs w:val="28"/>
        </w:rPr>
        <w:t>）的（</w:t>
      </w:r>
      <w:r>
        <w:rPr>
          <w:rFonts w:hint="eastAsia" w:ascii="宋体" w:hAnsi="宋体" w:cs="宋体"/>
          <w:color w:val="auto"/>
          <w:sz w:val="28"/>
          <w:szCs w:val="28"/>
          <w:lang w:eastAsia="zh-CN"/>
        </w:rPr>
        <w:t>工会2025年度节日慰问品采购项目</w:t>
      </w:r>
      <w:r>
        <w:rPr>
          <w:rFonts w:hint="eastAsia" w:ascii="宋体" w:hAnsi="宋体" w:cs="宋体"/>
          <w:color w:val="auto"/>
          <w:sz w:val="28"/>
          <w:szCs w:val="28"/>
        </w:rPr>
        <w:t>)的潜在供应商应在</w:t>
      </w:r>
      <w:r>
        <w:rPr>
          <w:rFonts w:hint="eastAsia" w:ascii="宋体" w:hAnsi="宋体" w:cs="宋体"/>
          <w:b/>
          <w:bCs/>
          <w:color w:val="auto"/>
          <w:sz w:val="28"/>
          <w:szCs w:val="28"/>
          <w:u w:val="single"/>
          <w:lang w:val="en-US" w:eastAsia="zh-CN"/>
        </w:rPr>
        <w:t>江苏商贸职业学院网站</w:t>
      </w:r>
      <w:r>
        <w:rPr>
          <w:rFonts w:hint="eastAsia" w:ascii="宋体" w:hAnsi="宋体" w:cs="宋体"/>
          <w:color w:val="auto"/>
          <w:sz w:val="28"/>
          <w:szCs w:val="28"/>
        </w:rPr>
        <w:t>获取采购文件，并于2025年</w:t>
      </w:r>
      <w:r>
        <w:rPr>
          <w:rFonts w:hint="eastAsia" w:ascii="宋体" w:hAnsi="宋体" w:cs="宋体"/>
          <w:color w:val="auto"/>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5</w:t>
      </w:r>
      <w:r>
        <w:rPr>
          <w:rFonts w:hint="eastAsia" w:ascii="宋体" w:hAnsi="宋体" w:cs="宋体"/>
          <w:color w:val="auto"/>
          <w:sz w:val="28"/>
          <w:szCs w:val="28"/>
        </w:rPr>
        <w:t>日</w:t>
      </w:r>
      <w:r>
        <w:rPr>
          <w:rFonts w:hint="eastAsia" w:ascii="宋体" w:hAnsi="宋体" w:cs="宋体"/>
          <w:color w:val="auto"/>
          <w:sz w:val="28"/>
          <w:szCs w:val="28"/>
          <w:lang w:val="en-US" w:eastAsia="zh-CN"/>
        </w:rPr>
        <w:t>9</w:t>
      </w:r>
      <w:r>
        <w:rPr>
          <w:rFonts w:hint="eastAsia" w:ascii="宋体" w:hAnsi="宋体" w:cs="宋体"/>
          <w:color w:val="auto"/>
          <w:sz w:val="28"/>
          <w:szCs w:val="28"/>
        </w:rPr>
        <w:t>点</w:t>
      </w:r>
      <w:r>
        <w:rPr>
          <w:rFonts w:hint="eastAsia" w:ascii="宋体" w:hAnsi="宋体" w:cs="宋体"/>
          <w:color w:val="auto"/>
          <w:sz w:val="28"/>
          <w:szCs w:val="28"/>
          <w:lang w:val="en-US" w:eastAsia="zh-CN"/>
        </w:rPr>
        <w:t>00</w:t>
      </w:r>
      <w:r>
        <w:rPr>
          <w:rFonts w:hint="eastAsia" w:ascii="宋体" w:hAnsi="宋体" w:cs="宋体"/>
          <w:color w:val="auto"/>
          <w:sz w:val="28"/>
          <w:szCs w:val="28"/>
        </w:rPr>
        <w:t>分（北京时间）前提交响应文件。</w:t>
      </w:r>
    </w:p>
    <w:p w14:paraId="24860082">
      <w:pPr>
        <w:widowControl/>
        <w:shd w:val="clear" w:color="auto" w:fill="FFFFFF"/>
        <w:adjustRightInd w:val="0"/>
        <w:snapToGrid w:val="0"/>
        <w:spacing w:line="460" w:lineRule="exact"/>
        <w:ind w:firstLine="590" w:firstLineChars="200"/>
        <w:outlineLvl w:val="1"/>
        <w:rPr>
          <w:rFonts w:ascii="宋体" w:hAnsi="宋体" w:cs="宋体"/>
          <w:b/>
          <w:color w:val="auto"/>
          <w:spacing w:val="7"/>
          <w:kern w:val="0"/>
          <w:sz w:val="28"/>
          <w:szCs w:val="28"/>
        </w:rPr>
      </w:pPr>
      <w:r>
        <w:rPr>
          <w:rFonts w:hint="eastAsia" w:ascii="宋体" w:hAnsi="宋体" w:cs="宋体"/>
          <w:b/>
          <w:color w:val="auto"/>
          <w:spacing w:val="7"/>
          <w:kern w:val="0"/>
          <w:sz w:val="28"/>
          <w:szCs w:val="28"/>
        </w:rPr>
        <w:t>一、项目基本情况</w:t>
      </w:r>
    </w:p>
    <w:p w14:paraId="2A8281C6">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color w:val="auto"/>
          <w:sz w:val="28"/>
          <w:szCs w:val="28"/>
          <w:lang w:val="en-US" w:eastAsia="zh-CN"/>
        </w:rPr>
        <w:t>JSSYCG20251126068</w:t>
      </w:r>
    </w:p>
    <w:p w14:paraId="176FFAF3">
      <w:pPr>
        <w:adjustRightInd w:val="0"/>
        <w:snapToGrid w:val="0"/>
        <w:spacing w:line="46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项目名称：</w:t>
      </w:r>
      <w:r>
        <w:rPr>
          <w:rFonts w:hint="eastAsia" w:ascii="宋体" w:hAnsi="宋体" w:cs="宋体"/>
          <w:color w:val="auto"/>
          <w:sz w:val="28"/>
          <w:szCs w:val="28"/>
          <w:lang w:eastAsia="zh-CN"/>
        </w:rPr>
        <w:t>江苏商贸职业学院工会2025年度节日慰问品采购项目</w:t>
      </w:r>
    </w:p>
    <w:p w14:paraId="74A261A9">
      <w:pPr>
        <w:adjustRightInd w:val="0"/>
        <w:snapToGrid w:val="0"/>
        <w:spacing w:line="460" w:lineRule="exact"/>
        <w:ind w:firstLine="560" w:firstLineChars="200"/>
        <w:rPr>
          <w:rFonts w:hint="default" w:ascii="宋体" w:hAnsi="宋体" w:cs="宋体"/>
          <w:color w:val="auto"/>
          <w:sz w:val="28"/>
          <w:szCs w:val="28"/>
          <w:lang w:val="en-US"/>
        </w:rPr>
      </w:pPr>
      <w:r>
        <w:rPr>
          <w:rFonts w:hint="eastAsia" w:ascii="宋体" w:hAnsi="宋体" w:cs="宋体"/>
          <w:color w:val="auto"/>
          <w:sz w:val="28"/>
          <w:szCs w:val="28"/>
        </w:rPr>
        <w:t>预算金额：</w:t>
      </w:r>
      <w:r>
        <w:rPr>
          <w:rFonts w:hint="eastAsia" w:ascii="宋体" w:hAnsi="宋体" w:cs="宋体"/>
          <w:color w:val="auto"/>
          <w:sz w:val="28"/>
          <w:szCs w:val="28"/>
          <w:highlight w:val="none"/>
          <w:lang w:val="en-US" w:eastAsia="zh-CN"/>
        </w:rPr>
        <w:t xml:space="preserve">23.24 </w:t>
      </w:r>
      <w:r>
        <w:rPr>
          <w:rFonts w:hint="eastAsia" w:ascii="宋体" w:hAnsi="宋体" w:eastAsia="宋体" w:cs="宋体"/>
          <w:color w:val="auto"/>
          <w:sz w:val="28"/>
          <w:szCs w:val="28"/>
          <w:highlight w:val="none"/>
          <w:lang w:val="en-US" w:eastAsia="zh-CN"/>
        </w:rPr>
        <w:t>万元</w:t>
      </w:r>
      <w:r>
        <w:rPr>
          <w:rFonts w:hint="eastAsia" w:ascii="宋体" w:hAnsi="宋体" w:cs="宋体"/>
          <w:color w:val="auto"/>
          <w:sz w:val="28"/>
          <w:szCs w:val="28"/>
          <w:highlight w:val="none"/>
          <w:lang w:val="en-US" w:eastAsia="zh-CN"/>
        </w:rPr>
        <w:t>。提货券实付金额（学校向商家实际结算支付的金额）设置：400元/份，约581份</w:t>
      </w:r>
      <w:r>
        <w:rPr>
          <w:rFonts w:hint="eastAsia" w:ascii="宋体" w:hAnsi="宋体" w:cs="宋体"/>
          <w:sz w:val="28"/>
          <w:szCs w:val="28"/>
        </w:rPr>
        <w:t>。投标时按对应结算金额可以提供的产品挂牌零售价进行优惠报价。</w:t>
      </w:r>
    </w:p>
    <w:p w14:paraId="13BF38E6">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报价方式：供应商统一报一个上浮率(%),提货券面值金额=提货券实付金额*（1+上浮率），上浮率约定为正数，负数的作无效标处理。</w:t>
      </w:r>
    </w:p>
    <w:p w14:paraId="39C3617C">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提货券面值是指：按提货券实际结算金额对应的、供应商能够提供的按其门店零售价（有会员价的商品享受会员价）计算的商品的挂牌售价合计金额。</w:t>
      </w:r>
    </w:p>
    <w:p w14:paraId="389319FB">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举例说明：如供应商报价上浮率为20%，则提货券面值为400*（1+20%）=480元。</w:t>
      </w:r>
    </w:p>
    <w:p w14:paraId="5429E736">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采购需求：具体需求详见本项目磋商文件第三部分。</w:t>
      </w:r>
    </w:p>
    <w:p w14:paraId="0A48E6AA">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合同履行期限：自合同签订起</w:t>
      </w:r>
      <w:r>
        <w:rPr>
          <w:rFonts w:hint="eastAsia" w:ascii="宋体" w:hAnsi="宋体" w:cs="宋体"/>
          <w:color w:val="auto"/>
          <w:sz w:val="28"/>
          <w:szCs w:val="28"/>
          <w:lang w:val="en-US" w:eastAsia="zh-CN"/>
        </w:rPr>
        <w:t>30</w:t>
      </w:r>
      <w:r>
        <w:rPr>
          <w:rFonts w:hint="eastAsia" w:ascii="宋体" w:hAnsi="宋体" w:cs="宋体"/>
          <w:color w:val="auto"/>
          <w:sz w:val="28"/>
          <w:szCs w:val="28"/>
        </w:rPr>
        <w:t>天内</w:t>
      </w:r>
    </w:p>
    <w:p w14:paraId="69A8F60C">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本项目是否接受联合体投标：否。</w:t>
      </w:r>
    </w:p>
    <w:p w14:paraId="2C772060">
      <w:pPr>
        <w:adjustRightInd w:val="0"/>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二、供应商的资格要求：</w:t>
      </w:r>
    </w:p>
    <w:p w14:paraId="2DDD0752">
      <w:pPr>
        <w:adjustRightInd w:val="0"/>
        <w:snapToGrid w:val="0"/>
        <w:spacing w:line="460" w:lineRule="exact"/>
        <w:ind w:firstLine="560" w:firstLineChars="200"/>
        <w:outlineLvl w:val="1"/>
        <w:rPr>
          <w:rFonts w:ascii="宋体" w:hAnsi="宋体" w:cs="宋体"/>
          <w:color w:val="auto"/>
          <w:sz w:val="28"/>
          <w:szCs w:val="28"/>
        </w:rPr>
      </w:pPr>
      <w:r>
        <w:rPr>
          <w:rFonts w:hint="eastAsia" w:ascii="宋体" w:hAnsi="宋体" w:cs="宋体"/>
          <w:color w:val="auto"/>
          <w:sz w:val="28"/>
          <w:szCs w:val="28"/>
        </w:rPr>
        <w:t>1.具有独立承担民事责任的能力；具有良好的商业信誉和健全的财务会计制度；具有履行合同所必需的设备和专业</w:t>
      </w:r>
      <w:r>
        <w:rPr>
          <w:rFonts w:hint="eastAsia" w:ascii="宋体" w:hAnsi="宋体" w:cs="宋体"/>
          <w:color w:val="auto"/>
          <w:sz w:val="28"/>
          <w:szCs w:val="28"/>
          <w:lang w:val="zh-CN"/>
        </w:rPr>
        <w:t>技术能力；</w:t>
      </w:r>
      <w:r>
        <w:rPr>
          <w:rFonts w:hint="eastAsia" w:ascii="宋体" w:hAnsi="宋体" w:cs="宋体"/>
          <w:color w:val="auto"/>
          <w:sz w:val="28"/>
          <w:szCs w:val="28"/>
        </w:rPr>
        <w:t>具</w:t>
      </w:r>
      <w:r>
        <w:rPr>
          <w:rFonts w:hint="eastAsia" w:ascii="宋体" w:hAnsi="宋体" w:cs="宋体"/>
          <w:color w:val="auto"/>
          <w:sz w:val="28"/>
          <w:szCs w:val="28"/>
          <w:lang w:val="zh-CN"/>
        </w:rPr>
        <w:t>有依法缴纳税收和社会保障资金的良好记录；参加本次采购活动前三年内，在经营活动中没有重大违法记录；</w:t>
      </w:r>
    </w:p>
    <w:p w14:paraId="27900193">
      <w:pPr>
        <w:adjustRightInd w:val="0"/>
        <w:snapToGrid w:val="0"/>
        <w:spacing w:line="460" w:lineRule="exact"/>
        <w:ind w:firstLine="560" w:firstLineChars="200"/>
        <w:outlineLvl w:val="1"/>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w:t>
      </w:r>
      <w:r>
        <w:rPr>
          <w:rFonts w:hint="eastAsia" w:ascii="宋体" w:hAnsi="宋体" w:cs="宋体"/>
          <w:color w:val="auto"/>
          <w:sz w:val="28"/>
          <w:szCs w:val="28"/>
          <w:lang w:val="en-US" w:eastAsia="zh-CN"/>
        </w:rPr>
        <w:t>提供具有有效的营业执照；</w:t>
      </w:r>
    </w:p>
    <w:p w14:paraId="3C8FDE8F">
      <w:pPr>
        <w:adjustRightInd w:val="0"/>
        <w:snapToGrid w:val="0"/>
        <w:spacing w:line="460" w:lineRule="exact"/>
        <w:ind w:firstLine="560" w:firstLineChars="200"/>
        <w:outlineLvl w:val="1"/>
        <w:rPr>
          <w:rFonts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本项目不接受联合体投标；</w:t>
      </w:r>
    </w:p>
    <w:p w14:paraId="1EBA0A6B">
      <w:pPr>
        <w:adjustRightInd w:val="0"/>
        <w:snapToGrid w:val="0"/>
        <w:spacing w:line="460" w:lineRule="exact"/>
        <w:ind w:firstLine="560" w:firstLineChars="200"/>
        <w:outlineLvl w:val="1"/>
        <w:rPr>
          <w:rFonts w:ascii="宋体" w:hAnsi="宋体" w:cs="宋体"/>
          <w:color w:val="auto"/>
          <w:sz w:val="28"/>
          <w:szCs w:val="28"/>
        </w:rPr>
      </w:pPr>
      <w:r>
        <w:rPr>
          <w:rFonts w:hint="eastAsia" w:ascii="宋体" w:hAnsi="宋体" w:cs="宋体"/>
          <w:color w:val="auto"/>
          <w:sz w:val="28"/>
          <w:szCs w:val="28"/>
          <w:lang w:val="en-US" w:eastAsia="zh-CN"/>
        </w:rPr>
        <w:t>4</w:t>
      </w:r>
      <w:r>
        <w:rPr>
          <w:rFonts w:hint="eastAsia" w:ascii="宋体" w:hAnsi="宋体" w:cs="宋体"/>
          <w:color w:val="auto"/>
          <w:sz w:val="28"/>
          <w:szCs w:val="28"/>
        </w:rPr>
        <w:t>.法律、行政法规规定的其他条件。</w:t>
      </w:r>
    </w:p>
    <w:p w14:paraId="0483A470">
      <w:pPr>
        <w:adjustRightInd w:val="0"/>
        <w:snapToGrid w:val="0"/>
        <w:spacing w:line="460" w:lineRule="exact"/>
        <w:ind w:firstLine="562" w:firstLineChars="200"/>
        <w:outlineLvl w:val="1"/>
        <w:rPr>
          <w:rFonts w:ascii="宋体" w:hAnsi="宋体" w:cs="宋体"/>
          <w:color w:val="auto"/>
          <w:sz w:val="28"/>
          <w:szCs w:val="28"/>
        </w:rPr>
      </w:pPr>
      <w:r>
        <w:rPr>
          <w:rFonts w:hint="eastAsia" w:ascii="宋体" w:hAnsi="宋体" w:cs="宋体"/>
          <w:b/>
          <w:color w:val="auto"/>
          <w:sz w:val="28"/>
          <w:szCs w:val="28"/>
        </w:rPr>
        <w:t>三、</w:t>
      </w:r>
      <w:r>
        <w:rPr>
          <w:rFonts w:hint="eastAsia" w:ascii="宋体" w:hAnsi="宋体" w:cs="宋体"/>
          <w:b/>
          <w:color w:val="auto"/>
          <w:sz w:val="28"/>
          <w:szCs w:val="28"/>
          <w:lang w:val="en-US" w:eastAsia="zh-CN"/>
        </w:rPr>
        <w:t>采购文件获取</w:t>
      </w:r>
    </w:p>
    <w:p w14:paraId="1EA7B8CE">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时间：2025年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28</w:t>
      </w:r>
      <w:r>
        <w:rPr>
          <w:rFonts w:hint="eastAsia" w:ascii="宋体" w:hAnsi="宋体" w:cs="宋体"/>
          <w:color w:val="auto"/>
          <w:sz w:val="28"/>
          <w:szCs w:val="28"/>
        </w:rPr>
        <w:t>日至2025年</w:t>
      </w:r>
      <w:r>
        <w:rPr>
          <w:rFonts w:hint="eastAsia" w:ascii="宋体" w:hAnsi="宋体" w:cs="宋体"/>
          <w:color w:val="auto"/>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4</w:t>
      </w:r>
      <w:r>
        <w:rPr>
          <w:rFonts w:hint="eastAsia" w:ascii="宋体" w:hAnsi="宋体" w:cs="宋体"/>
          <w:color w:val="auto"/>
          <w:sz w:val="28"/>
          <w:szCs w:val="28"/>
        </w:rPr>
        <w:t>日</w:t>
      </w:r>
    </w:p>
    <w:p w14:paraId="0FA7573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地点：江苏商贸职业学院网站；</w:t>
      </w:r>
    </w:p>
    <w:p w14:paraId="65E06A94">
      <w:pPr>
        <w:adjustRightInd w:val="0"/>
        <w:snapToGrid w:val="0"/>
        <w:spacing w:line="460" w:lineRule="exact"/>
        <w:ind w:firstLine="560" w:firstLineChars="200"/>
        <w:rPr>
          <w:rFonts w:hint="eastAsia" w:ascii="宋体" w:hAnsi="宋体" w:cs="宋体"/>
          <w:b w:val="0"/>
          <w:bCs/>
          <w:color w:val="auto"/>
          <w:sz w:val="28"/>
          <w:szCs w:val="28"/>
        </w:rPr>
      </w:pPr>
      <w:r>
        <w:rPr>
          <w:rFonts w:hint="eastAsia" w:ascii="宋体" w:hAnsi="宋体" w:cs="宋体"/>
          <w:sz w:val="28"/>
          <w:szCs w:val="28"/>
        </w:rPr>
        <w:t>方式：自行下载磋商文件。</w:t>
      </w:r>
    </w:p>
    <w:p w14:paraId="28194F6C">
      <w:pPr>
        <w:adjustRightInd w:val="0"/>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四、提交响应文件截止时间、磋商时间和地点</w:t>
      </w:r>
    </w:p>
    <w:p w14:paraId="57E38A86">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2025年</w:t>
      </w:r>
      <w:r>
        <w:rPr>
          <w:rFonts w:hint="eastAsia" w:ascii="宋体" w:hAnsi="宋体" w:cs="宋体"/>
          <w:color w:val="auto"/>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5</w:t>
      </w:r>
      <w:r>
        <w:rPr>
          <w:rFonts w:hint="eastAsia" w:ascii="宋体" w:hAnsi="宋体" w:cs="宋体"/>
          <w:color w:val="auto"/>
          <w:sz w:val="28"/>
          <w:szCs w:val="28"/>
        </w:rPr>
        <w:t>日</w:t>
      </w:r>
      <w:r>
        <w:rPr>
          <w:rFonts w:hint="eastAsia" w:ascii="宋体" w:hAnsi="宋体" w:cs="宋体"/>
          <w:color w:val="auto"/>
          <w:sz w:val="28"/>
          <w:szCs w:val="28"/>
          <w:lang w:val="en-US" w:eastAsia="zh-CN"/>
        </w:rPr>
        <w:t>9</w:t>
      </w:r>
      <w:r>
        <w:rPr>
          <w:rFonts w:hint="eastAsia" w:ascii="宋体" w:hAnsi="宋体" w:cs="宋体"/>
          <w:color w:val="auto"/>
          <w:sz w:val="28"/>
          <w:szCs w:val="28"/>
        </w:rPr>
        <w:t>点</w:t>
      </w:r>
      <w:r>
        <w:rPr>
          <w:rFonts w:hint="eastAsia" w:ascii="宋体" w:hAnsi="宋体" w:cs="宋体"/>
          <w:color w:val="auto"/>
          <w:sz w:val="28"/>
          <w:szCs w:val="28"/>
          <w:lang w:val="en-US" w:eastAsia="zh-CN"/>
        </w:rPr>
        <w:t>00</w:t>
      </w:r>
      <w:r>
        <w:rPr>
          <w:rFonts w:hint="eastAsia" w:ascii="宋体" w:hAnsi="宋体" w:cs="宋体"/>
          <w:color w:val="auto"/>
          <w:sz w:val="28"/>
          <w:szCs w:val="28"/>
        </w:rPr>
        <w:t>分（北京时间），逾时，采购人将拒绝接受磋商响应文件。</w:t>
      </w:r>
    </w:p>
    <w:p w14:paraId="7BC6AD24">
      <w:pPr>
        <w:adjustRightInd w:val="0"/>
        <w:snapToGrid w:val="0"/>
        <w:spacing w:line="460" w:lineRule="exact"/>
        <w:ind w:firstLine="560" w:firstLineChars="200"/>
        <w:rPr>
          <w:rFonts w:ascii="宋体" w:hAnsi="宋体" w:cs="宋体"/>
          <w:i/>
          <w:color w:val="auto"/>
          <w:sz w:val="28"/>
          <w:szCs w:val="28"/>
          <w:u w:val="single"/>
        </w:rPr>
      </w:pPr>
      <w:r>
        <w:rPr>
          <w:rFonts w:hint="eastAsia" w:ascii="宋体" w:hAnsi="宋体" w:cs="宋体"/>
          <w:color w:val="auto"/>
          <w:sz w:val="28"/>
          <w:szCs w:val="28"/>
        </w:rPr>
        <w:t>地点：江苏省南通市江通路48号，江苏商贸职业学院资产管理处（西大门南侧）办公室，如有变动另行通知。</w:t>
      </w:r>
    </w:p>
    <w:p w14:paraId="69128977">
      <w:pPr>
        <w:adjustRightInd w:val="0"/>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五、公告期限</w:t>
      </w:r>
    </w:p>
    <w:p w14:paraId="6CBF49BF">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自本公告发布之日起</w:t>
      </w:r>
      <w:r>
        <w:rPr>
          <w:rFonts w:hint="eastAsia" w:ascii="宋体" w:hAnsi="宋体" w:cs="宋体"/>
          <w:color w:val="auto"/>
          <w:sz w:val="28"/>
          <w:szCs w:val="28"/>
          <w:lang w:val="en-US" w:eastAsia="zh-CN"/>
        </w:rPr>
        <w:t>3</w:t>
      </w:r>
      <w:r>
        <w:rPr>
          <w:rFonts w:hint="eastAsia" w:ascii="宋体" w:hAnsi="宋体" w:cs="宋体"/>
          <w:color w:val="auto"/>
          <w:sz w:val="28"/>
          <w:szCs w:val="28"/>
        </w:rPr>
        <w:t>个工作日。</w:t>
      </w:r>
    </w:p>
    <w:p w14:paraId="2826DDC8">
      <w:pPr>
        <w:adjustRightInd w:val="0"/>
        <w:snapToGrid w:val="0"/>
        <w:spacing w:line="460" w:lineRule="exact"/>
        <w:ind w:firstLine="562" w:firstLineChars="200"/>
        <w:outlineLvl w:val="1"/>
        <w:rPr>
          <w:rFonts w:ascii="宋体" w:hAnsi="宋体" w:cs="宋体"/>
          <w:b/>
          <w:color w:val="auto"/>
          <w:sz w:val="28"/>
          <w:szCs w:val="28"/>
        </w:rPr>
      </w:pPr>
      <w:r>
        <w:rPr>
          <w:rFonts w:hint="eastAsia" w:ascii="宋体" w:hAnsi="宋体" w:cs="宋体"/>
          <w:b/>
          <w:color w:val="auto"/>
          <w:sz w:val="28"/>
          <w:szCs w:val="28"/>
        </w:rPr>
        <w:t>六、其他补充事宜</w:t>
      </w:r>
    </w:p>
    <w:p w14:paraId="198F4D4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1.投标保证金：免收</w:t>
      </w:r>
    </w:p>
    <w:p w14:paraId="30D11A14">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2.项目磋商活动模式：见面磋商模式，供应商在江苏省南通市江通路48号，江苏商贸职业学院资产管理处（西大门南侧）办公室参加磋商活动。</w:t>
      </w:r>
    </w:p>
    <w:p w14:paraId="3C47557F">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3.项目演示、样品：</w:t>
      </w:r>
      <w:r>
        <w:rPr>
          <w:rFonts w:hint="eastAsia" w:ascii="宋体" w:hAnsi="宋体" w:cs="宋体"/>
          <w:color w:val="auto"/>
          <w:sz w:val="28"/>
          <w:szCs w:val="28"/>
          <w:lang w:val="en-US" w:eastAsia="zh-CN"/>
        </w:rPr>
        <w:t>详见采购文件</w:t>
      </w:r>
      <w:r>
        <w:rPr>
          <w:rFonts w:hint="eastAsia" w:ascii="宋体" w:hAnsi="宋体" w:cs="宋体"/>
          <w:color w:val="auto"/>
          <w:sz w:val="28"/>
          <w:szCs w:val="28"/>
        </w:rPr>
        <w:t>。</w:t>
      </w:r>
    </w:p>
    <w:p w14:paraId="6EDD99E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621F477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widowControl/>
        <w:shd w:val="clear" w:color="auto" w:fill="FFFFFF"/>
        <w:adjustRightInd w:val="0"/>
        <w:snapToGrid w:val="0"/>
        <w:spacing w:line="460" w:lineRule="exact"/>
        <w:ind w:firstLine="590" w:firstLineChars="200"/>
        <w:outlineLvl w:val="1"/>
        <w:rPr>
          <w:rFonts w:ascii="宋体" w:hAnsi="宋体" w:cs="宋体"/>
          <w:b/>
          <w:color w:val="auto"/>
          <w:spacing w:val="7"/>
          <w:kern w:val="0"/>
          <w:sz w:val="28"/>
          <w:szCs w:val="28"/>
        </w:rPr>
      </w:pPr>
      <w:r>
        <w:rPr>
          <w:rFonts w:hint="eastAsia" w:ascii="宋体" w:hAnsi="宋体" w:cs="宋体"/>
          <w:b/>
          <w:color w:val="auto"/>
          <w:spacing w:val="7"/>
          <w:kern w:val="0"/>
          <w:sz w:val="28"/>
          <w:szCs w:val="28"/>
        </w:rPr>
        <w:t>七、凡对本次采购提出询问，请按以下方式联系。</w:t>
      </w:r>
    </w:p>
    <w:p w14:paraId="66E046B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1.采购人信息</w:t>
      </w:r>
    </w:p>
    <w:p w14:paraId="75A95C4C">
      <w:pPr>
        <w:adjustRightInd w:val="0"/>
        <w:snapToGrid w:val="0"/>
        <w:spacing w:line="460" w:lineRule="exact"/>
        <w:ind w:firstLine="560" w:firstLineChars="200"/>
        <w:rPr>
          <w:rFonts w:ascii="宋体" w:hAnsi="宋体" w:cs="宋体"/>
          <w:sz w:val="28"/>
          <w:szCs w:val="28"/>
        </w:rPr>
      </w:pPr>
      <w:bookmarkStart w:id="88" w:name="_GoBack"/>
      <w:bookmarkEnd w:id="88"/>
      <w:r>
        <w:rPr>
          <w:rFonts w:hint="eastAsia" w:ascii="宋体" w:hAnsi="宋体" w:cs="宋体"/>
          <w:sz w:val="28"/>
          <w:szCs w:val="28"/>
        </w:rPr>
        <w:t>名称：江苏商贸职业学院       　　　　　　　　　　　　　　　　　　　　　　</w:t>
      </w:r>
    </w:p>
    <w:p w14:paraId="3CBABD40">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地址：江苏省南通市江通路48号    　　　　　　　　　　　　</w:t>
      </w:r>
    </w:p>
    <w:p w14:paraId="6914FCA8">
      <w:pPr>
        <w:adjustRightInd w:val="0"/>
        <w:snapToGrid w:val="0"/>
        <w:spacing w:line="460" w:lineRule="exact"/>
        <w:ind w:firstLine="560" w:firstLineChars="200"/>
        <w:rPr>
          <w:rFonts w:ascii="宋体" w:hAnsi="宋体" w:cs="宋体"/>
          <w:color w:val="0000FF"/>
          <w:sz w:val="28"/>
          <w:szCs w:val="28"/>
        </w:rPr>
      </w:pPr>
      <w:r>
        <w:rPr>
          <w:rFonts w:hint="eastAsia" w:ascii="宋体" w:hAnsi="宋体" w:cs="宋体"/>
          <w:color w:val="auto"/>
          <w:sz w:val="28"/>
          <w:szCs w:val="28"/>
          <w:lang w:val="en-US" w:eastAsia="zh-CN"/>
        </w:rPr>
        <w:t>梁老师（工会）</w:t>
      </w:r>
      <w:r>
        <w:rPr>
          <w:rFonts w:hint="eastAsia" w:ascii="宋体" w:hAnsi="宋体" w:cs="宋体"/>
          <w:color w:val="auto"/>
          <w:sz w:val="28"/>
          <w:szCs w:val="28"/>
          <w:lang w:val="en-US" w:eastAsia="zh-CN"/>
        </w:rPr>
        <w:tab/>
      </w:r>
      <w:r>
        <w:rPr>
          <w:rFonts w:hint="eastAsia" w:ascii="宋体" w:hAnsi="宋体" w:cs="宋体"/>
          <w:color w:val="auto"/>
          <w:sz w:val="28"/>
          <w:szCs w:val="28"/>
          <w:lang w:val="en-US" w:eastAsia="zh-CN"/>
        </w:rPr>
        <w:tab/>
      </w:r>
      <w:r>
        <w:rPr>
          <w:rFonts w:hint="eastAsia" w:ascii="宋体" w:hAnsi="宋体" w:cs="宋体"/>
          <w:color w:val="auto"/>
          <w:sz w:val="28"/>
          <w:szCs w:val="28"/>
          <w:lang w:val="en-US" w:eastAsia="zh-CN"/>
        </w:rPr>
        <w:tab/>
      </w:r>
      <w:r>
        <w:rPr>
          <w:rFonts w:hint="eastAsia" w:ascii="宋体" w:hAnsi="宋体" w:cs="宋体"/>
          <w:color w:val="auto"/>
          <w:sz w:val="28"/>
          <w:szCs w:val="28"/>
          <w:lang w:val="en-US" w:eastAsia="zh-CN"/>
        </w:rPr>
        <w:tab/>
      </w:r>
      <w:r>
        <w:rPr>
          <w:rFonts w:hint="eastAsia" w:ascii="宋体" w:hAnsi="宋体" w:cs="宋体"/>
          <w:color w:val="auto"/>
          <w:sz w:val="28"/>
          <w:szCs w:val="28"/>
          <w:lang w:val="en-US" w:eastAsia="zh-CN"/>
        </w:rPr>
        <w:tab/>
      </w:r>
      <w:r>
        <w:rPr>
          <w:rFonts w:hint="eastAsia" w:ascii="宋体" w:hAnsi="宋体" w:cs="宋体"/>
          <w:color w:val="auto"/>
          <w:sz w:val="28"/>
          <w:szCs w:val="28"/>
          <w:lang w:val="en-US" w:eastAsia="zh-CN"/>
        </w:rPr>
        <w:tab/>
      </w:r>
      <w:r>
        <w:rPr>
          <w:rFonts w:hint="eastAsia" w:ascii="宋体" w:hAnsi="宋体" w:cs="宋体"/>
          <w:color w:val="auto"/>
          <w:sz w:val="28"/>
          <w:szCs w:val="28"/>
        </w:rPr>
        <w:t>联系电话：0513-856792</w:t>
      </w:r>
      <w:r>
        <w:rPr>
          <w:rFonts w:hint="eastAsia" w:ascii="宋体" w:hAnsi="宋体" w:cs="宋体"/>
          <w:color w:val="auto"/>
          <w:sz w:val="28"/>
          <w:szCs w:val="28"/>
          <w:lang w:val="en-US" w:eastAsia="zh-CN"/>
        </w:rPr>
        <w:t>76</w:t>
      </w:r>
      <w:r>
        <w:rPr>
          <w:rFonts w:hint="eastAsia" w:ascii="宋体" w:hAnsi="宋体" w:cs="宋体"/>
          <w:color w:val="auto"/>
          <w:sz w:val="28"/>
          <w:szCs w:val="28"/>
        </w:rPr>
        <w:t>；</w:t>
      </w:r>
    </w:p>
    <w:p w14:paraId="1EFAD8C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杨老师 （资产管理处）</w:t>
      </w:r>
      <w:r>
        <w:rPr>
          <w:rFonts w:hint="eastAsia" w:ascii="宋体" w:hAnsi="宋体" w:cs="宋体"/>
          <w:sz w:val="28"/>
          <w:szCs w:val="28"/>
          <w:lang w:val="en-US" w:eastAsia="zh-CN"/>
        </w:rPr>
        <w:tab/>
      </w:r>
      <w:r>
        <w:rPr>
          <w:rFonts w:hint="eastAsia" w:ascii="宋体" w:hAnsi="宋体" w:cs="宋体"/>
          <w:sz w:val="28"/>
          <w:szCs w:val="28"/>
          <w:lang w:val="en-US" w:eastAsia="zh-CN"/>
        </w:rPr>
        <w:tab/>
      </w:r>
      <w:r>
        <w:rPr>
          <w:rFonts w:hint="eastAsia" w:ascii="宋体" w:hAnsi="宋体" w:cs="宋体"/>
          <w:sz w:val="28"/>
          <w:szCs w:val="28"/>
          <w:lang w:val="en-US" w:eastAsia="zh-CN"/>
        </w:rPr>
        <w:tab/>
      </w:r>
      <w:r>
        <w:rPr>
          <w:rFonts w:hint="eastAsia" w:ascii="宋体" w:hAnsi="宋体" w:cs="宋体"/>
          <w:sz w:val="28"/>
          <w:szCs w:val="28"/>
          <w:lang w:val="en-US" w:eastAsia="zh-CN"/>
        </w:rPr>
        <w:tab/>
      </w:r>
      <w:r>
        <w:rPr>
          <w:rFonts w:hint="eastAsia" w:ascii="宋体" w:hAnsi="宋体" w:cs="宋体"/>
          <w:sz w:val="28"/>
          <w:szCs w:val="28"/>
        </w:rPr>
        <w:t>联系电话：0513-85679264；</w:t>
      </w:r>
    </w:p>
    <w:p w14:paraId="322B1238">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联系邮箱：jssyzcglc@ jsbc.edu.cn</w:t>
      </w:r>
    </w:p>
    <w:p w14:paraId="516652C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2.监督、投诉联系方式</w:t>
      </w:r>
    </w:p>
    <w:p w14:paraId="7255138B">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电话：0513-85679216，联系邮箱：jssyjjjc@163.com.</w:t>
      </w:r>
    </w:p>
    <w:p w14:paraId="0276A1CF">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3.采购代理机构信息</w:t>
      </w:r>
    </w:p>
    <w:p w14:paraId="62D85FCF">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名 称：江苏中润工程建设咨询有限公司</w:t>
      </w:r>
    </w:p>
    <w:p w14:paraId="4E10637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地址：南通市崇川路58号南通产业技术研究院9号楼1004室</w:t>
      </w:r>
    </w:p>
    <w:p w14:paraId="0AEDF790">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联系方式：王</w:t>
      </w:r>
      <w:r>
        <w:rPr>
          <w:rFonts w:hint="eastAsia" w:ascii="宋体" w:hAnsi="宋体" w:cs="宋体"/>
          <w:sz w:val="28"/>
          <w:szCs w:val="28"/>
          <w:lang w:val="en-US" w:eastAsia="zh-CN"/>
        </w:rPr>
        <w:t xml:space="preserve">工  </w:t>
      </w:r>
      <w:r>
        <w:rPr>
          <w:rFonts w:hint="eastAsia" w:ascii="宋体" w:hAnsi="宋体" w:cs="宋体"/>
          <w:sz w:val="28"/>
          <w:szCs w:val="28"/>
        </w:rPr>
        <w:t>0513-55887688</w:t>
      </w:r>
    </w:p>
    <w:p w14:paraId="03E7FC7D">
      <w:pPr>
        <w:adjustRightInd w:val="0"/>
        <w:snapToGrid w:val="0"/>
        <w:spacing w:line="360" w:lineRule="auto"/>
        <w:jc w:val="center"/>
        <w:outlineLvl w:val="0"/>
        <w:rPr>
          <w:rFonts w:ascii="宋体" w:hAnsi="宋体" w:cs="宋体"/>
          <w:bCs/>
          <w:color w:val="auto"/>
          <w:sz w:val="36"/>
          <w:szCs w:val="36"/>
        </w:rPr>
      </w:pPr>
    </w:p>
    <w:p w14:paraId="12FE1FA6">
      <w:pPr>
        <w:adjustRightInd w:val="0"/>
        <w:snapToGrid w:val="0"/>
        <w:spacing w:line="360" w:lineRule="auto"/>
        <w:jc w:val="center"/>
        <w:outlineLvl w:val="0"/>
        <w:rPr>
          <w:rFonts w:ascii="宋体" w:hAnsi="宋体" w:cs="宋体"/>
          <w:bCs/>
          <w:color w:val="auto"/>
          <w:sz w:val="36"/>
          <w:szCs w:val="36"/>
        </w:rPr>
      </w:pPr>
    </w:p>
    <w:p w14:paraId="37DEF453">
      <w:pPr>
        <w:adjustRightInd w:val="0"/>
        <w:snapToGrid w:val="0"/>
        <w:spacing w:line="360" w:lineRule="auto"/>
        <w:jc w:val="center"/>
        <w:outlineLvl w:val="0"/>
        <w:rPr>
          <w:rFonts w:ascii="宋体" w:hAnsi="宋体" w:cs="宋体"/>
          <w:bCs/>
          <w:color w:val="auto"/>
          <w:sz w:val="36"/>
          <w:szCs w:val="36"/>
        </w:rPr>
      </w:pPr>
    </w:p>
    <w:p w14:paraId="370458FF">
      <w:pPr>
        <w:adjustRightInd w:val="0"/>
        <w:snapToGrid w:val="0"/>
        <w:spacing w:line="360" w:lineRule="auto"/>
        <w:jc w:val="center"/>
        <w:outlineLvl w:val="0"/>
        <w:rPr>
          <w:rFonts w:ascii="宋体" w:hAnsi="宋体" w:cs="宋体"/>
          <w:bCs/>
          <w:color w:val="auto"/>
          <w:sz w:val="36"/>
          <w:szCs w:val="36"/>
        </w:rPr>
      </w:pPr>
    </w:p>
    <w:p w14:paraId="0389CD97">
      <w:pPr>
        <w:adjustRightInd w:val="0"/>
        <w:snapToGrid w:val="0"/>
        <w:spacing w:line="360" w:lineRule="auto"/>
        <w:jc w:val="center"/>
        <w:outlineLvl w:val="0"/>
        <w:rPr>
          <w:rFonts w:ascii="宋体" w:hAnsi="宋体" w:cs="宋体"/>
          <w:bCs/>
          <w:color w:val="auto"/>
          <w:sz w:val="36"/>
          <w:szCs w:val="36"/>
        </w:rPr>
      </w:pPr>
    </w:p>
    <w:p w14:paraId="6F98A37C">
      <w:pPr>
        <w:adjustRightInd w:val="0"/>
        <w:snapToGrid w:val="0"/>
        <w:spacing w:line="360" w:lineRule="auto"/>
        <w:jc w:val="center"/>
        <w:outlineLvl w:val="0"/>
        <w:rPr>
          <w:rFonts w:ascii="宋体" w:hAnsi="宋体" w:cs="宋体"/>
          <w:bCs/>
          <w:color w:val="auto"/>
          <w:sz w:val="36"/>
          <w:szCs w:val="36"/>
        </w:rPr>
      </w:pPr>
    </w:p>
    <w:p w14:paraId="712A3F89">
      <w:pPr>
        <w:adjustRightInd w:val="0"/>
        <w:snapToGrid w:val="0"/>
        <w:spacing w:line="360" w:lineRule="auto"/>
        <w:jc w:val="center"/>
        <w:outlineLvl w:val="0"/>
        <w:rPr>
          <w:rFonts w:ascii="宋体" w:hAnsi="宋体" w:cs="宋体"/>
          <w:bCs/>
          <w:color w:val="auto"/>
          <w:sz w:val="36"/>
          <w:szCs w:val="36"/>
        </w:rPr>
      </w:pPr>
    </w:p>
    <w:p w14:paraId="12FF7444">
      <w:pPr>
        <w:adjustRightInd w:val="0"/>
        <w:snapToGrid w:val="0"/>
        <w:spacing w:line="360" w:lineRule="auto"/>
        <w:outlineLvl w:val="0"/>
        <w:rPr>
          <w:rFonts w:ascii="宋体" w:hAnsi="宋体" w:cs="宋体"/>
          <w:bCs/>
          <w:color w:val="auto"/>
          <w:sz w:val="36"/>
          <w:szCs w:val="36"/>
        </w:rPr>
      </w:pPr>
    </w:p>
    <w:p w14:paraId="5E6FF6C5">
      <w:pPr>
        <w:adjustRightInd w:val="0"/>
        <w:snapToGrid w:val="0"/>
        <w:spacing w:line="360" w:lineRule="auto"/>
        <w:jc w:val="center"/>
        <w:outlineLvl w:val="0"/>
        <w:rPr>
          <w:rFonts w:ascii="宋体" w:hAnsi="宋体" w:cs="宋体"/>
          <w:bCs/>
          <w:color w:val="auto"/>
          <w:sz w:val="36"/>
          <w:szCs w:val="36"/>
        </w:rPr>
      </w:pPr>
    </w:p>
    <w:p w14:paraId="253F7526">
      <w:pPr>
        <w:adjustRightInd w:val="0"/>
        <w:snapToGrid w:val="0"/>
        <w:spacing w:line="360" w:lineRule="auto"/>
        <w:jc w:val="center"/>
        <w:outlineLvl w:val="0"/>
        <w:rPr>
          <w:rFonts w:ascii="宋体" w:hAnsi="宋体" w:cs="宋体"/>
          <w:bCs/>
          <w:color w:val="auto"/>
          <w:sz w:val="36"/>
          <w:szCs w:val="36"/>
        </w:rPr>
      </w:pPr>
    </w:p>
    <w:p w14:paraId="721C34BE">
      <w:pPr>
        <w:adjustRightInd w:val="0"/>
        <w:snapToGrid w:val="0"/>
        <w:spacing w:line="360" w:lineRule="auto"/>
        <w:jc w:val="center"/>
        <w:outlineLvl w:val="0"/>
        <w:rPr>
          <w:rFonts w:ascii="宋体" w:hAnsi="宋体" w:cs="宋体"/>
          <w:bCs/>
          <w:color w:val="auto"/>
          <w:sz w:val="36"/>
          <w:szCs w:val="36"/>
        </w:rPr>
      </w:pPr>
      <w:r>
        <w:rPr>
          <w:rFonts w:hint="eastAsia" w:ascii="宋体" w:hAnsi="宋体" w:cs="宋体"/>
          <w:bCs/>
          <w:color w:val="auto"/>
          <w:sz w:val="36"/>
          <w:szCs w:val="36"/>
        </w:rPr>
        <w:br w:type="page"/>
      </w:r>
      <w:r>
        <w:rPr>
          <w:rFonts w:hint="eastAsia" w:ascii="宋体" w:hAnsi="宋体" w:cs="宋体"/>
          <w:bCs/>
          <w:color w:val="auto"/>
          <w:sz w:val="36"/>
          <w:szCs w:val="36"/>
        </w:rPr>
        <w:t>第二部分 磋商须知</w:t>
      </w:r>
    </w:p>
    <w:p w14:paraId="64CE3916">
      <w:pPr>
        <w:keepNext/>
        <w:keepLines/>
        <w:adjustRightInd w:val="0"/>
        <w:snapToGrid w:val="0"/>
        <w:spacing w:line="460" w:lineRule="exact"/>
        <w:ind w:firstLine="562" w:firstLineChars="200"/>
        <w:outlineLvl w:val="1"/>
        <w:rPr>
          <w:rFonts w:ascii="宋体" w:hAnsi="宋体" w:cs="宋体"/>
          <w:b/>
          <w:bCs/>
          <w:color w:val="auto"/>
          <w:kern w:val="0"/>
          <w:sz w:val="28"/>
          <w:szCs w:val="28"/>
        </w:rPr>
      </w:pPr>
      <w:bookmarkStart w:id="0" w:name="_Toc120614214"/>
      <w:bookmarkStart w:id="1" w:name="_Toc20823275"/>
      <w:bookmarkStart w:id="2" w:name="_Toc16938519"/>
      <w:bookmarkStart w:id="3" w:name="_Toc513029203"/>
      <w:r>
        <w:rPr>
          <w:rFonts w:hint="eastAsia" w:ascii="宋体" w:hAnsi="宋体" w:cs="宋体"/>
          <w:b/>
          <w:bCs/>
          <w:color w:val="auto"/>
          <w:kern w:val="0"/>
          <w:sz w:val="28"/>
          <w:szCs w:val="28"/>
        </w:rPr>
        <w:t>一、总则</w:t>
      </w:r>
      <w:bookmarkEnd w:id="0"/>
      <w:bookmarkEnd w:id="1"/>
      <w:bookmarkEnd w:id="2"/>
      <w:bookmarkEnd w:id="3"/>
    </w:p>
    <w:p w14:paraId="79929857">
      <w:pPr>
        <w:keepNext/>
        <w:adjustRightInd w:val="0"/>
        <w:snapToGrid w:val="0"/>
        <w:spacing w:line="460" w:lineRule="exact"/>
        <w:ind w:firstLine="560" w:firstLineChars="200"/>
        <w:rPr>
          <w:rFonts w:ascii="宋体" w:hAnsi="宋体" w:cs="宋体"/>
          <w:b/>
          <w:bCs/>
          <w:color w:val="auto"/>
          <w:kern w:val="0"/>
          <w:sz w:val="28"/>
          <w:szCs w:val="28"/>
        </w:rPr>
      </w:pPr>
      <w:bookmarkStart w:id="4" w:name="_Hlt16619475"/>
      <w:bookmarkEnd w:id="4"/>
      <w:bookmarkStart w:id="5" w:name="_Toc458694821"/>
      <w:bookmarkStart w:id="6" w:name="_Toc513029204"/>
      <w:bookmarkStart w:id="7" w:name="_Toc16938520"/>
      <w:bookmarkStart w:id="8" w:name="_Toc20823276"/>
      <w:r>
        <w:rPr>
          <w:rFonts w:hint="eastAsia" w:ascii="宋体" w:hAnsi="宋体" w:cs="宋体"/>
          <w:color w:val="auto"/>
          <w:kern w:val="0"/>
          <w:sz w:val="28"/>
          <w:szCs w:val="28"/>
        </w:rPr>
        <w:t>1</w:t>
      </w:r>
      <w:bookmarkEnd w:id="5"/>
      <w:r>
        <w:rPr>
          <w:rFonts w:hint="eastAsia" w:ascii="宋体" w:hAnsi="宋体" w:cs="宋体"/>
          <w:color w:val="auto"/>
          <w:kern w:val="0"/>
          <w:sz w:val="28"/>
          <w:szCs w:val="28"/>
        </w:rPr>
        <w:t>.采购方式</w:t>
      </w:r>
      <w:bookmarkEnd w:id="6"/>
      <w:bookmarkEnd w:id="7"/>
      <w:bookmarkEnd w:id="8"/>
    </w:p>
    <w:p w14:paraId="7EA96C81">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1.1 本次采取磋商方式，本磋商文件仅适用于磋商公告中所述项目。</w:t>
      </w:r>
    </w:p>
    <w:p w14:paraId="4F0147E3">
      <w:pPr>
        <w:keepNext/>
        <w:adjustRightInd w:val="0"/>
        <w:snapToGrid w:val="0"/>
        <w:spacing w:line="460" w:lineRule="exact"/>
        <w:ind w:firstLine="560" w:firstLineChars="200"/>
        <w:rPr>
          <w:rFonts w:ascii="宋体" w:hAnsi="宋体" w:cs="宋体"/>
          <w:b/>
          <w:bCs/>
          <w:color w:val="auto"/>
          <w:kern w:val="0"/>
          <w:sz w:val="28"/>
          <w:szCs w:val="28"/>
        </w:rPr>
      </w:pPr>
      <w:bookmarkStart w:id="9" w:name="_Toc16938521"/>
      <w:bookmarkStart w:id="10" w:name="_Toc20823277"/>
      <w:bookmarkStart w:id="11" w:name="_Toc513029205"/>
      <w:r>
        <w:rPr>
          <w:rFonts w:hint="eastAsia" w:ascii="宋体" w:hAnsi="宋体" w:cs="宋体"/>
          <w:color w:val="auto"/>
          <w:kern w:val="0"/>
          <w:sz w:val="28"/>
          <w:szCs w:val="28"/>
        </w:rPr>
        <w:t>2.合格的</w:t>
      </w:r>
      <w:bookmarkEnd w:id="9"/>
      <w:bookmarkEnd w:id="10"/>
      <w:bookmarkEnd w:id="11"/>
      <w:r>
        <w:rPr>
          <w:rFonts w:hint="eastAsia" w:ascii="宋体" w:hAnsi="宋体" w:cs="宋体"/>
          <w:color w:val="auto"/>
          <w:kern w:val="0"/>
          <w:sz w:val="28"/>
          <w:szCs w:val="28"/>
        </w:rPr>
        <w:t>供应商</w:t>
      </w:r>
    </w:p>
    <w:p w14:paraId="0DDAD78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2.1满足磋商公告中供应商的资格要求的规定。</w:t>
      </w:r>
    </w:p>
    <w:p w14:paraId="6A32201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2.2 满足本文件实质性条款的规定。</w:t>
      </w:r>
    </w:p>
    <w:p w14:paraId="65930D0F">
      <w:pPr>
        <w:keepNext/>
        <w:adjustRightInd w:val="0"/>
        <w:snapToGrid w:val="0"/>
        <w:spacing w:line="460" w:lineRule="exact"/>
        <w:ind w:firstLine="562" w:firstLineChars="200"/>
        <w:rPr>
          <w:rFonts w:ascii="宋体" w:hAnsi="宋体" w:cs="宋体"/>
          <w:b/>
          <w:bCs/>
          <w:color w:val="auto"/>
          <w:kern w:val="0"/>
          <w:sz w:val="28"/>
          <w:szCs w:val="28"/>
        </w:rPr>
      </w:pPr>
      <w:bookmarkStart w:id="12" w:name="_Toc20823278"/>
      <w:bookmarkStart w:id="13" w:name="_Toc513029206"/>
      <w:bookmarkStart w:id="14" w:name="_Toc16938522"/>
      <w:r>
        <w:rPr>
          <w:rFonts w:hint="eastAsia" w:ascii="宋体" w:hAnsi="宋体" w:cs="宋体"/>
          <w:b/>
          <w:bCs/>
          <w:color w:val="auto"/>
          <w:kern w:val="0"/>
          <w:sz w:val="28"/>
          <w:szCs w:val="28"/>
        </w:rPr>
        <w:t>采购项目磋商开始后，不再接受供应商对采购文件（含更正通告等）内容的异议或质询（质疑）。</w:t>
      </w:r>
    </w:p>
    <w:p w14:paraId="71CC8A11">
      <w:pPr>
        <w:keepNext/>
        <w:adjustRightInd w:val="0"/>
        <w:snapToGrid w:val="0"/>
        <w:spacing w:line="460" w:lineRule="exact"/>
        <w:ind w:firstLine="560" w:firstLineChars="200"/>
        <w:rPr>
          <w:rFonts w:ascii="宋体" w:hAnsi="宋体" w:cs="宋体"/>
          <w:b/>
          <w:bCs/>
          <w:color w:val="auto"/>
          <w:kern w:val="0"/>
          <w:sz w:val="28"/>
          <w:szCs w:val="28"/>
        </w:rPr>
      </w:pPr>
      <w:r>
        <w:rPr>
          <w:rFonts w:hint="eastAsia" w:ascii="宋体" w:hAnsi="宋体" w:cs="宋体"/>
          <w:color w:val="auto"/>
          <w:kern w:val="0"/>
          <w:sz w:val="28"/>
          <w:szCs w:val="28"/>
        </w:rPr>
        <w:t>3.适用法律</w:t>
      </w:r>
      <w:bookmarkEnd w:id="12"/>
      <w:bookmarkEnd w:id="13"/>
      <w:bookmarkEnd w:id="14"/>
    </w:p>
    <w:p w14:paraId="3A4C7F95">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3.1 本次采购及由此产生的合同受中华人民共和国有关的法律法规制约和保护。</w:t>
      </w:r>
    </w:p>
    <w:p w14:paraId="0A06CCB2">
      <w:pPr>
        <w:keepNext/>
        <w:adjustRightInd w:val="0"/>
        <w:snapToGrid w:val="0"/>
        <w:spacing w:line="460" w:lineRule="exact"/>
        <w:ind w:firstLine="560" w:firstLineChars="200"/>
        <w:rPr>
          <w:rFonts w:ascii="宋体" w:hAnsi="宋体" w:cs="宋体"/>
          <w:color w:val="auto"/>
          <w:kern w:val="0"/>
          <w:sz w:val="28"/>
          <w:szCs w:val="28"/>
        </w:rPr>
      </w:pPr>
      <w:bookmarkStart w:id="15" w:name="_Toc462564067"/>
      <w:bookmarkStart w:id="16" w:name="_Toc513029207"/>
      <w:bookmarkStart w:id="17" w:name="_Toc16938523"/>
      <w:bookmarkStart w:id="18" w:name="_Toc20823279"/>
      <w:r>
        <w:rPr>
          <w:rFonts w:hint="eastAsia" w:ascii="宋体" w:hAnsi="宋体" w:cs="宋体"/>
          <w:color w:val="auto"/>
          <w:kern w:val="0"/>
          <w:sz w:val="28"/>
          <w:szCs w:val="28"/>
        </w:rPr>
        <w:t>4.磋商费用</w:t>
      </w:r>
      <w:bookmarkEnd w:id="15"/>
      <w:bookmarkEnd w:id="16"/>
      <w:bookmarkEnd w:id="17"/>
      <w:bookmarkEnd w:id="18"/>
    </w:p>
    <w:p w14:paraId="2CD334F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1EDD571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lang w:val="en-US" w:eastAsia="zh-CN"/>
        </w:rPr>
        <w:t>4.2</w:t>
      </w:r>
      <w:r>
        <w:rPr>
          <w:rFonts w:hint="eastAsia" w:ascii="宋体" w:hAnsi="宋体" w:cs="宋体"/>
          <w:color w:val="auto"/>
          <w:sz w:val="28"/>
          <w:szCs w:val="28"/>
        </w:rPr>
        <w:t>本项目代理费</w:t>
      </w:r>
      <w:r>
        <w:rPr>
          <w:rFonts w:hint="eastAsia" w:ascii="宋体" w:hAnsi="宋体" w:cs="宋体"/>
          <w:color w:val="auto"/>
          <w:sz w:val="28"/>
          <w:szCs w:val="28"/>
          <w:lang w:val="en-US" w:eastAsia="zh-CN"/>
        </w:rPr>
        <w:t>2000元，</w:t>
      </w:r>
      <w:r>
        <w:rPr>
          <w:rFonts w:hint="eastAsia" w:ascii="宋体" w:hAnsi="宋体" w:cs="宋体"/>
          <w:sz w:val="28"/>
          <w:szCs w:val="28"/>
        </w:rPr>
        <w:t>由成交供应商支付（均摊支付）</w:t>
      </w:r>
      <w:r>
        <w:rPr>
          <w:rFonts w:hint="eastAsia" w:ascii="宋体" w:hAnsi="宋体" w:cs="宋体"/>
          <w:color w:val="auto"/>
          <w:sz w:val="28"/>
          <w:szCs w:val="28"/>
          <w:lang w:val="en-US" w:eastAsia="zh-CN"/>
        </w:rPr>
        <w:t>，</w:t>
      </w:r>
      <w:r>
        <w:rPr>
          <w:rFonts w:hint="eastAsia" w:ascii="宋体" w:hAnsi="宋体" w:cs="宋体"/>
          <w:color w:val="auto"/>
          <w:sz w:val="28"/>
          <w:szCs w:val="28"/>
        </w:rPr>
        <w:t>供应商报价时应综合考虑（不单列）。</w:t>
      </w:r>
    </w:p>
    <w:p w14:paraId="76AD7915">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代理费等费用定标后由成交候选人支付给代理机构。因成交人原因导致成交结果变更或取消成交资格等，代理费不予退还。</w:t>
      </w:r>
    </w:p>
    <w:p w14:paraId="3E600F0D">
      <w:pPr>
        <w:keepNext/>
        <w:adjustRightInd w:val="0"/>
        <w:snapToGrid w:val="0"/>
        <w:spacing w:line="460" w:lineRule="exact"/>
        <w:ind w:firstLine="560" w:firstLineChars="200"/>
        <w:rPr>
          <w:rFonts w:ascii="宋体" w:hAnsi="宋体" w:cs="宋体"/>
          <w:b/>
          <w:bCs/>
          <w:color w:val="auto"/>
          <w:kern w:val="0"/>
          <w:sz w:val="28"/>
          <w:szCs w:val="28"/>
        </w:rPr>
      </w:pPr>
      <w:r>
        <w:rPr>
          <w:rFonts w:hint="eastAsia" w:ascii="宋体" w:hAnsi="宋体" w:cs="宋体"/>
          <w:color w:val="auto"/>
          <w:kern w:val="0"/>
          <w:sz w:val="28"/>
          <w:szCs w:val="28"/>
        </w:rPr>
        <w:t>5.磋商文件的约束力</w:t>
      </w:r>
    </w:p>
    <w:p w14:paraId="76555F2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5.1</w:t>
      </w:r>
      <w:r>
        <w:rPr>
          <w:rFonts w:hint="eastAsia" w:ascii="宋体" w:hAnsi="宋体" w:cs="宋体"/>
          <w:color w:val="auto"/>
          <w:sz w:val="28"/>
          <w:szCs w:val="28"/>
        </w:rPr>
        <w:t xml:space="preserve"> 供应商一旦参加本项目采购活动，即被认为接受了本磋商文件的规定和约束。</w:t>
      </w:r>
    </w:p>
    <w:p w14:paraId="34989817">
      <w:pPr>
        <w:keepNext/>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6.磋商文件的解释</w:t>
      </w:r>
    </w:p>
    <w:p w14:paraId="524A695D">
      <w:pPr>
        <w:adjustRightInd w:val="0"/>
        <w:snapToGrid w:val="0"/>
        <w:spacing w:line="460" w:lineRule="exact"/>
        <w:ind w:firstLine="560" w:firstLineChars="200"/>
        <w:rPr>
          <w:rFonts w:hint="eastAsia" w:ascii="宋体" w:hAnsi="宋体" w:cs="宋体"/>
          <w:color w:val="auto"/>
          <w:sz w:val="28"/>
          <w:szCs w:val="28"/>
        </w:rPr>
      </w:pPr>
      <w:r>
        <w:rPr>
          <w:rFonts w:hint="eastAsia" w:ascii="宋体" w:hAnsi="宋体" w:cs="宋体"/>
          <w:bCs/>
          <w:color w:val="auto"/>
          <w:sz w:val="28"/>
          <w:szCs w:val="28"/>
        </w:rPr>
        <w:t>6.1</w:t>
      </w:r>
      <w:r>
        <w:rPr>
          <w:rFonts w:hint="eastAsia" w:ascii="宋体" w:hAnsi="宋体" w:cs="宋体"/>
          <w:color w:val="auto"/>
          <w:sz w:val="28"/>
          <w:szCs w:val="28"/>
        </w:rPr>
        <w:t>磋商文件需求部分（供应商资格要求、项目需求、商务技术评分标准）由采购人解释，其它部分由采购代理机构解释。</w:t>
      </w:r>
      <w:bookmarkStart w:id="19" w:name="_Toc120614215"/>
      <w:bookmarkStart w:id="20" w:name="_Toc20823281"/>
      <w:bookmarkStart w:id="21" w:name="_Toc16938525"/>
      <w:bookmarkStart w:id="22" w:name="_Toc513029209"/>
    </w:p>
    <w:p w14:paraId="6D7A7202">
      <w:pPr>
        <w:numPr>
          <w:ilvl w:val="0"/>
          <w:numId w:val="0"/>
        </w:numPr>
        <w:adjustRightInd w:val="0"/>
        <w:snapToGrid w:val="0"/>
        <w:spacing w:line="460" w:lineRule="exact"/>
        <w:ind w:firstLine="562" w:firstLineChars="200"/>
        <w:rPr>
          <w:rFonts w:hint="eastAsia" w:ascii="宋体" w:hAnsi="宋体" w:cs="宋体"/>
          <w:b/>
          <w:bCs/>
          <w:color w:val="auto"/>
          <w:kern w:val="0"/>
          <w:sz w:val="28"/>
          <w:szCs w:val="28"/>
        </w:rPr>
      </w:pPr>
      <w:r>
        <w:rPr>
          <w:rFonts w:hint="eastAsia" w:ascii="宋体" w:hAnsi="宋体" w:eastAsia="宋体" w:cs="宋体"/>
          <w:b/>
          <w:bCs/>
          <w:color w:val="auto"/>
          <w:kern w:val="0"/>
          <w:sz w:val="28"/>
          <w:szCs w:val="28"/>
          <w:lang w:val="en-US" w:eastAsia="zh-CN" w:bidi="ar-SA"/>
        </w:rPr>
        <w:t>二、</w:t>
      </w:r>
      <w:r>
        <w:rPr>
          <w:rFonts w:hint="eastAsia" w:ascii="宋体" w:hAnsi="宋体" w:cs="宋体"/>
          <w:b/>
          <w:bCs/>
          <w:color w:val="auto"/>
          <w:kern w:val="0"/>
          <w:sz w:val="28"/>
          <w:szCs w:val="28"/>
        </w:rPr>
        <w:t>磋商文件</w:t>
      </w:r>
      <w:bookmarkEnd w:id="19"/>
      <w:bookmarkEnd w:id="20"/>
      <w:bookmarkEnd w:id="21"/>
      <w:bookmarkEnd w:id="22"/>
      <w:bookmarkStart w:id="23" w:name="_Toc513029210"/>
      <w:bookmarkStart w:id="24" w:name="_Toc16938526"/>
      <w:bookmarkStart w:id="25" w:name="_Toc20823282"/>
    </w:p>
    <w:p w14:paraId="48577EF3">
      <w:pPr>
        <w:numPr>
          <w:ilvl w:val="0"/>
          <w:numId w:val="0"/>
        </w:numPr>
        <w:adjustRightInd w:val="0"/>
        <w:snapToGrid w:val="0"/>
        <w:spacing w:line="460" w:lineRule="exact"/>
        <w:ind w:firstLine="560" w:firstLineChars="200"/>
        <w:rPr>
          <w:rFonts w:ascii="宋体" w:hAnsi="宋体" w:cs="宋体"/>
          <w:b/>
          <w:bCs/>
          <w:color w:val="auto"/>
          <w:kern w:val="0"/>
          <w:sz w:val="28"/>
          <w:szCs w:val="28"/>
        </w:rPr>
      </w:pPr>
      <w:r>
        <w:rPr>
          <w:rFonts w:hint="eastAsia" w:ascii="宋体" w:hAnsi="宋体" w:cs="宋体"/>
          <w:color w:val="auto"/>
          <w:kern w:val="0"/>
          <w:sz w:val="28"/>
          <w:szCs w:val="28"/>
        </w:rPr>
        <w:t>1.磋商文件构成</w:t>
      </w:r>
      <w:bookmarkEnd w:id="23"/>
      <w:bookmarkEnd w:id="24"/>
      <w:bookmarkEnd w:id="25"/>
    </w:p>
    <w:p w14:paraId="756AB921">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1.1</w:t>
      </w:r>
      <w:r>
        <w:rPr>
          <w:rFonts w:hint="eastAsia" w:ascii="宋体" w:hAnsi="宋体" w:cs="宋体"/>
          <w:color w:val="auto"/>
          <w:sz w:val="28"/>
          <w:szCs w:val="28"/>
        </w:rPr>
        <w:t xml:space="preserve"> 磋商文件由以下部分组成：</w:t>
      </w:r>
    </w:p>
    <w:p w14:paraId="3D722506">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（1）磋商公告</w:t>
      </w:r>
    </w:p>
    <w:p w14:paraId="3C8EADA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（2）磋商须知</w:t>
      </w:r>
    </w:p>
    <w:p w14:paraId="5425C902">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（3）项目需求</w:t>
      </w:r>
    </w:p>
    <w:p w14:paraId="13E3073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（4）评审方法和评审标准</w:t>
      </w:r>
    </w:p>
    <w:p w14:paraId="59AC78E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（5）响应文件组成</w:t>
      </w:r>
    </w:p>
    <w:p w14:paraId="117CD9EB">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（6）附件</w:t>
      </w:r>
    </w:p>
    <w:p w14:paraId="1591F3E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请仔细检查磋商文件是否齐全，如有缺漏请立即与采购代理机构联系解决。</w:t>
      </w:r>
    </w:p>
    <w:p w14:paraId="577323E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1.2</w:t>
      </w:r>
      <w:r>
        <w:rPr>
          <w:rFonts w:hint="eastAsia" w:ascii="宋体" w:hAnsi="宋体" w:cs="宋体"/>
          <w:color w:val="auto"/>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adjustRightInd w:val="0"/>
        <w:snapToGrid w:val="0"/>
        <w:spacing w:line="460" w:lineRule="exact"/>
        <w:ind w:firstLine="560" w:firstLineChars="200"/>
        <w:rPr>
          <w:rFonts w:ascii="宋体" w:hAnsi="宋体" w:cs="宋体"/>
          <w:b/>
          <w:bCs/>
          <w:color w:val="auto"/>
          <w:kern w:val="0"/>
          <w:sz w:val="28"/>
          <w:szCs w:val="28"/>
        </w:rPr>
      </w:pPr>
      <w:bookmarkStart w:id="26" w:name="_Toc513029211"/>
      <w:bookmarkStart w:id="27" w:name="_Toc462564070"/>
      <w:bookmarkStart w:id="28" w:name="_Toc20823283"/>
      <w:bookmarkStart w:id="29" w:name="_Toc16938527"/>
      <w:r>
        <w:rPr>
          <w:rFonts w:hint="eastAsia" w:ascii="宋体" w:hAnsi="宋体" w:cs="宋体"/>
          <w:color w:val="auto"/>
          <w:kern w:val="0"/>
          <w:sz w:val="28"/>
          <w:szCs w:val="28"/>
        </w:rPr>
        <w:t>2.磋商文件的澄清</w:t>
      </w:r>
      <w:bookmarkEnd w:id="26"/>
      <w:bookmarkEnd w:id="27"/>
      <w:bookmarkEnd w:id="28"/>
      <w:bookmarkEnd w:id="29"/>
    </w:p>
    <w:p w14:paraId="7053AD7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2.1</w:t>
      </w:r>
      <w:r>
        <w:rPr>
          <w:rFonts w:hint="eastAsia" w:ascii="宋体" w:hAnsi="宋体" w:cs="宋体"/>
          <w:color w:val="auto"/>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2.2采购人视情组织答疑会</w:t>
      </w:r>
    </w:p>
    <w:p w14:paraId="54DE4371">
      <w:pPr>
        <w:keepNext/>
        <w:adjustRightInd w:val="0"/>
        <w:snapToGrid w:val="0"/>
        <w:spacing w:line="460" w:lineRule="exact"/>
        <w:ind w:firstLine="560" w:firstLineChars="200"/>
        <w:rPr>
          <w:rFonts w:ascii="宋体" w:hAnsi="宋体" w:cs="宋体"/>
          <w:b/>
          <w:bCs/>
          <w:color w:val="auto"/>
          <w:kern w:val="0"/>
          <w:sz w:val="28"/>
          <w:szCs w:val="28"/>
        </w:rPr>
      </w:pPr>
      <w:bookmarkStart w:id="30" w:name="_Toc513029212"/>
      <w:bookmarkStart w:id="31" w:name="_Toc462564071"/>
      <w:bookmarkStart w:id="32" w:name="_Toc20823284"/>
      <w:bookmarkStart w:id="33" w:name="_Toc16938528"/>
      <w:r>
        <w:rPr>
          <w:rFonts w:hint="eastAsia" w:ascii="宋体" w:hAnsi="宋体" w:cs="宋体"/>
          <w:color w:val="auto"/>
          <w:kern w:val="0"/>
          <w:sz w:val="28"/>
          <w:szCs w:val="28"/>
        </w:rPr>
        <w:t>3.磋商文件的修改</w:t>
      </w:r>
      <w:bookmarkEnd w:id="30"/>
      <w:bookmarkEnd w:id="31"/>
      <w:bookmarkEnd w:id="32"/>
      <w:bookmarkEnd w:id="33"/>
    </w:p>
    <w:p w14:paraId="3671D96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3.1</w:t>
      </w:r>
      <w:r>
        <w:rPr>
          <w:rFonts w:hint="eastAsia" w:ascii="宋体" w:hAnsi="宋体" w:cs="宋体"/>
          <w:color w:val="auto"/>
          <w:sz w:val="28"/>
          <w:szCs w:val="28"/>
        </w:rPr>
        <w:t xml:space="preserve"> 在响应文件提交截止时间前，采购代理机构可以对磋商文件进行修改。</w:t>
      </w:r>
    </w:p>
    <w:p w14:paraId="2394A3C7">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 xml:space="preserve">3.2 </w:t>
      </w:r>
      <w:r>
        <w:rPr>
          <w:rFonts w:hint="eastAsia" w:ascii="宋体" w:hAnsi="宋体" w:cs="宋体"/>
          <w:color w:val="auto"/>
          <w:sz w:val="28"/>
          <w:szCs w:val="28"/>
        </w:rPr>
        <w:t>采购代理机构有权按照法定的要求推迟响应文件提交截止日期和磋商日期。</w:t>
      </w:r>
    </w:p>
    <w:p w14:paraId="7E0AB8D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 xml:space="preserve">3.3 </w:t>
      </w:r>
      <w:r>
        <w:rPr>
          <w:rFonts w:hint="eastAsia" w:ascii="宋体" w:hAnsi="宋体" w:cs="宋体"/>
          <w:color w:val="auto"/>
          <w:sz w:val="28"/>
          <w:szCs w:val="28"/>
        </w:rPr>
        <w:t>磋商文件的修改将在</w:t>
      </w:r>
      <w:r>
        <w:rPr>
          <w:rFonts w:hint="eastAsia" w:ascii="宋体" w:hAnsi="宋体" w:cs="宋体"/>
          <w:color w:val="auto"/>
          <w:sz w:val="28"/>
          <w:szCs w:val="28"/>
          <w:lang w:eastAsia="zh-CN"/>
        </w:rPr>
        <w:t>江苏商贸职业学院网站</w:t>
      </w:r>
      <w:r>
        <w:rPr>
          <w:rFonts w:hint="eastAsia" w:ascii="宋体" w:hAnsi="宋体" w:cs="宋体"/>
          <w:color w:val="auto"/>
          <w:sz w:val="28"/>
          <w:szCs w:val="28"/>
        </w:rPr>
        <w:t>公布，补充文件将作为磋商文件的组成部分，并对供应商具有约束力。</w:t>
      </w:r>
    </w:p>
    <w:p w14:paraId="686F08D0">
      <w:pPr>
        <w:keepNext/>
        <w:keepLines/>
        <w:adjustRightInd w:val="0"/>
        <w:snapToGrid w:val="0"/>
        <w:spacing w:line="460" w:lineRule="exact"/>
        <w:ind w:firstLine="562" w:firstLineChars="200"/>
        <w:outlineLvl w:val="1"/>
        <w:rPr>
          <w:rFonts w:ascii="宋体" w:hAnsi="宋体" w:cs="宋体"/>
          <w:b/>
          <w:bCs/>
          <w:color w:val="auto"/>
          <w:kern w:val="0"/>
          <w:sz w:val="28"/>
          <w:szCs w:val="28"/>
        </w:rPr>
      </w:pPr>
      <w:bookmarkStart w:id="34" w:name="_Toc20823285"/>
      <w:bookmarkStart w:id="35" w:name="_Toc16938529"/>
      <w:bookmarkStart w:id="36" w:name="_Toc462564072"/>
      <w:bookmarkStart w:id="37" w:name="_Toc513029213"/>
      <w:bookmarkStart w:id="38" w:name="_Toc120614216"/>
      <w:r>
        <w:rPr>
          <w:rFonts w:hint="eastAsia" w:ascii="宋体" w:hAnsi="宋体" w:cs="宋体"/>
          <w:b/>
          <w:bCs/>
          <w:color w:val="auto"/>
          <w:kern w:val="0"/>
          <w:sz w:val="28"/>
          <w:szCs w:val="28"/>
        </w:rPr>
        <w:t>三、响应文件的编制</w:t>
      </w:r>
      <w:bookmarkEnd w:id="34"/>
      <w:bookmarkEnd w:id="35"/>
      <w:bookmarkEnd w:id="36"/>
      <w:bookmarkEnd w:id="37"/>
      <w:bookmarkEnd w:id="38"/>
    </w:p>
    <w:p w14:paraId="362E80B0">
      <w:pPr>
        <w:keepNext/>
        <w:adjustRightInd w:val="0"/>
        <w:snapToGrid w:val="0"/>
        <w:spacing w:line="460" w:lineRule="exact"/>
        <w:ind w:firstLine="560" w:firstLineChars="200"/>
        <w:rPr>
          <w:rFonts w:ascii="宋体" w:hAnsi="宋体" w:cs="宋体"/>
          <w:bCs/>
          <w:color w:val="auto"/>
          <w:kern w:val="0"/>
          <w:sz w:val="28"/>
          <w:szCs w:val="28"/>
        </w:rPr>
      </w:pPr>
      <w:bookmarkStart w:id="39" w:name="_Toc513029214"/>
      <w:bookmarkStart w:id="40" w:name="_Toc16938530"/>
      <w:bookmarkStart w:id="41" w:name="_Toc462564073"/>
      <w:bookmarkStart w:id="42" w:name="_Toc20823286"/>
      <w:r>
        <w:rPr>
          <w:rFonts w:hint="eastAsia" w:ascii="宋体" w:hAnsi="宋体" w:cs="宋体"/>
          <w:color w:val="auto"/>
          <w:kern w:val="0"/>
          <w:sz w:val="28"/>
          <w:szCs w:val="28"/>
        </w:rPr>
        <w:t>1.响应文件的语言及度量衡单位</w:t>
      </w:r>
      <w:bookmarkEnd w:id="39"/>
      <w:bookmarkEnd w:id="40"/>
      <w:bookmarkEnd w:id="41"/>
      <w:bookmarkEnd w:id="42"/>
    </w:p>
    <w:p w14:paraId="5A6A2A14">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1.1</w:t>
      </w:r>
      <w:r>
        <w:rPr>
          <w:rFonts w:hint="eastAsia" w:ascii="宋体" w:hAnsi="宋体" w:cs="宋体"/>
          <w:color w:val="auto"/>
          <w:sz w:val="28"/>
          <w:szCs w:val="28"/>
        </w:rPr>
        <w:t>供应商提交的响应文件以及供应商与采购代理机构及采购人就有关磋商的所有来往通知、函件和文件均应使用</w:t>
      </w:r>
      <w:r>
        <w:rPr>
          <w:rFonts w:hint="eastAsia" w:ascii="宋体" w:hAnsi="宋体" w:cs="宋体"/>
          <w:bCs/>
          <w:color w:val="auto"/>
          <w:sz w:val="28"/>
          <w:szCs w:val="28"/>
        </w:rPr>
        <w:t>简体中文</w:t>
      </w:r>
      <w:r>
        <w:rPr>
          <w:rFonts w:hint="eastAsia" w:ascii="宋体" w:hAnsi="宋体" w:cs="宋体"/>
          <w:color w:val="auto"/>
          <w:sz w:val="28"/>
          <w:szCs w:val="28"/>
        </w:rPr>
        <w:t>。</w:t>
      </w:r>
    </w:p>
    <w:p w14:paraId="5E83CA3C">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1.2</w:t>
      </w:r>
      <w:r>
        <w:rPr>
          <w:rFonts w:hint="eastAsia" w:ascii="宋体" w:hAnsi="宋体" w:cs="宋体"/>
          <w:color w:val="auto"/>
          <w:sz w:val="28"/>
          <w:szCs w:val="28"/>
        </w:rPr>
        <w:t xml:space="preserve"> 除技术性能另有规定外，响应文件所使用的度量衡单位，均须采用国家法定计量单位。</w:t>
      </w:r>
    </w:p>
    <w:p w14:paraId="1D18C6F1">
      <w:pPr>
        <w:keepNext/>
        <w:adjustRightInd w:val="0"/>
        <w:snapToGrid w:val="0"/>
        <w:spacing w:line="460" w:lineRule="exact"/>
        <w:ind w:firstLine="560" w:firstLineChars="200"/>
        <w:rPr>
          <w:rFonts w:ascii="宋体" w:hAnsi="宋体" w:cs="宋体"/>
          <w:b/>
          <w:bCs/>
          <w:color w:val="auto"/>
          <w:kern w:val="0"/>
          <w:sz w:val="28"/>
          <w:szCs w:val="28"/>
        </w:rPr>
      </w:pPr>
      <w:bookmarkStart w:id="43" w:name="_Toc20823287"/>
      <w:bookmarkStart w:id="44" w:name="_Toc513029215"/>
      <w:bookmarkStart w:id="45" w:name="_Toc462564074"/>
      <w:bookmarkStart w:id="46" w:name="_Toc16938531"/>
      <w:r>
        <w:rPr>
          <w:rFonts w:hint="eastAsia" w:ascii="宋体" w:hAnsi="宋体" w:cs="宋体"/>
          <w:color w:val="auto"/>
          <w:kern w:val="0"/>
          <w:sz w:val="28"/>
          <w:szCs w:val="28"/>
        </w:rPr>
        <w:t>2.响应文件构成</w:t>
      </w:r>
      <w:bookmarkEnd w:id="43"/>
      <w:bookmarkEnd w:id="44"/>
      <w:bookmarkEnd w:id="45"/>
      <w:bookmarkEnd w:id="46"/>
    </w:p>
    <w:p w14:paraId="771645E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2.1</w:t>
      </w:r>
      <w:r>
        <w:rPr>
          <w:rFonts w:hint="eastAsia" w:ascii="宋体" w:hAnsi="宋体" w:cs="宋体"/>
          <w:color w:val="auto"/>
          <w:sz w:val="28"/>
          <w:szCs w:val="28"/>
        </w:rPr>
        <w:t xml:space="preserve"> 供应商编写的响应文件应包括资格审查文件、商务技术文件、价格文件。供应商按“第五部分 响应文件组成”要求编写响应文件。</w:t>
      </w:r>
    </w:p>
    <w:p w14:paraId="008A854D">
      <w:pPr>
        <w:keepNext/>
        <w:adjustRightInd w:val="0"/>
        <w:snapToGrid w:val="0"/>
        <w:spacing w:line="460" w:lineRule="exact"/>
        <w:ind w:firstLine="560" w:firstLineChars="200"/>
        <w:rPr>
          <w:rFonts w:ascii="宋体" w:hAnsi="宋体" w:cs="宋体"/>
          <w:b/>
          <w:bCs/>
          <w:color w:val="auto"/>
          <w:kern w:val="0"/>
          <w:sz w:val="28"/>
          <w:szCs w:val="28"/>
        </w:rPr>
      </w:pPr>
      <w:bookmarkStart w:id="47" w:name="_Hlt26668975"/>
      <w:bookmarkEnd w:id="47"/>
      <w:bookmarkStart w:id="48" w:name="_Hlt26670360"/>
      <w:bookmarkEnd w:id="48"/>
      <w:bookmarkStart w:id="49" w:name="_Hlt26954838"/>
      <w:bookmarkEnd w:id="49"/>
      <w:bookmarkStart w:id="50" w:name="_Toc14577360"/>
      <w:bookmarkStart w:id="51" w:name="_Toc49090511"/>
      <w:r>
        <w:rPr>
          <w:rFonts w:hint="eastAsia" w:ascii="宋体" w:hAnsi="宋体" w:cs="宋体"/>
          <w:color w:val="auto"/>
          <w:kern w:val="0"/>
          <w:sz w:val="28"/>
          <w:szCs w:val="28"/>
        </w:rPr>
        <w:t>3.</w:t>
      </w:r>
      <w:bookmarkEnd w:id="50"/>
      <w:bookmarkEnd w:id="51"/>
      <w:r>
        <w:rPr>
          <w:rFonts w:hint="eastAsia" w:ascii="宋体" w:hAnsi="宋体" w:cs="宋体"/>
          <w:color w:val="auto"/>
          <w:kern w:val="0"/>
          <w:sz w:val="28"/>
          <w:szCs w:val="28"/>
        </w:rPr>
        <w:t>磋商响应有效期</w:t>
      </w:r>
    </w:p>
    <w:p w14:paraId="31E48D2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3.1磋商响应有效期为采购代理机构规定的响应文件</w:t>
      </w:r>
      <w:r>
        <w:rPr>
          <w:rFonts w:hint="eastAsia" w:ascii="宋体" w:hAnsi="宋体" w:cs="宋体"/>
          <w:color w:val="auto"/>
          <w:sz w:val="28"/>
          <w:szCs w:val="28"/>
        </w:rPr>
        <w:t>提交</w:t>
      </w:r>
      <w:r>
        <w:rPr>
          <w:rFonts w:hint="eastAsia" w:ascii="宋体" w:hAnsi="宋体" w:cs="宋体"/>
          <w:bCs/>
          <w:color w:val="auto"/>
          <w:sz w:val="28"/>
          <w:szCs w:val="28"/>
        </w:rPr>
        <w:t>截止时间后</w:t>
      </w:r>
      <w:r>
        <w:rPr>
          <w:rFonts w:hint="eastAsia" w:ascii="宋体" w:hAnsi="宋体" w:cs="宋体"/>
          <w:b/>
          <w:color w:val="auto"/>
          <w:sz w:val="28"/>
          <w:szCs w:val="28"/>
          <w:u w:val="single"/>
        </w:rPr>
        <w:t>六十（60）天</w:t>
      </w:r>
      <w:r>
        <w:rPr>
          <w:rFonts w:hint="eastAsia" w:ascii="宋体" w:hAnsi="宋体" w:cs="宋体"/>
          <w:bCs/>
          <w:color w:val="auto"/>
          <w:sz w:val="28"/>
          <w:szCs w:val="28"/>
        </w:rPr>
        <w:t>。磋商响应有效期比规定短的将被视为非实质性响应而予以拒绝。</w:t>
      </w:r>
    </w:p>
    <w:p w14:paraId="67CC310E">
      <w:pPr>
        <w:keepNext/>
        <w:adjustRightInd w:val="0"/>
        <w:snapToGrid w:val="0"/>
        <w:spacing w:line="460" w:lineRule="exact"/>
        <w:ind w:firstLine="560" w:firstLineChars="200"/>
        <w:rPr>
          <w:rFonts w:ascii="宋体" w:hAnsi="宋体" w:cs="宋体"/>
          <w:b/>
          <w:bCs/>
          <w:color w:val="auto"/>
          <w:kern w:val="0"/>
          <w:sz w:val="28"/>
          <w:szCs w:val="28"/>
        </w:rPr>
      </w:pPr>
      <w:r>
        <w:rPr>
          <w:rFonts w:hint="eastAsia" w:ascii="宋体" w:hAnsi="宋体" w:cs="宋体"/>
          <w:color w:val="auto"/>
          <w:kern w:val="0"/>
          <w:sz w:val="28"/>
          <w:szCs w:val="28"/>
        </w:rPr>
        <w:t>4. 磋商响应有效期的延长</w:t>
      </w:r>
    </w:p>
    <w:p w14:paraId="08CB7608">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cs="宋体"/>
          <w:color w:val="auto"/>
          <w:sz w:val="28"/>
          <w:szCs w:val="28"/>
        </w:rPr>
        <w:t>受磋商响应有效期约束的所有权利与义务均延长至新的有效期</w:t>
      </w:r>
      <w:r>
        <w:rPr>
          <w:rFonts w:hint="eastAsia" w:ascii="宋体" w:hAnsi="宋体" w:cs="宋体"/>
          <w:bCs/>
          <w:color w:val="auto"/>
          <w:sz w:val="28"/>
          <w:szCs w:val="28"/>
        </w:rPr>
        <w:t>。</w:t>
      </w:r>
    </w:p>
    <w:p w14:paraId="4BF99B39">
      <w:pPr>
        <w:keepNext/>
        <w:keepLines/>
        <w:adjustRightInd w:val="0"/>
        <w:snapToGrid w:val="0"/>
        <w:spacing w:line="460" w:lineRule="exact"/>
        <w:ind w:firstLine="562" w:firstLineChars="200"/>
        <w:outlineLvl w:val="1"/>
        <w:rPr>
          <w:rFonts w:ascii="宋体" w:hAnsi="宋体" w:cs="宋体"/>
          <w:b/>
          <w:bCs/>
          <w:color w:val="auto"/>
          <w:kern w:val="0"/>
          <w:sz w:val="28"/>
          <w:szCs w:val="28"/>
        </w:rPr>
      </w:pPr>
      <w:bookmarkStart w:id="52" w:name="_Hlt26954739"/>
      <w:bookmarkEnd w:id="52"/>
      <w:bookmarkStart w:id="53" w:name="_Hlt26954852"/>
      <w:bookmarkEnd w:id="53"/>
      <w:bookmarkStart w:id="54" w:name="_Toc513029224"/>
      <w:bookmarkStart w:id="55" w:name="_Toc120614217"/>
      <w:bookmarkStart w:id="56" w:name="_Toc16938540"/>
      <w:bookmarkStart w:id="57" w:name="_Toc20823296"/>
      <w:r>
        <w:rPr>
          <w:rFonts w:hint="eastAsia" w:ascii="宋体" w:hAnsi="宋体" w:cs="宋体"/>
          <w:b/>
          <w:bCs/>
          <w:color w:val="auto"/>
          <w:kern w:val="0"/>
          <w:sz w:val="28"/>
          <w:szCs w:val="28"/>
        </w:rPr>
        <w:t>四、响应文件的提交</w:t>
      </w:r>
      <w:bookmarkEnd w:id="54"/>
      <w:bookmarkEnd w:id="55"/>
      <w:bookmarkEnd w:id="56"/>
      <w:bookmarkEnd w:id="57"/>
    </w:p>
    <w:p w14:paraId="06063D9B">
      <w:pPr>
        <w:adjustRightInd w:val="0"/>
        <w:snapToGrid w:val="0"/>
        <w:spacing w:line="460" w:lineRule="exact"/>
        <w:ind w:firstLine="560" w:firstLineChars="200"/>
        <w:rPr>
          <w:rFonts w:ascii="宋体" w:hAnsi="宋体" w:cs="宋体"/>
          <w:color w:val="auto"/>
          <w:kern w:val="0"/>
          <w:sz w:val="28"/>
          <w:szCs w:val="28"/>
        </w:rPr>
      </w:pPr>
      <w:bookmarkStart w:id="58" w:name="_Toc16938542"/>
      <w:bookmarkStart w:id="59" w:name="_Toc20823298"/>
      <w:bookmarkStart w:id="60" w:name="_Toc513029226"/>
      <w:r>
        <w:rPr>
          <w:rFonts w:hint="eastAsia" w:ascii="宋体" w:hAnsi="宋体" w:cs="宋体"/>
          <w:color w:val="auto"/>
          <w:kern w:val="0"/>
          <w:sz w:val="28"/>
          <w:szCs w:val="28"/>
        </w:rPr>
        <w:t>1.响应文件的提交</w:t>
      </w:r>
    </w:p>
    <w:p w14:paraId="464B9DAB">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098B6D40">
      <w:pPr>
        <w:adjustRightInd w:val="0"/>
        <w:snapToGrid w:val="0"/>
        <w:spacing w:line="460" w:lineRule="exact"/>
        <w:ind w:firstLine="560" w:firstLineChars="200"/>
        <w:rPr>
          <w:rFonts w:ascii="宋体" w:hAnsi="宋体" w:cs="宋体"/>
          <w:b/>
          <w:bCs/>
          <w:color w:val="auto"/>
          <w:kern w:val="0"/>
          <w:sz w:val="28"/>
          <w:szCs w:val="28"/>
        </w:rPr>
      </w:pPr>
      <w:r>
        <w:rPr>
          <w:rFonts w:hint="eastAsia" w:ascii="宋体" w:hAnsi="宋体" w:cs="宋体"/>
          <w:color w:val="auto"/>
          <w:kern w:val="0"/>
          <w:sz w:val="28"/>
          <w:szCs w:val="28"/>
        </w:rPr>
        <w:t>1.2纸质响应文件须提供“正本一份、副本</w:t>
      </w:r>
      <w:r>
        <w:rPr>
          <w:rFonts w:hint="eastAsia" w:ascii="宋体" w:hAnsi="宋体" w:cs="宋体"/>
          <w:color w:val="auto"/>
          <w:kern w:val="0"/>
          <w:sz w:val="28"/>
          <w:szCs w:val="28"/>
          <w:lang w:val="en-US" w:eastAsia="zh-CN"/>
        </w:rPr>
        <w:t>二</w:t>
      </w:r>
      <w:r>
        <w:rPr>
          <w:rFonts w:hint="eastAsia" w:ascii="宋体" w:hAnsi="宋体" w:cs="宋体"/>
          <w:color w:val="auto"/>
          <w:kern w:val="0"/>
          <w:sz w:val="28"/>
          <w:szCs w:val="28"/>
        </w:rPr>
        <w:t>份”，可以合并在一个密封袋或密封箱内提交,也可以分别密封提交；如有A3大小的图纸类，可单独密封。密封完好以不泄露投标文件内容为主要判断依据</w:t>
      </w:r>
      <w:r>
        <w:rPr>
          <w:rFonts w:hint="eastAsia" w:ascii="宋体" w:hAnsi="宋体" w:cs="宋体"/>
          <w:b/>
          <w:bCs/>
          <w:color w:val="auto"/>
          <w:kern w:val="0"/>
          <w:sz w:val="28"/>
          <w:szCs w:val="28"/>
        </w:rPr>
        <w:t>（是否严格按照采购文件装袋提交不作为无效标判定依据）。</w:t>
      </w:r>
    </w:p>
    <w:p w14:paraId="55AF014B">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1891B355">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1.4提交电子响应文件一份，电子响应文件的内容为磋商响应文件（含资格审查文件、商务技术文件、价格文件）的打印盖章或电子签章后的扫描件，采取U盘方式单独密封提交。</w:t>
      </w:r>
    </w:p>
    <w:p w14:paraId="737FB2CD">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1.5递交时间：供应商须在规定的响应文件接收截止时间前送达指定地点。供应商提交磋商文件，即视为已响应参加磋商活动。</w:t>
      </w:r>
    </w:p>
    <w:p w14:paraId="2A37CE13">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color w:val="auto"/>
          <w:kern w:val="0"/>
          <w:sz w:val="28"/>
          <w:szCs w:val="28"/>
        </w:rPr>
        <w:t>友情提醒：代理机构将拒绝接收未按照磋商文件要求密封的响应文件，拒绝接收在响应文件接收截止时间后递交的响应文件。</w:t>
      </w:r>
    </w:p>
    <w:p w14:paraId="30322E33">
      <w:pPr>
        <w:adjustRightInd w:val="0"/>
        <w:snapToGrid w:val="0"/>
        <w:spacing w:line="460" w:lineRule="exact"/>
        <w:ind w:firstLine="562" w:firstLineChars="200"/>
        <w:rPr>
          <w:rFonts w:hint="eastAsia" w:ascii="宋体" w:hAnsi="宋体" w:cs="宋体"/>
          <w:b/>
          <w:bCs w:val="0"/>
          <w:color w:val="auto"/>
          <w:sz w:val="28"/>
          <w:szCs w:val="28"/>
        </w:rPr>
      </w:pPr>
      <w:r>
        <w:rPr>
          <w:rFonts w:hint="eastAsia" w:ascii="宋体" w:hAnsi="宋体" w:cs="宋体"/>
          <w:b/>
          <w:bCs w:val="0"/>
          <w:color w:val="auto"/>
          <w:sz w:val="28"/>
          <w:szCs w:val="28"/>
        </w:rPr>
        <w:t>采购人、采购代理机构对投标（响应）文件的格式、形式要求，结合财政部《关于促进政府采购公平竞争优化营商环境的通知》（财库〔2019〕38 号）相关规定实施。</w:t>
      </w:r>
    </w:p>
    <w:p w14:paraId="76FCDFC1">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2.响应文件截止日期</w:t>
      </w:r>
      <w:bookmarkEnd w:id="58"/>
      <w:bookmarkEnd w:id="59"/>
      <w:bookmarkEnd w:id="60"/>
    </w:p>
    <w:p w14:paraId="54003DA3">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2.1 供应商提交响应文件的时间不得迟于磋商公告中规定的响应文件提交截止时间。</w:t>
      </w:r>
    </w:p>
    <w:p w14:paraId="524723C1">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供应商应充分考虑到交通路况、停车等风险因素，如因供应商自身原因造成的磋商响应文件提交不成功由供应商自行承担全部责任。</w:t>
      </w:r>
    </w:p>
    <w:p w14:paraId="341AA663">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color w:val="auto"/>
          <w:sz w:val="28"/>
          <w:szCs w:val="28"/>
        </w:rPr>
        <w:t>2.2</w:t>
      </w:r>
      <w:r>
        <w:rPr>
          <w:rFonts w:hint="eastAsia" w:ascii="宋体" w:hAnsi="宋体" w:cs="宋体"/>
          <w:bCs/>
          <w:color w:val="auto"/>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7308D6D">
      <w:pPr>
        <w:keepNext/>
        <w:adjustRightInd w:val="0"/>
        <w:snapToGrid w:val="0"/>
        <w:spacing w:line="460" w:lineRule="exact"/>
        <w:ind w:firstLine="560" w:firstLineChars="200"/>
        <w:rPr>
          <w:rFonts w:ascii="宋体" w:hAnsi="宋体" w:cs="宋体"/>
          <w:b/>
          <w:bCs/>
          <w:color w:val="auto"/>
          <w:kern w:val="0"/>
          <w:sz w:val="28"/>
          <w:szCs w:val="28"/>
        </w:rPr>
      </w:pPr>
      <w:bookmarkStart w:id="61" w:name="_Toc16938543"/>
      <w:bookmarkStart w:id="62" w:name="_Toc20823299"/>
      <w:bookmarkStart w:id="63" w:name="_Toc513029227"/>
      <w:r>
        <w:rPr>
          <w:rFonts w:hint="eastAsia" w:ascii="宋体" w:hAnsi="宋体" w:cs="宋体"/>
          <w:color w:val="auto"/>
          <w:kern w:val="0"/>
          <w:sz w:val="28"/>
          <w:szCs w:val="28"/>
        </w:rPr>
        <w:t>3.响应文件</w:t>
      </w:r>
      <w:bookmarkEnd w:id="61"/>
      <w:bookmarkEnd w:id="62"/>
      <w:bookmarkEnd w:id="63"/>
      <w:r>
        <w:rPr>
          <w:rFonts w:hint="eastAsia" w:ascii="宋体" w:hAnsi="宋体" w:cs="宋体"/>
          <w:color w:val="auto"/>
          <w:kern w:val="0"/>
          <w:sz w:val="28"/>
          <w:szCs w:val="28"/>
        </w:rPr>
        <w:t>的拒收</w:t>
      </w:r>
    </w:p>
    <w:p w14:paraId="33EE771C">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3.1 采购代理机构拒绝接收在其规定的响应文件提交截止时间后提交的任何响应文件。</w:t>
      </w:r>
    </w:p>
    <w:p w14:paraId="540437CB">
      <w:pPr>
        <w:keepNext/>
        <w:adjustRightInd w:val="0"/>
        <w:snapToGrid w:val="0"/>
        <w:spacing w:line="460" w:lineRule="exact"/>
        <w:ind w:firstLine="560" w:firstLineChars="200"/>
        <w:rPr>
          <w:rFonts w:ascii="宋体" w:hAnsi="宋体" w:cs="宋体"/>
          <w:b/>
          <w:bCs/>
          <w:color w:val="auto"/>
          <w:kern w:val="0"/>
          <w:sz w:val="28"/>
          <w:szCs w:val="28"/>
        </w:rPr>
      </w:pPr>
      <w:bookmarkStart w:id="64" w:name="_Toc20823300"/>
      <w:bookmarkStart w:id="65" w:name="_Toc513029228"/>
      <w:bookmarkStart w:id="66" w:name="_Toc16938544"/>
      <w:r>
        <w:rPr>
          <w:rFonts w:hint="eastAsia" w:ascii="宋体" w:hAnsi="宋体" w:cs="宋体"/>
          <w:color w:val="auto"/>
          <w:kern w:val="0"/>
          <w:sz w:val="28"/>
          <w:szCs w:val="28"/>
        </w:rPr>
        <w:t>4. 响应文件的撤回和修改</w:t>
      </w:r>
      <w:bookmarkEnd w:id="64"/>
      <w:bookmarkEnd w:id="65"/>
      <w:bookmarkEnd w:id="66"/>
    </w:p>
    <w:p w14:paraId="2B44696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4.1 响应文件的撤回</w:t>
      </w:r>
    </w:p>
    <w:p w14:paraId="5B54DC8E">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4.1.1 响应文件的撤回</w:t>
      </w:r>
    </w:p>
    <w:p w14:paraId="5007D89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供应商可在响应文件提交截止时间前，书面撤回其磋商响应文件。</w:t>
      </w:r>
    </w:p>
    <w:p w14:paraId="44987764">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4.1.2 供应商撤回磋商响应文件，则认为其不再参与本项目磋商活动。</w:t>
      </w:r>
    </w:p>
    <w:p w14:paraId="42B191B7">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4.2 响应文件的修改</w:t>
      </w:r>
    </w:p>
    <w:p w14:paraId="5CB20A50">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在响应文件提交截止时间之后，供应商不得再对其提交的响应文件进行修改。</w:t>
      </w:r>
    </w:p>
    <w:p w14:paraId="1632B287">
      <w:pPr>
        <w:keepNext/>
        <w:keepLines/>
        <w:adjustRightInd w:val="0"/>
        <w:snapToGrid w:val="0"/>
        <w:spacing w:line="460" w:lineRule="exact"/>
        <w:ind w:firstLine="562" w:firstLineChars="200"/>
        <w:outlineLvl w:val="1"/>
        <w:rPr>
          <w:rFonts w:ascii="宋体" w:hAnsi="宋体" w:cs="宋体"/>
          <w:b/>
          <w:bCs/>
          <w:color w:val="auto"/>
          <w:kern w:val="0"/>
          <w:sz w:val="28"/>
          <w:szCs w:val="28"/>
        </w:rPr>
      </w:pPr>
      <w:bookmarkStart w:id="67" w:name="_Toc513029229"/>
      <w:bookmarkStart w:id="68" w:name="_Toc16938545"/>
      <w:bookmarkStart w:id="69" w:name="_Toc20823301"/>
      <w:bookmarkStart w:id="70" w:name="_Toc120614218"/>
      <w:r>
        <w:rPr>
          <w:rFonts w:hint="eastAsia" w:ascii="宋体" w:hAnsi="宋体" w:cs="宋体"/>
          <w:b/>
          <w:bCs/>
          <w:color w:val="auto"/>
          <w:kern w:val="0"/>
          <w:sz w:val="28"/>
          <w:szCs w:val="28"/>
        </w:rPr>
        <w:t>五</w:t>
      </w:r>
      <w:bookmarkEnd w:id="67"/>
      <w:bookmarkEnd w:id="68"/>
      <w:bookmarkEnd w:id="69"/>
      <w:bookmarkEnd w:id="70"/>
      <w:bookmarkStart w:id="71" w:name="_Toc513029230"/>
      <w:bookmarkStart w:id="72" w:name="_Toc20823302"/>
      <w:bookmarkStart w:id="73" w:name="_Toc16938546"/>
      <w:r>
        <w:rPr>
          <w:rFonts w:hint="eastAsia" w:ascii="宋体" w:hAnsi="宋体" w:cs="宋体"/>
          <w:b/>
          <w:bCs/>
          <w:color w:val="auto"/>
          <w:kern w:val="0"/>
          <w:sz w:val="28"/>
          <w:szCs w:val="28"/>
        </w:rPr>
        <w:t>、磋商与评审</w:t>
      </w:r>
    </w:p>
    <w:p w14:paraId="76EB63CF">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1.磋商仪式</w:t>
      </w:r>
    </w:p>
    <w:p w14:paraId="32B762C6">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1.1采购代理机构将在磋商公告中规定的时间和地点组织磋商开始仪式。供应商应当在磋商公告中规定的时间和地点参加磋商活动。</w:t>
      </w:r>
    </w:p>
    <w:p w14:paraId="5489240B">
      <w:pPr>
        <w:adjustRightInd w:val="0"/>
        <w:snapToGrid w:val="0"/>
        <w:spacing w:line="460" w:lineRule="exact"/>
        <w:ind w:firstLine="560" w:firstLineChars="200"/>
        <w:rPr>
          <w:rFonts w:ascii="宋体" w:hAnsi="宋体" w:cs="宋体"/>
          <w:b/>
          <w:color w:val="auto"/>
          <w:sz w:val="28"/>
          <w:szCs w:val="28"/>
        </w:rPr>
      </w:pPr>
      <w:r>
        <w:rPr>
          <w:rFonts w:hint="eastAsia" w:ascii="宋体" w:hAnsi="宋体" w:cs="宋体"/>
          <w:bCs/>
          <w:color w:val="auto"/>
          <w:sz w:val="28"/>
          <w:szCs w:val="28"/>
        </w:rPr>
        <w:t>1.2 磋商活动的文件密封性检查工作</w:t>
      </w:r>
      <w:r>
        <w:rPr>
          <w:rFonts w:hint="eastAsia" w:ascii="宋体" w:hAnsi="宋体" w:cs="宋体"/>
          <w:color w:val="auto"/>
          <w:sz w:val="28"/>
          <w:szCs w:val="28"/>
        </w:rPr>
        <w:t>由采购代理机构组织。</w:t>
      </w:r>
    </w:p>
    <w:p w14:paraId="1F0D4A5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1.3供应商在磋商过程中涉及到的磋商文件密封性检查、磋商结果确认等工作，按照采购代理机构指引进行。</w:t>
      </w:r>
    </w:p>
    <w:p w14:paraId="56D0EFBB">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2.磋商小组</w:t>
      </w:r>
    </w:p>
    <w:p w14:paraId="5435F7B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2.1磋商开始仪式结束后，采购代理机构将立即组织磋商小组进行评审。</w:t>
      </w:r>
    </w:p>
    <w:p w14:paraId="43F829F4">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2.3超过公开招标限额标准的项目，磋商小组应当由5人以上单数组成。</w:t>
      </w:r>
    </w:p>
    <w:p w14:paraId="41C611C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2.4采用磋商的采购项目，评审专家应当从政府采购评审专家库内相关专业的专家名单中随机抽取，或者从代理机构的政府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2.5磋商小组独立工作，负责评审所有响应文件并确定成交候选人。</w:t>
      </w:r>
    </w:p>
    <w:p w14:paraId="1A664271">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 磋商评审过程的保密与公正</w:t>
      </w:r>
    </w:p>
    <w:p w14:paraId="608376DD">
      <w:pPr>
        <w:tabs>
          <w:tab w:val="left" w:pos="900"/>
        </w:tabs>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3.1磋商小组、采购人和采购代理机构工作人员、相关监督人员等与评审工作有关的人员，对评审情况以及在评审过程中获悉的国家秘密、商业秘密负有保密责任。</w:t>
      </w:r>
    </w:p>
    <w:p w14:paraId="61B58FF3">
      <w:pPr>
        <w:tabs>
          <w:tab w:val="left" w:pos="900"/>
        </w:tabs>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3.2在磋商评审过程中，磋商供应商不得以任何行为影响磋商评审过程，否则其响应文件将被作为无效响应文件。</w:t>
      </w:r>
    </w:p>
    <w:p w14:paraId="5FDB10A6">
      <w:pPr>
        <w:tabs>
          <w:tab w:val="left" w:pos="900"/>
        </w:tabs>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tabs>
          <w:tab w:val="left" w:pos="900"/>
        </w:tabs>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color w:val="auto"/>
          <w:sz w:val="28"/>
          <w:szCs w:val="28"/>
        </w:rPr>
        <w:t>3.4</w:t>
      </w:r>
      <w:r>
        <w:rPr>
          <w:rFonts w:hint="eastAsia" w:ascii="宋体" w:hAnsi="宋体" w:cs="宋体"/>
          <w:bCs/>
          <w:color w:val="auto"/>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55173DD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3.5在评审期间，采购代理机构将设专门人员与供应商联系。</w:t>
      </w:r>
    </w:p>
    <w:p w14:paraId="2DB2E440">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3.6采购代理机构和评审小组不向未成交的供应商解释未成交原因，也不公布评审过程中的相关细节。</w:t>
      </w:r>
    </w:p>
    <w:p w14:paraId="19FAA9EF">
      <w:pPr>
        <w:tabs>
          <w:tab w:val="left" w:pos="900"/>
        </w:tabs>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4.评审过程的澄清</w:t>
      </w:r>
    </w:p>
    <w:p w14:paraId="39CB2935">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4.1评审期间，为有助于对响应文件的审查、评价和比较，磋商小组有权要求响应人对其响应文件进行澄清，但并非对每个供应商都作澄清要求。</w:t>
      </w:r>
    </w:p>
    <w:p w14:paraId="1E013FC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4.2接到磋商小组澄清要求的供应商应按磋商小组规定的时间和格式做出澄清，澄清的内容作为响应文件的补充部分，但实质性的内容不得做任何更改。</w:t>
      </w:r>
    </w:p>
    <w:p w14:paraId="5BE8B2D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color w:val="auto"/>
          <w:sz w:val="28"/>
          <w:szCs w:val="28"/>
        </w:rPr>
        <w:t>4.3 接到磋商小组澄清要求的供应商如未按规定做出澄清，其风</w:t>
      </w:r>
      <w:r>
        <w:rPr>
          <w:rFonts w:hint="eastAsia" w:ascii="宋体" w:hAnsi="宋体" w:cs="宋体"/>
          <w:bCs/>
          <w:color w:val="auto"/>
          <w:sz w:val="28"/>
          <w:szCs w:val="28"/>
        </w:rPr>
        <w:t>险由供应商自行承担。</w:t>
      </w:r>
    </w:p>
    <w:p w14:paraId="63FCE8F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5.对响应文件的初审</w:t>
      </w:r>
    </w:p>
    <w:p w14:paraId="78E81061">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5.1响应文件初审分为资格性审查和符合性审查。</w:t>
      </w:r>
    </w:p>
    <w:p w14:paraId="526121C5">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5.1.1资格性检查：依据法律法规和磋商文件的规定，由采购人对响应文件中的资格审查文件进行审查。</w:t>
      </w:r>
    </w:p>
    <w:p w14:paraId="4C412BBA">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5.1.2符合性审查：依据磋商文件的规定，由磋商小组从响应文件的有效性、完整性和对磋商文件的响应程度进行审查，以确定是否对磋商文件的实质性要求作出响应。</w:t>
      </w:r>
    </w:p>
    <w:p w14:paraId="70CCD0B7">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5.1.3未通过资格审查或符合性审查的供应商人，采购代理机构将告知未通过资格审查或符合性审查的原因，并记录存档。</w:t>
      </w:r>
    </w:p>
    <w:p w14:paraId="2AF1422D">
      <w:pPr>
        <w:tabs>
          <w:tab w:val="left" w:pos="900"/>
        </w:tabs>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tabs>
          <w:tab w:val="left" w:pos="900"/>
        </w:tabs>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tabs>
          <w:tab w:val="left" w:pos="900"/>
        </w:tabs>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5.3如果响应文件实质上没有响应磋商文件的要求，磋商小组将予以拒绝，供应商不得通过修改或撤销不合要求的偏离或保留而使其响应文件成为实质性响应的文件。</w:t>
      </w:r>
    </w:p>
    <w:p w14:paraId="0A17E42F">
      <w:pPr>
        <w:tabs>
          <w:tab w:val="left" w:pos="900"/>
        </w:tabs>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5.4磋商小组将对确定为实质性响应的文件进行进一步审核，看其是否有计算上或累加上的算术错误，修正错误的原则如下：</w:t>
      </w:r>
    </w:p>
    <w:p w14:paraId="3D77D135">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（1）响应文件中</w:t>
      </w:r>
      <w:r>
        <w:rPr>
          <w:rFonts w:hint="eastAsia" w:ascii="宋体" w:hAnsi="宋体" w:cs="宋体"/>
          <w:color w:val="auto"/>
          <w:kern w:val="0"/>
          <w:sz w:val="28"/>
          <w:szCs w:val="28"/>
        </w:rPr>
        <w:t>报价总表</w:t>
      </w:r>
      <w:r>
        <w:rPr>
          <w:rFonts w:hint="eastAsia" w:ascii="宋体" w:hAnsi="宋体" w:cs="宋体"/>
          <w:bCs/>
          <w:color w:val="auto"/>
          <w:sz w:val="28"/>
          <w:szCs w:val="28"/>
        </w:rPr>
        <w:t>内容与响应文件中相应内容不一致的，以</w:t>
      </w:r>
      <w:r>
        <w:rPr>
          <w:rFonts w:hint="eastAsia" w:ascii="宋体" w:hAnsi="宋体" w:cs="宋体"/>
          <w:color w:val="auto"/>
          <w:kern w:val="0"/>
          <w:sz w:val="28"/>
          <w:szCs w:val="28"/>
        </w:rPr>
        <w:t>报价总表</w:t>
      </w:r>
      <w:r>
        <w:rPr>
          <w:rFonts w:hint="eastAsia" w:ascii="宋体" w:hAnsi="宋体" w:cs="宋体"/>
          <w:bCs/>
          <w:color w:val="auto"/>
          <w:sz w:val="28"/>
          <w:szCs w:val="28"/>
        </w:rPr>
        <w:t>为准。</w:t>
      </w:r>
    </w:p>
    <w:p w14:paraId="78801776">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（2）大写金额和小写金额不一致的，以大写金额为准。</w:t>
      </w:r>
    </w:p>
    <w:p w14:paraId="30A906B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（3）单价金额小数点或者百分比有明显错位的，以</w:t>
      </w:r>
      <w:r>
        <w:rPr>
          <w:rFonts w:hint="eastAsia" w:ascii="宋体" w:hAnsi="宋体" w:cs="宋体"/>
          <w:color w:val="auto"/>
          <w:kern w:val="0"/>
          <w:sz w:val="28"/>
          <w:szCs w:val="28"/>
        </w:rPr>
        <w:t>报价总表</w:t>
      </w:r>
      <w:r>
        <w:rPr>
          <w:rFonts w:hint="eastAsia" w:ascii="宋体" w:hAnsi="宋体" w:cs="宋体"/>
          <w:bCs/>
          <w:color w:val="auto"/>
          <w:sz w:val="28"/>
          <w:szCs w:val="28"/>
        </w:rPr>
        <w:t>的总价为准，并修改单价。</w:t>
      </w:r>
    </w:p>
    <w:p w14:paraId="3146CABC">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（4）总价金额与按单价汇总金额不一致的，以单价金额计算结果为准。</w:t>
      </w:r>
    </w:p>
    <w:p w14:paraId="2BEB0D94">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同时出现两种以上错误的，按照前款规定的顺序修正。</w:t>
      </w:r>
    </w:p>
    <w:p w14:paraId="21ACFD8E">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color w:val="auto"/>
          <w:sz w:val="28"/>
          <w:szCs w:val="28"/>
        </w:rPr>
        <w:t>5</w:t>
      </w:r>
      <w:r>
        <w:rPr>
          <w:rFonts w:hint="eastAsia" w:ascii="宋体" w:hAnsi="宋体" w:cs="宋体"/>
          <w:bCs/>
          <w:color w:val="auto"/>
          <w:sz w:val="28"/>
          <w:szCs w:val="28"/>
        </w:rPr>
        <w:t>.5磋商小组将按上述修正错误的方法调整响应文件中的报价，并告知供应商，调整后的价格应对供应商具有约束力。如果供应商不接受修正后的价格，则其磋商活动将被拒绝。</w:t>
      </w:r>
    </w:p>
    <w:p w14:paraId="3B18FFF4">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5.6磋商小组将允许修正响应文件中不构成重大偏离的、微小的、非正规的、不一致的或不规则的地方，但这些修改不能影响任何供应商相应的名次排列。</w:t>
      </w:r>
    </w:p>
    <w:p w14:paraId="2FDF33D9">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5.7</w:t>
      </w:r>
      <w:r>
        <w:rPr>
          <w:rFonts w:hint="eastAsia" w:ascii="宋体" w:hAnsi="宋体" w:cs="宋体"/>
          <w:color w:val="auto"/>
          <w:sz w:val="28"/>
          <w:szCs w:val="28"/>
        </w:rPr>
        <w:t>供应商在评审全过程中应保持通讯畅通，并安排专人与采购代理机构及磋商小组联系（适用于不见面磋商模式）。</w:t>
      </w:r>
    </w:p>
    <w:p w14:paraId="13DE5F6E">
      <w:pPr>
        <w:tabs>
          <w:tab w:val="left" w:pos="6555"/>
          <w:tab w:val="right" w:pos="8306"/>
        </w:tabs>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6.被认定为未实质性响应磋商文件的响应文件的情形。</w:t>
      </w:r>
    </w:p>
    <w:p w14:paraId="4D7979B6">
      <w:pPr>
        <w:tabs>
          <w:tab w:val="left" w:pos="6555"/>
          <w:tab w:val="right" w:pos="8306"/>
        </w:tabs>
        <w:adjustRightInd w:val="0"/>
        <w:snapToGrid w:val="0"/>
        <w:spacing w:line="460" w:lineRule="exact"/>
        <w:ind w:firstLine="560" w:firstLineChars="200"/>
        <w:rPr>
          <w:rFonts w:ascii="宋体" w:hAnsi="宋体" w:cs="宋体"/>
          <w:b/>
          <w:color w:val="auto"/>
          <w:sz w:val="28"/>
          <w:szCs w:val="28"/>
        </w:rPr>
      </w:pPr>
      <w:r>
        <w:rPr>
          <w:rFonts w:hint="eastAsia" w:ascii="宋体" w:hAnsi="宋体" w:cs="宋体"/>
          <w:bCs/>
          <w:color w:val="auto"/>
          <w:sz w:val="28"/>
          <w:szCs w:val="28"/>
        </w:rPr>
        <w:t>6.1出现下列情形之一的，作无效响应处理。</w:t>
      </w:r>
      <w:r>
        <w:rPr>
          <w:rFonts w:hint="eastAsia" w:ascii="宋体" w:hAnsi="宋体" w:cs="宋体"/>
          <w:bCs/>
          <w:color w:val="auto"/>
          <w:sz w:val="28"/>
          <w:szCs w:val="28"/>
        </w:rPr>
        <w:tab/>
      </w:r>
      <w:r>
        <w:rPr>
          <w:rFonts w:hint="eastAsia" w:ascii="宋体" w:hAnsi="宋体" w:cs="宋体"/>
          <w:b/>
          <w:color w:val="auto"/>
          <w:sz w:val="28"/>
          <w:szCs w:val="28"/>
        </w:rPr>
        <w:tab/>
      </w:r>
    </w:p>
    <w:p w14:paraId="032A2415">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6.1.1供应商在规定的时间内未成功提交磋商响应文件的。</w:t>
      </w:r>
    </w:p>
    <w:p w14:paraId="7293850C">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6.1.2未完整提交响应文件的。</w:t>
      </w:r>
    </w:p>
    <w:p w14:paraId="028E877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6.1.3同一供应商提交两个（含两个）以上不同的响应报价的。</w:t>
      </w:r>
    </w:p>
    <w:p w14:paraId="59C8EB69">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 xml:space="preserve">6.1.4不具备磋商文件中规定的资格要求的。 </w:t>
      </w:r>
    </w:p>
    <w:p w14:paraId="07DE169B">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6.1.5响应报价</w:t>
      </w:r>
      <w:r>
        <w:rPr>
          <w:rFonts w:hint="eastAsia" w:ascii="宋体" w:hAnsi="宋体" w:cs="宋体"/>
          <w:bCs/>
          <w:color w:val="auto"/>
          <w:sz w:val="28"/>
          <w:szCs w:val="28"/>
          <w:lang w:eastAsia="zh-CN"/>
        </w:rPr>
        <w:t>不按要求报价的</w:t>
      </w:r>
      <w:r>
        <w:rPr>
          <w:rFonts w:hint="eastAsia" w:ascii="宋体" w:hAnsi="宋体" w:cs="宋体"/>
          <w:bCs/>
          <w:color w:val="auto"/>
          <w:sz w:val="28"/>
          <w:szCs w:val="28"/>
        </w:rPr>
        <w:t xml:space="preserve">。 </w:t>
      </w:r>
    </w:p>
    <w:p w14:paraId="31C3E390">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6.1.6未通过符合性检查的。</w:t>
      </w:r>
    </w:p>
    <w:p w14:paraId="51F26789">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6.1.7不符合法律、法规和磋商文件中规定的其他实质性要求的。</w:t>
      </w:r>
    </w:p>
    <w:p w14:paraId="3F740B2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F7E664C">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6.1.9 响应文件含有采购人不能接受的附加条件的。</w:t>
      </w:r>
    </w:p>
    <w:p w14:paraId="52C42F9F">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9B46EBE">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6.1.12响应文件未按照采购文件要求盖章、密封的。</w:t>
      </w:r>
    </w:p>
    <w:p w14:paraId="766C2A11">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6.1.13供应商的商务技术部分得分相差悬殊，评标委员会认为得分畸低者没有实质性响应的</w:t>
      </w:r>
      <w:r>
        <w:rPr>
          <w:rFonts w:hint="eastAsia" w:ascii="宋体" w:hAnsi="宋体" w:cs="宋体"/>
          <w:bCs/>
          <w:color w:val="auto"/>
          <w:sz w:val="28"/>
          <w:szCs w:val="28"/>
          <w:lang w:eastAsia="zh-CN"/>
        </w:rPr>
        <w:t>（投标人商务技术标得分低于招标文件商务技术总分的50%）</w:t>
      </w:r>
      <w:r>
        <w:rPr>
          <w:rFonts w:hint="eastAsia" w:ascii="宋体" w:hAnsi="宋体" w:cs="宋体"/>
          <w:bCs/>
          <w:color w:val="auto"/>
          <w:sz w:val="28"/>
          <w:szCs w:val="28"/>
        </w:rPr>
        <w:t>。</w:t>
      </w:r>
    </w:p>
    <w:p w14:paraId="2F5A63B2">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6.1.14其他法律、法规及本磋商文件规定的属无效响应的情形。</w:t>
      </w:r>
    </w:p>
    <w:p w14:paraId="531F9C1E">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6.2出现下列情形之一的，磋商失败。</w:t>
      </w:r>
    </w:p>
    <w:p w14:paraId="5FC5CE52">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6.2.1符合条件的供应商或者对磋商文件作实质响应的供应商不足3家的（市场竞争不充分的科研项目，以及需要扶持的科技成果转化项目可以是2家）；</w:t>
      </w:r>
    </w:p>
    <w:p w14:paraId="0471E17A">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6.2.2出现影响采购公正的违法违规行为的；</w:t>
      </w:r>
    </w:p>
    <w:p w14:paraId="257BFC54">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6.2.3因重大变故，采购任务取消的。</w:t>
      </w:r>
    </w:p>
    <w:p w14:paraId="3BBAD79F">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6.2.4磋商小组认定磋商文件存在歧义、重大缺陷导致评审工作无法进行。</w:t>
      </w:r>
    </w:p>
    <w:p w14:paraId="6F401CCC">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6.2.5 因系统故障原因造成磋商无法继续进行的</w:t>
      </w:r>
      <w:r>
        <w:rPr>
          <w:rFonts w:hint="eastAsia" w:ascii="宋体" w:hAnsi="宋体" w:cs="宋体"/>
          <w:color w:val="auto"/>
          <w:sz w:val="28"/>
          <w:szCs w:val="28"/>
        </w:rPr>
        <w:t>（适用于不见面磋商模式）</w:t>
      </w:r>
      <w:r>
        <w:rPr>
          <w:rFonts w:hint="eastAsia" w:ascii="宋体" w:hAnsi="宋体" w:cs="宋体"/>
          <w:bCs/>
          <w:color w:val="auto"/>
          <w:sz w:val="28"/>
          <w:szCs w:val="28"/>
        </w:rPr>
        <w:t>。</w:t>
      </w:r>
    </w:p>
    <w:p w14:paraId="2866AF29">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6.3 响应</w:t>
      </w:r>
      <w:r>
        <w:rPr>
          <w:rFonts w:hint="eastAsia" w:ascii="宋体" w:hAnsi="宋体" w:cs="宋体"/>
          <w:color w:val="auto"/>
          <w:sz w:val="28"/>
          <w:szCs w:val="28"/>
        </w:rPr>
        <w:t>文件提交</w:t>
      </w:r>
      <w:r>
        <w:rPr>
          <w:rFonts w:hint="eastAsia" w:ascii="宋体" w:hAnsi="宋体" w:cs="宋体"/>
          <w:bCs/>
          <w:color w:val="auto"/>
          <w:sz w:val="28"/>
          <w:szCs w:val="28"/>
        </w:rPr>
        <w:t>截止时间结束后参加磋商的供应商不足三家的处理：</w:t>
      </w:r>
    </w:p>
    <w:p w14:paraId="14A4DE86">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6.3.1如出现响应</w:t>
      </w:r>
      <w:r>
        <w:rPr>
          <w:rFonts w:hint="eastAsia" w:ascii="宋体" w:hAnsi="宋体" w:cs="宋体"/>
          <w:color w:val="auto"/>
          <w:sz w:val="28"/>
          <w:szCs w:val="28"/>
        </w:rPr>
        <w:t>文件提交</w:t>
      </w:r>
      <w:r>
        <w:rPr>
          <w:rFonts w:hint="eastAsia" w:ascii="宋体" w:hAnsi="宋体" w:cs="宋体"/>
          <w:bCs/>
          <w:color w:val="auto"/>
          <w:sz w:val="28"/>
          <w:szCs w:val="28"/>
        </w:rPr>
        <w:t>截止时间结束后参加磋商的供应商或者在评审期间对磋商文件做出实质响应的供应商不足三家情况，除采购任务取消情形外，按照以下方式处理：</w:t>
      </w:r>
    </w:p>
    <w:p w14:paraId="2BC93E32">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1.采购文件存在不合理条款或者招标程序不符合规定的，采购人、采购代理机构改正后依法重新招标采购；</w:t>
      </w:r>
    </w:p>
    <w:p w14:paraId="52D2EE73">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2采购文件没有不合理条款、采购程序符合规定，需要采用其他采购人式采购的，采购人应当依法报采购监管部门批准。</w:t>
      </w:r>
    </w:p>
    <w:bookmarkEnd w:id="71"/>
    <w:bookmarkEnd w:id="72"/>
    <w:bookmarkEnd w:id="73"/>
    <w:p w14:paraId="63468069">
      <w:pPr>
        <w:keepNext/>
        <w:keepLines/>
        <w:adjustRightInd w:val="0"/>
        <w:snapToGrid w:val="0"/>
        <w:spacing w:line="460" w:lineRule="exact"/>
        <w:ind w:firstLine="562" w:firstLineChars="200"/>
        <w:outlineLvl w:val="1"/>
        <w:rPr>
          <w:rFonts w:ascii="宋体" w:hAnsi="宋体" w:cs="宋体"/>
          <w:b/>
          <w:bCs/>
          <w:color w:val="auto"/>
          <w:kern w:val="0"/>
          <w:sz w:val="28"/>
          <w:szCs w:val="28"/>
        </w:rPr>
      </w:pPr>
      <w:bookmarkStart w:id="74" w:name="_Toc120614219"/>
      <w:r>
        <w:rPr>
          <w:rFonts w:hint="eastAsia" w:ascii="宋体" w:hAnsi="宋体" w:cs="宋体"/>
          <w:b/>
          <w:bCs/>
          <w:color w:val="auto"/>
          <w:kern w:val="0"/>
          <w:sz w:val="28"/>
          <w:szCs w:val="28"/>
        </w:rPr>
        <w:t>六</w:t>
      </w:r>
      <w:bookmarkEnd w:id="74"/>
      <w:r>
        <w:rPr>
          <w:rFonts w:hint="eastAsia" w:ascii="宋体" w:hAnsi="宋体" w:cs="宋体"/>
          <w:b/>
          <w:bCs/>
          <w:color w:val="auto"/>
          <w:kern w:val="0"/>
          <w:sz w:val="28"/>
          <w:szCs w:val="28"/>
        </w:rPr>
        <w:t>、成交</w:t>
      </w:r>
    </w:p>
    <w:p w14:paraId="5A7A1AAE">
      <w:pPr>
        <w:keepNext/>
        <w:adjustRightInd w:val="0"/>
        <w:snapToGrid w:val="0"/>
        <w:spacing w:line="460" w:lineRule="exact"/>
        <w:ind w:firstLine="560" w:firstLineChars="200"/>
        <w:rPr>
          <w:rFonts w:ascii="宋体" w:hAnsi="宋体" w:cs="宋体"/>
          <w:b/>
          <w:color w:val="auto"/>
          <w:kern w:val="0"/>
          <w:sz w:val="28"/>
          <w:szCs w:val="28"/>
        </w:rPr>
      </w:pPr>
      <w:bookmarkStart w:id="75" w:name="_Toc16938554"/>
      <w:bookmarkStart w:id="76" w:name="_Toc20823310"/>
      <w:r>
        <w:rPr>
          <w:rFonts w:hint="eastAsia" w:ascii="宋体" w:hAnsi="宋体" w:cs="宋体"/>
          <w:color w:val="auto"/>
          <w:kern w:val="0"/>
          <w:sz w:val="28"/>
          <w:szCs w:val="28"/>
        </w:rPr>
        <w:t>1.确定</w:t>
      </w:r>
      <w:bookmarkEnd w:id="75"/>
      <w:bookmarkEnd w:id="76"/>
      <w:r>
        <w:rPr>
          <w:rFonts w:hint="eastAsia" w:ascii="宋体" w:hAnsi="宋体" w:cs="宋体"/>
          <w:color w:val="auto"/>
          <w:kern w:val="0"/>
          <w:sz w:val="28"/>
          <w:szCs w:val="28"/>
        </w:rPr>
        <w:t>成交单位</w:t>
      </w:r>
    </w:p>
    <w:p w14:paraId="55D4A577">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 xml:space="preserve">1.1成交候选供应商的选取原则和数量见磋商文件第四部分规定。 </w:t>
      </w:r>
    </w:p>
    <w:p w14:paraId="6DF8BD83">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1.2 采购人授权磋商小组在成交候选供应商中直接确定成交供应商。</w:t>
      </w:r>
    </w:p>
    <w:p w14:paraId="7DC3C13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 xml:space="preserve">1.3 </w:t>
      </w:r>
      <w:r>
        <w:rPr>
          <w:rFonts w:hint="eastAsia" w:ascii="宋体" w:hAnsi="宋体" w:cs="宋体"/>
          <w:color w:val="auto"/>
          <w:sz w:val="28"/>
          <w:szCs w:val="28"/>
        </w:rPr>
        <w:t>采购代理机构将在“</w:t>
      </w:r>
      <w:r>
        <w:rPr>
          <w:rFonts w:hint="eastAsia" w:ascii="宋体" w:hAnsi="宋体" w:cs="宋体"/>
          <w:color w:val="auto"/>
          <w:sz w:val="28"/>
          <w:szCs w:val="28"/>
          <w:lang w:eastAsia="zh-CN"/>
        </w:rPr>
        <w:t>江苏商贸职业学院网站</w:t>
      </w:r>
      <w:r>
        <w:rPr>
          <w:rFonts w:hint="eastAsia" w:ascii="宋体" w:hAnsi="宋体" w:cs="宋体"/>
          <w:color w:val="auto"/>
          <w:sz w:val="28"/>
          <w:szCs w:val="28"/>
        </w:rPr>
        <w:t>”发布成交结果公告，公告期限为1个工作日。</w:t>
      </w:r>
    </w:p>
    <w:p w14:paraId="1F71D2D7">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1.4若有充分证据证明，成交供应商出现下列情况之一的，一经查实，将被取消成交资格：</w:t>
      </w:r>
    </w:p>
    <w:p w14:paraId="2B26C276">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1.4.1提供虚假材料谋取成交的。</w:t>
      </w:r>
    </w:p>
    <w:p w14:paraId="36F669F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1.4.2向采购人、采购代理机构行贿或者评审专家提供其他不正当利益的。</w:t>
      </w:r>
    </w:p>
    <w:p w14:paraId="482B68C6">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1.4.3恶意竞争，最终总报价明显低于其自身合理成本且又无法提供证明的。</w:t>
      </w:r>
    </w:p>
    <w:p w14:paraId="2805827D">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1.4.4属于本文件规定的无效条件，但在评审过程中又未被磋商小组发现的。</w:t>
      </w:r>
    </w:p>
    <w:p w14:paraId="6F58BD8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1.4.5与采购人或者其他供应商恶意串通的。</w:t>
      </w:r>
    </w:p>
    <w:p w14:paraId="280A18F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1.4.6采取不正当手段诋毁、排挤其他供应商的。</w:t>
      </w:r>
    </w:p>
    <w:p w14:paraId="70C9E17D">
      <w:pPr>
        <w:adjustRightInd w:val="0"/>
        <w:snapToGrid w:val="0"/>
        <w:spacing w:line="460" w:lineRule="exact"/>
        <w:ind w:firstLine="560" w:firstLineChars="200"/>
        <w:rPr>
          <w:rFonts w:ascii="宋体" w:hAnsi="宋体" w:cs="宋体"/>
          <w:color w:val="auto"/>
          <w:sz w:val="28"/>
          <w:szCs w:val="28"/>
        </w:rPr>
      </w:pPr>
      <w:bookmarkStart w:id="77" w:name="_Toc200451960"/>
      <w:r>
        <w:rPr>
          <w:rFonts w:hint="eastAsia" w:ascii="宋体" w:hAnsi="宋体" w:cs="宋体"/>
          <w:color w:val="auto"/>
          <w:sz w:val="28"/>
          <w:szCs w:val="28"/>
        </w:rPr>
        <w:t>1.5.</w:t>
      </w:r>
      <w:r>
        <w:rPr>
          <w:rFonts w:hint="eastAsia" w:ascii="宋体" w:hAnsi="宋体" w:cs="宋体"/>
          <w:color w:val="auto"/>
          <w:kern w:val="0"/>
          <w:sz w:val="28"/>
          <w:szCs w:val="28"/>
        </w:rPr>
        <w:t>有下列情形之一的，视为供应商串通参与磋商，响应无效：</w:t>
      </w:r>
    </w:p>
    <w:p w14:paraId="698544F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1.5.1不同供应商的响应文件由同一单位或者个人编制；</w:t>
      </w:r>
    </w:p>
    <w:p w14:paraId="5B0A13B2">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1.5.2不同供应商委托同一单位或者个人办理磋商事宜；</w:t>
      </w:r>
    </w:p>
    <w:p w14:paraId="3682BD31">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1.5.3不同供应商的响应文件载明的项目管理成员或者联系人员为同一人；</w:t>
      </w:r>
    </w:p>
    <w:p w14:paraId="54B2E01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1.5.4不同供应商的响应文件异常一致或者响应报价呈规律性差异。</w:t>
      </w:r>
    </w:p>
    <w:p w14:paraId="0DB2F630">
      <w:pPr>
        <w:keepNext/>
        <w:adjustRightInd w:val="0"/>
        <w:snapToGrid w:val="0"/>
        <w:spacing w:line="460" w:lineRule="exact"/>
        <w:ind w:firstLine="560" w:firstLineChars="200"/>
        <w:rPr>
          <w:rFonts w:ascii="宋体" w:hAnsi="宋体" w:cs="宋体"/>
          <w:b/>
          <w:color w:val="auto"/>
          <w:kern w:val="0"/>
          <w:sz w:val="28"/>
          <w:szCs w:val="28"/>
        </w:rPr>
      </w:pPr>
      <w:r>
        <w:rPr>
          <w:rFonts w:hint="eastAsia" w:ascii="宋体" w:hAnsi="宋体" w:cs="宋体"/>
          <w:color w:val="auto"/>
          <w:kern w:val="0"/>
          <w:sz w:val="28"/>
          <w:szCs w:val="28"/>
        </w:rPr>
        <w:t>2.质疑处理</w:t>
      </w:r>
      <w:bookmarkEnd w:id="77"/>
    </w:p>
    <w:p w14:paraId="427E3E2A">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2.1 提出质疑的供应商应当是参与所质疑项目采购活动的供应商。潜在供应商依法获取其可质疑的磋商文件的，可以对磋商文件提出质疑。</w:t>
      </w:r>
    </w:p>
    <w:p w14:paraId="32A86388">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sz w:val="28"/>
          <w:szCs w:val="28"/>
        </w:rPr>
        <w:t>2.2.1</w:t>
      </w:r>
      <w:r>
        <w:rPr>
          <w:rFonts w:hint="eastAsia" w:ascii="宋体" w:hAnsi="宋体" w:cs="宋体"/>
          <w:color w:val="auto"/>
          <w:kern w:val="0"/>
          <w:sz w:val="28"/>
          <w:szCs w:val="28"/>
        </w:rPr>
        <w:t>对可以质疑的磋商文件提出质疑的，为收到磋商文件之日或者磋商文件公告期限届满之日；</w:t>
      </w:r>
    </w:p>
    <w:p w14:paraId="06FB5D08">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sz w:val="28"/>
          <w:szCs w:val="28"/>
        </w:rPr>
        <w:t>2.2.2</w:t>
      </w:r>
      <w:r>
        <w:rPr>
          <w:rFonts w:hint="eastAsia" w:ascii="宋体" w:hAnsi="宋体" w:cs="宋体"/>
          <w:color w:val="auto"/>
          <w:kern w:val="0"/>
          <w:sz w:val="28"/>
          <w:szCs w:val="28"/>
        </w:rPr>
        <w:t>对采购过程提出质疑的，为各采购程序环节结束之日；</w:t>
      </w:r>
    </w:p>
    <w:p w14:paraId="6BAC6B37">
      <w:pPr>
        <w:adjustRightInd w:val="0"/>
        <w:snapToGrid w:val="0"/>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14:paraId="4BFE00CD">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sz w:val="28"/>
          <w:szCs w:val="28"/>
        </w:rPr>
        <w:t>2.2.3</w:t>
      </w:r>
      <w:r>
        <w:rPr>
          <w:rFonts w:hint="eastAsia" w:ascii="宋体" w:hAnsi="宋体" w:cs="宋体"/>
          <w:color w:val="auto"/>
          <w:kern w:val="0"/>
          <w:sz w:val="28"/>
          <w:szCs w:val="28"/>
        </w:rPr>
        <w:t>对成交结果提出质疑的，为成交结果公告期限届满之日。</w:t>
      </w:r>
    </w:p>
    <w:p w14:paraId="60FC0091">
      <w:pPr>
        <w:adjustRightInd w:val="0"/>
        <w:snapToGrid w:val="0"/>
        <w:spacing w:line="460" w:lineRule="exact"/>
        <w:ind w:firstLine="560" w:firstLineChars="200"/>
        <w:rPr>
          <w:rFonts w:ascii="宋体" w:hAnsi="宋体" w:cs="宋体"/>
          <w:color w:val="auto"/>
          <w:kern w:val="0"/>
          <w:sz w:val="28"/>
          <w:szCs w:val="28"/>
        </w:rPr>
      </w:pPr>
      <w:r>
        <w:rPr>
          <w:rFonts w:hint="eastAsia" w:ascii="宋体" w:hAnsi="宋体" w:cs="宋体"/>
          <w:color w:val="auto"/>
          <w:kern w:val="0"/>
          <w:sz w:val="28"/>
          <w:szCs w:val="28"/>
        </w:rPr>
        <w:t>供应商应当在法定质疑期内一次性提出针对同一采购程序环节的质疑。</w:t>
      </w:r>
    </w:p>
    <w:p w14:paraId="0730B97C">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adjustRightInd w:val="0"/>
        <w:snapToGrid w:val="0"/>
        <w:spacing w:line="460" w:lineRule="exact"/>
        <w:ind w:firstLine="560" w:firstLineChars="200"/>
        <w:rPr>
          <w:rFonts w:ascii="宋体" w:hAnsi="宋体" w:cs="宋体"/>
          <w:b/>
          <w:color w:val="auto"/>
          <w:sz w:val="28"/>
          <w:szCs w:val="28"/>
        </w:rPr>
      </w:pPr>
      <w:r>
        <w:rPr>
          <w:rFonts w:hint="eastAsia" w:ascii="宋体" w:hAnsi="宋体" w:cs="宋体"/>
          <w:color w:val="auto"/>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供应商提起质疑采取书面形式，可以现场送达，也可以邮寄。</w:t>
      </w:r>
    </w:p>
    <w:p w14:paraId="54EC2EC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采购人质疑接收人及联系方式，见磋商文件第一部分。</w:t>
      </w:r>
    </w:p>
    <w:p w14:paraId="28FF30B1">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2.5 以下情形的质疑不予受理</w:t>
      </w:r>
    </w:p>
    <w:p w14:paraId="23E0EDDC">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2.5.1 内容不符合《政府采购质疑和投诉办法》第十二条规定的质疑。</w:t>
      </w:r>
    </w:p>
    <w:p w14:paraId="19E5AA95">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2.5.2 超出法定期限的质疑。</w:t>
      </w:r>
    </w:p>
    <w:p w14:paraId="1C389F02">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2.5.3 未参加磋商活动的供应商或在磋商活动中自身权益未受到损害的供应商所提出的质疑。</w:t>
      </w:r>
    </w:p>
    <w:p w14:paraId="3D8CC4EB">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2.5.4供应商组成联合体参加磋商，联合体中任何一方或多方未按要求签字、盖章、加盖公章的质疑。</w:t>
      </w:r>
    </w:p>
    <w:p w14:paraId="7B8DFD01">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adjustRightInd w:val="0"/>
        <w:snapToGrid w:val="0"/>
        <w:spacing w:line="460" w:lineRule="exact"/>
        <w:ind w:firstLine="560" w:firstLineChars="200"/>
        <w:rPr>
          <w:rFonts w:ascii="宋体" w:hAnsi="宋体" w:cs="宋体"/>
          <w:b/>
          <w:color w:val="auto"/>
          <w:kern w:val="0"/>
          <w:sz w:val="28"/>
          <w:szCs w:val="28"/>
        </w:rPr>
      </w:pPr>
      <w:r>
        <w:rPr>
          <w:rFonts w:hint="eastAsia" w:ascii="宋体" w:hAnsi="宋体" w:cs="宋体"/>
          <w:color w:val="auto"/>
          <w:kern w:val="0"/>
          <w:sz w:val="28"/>
          <w:szCs w:val="28"/>
        </w:rPr>
        <w:t>3．成交通知书</w:t>
      </w:r>
    </w:p>
    <w:p w14:paraId="618B2A72">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3.l</w:t>
      </w:r>
      <w:r>
        <w:rPr>
          <w:rFonts w:hint="eastAsia" w:ascii="宋体" w:hAnsi="宋体" w:cs="宋体"/>
          <w:b/>
          <w:color w:val="auto"/>
          <w:sz w:val="28"/>
          <w:szCs w:val="28"/>
        </w:rPr>
        <w:t xml:space="preserve"> </w:t>
      </w:r>
      <w:r>
        <w:rPr>
          <w:rFonts w:hint="eastAsia" w:ascii="宋体" w:hAnsi="宋体" w:cs="宋体"/>
          <w:color w:val="auto"/>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204716B4">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adjustRightInd w:val="0"/>
        <w:snapToGrid w:val="0"/>
        <w:spacing w:line="460" w:lineRule="exact"/>
        <w:ind w:firstLine="562" w:firstLineChars="200"/>
        <w:outlineLvl w:val="1"/>
        <w:rPr>
          <w:rFonts w:ascii="宋体" w:hAnsi="宋体" w:cs="宋体"/>
          <w:b/>
          <w:bCs/>
          <w:color w:val="auto"/>
          <w:kern w:val="0"/>
          <w:sz w:val="28"/>
          <w:szCs w:val="28"/>
        </w:rPr>
      </w:pPr>
      <w:bookmarkStart w:id="78" w:name="_Toc120614220"/>
      <w:bookmarkStart w:id="79" w:name="_Toc20823308"/>
      <w:bookmarkStart w:id="80" w:name="_Toc16938552"/>
      <w:bookmarkStart w:id="81" w:name="_Toc513029236"/>
      <w:r>
        <w:rPr>
          <w:rFonts w:hint="eastAsia" w:ascii="宋体" w:hAnsi="宋体" w:cs="宋体"/>
          <w:b/>
          <w:bCs/>
          <w:color w:val="auto"/>
          <w:kern w:val="0"/>
          <w:sz w:val="28"/>
          <w:szCs w:val="28"/>
        </w:rPr>
        <w:t>七、授予合同</w:t>
      </w:r>
      <w:bookmarkEnd w:id="78"/>
    </w:p>
    <w:bookmarkEnd w:id="79"/>
    <w:bookmarkEnd w:id="80"/>
    <w:bookmarkEnd w:id="81"/>
    <w:p w14:paraId="57D92E3B">
      <w:pPr>
        <w:keepNext/>
        <w:adjustRightInd w:val="0"/>
        <w:snapToGrid w:val="0"/>
        <w:spacing w:line="460" w:lineRule="exact"/>
        <w:ind w:firstLine="560" w:firstLineChars="200"/>
        <w:rPr>
          <w:rFonts w:ascii="宋体" w:hAnsi="宋体" w:cs="宋体"/>
          <w:b/>
          <w:color w:val="auto"/>
          <w:kern w:val="0"/>
          <w:sz w:val="28"/>
          <w:szCs w:val="28"/>
        </w:rPr>
      </w:pPr>
      <w:bookmarkStart w:id="82" w:name="_Toc513029237"/>
      <w:bookmarkStart w:id="83" w:name="_Toc20823309"/>
      <w:bookmarkStart w:id="84" w:name="_Toc16938553"/>
      <w:r>
        <w:rPr>
          <w:rFonts w:hint="eastAsia" w:ascii="宋体" w:hAnsi="宋体" w:cs="宋体"/>
          <w:color w:val="auto"/>
          <w:kern w:val="0"/>
          <w:sz w:val="28"/>
          <w:szCs w:val="28"/>
        </w:rPr>
        <w:t>1.签订合同</w:t>
      </w:r>
    </w:p>
    <w:p w14:paraId="5D5B39E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bCs/>
          <w:color w:val="auto"/>
          <w:sz w:val="28"/>
          <w:szCs w:val="28"/>
        </w:rPr>
        <w:t>1</w:t>
      </w:r>
      <w:r>
        <w:rPr>
          <w:rFonts w:hint="eastAsia" w:ascii="宋体" w:hAnsi="宋体" w:cs="宋体"/>
          <w:color w:val="auto"/>
          <w:sz w:val="28"/>
          <w:szCs w:val="28"/>
        </w:rPr>
        <w:t>.l成交供应商应当在成交通知书发出之日起</w:t>
      </w:r>
      <w:r>
        <w:rPr>
          <w:rFonts w:hint="eastAsia" w:ascii="宋体" w:hAnsi="宋体" w:cs="宋体"/>
          <w:color w:val="auto"/>
          <w:sz w:val="28"/>
          <w:szCs w:val="28"/>
          <w:lang w:val="en-US" w:eastAsia="zh-CN"/>
        </w:rPr>
        <w:t>三十</w:t>
      </w:r>
      <w:r>
        <w:rPr>
          <w:rFonts w:hint="eastAsia" w:ascii="宋体" w:hAnsi="宋体" w:cs="宋体"/>
          <w:color w:val="auto"/>
          <w:sz w:val="28"/>
          <w:szCs w:val="28"/>
        </w:rPr>
        <w:t>日内，按照磋商文件确定的事项与采购人签订采购合同。</w:t>
      </w:r>
    </w:p>
    <w:p w14:paraId="7B35B3C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1.2磋商文件、成交供应商的响应文件及磋商过程中有关澄清、承诺文件均应作为合同附件。</w:t>
      </w:r>
    </w:p>
    <w:p w14:paraId="47D3B333">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adjustRightInd w:val="0"/>
        <w:snapToGrid w:val="0"/>
        <w:spacing w:line="460" w:lineRule="exact"/>
        <w:ind w:firstLine="560" w:firstLineChars="200"/>
        <w:rPr>
          <w:rFonts w:ascii="宋体" w:hAnsi="宋体" w:cs="宋体"/>
          <w:b/>
          <w:color w:val="auto"/>
          <w:kern w:val="0"/>
          <w:sz w:val="28"/>
          <w:szCs w:val="28"/>
        </w:rPr>
      </w:pPr>
      <w:r>
        <w:rPr>
          <w:rFonts w:hint="eastAsia" w:ascii="宋体" w:hAnsi="宋体" w:cs="宋体"/>
          <w:color w:val="auto"/>
          <w:kern w:val="0"/>
          <w:sz w:val="28"/>
          <w:szCs w:val="28"/>
        </w:rPr>
        <w:t>2.服务的追加、减少和添购。</w:t>
      </w:r>
    </w:p>
    <w:p w14:paraId="1E22A299">
      <w:pPr>
        <w:adjustRightInd w:val="0"/>
        <w:snapToGrid w:val="0"/>
        <w:spacing w:line="460" w:lineRule="exact"/>
        <w:ind w:firstLine="560" w:firstLineChars="200"/>
        <w:rPr>
          <w:rFonts w:ascii="宋体" w:hAnsi="宋体" w:cs="宋体"/>
          <w:color w:val="auto"/>
          <w:sz w:val="28"/>
          <w:szCs w:val="28"/>
        </w:rPr>
      </w:pPr>
      <w:r>
        <w:rPr>
          <w:rFonts w:hint="eastAsia" w:ascii="宋体" w:hAnsi="宋体" w:cs="宋体"/>
          <w:color w:val="auto"/>
          <w:sz w:val="28"/>
          <w:szCs w:val="28"/>
        </w:rPr>
        <w:t>2.1合同履行中，采购人需追加与合同标的相同的服务的，在不改变合同其他条款的前提下，可以与成交供应商协商签订补充合同，但所有补充合同的采购金额不超过原合同金额10%。</w:t>
      </w:r>
    </w:p>
    <w:p w14:paraId="6464D735">
      <w:pPr>
        <w:keepNext/>
        <w:adjustRightInd w:val="0"/>
        <w:snapToGrid w:val="0"/>
        <w:spacing w:line="460" w:lineRule="exact"/>
        <w:ind w:firstLine="560" w:firstLineChars="200"/>
        <w:rPr>
          <w:rFonts w:ascii="宋体" w:hAnsi="宋体" w:cs="宋体"/>
          <w:bCs/>
          <w:color w:val="auto"/>
          <w:sz w:val="36"/>
          <w:szCs w:val="36"/>
        </w:rPr>
      </w:pPr>
      <w:r>
        <w:rPr>
          <w:rFonts w:hint="eastAsia" w:ascii="宋体" w:hAnsi="宋体" w:cs="宋体"/>
          <w:color w:val="auto"/>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3231AFB1">
      <w:pPr>
        <w:adjustRightInd w:val="0"/>
        <w:snapToGrid w:val="0"/>
        <w:spacing w:line="360" w:lineRule="auto"/>
        <w:jc w:val="center"/>
        <w:outlineLvl w:val="0"/>
        <w:rPr>
          <w:rFonts w:ascii="宋体" w:hAnsi="宋体" w:cs="宋体"/>
          <w:color w:val="auto"/>
          <w:sz w:val="28"/>
          <w:szCs w:val="28"/>
        </w:rPr>
      </w:pPr>
      <w:r>
        <w:rPr>
          <w:rFonts w:hint="eastAsia" w:ascii="宋体" w:hAnsi="宋体" w:cs="宋体"/>
          <w:bCs/>
          <w:color w:val="auto"/>
          <w:sz w:val="36"/>
          <w:szCs w:val="36"/>
        </w:rPr>
        <w:br w:type="page"/>
      </w:r>
      <w:r>
        <w:rPr>
          <w:rFonts w:hint="eastAsia" w:ascii="宋体" w:hAnsi="宋体" w:cs="宋体"/>
          <w:bCs/>
          <w:color w:val="auto"/>
          <w:sz w:val="36"/>
          <w:szCs w:val="36"/>
        </w:rPr>
        <w:t>第三部分 项目需求</w:t>
      </w:r>
    </w:p>
    <w:p w14:paraId="2DDBEA71">
      <w:pPr>
        <w:adjustRightInd w:val="0"/>
        <w:snapToGrid w:val="0"/>
        <w:spacing w:line="46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FF1D1EB">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宋体" w:hAnsi="宋体" w:cs="宋体"/>
          <w:b/>
          <w:kern w:val="0"/>
          <w:sz w:val="28"/>
          <w:szCs w:val="28"/>
          <w:lang w:val="zh-CN"/>
        </w:rPr>
      </w:pPr>
      <w:r>
        <w:rPr>
          <w:rFonts w:hint="eastAsia" w:ascii="宋体" w:hAnsi="宋体" w:cs="宋体"/>
          <w:b/>
          <w:kern w:val="0"/>
          <w:sz w:val="28"/>
          <w:szCs w:val="28"/>
        </w:rPr>
        <w:t>一、项目概况</w:t>
      </w:r>
    </w:p>
    <w:p w14:paraId="390300B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宋体" w:hAnsi="宋体" w:cs="宋体"/>
          <w:kern w:val="0"/>
          <w:sz w:val="28"/>
          <w:szCs w:val="28"/>
          <w:lang w:val="zh-CN"/>
        </w:rPr>
      </w:pPr>
      <w:r>
        <w:rPr>
          <w:rFonts w:hint="eastAsia" w:ascii="宋体" w:hAnsi="宋体" w:cs="宋体"/>
          <w:kern w:val="0"/>
          <w:sz w:val="28"/>
          <w:szCs w:val="28"/>
        </w:rPr>
        <w:t>1.</w:t>
      </w:r>
      <w:r>
        <w:rPr>
          <w:rFonts w:hint="eastAsia" w:ascii="宋体" w:hAnsi="宋体" w:cs="宋体"/>
          <w:kern w:val="0"/>
          <w:sz w:val="28"/>
          <w:szCs w:val="28"/>
          <w:lang w:val="en-US" w:eastAsia="zh-CN"/>
        </w:rPr>
        <w:t>根据江苏省总工会</w:t>
      </w:r>
      <w:r>
        <w:rPr>
          <w:rFonts w:hint="eastAsia" w:ascii="宋体" w:hAnsi="宋体" w:cs="宋体"/>
          <w:kern w:val="0"/>
          <w:sz w:val="28"/>
          <w:szCs w:val="28"/>
          <w:lang w:val="zh-CN"/>
        </w:rPr>
        <w:t>《关于进一步完善基层工会经费使用促进职工消费的若干措施》（苏工发〔2025〕8 号）的通知精神，江苏商贸职业学院</w:t>
      </w:r>
      <w:r>
        <w:rPr>
          <w:rFonts w:hint="eastAsia" w:ascii="宋体" w:hAnsi="宋体" w:cs="宋体"/>
          <w:kern w:val="0"/>
          <w:sz w:val="28"/>
          <w:szCs w:val="28"/>
          <w:lang w:val="en-US" w:eastAsia="zh-CN"/>
        </w:rPr>
        <w:t>工会</w:t>
      </w:r>
      <w:r>
        <w:rPr>
          <w:rFonts w:hint="eastAsia" w:ascii="宋体" w:hAnsi="宋体" w:cs="宋体"/>
          <w:color w:val="auto"/>
          <w:sz w:val="28"/>
          <w:szCs w:val="28"/>
          <w:lang w:val="en-US" w:eastAsia="zh-CN"/>
        </w:rPr>
        <w:t>增补</w:t>
      </w:r>
      <w:r>
        <w:rPr>
          <w:rFonts w:hint="eastAsia" w:ascii="宋体" w:hAnsi="宋体" w:cs="宋体"/>
          <w:color w:val="auto"/>
          <w:kern w:val="0"/>
          <w:sz w:val="28"/>
          <w:szCs w:val="28"/>
          <w:lang w:val="zh-CN"/>
        </w:rPr>
        <w:t>2</w:t>
      </w:r>
      <w:r>
        <w:rPr>
          <w:rFonts w:hint="eastAsia" w:ascii="宋体" w:hAnsi="宋体" w:cs="宋体"/>
          <w:kern w:val="0"/>
          <w:sz w:val="28"/>
          <w:szCs w:val="28"/>
          <w:lang w:val="zh-CN"/>
        </w:rPr>
        <w:t>02</w:t>
      </w:r>
      <w:r>
        <w:rPr>
          <w:rFonts w:hint="eastAsia" w:ascii="宋体" w:hAnsi="宋体" w:cs="宋体"/>
          <w:kern w:val="0"/>
          <w:sz w:val="28"/>
          <w:szCs w:val="28"/>
          <w:lang w:val="en-US" w:eastAsia="zh-CN"/>
        </w:rPr>
        <w:t>5</w:t>
      </w:r>
      <w:r>
        <w:rPr>
          <w:rFonts w:hint="eastAsia" w:ascii="宋体" w:hAnsi="宋体" w:cs="宋体"/>
          <w:kern w:val="0"/>
          <w:sz w:val="28"/>
          <w:szCs w:val="28"/>
          <w:lang w:val="zh-CN"/>
        </w:rPr>
        <w:t>年度</w:t>
      </w:r>
      <w:r>
        <w:rPr>
          <w:rFonts w:hint="eastAsia" w:ascii="宋体" w:hAnsi="宋体" w:cs="宋体"/>
          <w:sz w:val="28"/>
          <w:szCs w:val="28"/>
        </w:rPr>
        <w:t>会员节日慰问品</w:t>
      </w:r>
      <w:r>
        <w:rPr>
          <w:rFonts w:hint="eastAsia" w:ascii="宋体" w:hAnsi="宋体" w:cs="宋体"/>
          <w:kern w:val="0"/>
          <w:sz w:val="28"/>
          <w:szCs w:val="28"/>
          <w:lang w:val="zh-CN"/>
        </w:rPr>
        <w:t>采购，本次采购提货券总计约5</w:t>
      </w:r>
      <w:r>
        <w:rPr>
          <w:rFonts w:hint="eastAsia" w:ascii="宋体" w:hAnsi="宋体" w:cs="宋体"/>
          <w:kern w:val="0"/>
          <w:sz w:val="28"/>
          <w:szCs w:val="28"/>
          <w:lang w:val="en-US" w:eastAsia="zh-CN"/>
        </w:rPr>
        <w:t>81</w:t>
      </w:r>
      <w:r>
        <w:rPr>
          <w:rFonts w:hint="eastAsia" w:ascii="宋体" w:hAnsi="宋体" w:cs="宋体"/>
          <w:kern w:val="0"/>
          <w:sz w:val="28"/>
          <w:szCs w:val="28"/>
          <w:lang w:val="zh-CN"/>
        </w:rPr>
        <w:t>份，提货券实付金额（学校向商家实际结算支付的金额）设置：</w:t>
      </w:r>
      <w:r>
        <w:rPr>
          <w:rFonts w:hint="eastAsia" w:ascii="宋体" w:hAnsi="宋体" w:cs="宋体"/>
          <w:kern w:val="0"/>
          <w:sz w:val="28"/>
          <w:szCs w:val="28"/>
          <w:lang w:val="en-US" w:eastAsia="zh-CN"/>
        </w:rPr>
        <w:t>4</w:t>
      </w:r>
      <w:r>
        <w:rPr>
          <w:rFonts w:hint="eastAsia" w:ascii="宋体" w:hAnsi="宋体" w:cs="宋体"/>
          <w:kern w:val="0"/>
          <w:sz w:val="28"/>
          <w:szCs w:val="28"/>
          <w:lang w:val="zh-CN"/>
        </w:rPr>
        <w:t>00元/</w:t>
      </w:r>
      <w:r>
        <w:rPr>
          <w:rFonts w:hint="eastAsia" w:ascii="宋体" w:hAnsi="宋体" w:cs="宋体"/>
          <w:kern w:val="0"/>
          <w:sz w:val="28"/>
          <w:szCs w:val="28"/>
          <w:lang w:val="en-US" w:eastAsia="zh-CN"/>
        </w:rPr>
        <w:t>份</w:t>
      </w:r>
      <w:r>
        <w:rPr>
          <w:rFonts w:hint="eastAsia" w:ascii="宋体" w:hAnsi="宋体" w:cs="宋体"/>
          <w:kern w:val="0"/>
          <w:sz w:val="28"/>
          <w:szCs w:val="28"/>
          <w:lang w:val="zh-CN"/>
        </w:rPr>
        <w:t>。供应商的供应数量以招标方工会会员根据供应商的优惠金额、质量、服务自主选择的采购量为准，按实结算。</w:t>
      </w:r>
    </w:p>
    <w:p w14:paraId="3C81BAD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kern w:val="0"/>
          <w:sz w:val="28"/>
          <w:szCs w:val="28"/>
          <w:lang w:val="zh-CN"/>
        </w:rPr>
      </w:pPr>
      <w:r>
        <w:rPr>
          <w:rFonts w:hint="eastAsia" w:ascii="宋体" w:hAnsi="宋体" w:cs="宋体"/>
          <w:kern w:val="0"/>
          <w:sz w:val="28"/>
          <w:szCs w:val="28"/>
          <w:lang w:val="en-US" w:eastAsia="zh-CN"/>
        </w:rPr>
        <w:t>2.</w:t>
      </w:r>
      <w:r>
        <w:rPr>
          <w:rFonts w:hint="eastAsia" w:ascii="宋体" w:hAnsi="宋体" w:cs="宋体"/>
          <w:kern w:val="0"/>
          <w:sz w:val="28"/>
          <w:szCs w:val="28"/>
          <w:lang w:val="zh-CN"/>
        </w:rPr>
        <w:t>投标人提供《202</w:t>
      </w:r>
      <w:r>
        <w:rPr>
          <w:rFonts w:hint="eastAsia" w:ascii="宋体" w:hAnsi="宋体" w:cs="宋体"/>
          <w:kern w:val="0"/>
          <w:sz w:val="28"/>
          <w:szCs w:val="28"/>
          <w:lang w:val="en-US" w:eastAsia="zh-CN"/>
        </w:rPr>
        <w:t>5</w:t>
      </w:r>
      <w:r>
        <w:rPr>
          <w:rFonts w:hint="eastAsia" w:ascii="宋体" w:hAnsi="宋体" w:cs="宋体"/>
          <w:kern w:val="0"/>
          <w:sz w:val="28"/>
          <w:szCs w:val="28"/>
          <w:lang w:val="zh-CN"/>
        </w:rPr>
        <w:t>年度江苏商贸职业学院工会会员慰问品清单》，针对学院工会会员提供不少</w:t>
      </w:r>
      <w:r>
        <w:rPr>
          <w:rFonts w:hint="eastAsia" w:ascii="宋体" w:hAnsi="宋体" w:cs="宋体"/>
          <w:color w:val="auto"/>
          <w:kern w:val="0"/>
          <w:sz w:val="28"/>
          <w:szCs w:val="28"/>
          <w:lang w:val="zh-CN"/>
        </w:rPr>
        <w:t>于</w:t>
      </w:r>
      <w:r>
        <w:rPr>
          <w:rFonts w:hint="eastAsia" w:ascii="宋体" w:hAnsi="宋体" w:cs="宋体"/>
          <w:color w:val="auto"/>
          <w:kern w:val="0"/>
          <w:sz w:val="28"/>
          <w:szCs w:val="28"/>
          <w:lang w:val="en-US" w:eastAsia="zh-CN"/>
        </w:rPr>
        <w:t>10</w:t>
      </w:r>
      <w:r>
        <w:rPr>
          <w:rFonts w:hint="eastAsia" w:ascii="宋体" w:hAnsi="宋体" w:cs="宋体"/>
          <w:color w:val="auto"/>
          <w:kern w:val="0"/>
          <w:sz w:val="28"/>
          <w:szCs w:val="28"/>
          <w:lang w:val="zh-CN"/>
        </w:rPr>
        <w:t>0种优质产品清单，需标明产品的规格、品牌等关键信息，并在提供的产</w:t>
      </w:r>
      <w:r>
        <w:rPr>
          <w:rFonts w:hint="eastAsia" w:ascii="宋体" w:hAnsi="宋体" w:cs="宋体"/>
          <w:kern w:val="0"/>
          <w:sz w:val="28"/>
          <w:szCs w:val="28"/>
          <w:lang w:val="zh-CN"/>
        </w:rPr>
        <w:t>品清单中，</w:t>
      </w:r>
      <w:r>
        <w:rPr>
          <w:rFonts w:hint="eastAsia" w:ascii="宋体" w:hAnsi="宋体" w:cs="宋体"/>
          <w:kern w:val="0"/>
          <w:sz w:val="28"/>
          <w:szCs w:val="28"/>
        </w:rPr>
        <w:t>结合提货券面值报价自主选择</w:t>
      </w:r>
      <w:r>
        <w:rPr>
          <w:rFonts w:hint="eastAsia" w:ascii="宋体" w:hAnsi="宋体" w:cs="宋体"/>
          <w:kern w:val="0"/>
          <w:sz w:val="28"/>
          <w:szCs w:val="28"/>
          <w:lang w:val="zh-CN"/>
        </w:rPr>
        <w:t>搭配两个套餐组合参与本项目评审。</w:t>
      </w:r>
    </w:p>
    <w:p w14:paraId="39DA71B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textAlignment w:val="auto"/>
        <w:rPr>
          <w:rFonts w:ascii="宋体" w:hAnsi="宋体" w:cs="宋体"/>
          <w:kern w:val="0"/>
          <w:sz w:val="28"/>
          <w:szCs w:val="28"/>
          <w:lang w:val="zh-CN"/>
        </w:rPr>
      </w:pPr>
      <w:r>
        <w:rPr>
          <w:rFonts w:hint="eastAsia" w:ascii="宋体" w:hAnsi="宋体" w:cs="宋体"/>
          <w:kern w:val="0"/>
          <w:sz w:val="28"/>
          <w:szCs w:val="28"/>
          <w:lang w:val="zh-CN"/>
        </w:rPr>
        <w:t>清单内所有产品必须结合采购项目实际情况进行搭配，组合一与组合二之间要有一定的辨识度（组合一和组合二实物搭配要有明显的区别），组合的品种类别及数量自行设计。</w:t>
      </w:r>
    </w:p>
    <w:p w14:paraId="722AB4C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eastAsia="宋体" w:cs="宋体"/>
          <w:sz w:val="28"/>
          <w:szCs w:val="28"/>
          <w:lang w:val="zh-CN" w:eastAsia="zh-CN"/>
        </w:rPr>
      </w:pPr>
      <w:r>
        <w:rPr>
          <w:rFonts w:hint="eastAsia" w:ascii="宋体" w:hAnsi="宋体" w:cs="宋体"/>
          <w:kern w:val="0"/>
          <w:sz w:val="28"/>
          <w:szCs w:val="28"/>
        </w:rPr>
        <w:t>3.</w:t>
      </w:r>
      <w:r>
        <w:rPr>
          <w:rFonts w:hint="eastAsia" w:ascii="宋体" w:hAnsi="宋体" w:cs="宋体"/>
          <w:sz w:val="28"/>
          <w:szCs w:val="28"/>
          <w:lang w:val="zh-CN"/>
        </w:rPr>
        <w:t>本次采购选取</w:t>
      </w:r>
      <w:r>
        <w:rPr>
          <w:rFonts w:hint="eastAsia" w:ascii="宋体" w:hAnsi="宋体" w:cs="宋体"/>
          <w:sz w:val="28"/>
          <w:szCs w:val="28"/>
        </w:rPr>
        <w:t>综合得分</w:t>
      </w:r>
      <w:r>
        <w:rPr>
          <w:rFonts w:hint="eastAsia" w:ascii="宋体" w:hAnsi="宋体" w:cs="宋体"/>
          <w:sz w:val="28"/>
          <w:szCs w:val="28"/>
          <w:lang w:val="zh-CN"/>
        </w:rPr>
        <w:t>第一名、第二名</w:t>
      </w:r>
      <w:r>
        <w:rPr>
          <w:rFonts w:hint="eastAsia" w:ascii="宋体" w:hAnsi="宋体" w:cs="宋体"/>
          <w:sz w:val="28"/>
          <w:szCs w:val="28"/>
        </w:rPr>
        <w:t>为本项目成交供应商</w:t>
      </w:r>
      <w:r>
        <w:rPr>
          <w:rFonts w:hint="eastAsia" w:ascii="宋体" w:hAnsi="宋体" w:cs="宋体"/>
          <w:sz w:val="28"/>
          <w:szCs w:val="28"/>
          <w:lang w:val="zh-CN"/>
        </w:rPr>
        <w:t>，</w:t>
      </w:r>
      <w:r>
        <w:rPr>
          <w:rFonts w:hint="eastAsia" w:ascii="宋体" w:hAnsi="宋体" w:cs="宋体"/>
          <w:color w:val="auto"/>
          <w:kern w:val="0"/>
          <w:sz w:val="28"/>
          <w:szCs w:val="28"/>
          <w:lang w:val="zh-CN"/>
        </w:rPr>
        <w:t>工会会员可以任意选择其中一家供应商的提货券，采购人不保证入围供应商的供应数量。</w:t>
      </w:r>
    </w:p>
    <w:p w14:paraId="294B55A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宋体" w:hAnsi="宋体" w:cs="宋体"/>
          <w:color w:val="auto"/>
          <w:kern w:val="0"/>
          <w:sz w:val="28"/>
          <w:szCs w:val="28"/>
          <w:lang w:val="zh-CN"/>
        </w:rPr>
      </w:pPr>
      <w:r>
        <w:rPr>
          <w:rFonts w:hint="eastAsia" w:ascii="宋体" w:hAnsi="宋体" w:cs="宋体"/>
          <w:kern w:val="0"/>
          <w:sz w:val="28"/>
          <w:szCs w:val="28"/>
          <w:lang w:val="zh-CN"/>
        </w:rPr>
        <w:t>4</w:t>
      </w:r>
      <w:r>
        <w:rPr>
          <w:rFonts w:hint="eastAsia" w:ascii="宋体" w:hAnsi="宋体" w:cs="宋体"/>
          <w:color w:val="auto"/>
          <w:kern w:val="0"/>
          <w:sz w:val="28"/>
          <w:szCs w:val="28"/>
          <w:lang w:val="zh-CN"/>
        </w:rPr>
        <w:t>.投标时提货券面值是指：按提货券实际结算金额对应的、供应商能够提供的按其门店零售价（有会员价的商品享受会员价）计算的商品的挂牌售价合计金额。</w:t>
      </w:r>
    </w:p>
    <w:p w14:paraId="68978F15">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ascii="宋体" w:hAnsi="宋体" w:cs="宋体"/>
          <w:b/>
          <w:kern w:val="0"/>
          <w:sz w:val="28"/>
          <w:szCs w:val="28"/>
          <w:lang w:val="zh-CN"/>
        </w:rPr>
      </w:pPr>
      <w:r>
        <w:rPr>
          <w:rFonts w:hint="eastAsia" w:ascii="宋体" w:hAnsi="宋体" w:cs="宋体"/>
          <w:b/>
          <w:kern w:val="0"/>
          <w:sz w:val="28"/>
          <w:szCs w:val="28"/>
          <w:lang w:val="zh-CN"/>
        </w:rPr>
        <w:t>二、付款方式</w:t>
      </w:r>
    </w:p>
    <w:p w14:paraId="01126B5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宋体" w:hAnsi="宋体" w:cs="宋体"/>
          <w:kern w:val="0"/>
          <w:sz w:val="28"/>
          <w:szCs w:val="28"/>
          <w:lang w:val="zh-CN"/>
        </w:rPr>
      </w:pPr>
      <w:r>
        <w:rPr>
          <w:rFonts w:hint="eastAsia" w:ascii="宋体" w:hAnsi="宋体" w:cs="宋体"/>
          <w:kern w:val="0"/>
          <w:sz w:val="28"/>
          <w:szCs w:val="28"/>
          <w:lang w:val="zh-CN"/>
        </w:rPr>
        <w:t>1.供货方交付</w:t>
      </w:r>
      <w:r>
        <w:rPr>
          <w:rFonts w:hint="eastAsia" w:ascii="宋体" w:hAnsi="宋体" w:cs="宋体"/>
          <w:kern w:val="0"/>
          <w:sz w:val="28"/>
          <w:szCs w:val="28"/>
          <w:lang w:val="en-US" w:eastAsia="zh-CN"/>
        </w:rPr>
        <w:t>合同规定数量</w:t>
      </w:r>
      <w:r>
        <w:rPr>
          <w:rFonts w:hint="eastAsia" w:ascii="宋体" w:hAnsi="宋体" w:cs="宋体"/>
          <w:kern w:val="0"/>
          <w:sz w:val="28"/>
          <w:szCs w:val="28"/>
          <w:lang w:val="zh-CN"/>
        </w:rPr>
        <w:t>的提货券后，采购方按照合同约定时间支付相应货款。</w:t>
      </w:r>
    </w:p>
    <w:p w14:paraId="1540FA9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宋体" w:hAnsi="宋体" w:cs="宋体"/>
          <w:kern w:val="0"/>
          <w:sz w:val="28"/>
          <w:szCs w:val="28"/>
          <w:lang w:val="zh-CN"/>
        </w:rPr>
      </w:pPr>
      <w:r>
        <w:rPr>
          <w:rFonts w:hint="eastAsia" w:ascii="宋体" w:hAnsi="宋体" w:cs="宋体"/>
          <w:kern w:val="0"/>
          <w:sz w:val="28"/>
          <w:szCs w:val="28"/>
          <w:lang w:val="zh-CN"/>
        </w:rPr>
        <w:t>2.款项由采购方按相关财务支付规定办理支付手续，不得故意拖延支付时间。</w:t>
      </w:r>
    </w:p>
    <w:p w14:paraId="59BF831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宋体" w:hAnsi="宋体" w:cs="宋体"/>
          <w:sz w:val="28"/>
          <w:szCs w:val="28"/>
        </w:rPr>
      </w:pPr>
      <w:r>
        <w:rPr>
          <w:rFonts w:hint="eastAsia" w:ascii="宋体" w:hAnsi="宋体" w:cs="宋体"/>
          <w:kern w:val="0"/>
          <w:sz w:val="28"/>
          <w:szCs w:val="28"/>
          <w:lang w:val="zh-CN"/>
        </w:rPr>
        <w:t>3.最终的结算方式，以双方就本项目签订的采购合同为准。</w:t>
      </w:r>
    </w:p>
    <w:p w14:paraId="6DB4262B">
      <w:pPr>
        <w:spacing w:line="460" w:lineRule="exact"/>
        <w:ind w:firstLine="562" w:firstLineChars="200"/>
        <w:jc w:val="both"/>
        <w:rPr>
          <w:rFonts w:hint="eastAsia" w:ascii="宋体" w:hAnsi="宋体" w:eastAsia="宋体" w:cs="宋体"/>
          <w:bCs/>
          <w:color w:val="auto"/>
          <w:sz w:val="36"/>
          <w:szCs w:val="36"/>
          <w:lang w:val="en-US" w:eastAsia="zh-CN"/>
        </w:rPr>
      </w:pPr>
      <w:r>
        <w:rPr>
          <w:rFonts w:hint="eastAsia" w:ascii="宋体" w:hAnsi="宋体" w:cs="宋体"/>
          <w:b/>
          <w:kern w:val="0"/>
          <w:sz w:val="28"/>
          <w:szCs w:val="28"/>
          <w:lang w:val="en-US" w:eastAsia="zh-CN"/>
        </w:rPr>
        <w:t>三</w:t>
      </w:r>
      <w:r>
        <w:rPr>
          <w:rFonts w:hint="eastAsia" w:ascii="宋体" w:hAnsi="宋体" w:cs="宋体"/>
          <w:b/>
          <w:kern w:val="0"/>
          <w:sz w:val="28"/>
          <w:szCs w:val="28"/>
          <w:lang w:val="zh-CN"/>
        </w:rPr>
        <w:t>、主要合同条款</w:t>
      </w:r>
    </w:p>
    <w:p w14:paraId="265B75B2">
      <w:pPr>
        <w:spacing w:line="460" w:lineRule="exact"/>
        <w:jc w:val="center"/>
        <w:rPr>
          <w:rFonts w:hint="eastAsia" w:ascii="宋体" w:hAnsi="宋体" w:cs="宋体"/>
          <w:bCs/>
          <w:color w:val="auto"/>
          <w:sz w:val="36"/>
          <w:szCs w:val="36"/>
        </w:rPr>
      </w:pPr>
    </w:p>
    <w:p w14:paraId="27861AD0">
      <w:pPr>
        <w:pStyle w:val="91"/>
        <w:rPr>
          <w:rFonts w:hint="eastAsia" w:ascii="宋体" w:hAnsi="宋体" w:cs="宋体"/>
          <w:bCs/>
          <w:color w:val="auto"/>
          <w:sz w:val="36"/>
          <w:szCs w:val="36"/>
        </w:rPr>
      </w:pPr>
    </w:p>
    <w:p w14:paraId="318A9E5E">
      <w:pPr>
        <w:pStyle w:val="91"/>
        <w:rPr>
          <w:rFonts w:hint="eastAsia" w:ascii="宋体" w:hAnsi="宋体" w:cs="宋体"/>
          <w:bCs/>
          <w:color w:val="auto"/>
          <w:sz w:val="36"/>
          <w:szCs w:val="36"/>
        </w:rPr>
      </w:pPr>
    </w:p>
    <w:p w14:paraId="5D5BA5B1">
      <w:pPr>
        <w:pStyle w:val="91"/>
        <w:rPr>
          <w:rFonts w:hint="eastAsia" w:ascii="宋体" w:hAnsi="宋体" w:cs="宋体"/>
          <w:bCs/>
          <w:color w:val="auto"/>
          <w:sz w:val="36"/>
          <w:szCs w:val="36"/>
        </w:rPr>
      </w:pPr>
    </w:p>
    <w:p w14:paraId="3816284B">
      <w:pPr>
        <w:pStyle w:val="91"/>
        <w:rPr>
          <w:rFonts w:hint="eastAsia" w:ascii="宋体" w:hAnsi="宋体" w:cs="宋体"/>
          <w:bCs/>
          <w:color w:val="auto"/>
          <w:sz w:val="36"/>
          <w:szCs w:val="36"/>
        </w:rPr>
      </w:pPr>
    </w:p>
    <w:p w14:paraId="0559A01B">
      <w:pPr>
        <w:pStyle w:val="91"/>
        <w:rPr>
          <w:rFonts w:hint="eastAsia" w:ascii="宋体" w:hAnsi="宋体" w:cs="宋体"/>
          <w:bCs/>
          <w:color w:val="auto"/>
          <w:sz w:val="36"/>
          <w:szCs w:val="36"/>
        </w:rPr>
      </w:pPr>
    </w:p>
    <w:p w14:paraId="125FAD1B">
      <w:pPr>
        <w:pStyle w:val="91"/>
        <w:rPr>
          <w:rFonts w:hint="eastAsia" w:ascii="宋体" w:hAnsi="宋体" w:cs="宋体"/>
          <w:bCs/>
          <w:color w:val="auto"/>
          <w:sz w:val="36"/>
          <w:szCs w:val="36"/>
        </w:rPr>
      </w:pPr>
    </w:p>
    <w:p w14:paraId="12CE9E06">
      <w:pPr>
        <w:pStyle w:val="91"/>
        <w:rPr>
          <w:rFonts w:hint="eastAsia" w:ascii="宋体" w:hAnsi="宋体" w:cs="宋体"/>
          <w:bCs/>
          <w:color w:val="auto"/>
          <w:sz w:val="36"/>
          <w:szCs w:val="36"/>
        </w:rPr>
      </w:pPr>
    </w:p>
    <w:p w14:paraId="061E997C">
      <w:pPr>
        <w:pStyle w:val="91"/>
        <w:rPr>
          <w:rFonts w:hint="eastAsia" w:ascii="宋体" w:hAnsi="宋体" w:cs="宋体"/>
          <w:bCs/>
          <w:color w:val="auto"/>
          <w:sz w:val="36"/>
          <w:szCs w:val="36"/>
        </w:rPr>
      </w:pPr>
    </w:p>
    <w:p w14:paraId="7144F0C8">
      <w:pPr>
        <w:pStyle w:val="91"/>
        <w:rPr>
          <w:rFonts w:hint="eastAsia" w:ascii="宋体" w:hAnsi="宋体" w:cs="宋体"/>
          <w:bCs/>
          <w:color w:val="auto"/>
          <w:sz w:val="36"/>
          <w:szCs w:val="36"/>
        </w:rPr>
      </w:pPr>
    </w:p>
    <w:p w14:paraId="422AE1CE">
      <w:pPr>
        <w:pStyle w:val="91"/>
        <w:rPr>
          <w:rFonts w:hint="eastAsia" w:ascii="宋体" w:hAnsi="宋体" w:cs="宋体"/>
          <w:bCs/>
          <w:color w:val="auto"/>
          <w:sz w:val="36"/>
          <w:szCs w:val="36"/>
        </w:rPr>
      </w:pPr>
    </w:p>
    <w:p w14:paraId="65F0DB4E">
      <w:pPr>
        <w:pStyle w:val="91"/>
        <w:rPr>
          <w:rFonts w:hint="eastAsia" w:ascii="宋体" w:hAnsi="宋体" w:cs="宋体"/>
          <w:bCs/>
          <w:color w:val="auto"/>
          <w:sz w:val="36"/>
          <w:szCs w:val="36"/>
        </w:rPr>
      </w:pPr>
    </w:p>
    <w:p w14:paraId="11728949">
      <w:pPr>
        <w:pStyle w:val="91"/>
        <w:rPr>
          <w:rFonts w:hint="eastAsia" w:ascii="宋体" w:hAnsi="宋体" w:cs="宋体"/>
          <w:bCs/>
          <w:color w:val="auto"/>
          <w:sz w:val="36"/>
          <w:szCs w:val="36"/>
        </w:rPr>
      </w:pPr>
    </w:p>
    <w:p w14:paraId="0AEB3A2A">
      <w:pPr>
        <w:pStyle w:val="91"/>
        <w:rPr>
          <w:rFonts w:hint="eastAsia" w:ascii="宋体" w:hAnsi="宋体" w:cs="宋体"/>
          <w:bCs/>
          <w:color w:val="auto"/>
          <w:sz w:val="36"/>
          <w:szCs w:val="36"/>
        </w:rPr>
      </w:pPr>
    </w:p>
    <w:p w14:paraId="09C7E847">
      <w:pPr>
        <w:pStyle w:val="91"/>
        <w:rPr>
          <w:rFonts w:hint="eastAsia" w:ascii="宋体" w:hAnsi="宋体" w:cs="宋体"/>
          <w:bCs/>
          <w:color w:val="auto"/>
          <w:sz w:val="36"/>
          <w:szCs w:val="36"/>
        </w:rPr>
      </w:pPr>
    </w:p>
    <w:p w14:paraId="0CFA3132">
      <w:pPr>
        <w:pStyle w:val="91"/>
        <w:rPr>
          <w:rFonts w:hint="eastAsia" w:ascii="宋体" w:hAnsi="宋体" w:cs="宋体"/>
          <w:bCs/>
          <w:color w:val="auto"/>
          <w:sz w:val="36"/>
          <w:szCs w:val="36"/>
        </w:rPr>
      </w:pPr>
    </w:p>
    <w:p w14:paraId="6F948340">
      <w:pPr>
        <w:pStyle w:val="91"/>
        <w:rPr>
          <w:rFonts w:hint="eastAsia" w:ascii="宋体" w:hAnsi="宋体" w:cs="宋体"/>
          <w:bCs/>
          <w:color w:val="auto"/>
          <w:sz w:val="36"/>
          <w:szCs w:val="36"/>
        </w:rPr>
      </w:pPr>
    </w:p>
    <w:p w14:paraId="445DC8AB">
      <w:pPr>
        <w:pStyle w:val="91"/>
        <w:rPr>
          <w:rFonts w:hint="eastAsia" w:ascii="宋体" w:hAnsi="宋体" w:cs="宋体"/>
          <w:bCs/>
          <w:color w:val="auto"/>
          <w:sz w:val="36"/>
          <w:szCs w:val="36"/>
        </w:rPr>
      </w:pPr>
    </w:p>
    <w:p w14:paraId="16D3175D">
      <w:pPr>
        <w:spacing w:line="460" w:lineRule="exact"/>
        <w:jc w:val="center"/>
        <w:rPr>
          <w:rFonts w:hint="eastAsia" w:ascii="宋体" w:hAnsi="宋体" w:cs="宋体"/>
          <w:bCs/>
          <w:color w:val="auto"/>
          <w:sz w:val="36"/>
          <w:szCs w:val="36"/>
        </w:rPr>
        <w:sectPr>
          <w:headerReference r:id="rId5" w:type="default"/>
          <w:footerReference r:id="rId6" w:type="default"/>
          <w:pgSz w:w="11907" w:h="16839"/>
          <w:pgMar w:top="1440" w:right="1803" w:bottom="1440" w:left="1803" w:header="720" w:footer="720" w:gutter="0"/>
          <w:cols w:space="720" w:num="1"/>
          <w:docGrid w:linePitch="286" w:charSpace="0"/>
        </w:sectPr>
      </w:pPr>
    </w:p>
    <w:p w14:paraId="31BB0B9E">
      <w:pPr>
        <w:adjustRightInd w:val="0"/>
        <w:snapToGrid w:val="0"/>
        <w:spacing w:before="72" w:beforeLines="30" w:line="460" w:lineRule="exact"/>
        <w:ind w:firstLine="643" w:firstLineChars="200"/>
        <w:rPr>
          <w:rFonts w:hint="eastAsia" w:ascii="宋体" w:hAnsi="宋体" w:eastAsia="宋体" w:cs="宋体"/>
          <w:b/>
          <w:sz w:val="32"/>
          <w:szCs w:val="32"/>
        </w:rPr>
      </w:pPr>
      <w:r>
        <w:rPr>
          <w:rFonts w:hint="eastAsia" w:ascii="宋体" w:hAnsi="宋体" w:eastAsia="宋体" w:cs="宋体"/>
          <w:b/>
          <w:sz w:val="32"/>
          <w:szCs w:val="32"/>
        </w:rPr>
        <w:t>附件：</w:t>
      </w:r>
    </w:p>
    <w:p w14:paraId="04743A06">
      <w:pPr>
        <w:adjustRightInd w:val="0"/>
        <w:snapToGrid w:val="0"/>
        <w:spacing w:before="72" w:beforeLines="30" w:line="460" w:lineRule="exact"/>
        <w:ind w:firstLine="643" w:firstLineChars="200"/>
        <w:jc w:val="center"/>
        <w:rPr>
          <w:rFonts w:hint="eastAsia" w:ascii="宋体" w:hAnsi="宋体" w:eastAsia="宋体" w:cs="宋体"/>
          <w:sz w:val="32"/>
          <w:szCs w:val="32"/>
        </w:rPr>
      </w:pPr>
      <w:r>
        <w:rPr>
          <w:rFonts w:hint="eastAsia" w:ascii="宋体" w:hAnsi="宋体" w:eastAsia="宋体" w:cs="宋体"/>
          <w:b/>
          <w:sz w:val="32"/>
          <w:szCs w:val="32"/>
        </w:rPr>
        <w:t>合同主要条款（模板）</w:t>
      </w:r>
    </w:p>
    <w:p w14:paraId="1D47AD99">
      <w:pPr>
        <w:adjustRightInd w:val="0"/>
        <w:snapToGrid w:val="0"/>
        <w:spacing w:before="72" w:beforeLines="30" w:line="460" w:lineRule="exact"/>
        <w:jc w:val="left"/>
        <w:rPr>
          <w:rFonts w:hint="eastAsia" w:ascii="宋体" w:hAnsi="宋体" w:eastAsia="宋体" w:cs="宋体"/>
          <w:b/>
          <w:bCs/>
          <w:sz w:val="28"/>
          <w:szCs w:val="28"/>
          <w:u w:val="single"/>
        </w:rPr>
      </w:pPr>
      <w:r>
        <w:rPr>
          <w:rFonts w:hint="eastAsia" w:ascii="宋体" w:hAnsi="宋体" w:eastAsia="宋体" w:cs="宋体"/>
          <w:bCs/>
          <w:sz w:val="28"/>
          <w:szCs w:val="28"/>
        </w:rPr>
        <w:t>甲方：</w:t>
      </w:r>
      <w:r>
        <w:rPr>
          <w:rFonts w:hint="eastAsia" w:ascii="宋体" w:hAnsi="宋体" w:eastAsia="宋体" w:cs="宋体"/>
          <w:bCs/>
          <w:sz w:val="28"/>
          <w:szCs w:val="28"/>
          <w:u w:val="single"/>
        </w:rPr>
        <w:t xml:space="preserve"> </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color w:val="auto"/>
          <w:sz w:val="28"/>
          <w:szCs w:val="28"/>
          <w:u w:val="single"/>
        </w:rPr>
        <w:t>江苏商贸职业学院</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14:paraId="54D48C81">
      <w:pPr>
        <w:adjustRightInd w:val="0"/>
        <w:snapToGrid w:val="0"/>
        <w:spacing w:before="72" w:beforeLines="30" w:line="460" w:lineRule="exact"/>
        <w:jc w:val="left"/>
        <w:rPr>
          <w:rFonts w:hint="eastAsia" w:ascii="宋体" w:hAnsi="宋体" w:eastAsia="宋体" w:cs="宋体"/>
          <w:bCs/>
          <w:sz w:val="28"/>
          <w:szCs w:val="28"/>
          <w:u w:val="single"/>
        </w:rPr>
      </w:pPr>
      <w:r>
        <w:rPr>
          <w:rFonts w:hint="eastAsia" w:ascii="宋体" w:hAnsi="宋体" w:eastAsia="宋体" w:cs="宋体"/>
          <w:bCs/>
          <w:sz w:val="28"/>
          <w:szCs w:val="28"/>
        </w:rPr>
        <w:t>乙方：</w:t>
      </w:r>
      <w:r>
        <w:rPr>
          <w:rFonts w:hint="eastAsia" w:ascii="宋体" w:hAnsi="宋体" w:eastAsia="宋体" w:cs="宋体"/>
          <w:b/>
          <w:bCs/>
          <w:sz w:val="28"/>
          <w:szCs w:val="28"/>
          <w:u w:val="single"/>
        </w:rPr>
        <w:t xml:space="preserve">                        </w:t>
      </w:r>
    </w:p>
    <w:p w14:paraId="4ECFAA09">
      <w:pPr>
        <w:adjustRightInd w:val="0"/>
        <w:snapToGrid w:val="0"/>
        <w:spacing w:before="72" w:beforeLines="30" w:line="46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依照《中华人民共和国食品安全法》、《中华人民共和国民法典》及其他有关法律、行政法规，遵循平等诚实信用的原则，双方经协商一致订立本协议。</w:t>
      </w:r>
    </w:p>
    <w:p w14:paraId="0C2F3A13">
      <w:pPr>
        <w:adjustRightInd w:val="0"/>
        <w:snapToGrid w:val="0"/>
        <w:spacing w:before="72" w:beforeLines="30" w:line="460" w:lineRule="exact"/>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一、</w:t>
      </w:r>
      <w:r>
        <w:rPr>
          <w:rFonts w:hint="eastAsia" w:ascii="宋体" w:hAnsi="宋体" w:eastAsia="宋体" w:cs="宋体"/>
          <w:sz w:val="28"/>
          <w:szCs w:val="28"/>
        </w:rPr>
        <w:t>合同标的：根据江苏省总工会《关于进一步完善基层工会经费使用促进职工消费的若干措施》（苏工发〔2025〕8 号）的通知精神，体现甲方对其工会会员的关心和慰问，甲方向乙方采购能够购买生活必须品的提货券。</w:t>
      </w:r>
    </w:p>
    <w:p w14:paraId="11799C16">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二、采购数量：</w:t>
      </w:r>
      <w:r>
        <w:rPr>
          <w:rFonts w:hint="eastAsia" w:ascii="宋体" w:hAnsi="宋体" w:eastAsia="宋体" w:cs="宋体"/>
          <w:sz w:val="28"/>
          <w:szCs w:val="28"/>
        </w:rPr>
        <w:t>约为</w:t>
      </w:r>
      <w:r>
        <w:rPr>
          <w:rFonts w:hint="eastAsia" w:ascii="宋体" w:hAnsi="宋体" w:eastAsia="宋体" w:cs="宋体"/>
          <w:sz w:val="28"/>
          <w:szCs w:val="28"/>
          <w:lang w:val="en-US" w:eastAsia="zh-CN"/>
        </w:rPr>
        <w:t>581</w:t>
      </w:r>
      <w:r>
        <w:rPr>
          <w:rFonts w:hint="eastAsia" w:ascii="宋体" w:hAnsi="宋体" w:eastAsia="宋体" w:cs="宋体"/>
          <w:sz w:val="28"/>
          <w:szCs w:val="28"/>
        </w:rPr>
        <w:t>份。以乙方实际收到的</w:t>
      </w:r>
      <w:r>
        <w:rPr>
          <w:rFonts w:hint="eastAsia" w:ascii="宋体" w:hAnsi="宋体" w:eastAsia="宋体" w:cs="宋体"/>
          <w:color w:val="000000"/>
          <w:sz w:val="28"/>
          <w:szCs w:val="28"/>
        </w:rPr>
        <w:t>提货券份</w:t>
      </w:r>
      <w:r>
        <w:rPr>
          <w:rFonts w:hint="eastAsia" w:ascii="宋体" w:hAnsi="宋体" w:eastAsia="宋体" w:cs="宋体"/>
          <w:sz w:val="28"/>
          <w:szCs w:val="28"/>
        </w:rPr>
        <w:t>数为结算依据。</w:t>
      </w:r>
    </w:p>
    <w:p w14:paraId="55F1F87D">
      <w:pPr>
        <w:adjustRightInd w:val="0"/>
        <w:snapToGrid w:val="0"/>
        <w:spacing w:before="72" w:beforeLines="30"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三、合同金额（应标明投标响应的提货券面值及实际结算支付的金额）：</w:t>
      </w:r>
    </w:p>
    <w:p w14:paraId="2AA99009">
      <w:pPr>
        <w:adjustRightInd w:val="0"/>
        <w:snapToGrid w:val="0"/>
        <w:spacing w:before="72" w:beforeLines="30"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每份提货券面额（人民币大写）：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元。合同实付金额（学校向商家实际结算支付的金额）人民币大写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元。</w:t>
      </w:r>
    </w:p>
    <w:p w14:paraId="0CE6DA67">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bCs/>
          <w:sz w:val="28"/>
          <w:szCs w:val="28"/>
        </w:rPr>
        <w:t>质量</w:t>
      </w:r>
      <w:r>
        <w:rPr>
          <w:rFonts w:hint="eastAsia" w:ascii="宋体" w:hAnsi="宋体" w:eastAsia="宋体" w:cs="宋体"/>
          <w:sz w:val="28"/>
          <w:szCs w:val="28"/>
        </w:rPr>
        <w:t>要求：乙方保证提供产品的质量符合国家标准和行业规范。</w:t>
      </w:r>
    </w:p>
    <w:p w14:paraId="0E3417BD">
      <w:pPr>
        <w:adjustRightInd w:val="0"/>
        <w:snapToGrid w:val="0"/>
        <w:spacing w:before="72" w:beforeLines="30"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五、</w:t>
      </w:r>
      <w:r>
        <w:rPr>
          <w:rFonts w:hint="eastAsia" w:ascii="宋体" w:hAnsi="宋体" w:eastAsia="宋体" w:cs="宋体"/>
          <w:bCs/>
          <w:sz w:val="28"/>
          <w:szCs w:val="28"/>
        </w:rPr>
        <w:t>交货</w:t>
      </w:r>
      <w:r>
        <w:rPr>
          <w:rFonts w:hint="eastAsia" w:ascii="宋体" w:hAnsi="宋体" w:eastAsia="宋体" w:cs="宋体"/>
          <w:sz w:val="28"/>
          <w:szCs w:val="28"/>
        </w:rPr>
        <w:t>时间、地</w:t>
      </w:r>
      <w:r>
        <w:rPr>
          <w:rFonts w:hint="eastAsia" w:ascii="宋体" w:hAnsi="宋体" w:eastAsia="宋体" w:cs="宋体"/>
          <w:color w:val="000000"/>
          <w:sz w:val="28"/>
          <w:szCs w:val="28"/>
        </w:rPr>
        <w:t>点、方式：乙方凭提货券向甲方职工在规定的时间内发放双方约定范围的慰问品，每份提货券可分批次使用完，不找零，不兑现。</w:t>
      </w:r>
    </w:p>
    <w:p w14:paraId="671C0E00">
      <w:pPr>
        <w:adjustRightInd w:val="0"/>
        <w:snapToGrid w:val="0"/>
        <w:spacing w:before="72" w:beforeLines="30"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六、付款方式及期限：</w:t>
      </w:r>
    </w:p>
    <w:p w14:paraId="770EB994">
      <w:pPr>
        <w:adjustRightInd w:val="0"/>
        <w:snapToGrid w:val="0"/>
        <w:spacing w:before="72" w:beforeLines="30" w:line="4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000000"/>
          <w:sz w:val="28"/>
          <w:szCs w:val="28"/>
        </w:rPr>
        <w:t>1.供货方交付实际收到的提货券后，</w:t>
      </w:r>
      <w:r>
        <w:rPr>
          <w:rFonts w:hint="eastAsia" w:ascii="宋体" w:hAnsi="宋体" w:eastAsia="宋体" w:cs="宋体"/>
          <w:color w:val="auto"/>
          <w:sz w:val="28"/>
          <w:szCs w:val="28"/>
          <w:lang w:val="en-US" w:eastAsia="zh-CN"/>
        </w:rPr>
        <w:t>甲方在收到发票30日内</w:t>
      </w:r>
      <w:r>
        <w:rPr>
          <w:rFonts w:hint="eastAsia" w:ascii="宋体" w:hAnsi="宋体" w:eastAsia="宋体" w:cs="宋体"/>
          <w:color w:val="auto"/>
          <w:sz w:val="28"/>
          <w:szCs w:val="28"/>
        </w:rPr>
        <w:t>支付相应货款。</w:t>
      </w:r>
    </w:p>
    <w:p w14:paraId="6457160D">
      <w:pPr>
        <w:adjustRightInd w:val="0"/>
        <w:snapToGrid w:val="0"/>
        <w:spacing w:before="72" w:beforeLines="30"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2.款项由</w:t>
      </w:r>
      <w:r>
        <w:rPr>
          <w:rFonts w:hint="eastAsia" w:ascii="宋体" w:hAnsi="宋体" w:eastAsia="宋体" w:cs="宋体"/>
          <w:color w:val="000000"/>
          <w:sz w:val="28"/>
          <w:szCs w:val="28"/>
          <w:lang w:val="en-US" w:eastAsia="zh-CN"/>
        </w:rPr>
        <w:t>甲方</w:t>
      </w:r>
      <w:r>
        <w:rPr>
          <w:rFonts w:hint="eastAsia" w:ascii="宋体" w:hAnsi="宋体" w:eastAsia="宋体" w:cs="宋体"/>
          <w:color w:val="000000"/>
          <w:sz w:val="28"/>
          <w:szCs w:val="28"/>
        </w:rPr>
        <w:t>按相关财务支付规定办理支付手续，不得故意拖延支付时间。</w:t>
      </w:r>
    </w:p>
    <w:p w14:paraId="252E3B85">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七</w:t>
      </w:r>
      <w:r>
        <w:rPr>
          <w:rFonts w:hint="eastAsia" w:ascii="宋体" w:hAnsi="宋体" w:eastAsia="宋体" w:cs="宋体"/>
          <w:sz w:val="28"/>
          <w:szCs w:val="28"/>
        </w:rPr>
        <w:t xml:space="preserve">、违约责任：甲乙双方必须严格履行合同及招投标文件的约定，无特殊理由，任何一方不得擅自改变或终止合同内容。在合同履行过程中，如因甲方上级行政管理部门的要求无法履行其合同义务，合同终止，双方不追究违约责任。   </w:t>
      </w:r>
    </w:p>
    <w:p w14:paraId="573F217C">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八</w:t>
      </w:r>
      <w:r>
        <w:rPr>
          <w:rFonts w:hint="eastAsia" w:ascii="宋体" w:hAnsi="宋体" w:eastAsia="宋体" w:cs="宋体"/>
          <w:sz w:val="28"/>
          <w:szCs w:val="28"/>
        </w:rPr>
        <w:t>、 解决合同纠纷的方式：本合同在履行过程中发生争议，由当事人双方协商解决。协商不成，当事人双方同意由甲方属地法院裁决。</w:t>
      </w:r>
    </w:p>
    <w:p w14:paraId="5AB3A62C">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rPr>
        <w:t>、本合同正本一式六份，甲方执伍份，乙方执壹份。</w:t>
      </w:r>
    </w:p>
    <w:p w14:paraId="0DC5BE36">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十、其它约定事项： 认同甲方招标公告、招标文件及乙方投标文件作为合同附件，与合同有同等法律效力。</w:t>
      </w:r>
    </w:p>
    <w:p w14:paraId="79D3C9F9">
      <w:pPr>
        <w:adjustRightInd w:val="0"/>
        <w:snapToGrid w:val="0"/>
        <w:spacing w:before="72" w:beforeLines="30" w:line="46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w:t>
      </w:r>
    </w:p>
    <w:tbl>
      <w:tblPr>
        <w:tblStyle w:val="27"/>
        <w:tblW w:w="8845" w:type="dxa"/>
        <w:tblCellSpacing w:w="0" w:type="dxa"/>
        <w:tblInd w:w="1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05" w:type="dxa"/>
          <w:left w:w="105" w:type="dxa"/>
          <w:bottom w:w="105" w:type="dxa"/>
          <w:right w:w="105" w:type="dxa"/>
        </w:tblCellMar>
      </w:tblPr>
      <w:tblGrid>
        <w:gridCol w:w="2340"/>
        <w:gridCol w:w="2335"/>
        <w:gridCol w:w="2360"/>
        <w:gridCol w:w="1810"/>
      </w:tblGrid>
      <w:tr w14:paraId="0F66F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11" w:hRule="atLeast"/>
          <w:tblCellSpacing w:w="0" w:type="dxa"/>
        </w:trPr>
        <w:tc>
          <w:tcPr>
            <w:tcW w:w="4675" w:type="dxa"/>
            <w:gridSpan w:val="2"/>
            <w:tcBorders>
              <w:bottom w:val="single" w:color="auto" w:sz="8" w:space="0"/>
            </w:tcBorders>
          </w:tcPr>
          <w:p w14:paraId="212369B3">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b/>
                <w:bCs/>
                <w:sz w:val="28"/>
                <w:szCs w:val="28"/>
                <w:u w:val="single"/>
              </w:rPr>
              <w:t>江苏商贸职业学院</w:t>
            </w:r>
          </w:p>
        </w:tc>
        <w:tc>
          <w:tcPr>
            <w:tcW w:w="4170" w:type="dxa"/>
            <w:gridSpan w:val="2"/>
            <w:tcBorders>
              <w:bottom w:val="single" w:color="auto" w:sz="8" w:space="0"/>
            </w:tcBorders>
          </w:tcPr>
          <w:p w14:paraId="3D1B076C">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b/>
                <w:bCs/>
                <w:sz w:val="28"/>
                <w:szCs w:val="28"/>
                <w:u w:val="single"/>
              </w:rPr>
              <w:t xml:space="preserve">                         </w:t>
            </w:r>
          </w:p>
        </w:tc>
      </w:tr>
      <w:tr w14:paraId="2063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5" w:type="dxa"/>
            <w:left w:w="105" w:type="dxa"/>
            <w:bottom w:w="105" w:type="dxa"/>
            <w:right w:w="105" w:type="dxa"/>
          </w:tblCellMar>
        </w:tblPrEx>
        <w:trPr>
          <w:cantSplit/>
          <w:trHeight w:val="2716" w:hRule="atLeast"/>
          <w:tblCellSpacing w:w="0" w:type="dxa"/>
        </w:trPr>
        <w:tc>
          <w:tcPr>
            <w:tcW w:w="2340" w:type="dxa"/>
            <w:tcBorders>
              <w:top w:val="single" w:color="auto" w:sz="8" w:space="0"/>
              <w:right w:val="single" w:color="auto" w:sz="8" w:space="0"/>
            </w:tcBorders>
          </w:tcPr>
          <w:p w14:paraId="7994163B">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单位名称（章）</w:t>
            </w:r>
          </w:p>
          <w:p w14:paraId="3A96B07E">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 xml:space="preserve">法定代表人：      </w:t>
            </w:r>
          </w:p>
          <w:p w14:paraId="33569FEF">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电话：</w:t>
            </w:r>
          </w:p>
          <w:p w14:paraId="288262ED">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开户银行：</w:t>
            </w:r>
          </w:p>
          <w:p w14:paraId="05D25B67">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帐号：</w:t>
            </w:r>
          </w:p>
          <w:p w14:paraId="75289329">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日期：</w:t>
            </w:r>
          </w:p>
        </w:tc>
        <w:tc>
          <w:tcPr>
            <w:tcW w:w="2335" w:type="dxa"/>
            <w:tcBorders>
              <w:top w:val="single" w:color="auto" w:sz="8" w:space="0"/>
              <w:left w:val="single" w:color="auto" w:sz="8" w:space="0"/>
            </w:tcBorders>
          </w:tcPr>
          <w:p w14:paraId="52B1B5F1">
            <w:pPr>
              <w:widowControl/>
              <w:adjustRightInd w:val="0"/>
              <w:snapToGrid w:val="0"/>
              <w:spacing w:before="72" w:beforeLines="30" w:line="460" w:lineRule="exact"/>
              <w:jc w:val="left"/>
              <w:rPr>
                <w:rFonts w:hint="eastAsia" w:ascii="宋体" w:hAnsi="宋体" w:eastAsia="宋体" w:cs="宋体"/>
                <w:sz w:val="28"/>
                <w:szCs w:val="28"/>
              </w:rPr>
            </w:pPr>
            <w:r>
              <w:rPr>
                <w:rFonts w:hint="eastAsia" w:ascii="宋体" w:hAnsi="宋体" w:eastAsia="宋体" w:cs="宋体"/>
                <w:sz w:val="28"/>
                <w:szCs w:val="28"/>
              </w:rPr>
              <w:t>委托代理人：</w:t>
            </w:r>
          </w:p>
          <w:p w14:paraId="48B4DE59">
            <w:pPr>
              <w:widowControl/>
              <w:adjustRightInd w:val="0"/>
              <w:snapToGrid w:val="0"/>
              <w:spacing w:before="72" w:beforeLines="30" w:line="460" w:lineRule="exact"/>
              <w:jc w:val="left"/>
              <w:rPr>
                <w:rFonts w:hint="eastAsia" w:ascii="宋体" w:hAnsi="宋体" w:eastAsia="宋体" w:cs="宋体"/>
                <w:sz w:val="28"/>
                <w:szCs w:val="28"/>
              </w:rPr>
            </w:pPr>
          </w:p>
          <w:p w14:paraId="459CD465">
            <w:pPr>
              <w:widowControl/>
              <w:adjustRightInd w:val="0"/>
              <w:snapToGrid w:val="0"/>
              <w:spacing w:before="72" w:beforeLines="30" w:line="460" w:lineRule="exact"/>
              <w:jc w:val="left"/>
              <w:rPr>
                <w:rFonts w:hint="eastAsia" w:ascii="宋体" w:hAnsi="宋体" w:eastAsia="宋体" w:cs="宋体"/>
                <w:sz w:val="28"/>
                <w:szCs w:val="28"/>
              </w:rPr>
            </w:pPr>
          </w:p>
          <w:p w14:paraId="69F565E7">
            <w:pPr>
              <w:widowControl/>
              <w:adjustRightInd w:val="0"/>
              <w:snapToGrid w:val="0"/>
              <w:spacing w:before="72" w:beforeLines="30" w:line="460" w:lineRule="exact"/>
              <w:jc w:val="left"/>
              <w:rPr>
                <w:rFonts w:hint="eastAsia" w:ascii="宋体" w:hAnsi="宋体" w:eastAsia="宋体" w:cs="宋体"/>
                <w:sz w:val="28"/>
                <w:szCs w:val="28"/>
              </w:rPr>
            </w:pPr>
          </w:p>
          <w:p w14:paraId="591EDCFC">
            <w:pPr>
              <w:widowControl/>
              <w:adjustRightInd w:val="0"/>
              <w:snapToGrid w:val="0"/>
              <w:spacing w:before="72" w:beforeLines="30" w:line="460" w:lineRule="exact"/>
              <w:jc w:val="left"/>
              <w:rPr>
                <w:rFonts w:hint="eastAsia" w:ascii="宋体" w:hAnsi="宋体" w:eastAsia="宋体" w:cs="宋体"/>
                <w:sz w:val="28"/>
                <w:szCs w:val="28"/>
              </w:rPr>
            </w:pPr>
          </w:p>
          <w:p w14:paraId="43C32615">
            <w:pPr>
              <w:adjustRightInd w:val="0"/>
              <w:snapToGrid w:val="0"/>
              <w:spacing w:before="72" w:beforeLines="30" w:line="460" w:lineRule="exact"/>
              <w:rPr>
                <w:rFonts w:hint="eastAsia" w:ascii="宋体" w:hAnsi="宋体" w:eastAsia="宋体" w:cs="宋体"/>
                <w:sz w:val="28"/>
                <w:szCs w:val="28"/>
              </w:rPr>
            </w:pPr>
          </w:p>
        </w:tc>
        <w:tc>
          <w:tcPr>
            <w:tcW w:w="2360" w:type="dxa"/>
            <w:tcBorders>
              <w:top w:val="single" w:color="auto" w:sz="8" w:space="0"/>
              <w:right w:val="single" w:color="auto" w:sz="8" w:space="0"/>
            </w:tcBorders>
          </w:tcPr>
          <w:p w14:paraId="44DE5453">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单位名称（章）</w:t>
            </w:r>
          </w:p>
          <w:p w14:paraId="7FDA6B43">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 xml:space="preserve">法定代表人：      </w:t>
            </w:r>
          </w:p>
          <w:p w14:paraId="39434D13">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 xml:space="preserve">电话： </w:t>
            </w:r>
          </w:p>
          <w:p w14:paraId="587CF2C2">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开户银行：</w:t>
            </w:r>
          </w:p>
          <w:p w14:paraId="3E1E9EAE">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帐号：</w:t>
            </w:r>
          </w:p>
          <w:p w14:paraId="26EA1602">
            <w:pPr>
              <w:adjustRightInd w:val="0"/>
              <w:snapToGrid w:val="0"/>
              <w:spacing w:before="72" w:beforeLines="30" w:line="460" w:lineRule="exact"/>
              <w:rPr>
                <w:rFonts w:hint="eastAsia" w:ascii="宋体" w:hAnsi="宋体" w:eastAsia="宋体" w:cs="宋体"/>
                <w:sz w:val="28"/>
                <w:szCs w:val="28"/>
              </w:rPr>
            </w:pPr>
            <w:r>
              <w:rPr>
                <w:rFonts w:hint="eastAsia" w:ascii="宋体" w:hAnsi="宋体" w:eastAsia="宋体" w:cs="宋体"/>
                <w:sz w:val="28"/>
                <w:szCs w:val="28"/>
              </w:rPr>
              <w:t>日期：</w:t>
            </w:r>
          </w:p>
        </w:tc>
        <w:tc>
          <w:tcPr>
            <w:tcW w:w="1810" w:type="dxa"/>
            <w:tcBorders>
              <w:top w:val="single" w:color="auto" w:sz="8" w:space="0"/>
              <w:left w:val="single" w:color="auto" w:sz="8" w:space="0"/>
            </w:tcBorders>
          </w:tcPr>
          <w:p w14:paraId="5E8838F6">
            <w:pPr>
              <w:widowControl/>
              <w:adjustRightInd w:val="0"/>
              <w:snapToGrid w:val="0"/>
              <w:spacing w:before="72" w:beforeLines="30" w:line="460" w:lineRule="exact"/>
              <w:jc w:val="left"/>
              <w:rPr>
                <w:rFonts w:hint="eastAsia" w:ascii="宋体" w:hAnsi="宋体" w:eastAsia="宋体" w:cs="宋体"/>
                <w:sz w:val="28"/>
                <w:szCs w:val="28"/>
              </w:rPr>
            </w:pPr>
            <w:r>
              <w:rPr>
                <w:rFonts w:hint="eastAsia" w:ascii="宋体" w:hAnsi="宋体" w:eastAsia="宋体" w:cs="宋体"/>
                <w:sz w:val="28"/>
                <w:szCs w:val="28"/>
              </w:rPr>
              <w:t>委托代理人：</w:t>
            </w:r>
          </w:p>
          <w:p w14:paraId="4A7F5997">
            <w:pPr>
              <w:widowControl/>
              <w:adjustRightInd w:val="0"/>
              <w:snapToGrid w:val="0"/>
              <w:spacing w:before="72" w:beforeLines="30" w:line="460" w:lineRule="exact"/>
              <w:jc w:val="left"/>
              <w:rPr>
                <w:rFonts w:hint="eastAsia" w:ascii="宋体" w:hAnsi="宋体" w:eastAsia="宋体" w:cs="宋体"/>
                <w:sz w:val="28"/>
                <w:szCs w:val="28"/>
              </w:rPr>
            </w:pPr>
          </w:p>
          <w:p w14:paraId="35B920C9">
            <w:pPr>
              <w:widowControl/>
              <w:adjustRightInd w:val="0"/>
              <w:snapToGrid w:val="0"/>
              <w:spacing w:before="72" w:beforeLines="30" w:line="460" w:lineRule="exact"/>
              <w:jc w:val="left"/>
              <w:rPr>
                <w:rFonts w:hint="eastAsia" w:ascii="宋体" w:hAnsi="宋体" w:eastAsia="宋体" w:cs="宋体"/>
                <w:sz w:val="28"/>
                <w:szCs w:val="28"/>
              </w:rPr>
            </w:pPr>
          </w:p>
          <w:p w14:paraId="3DC1C1C6">
            <w:pPr>
              <w:widowControl/>
              <w:adjustRightInd w:val="0"/>
              <w:snapToGrid w:val="0"/>
              <w:spacing w:before="72" w:beforeLines="30" w:line="460" w:lineRule="exact"/>
              <w:jc w:val="left"/>
              <w:rPr>
                <w:rFonts w:hint="eastAsia" w:ascii="宋体" w:hAnsi="宋体" w:eastAsia="宋体" w:cs="宋体"/>
                <w:sz w:val="28"/>
                <w:szCs w:val="28"/>
              </w:rPr>
            </w:pPr>
          </w:p>
          <w:p w14:paraId="1187DD85">
            <w:pPr>
              <w:widowControl/>
              <w:adjustRightInd w:val="0"/>
              <w:snapToGrid w:val="0"/>
              <w:spacing w:before="72" w:beforeLines="30" w:line="460" w:lineRule="exact"/>
              <w:jc w:val="left"/>
              <w:rPr>
                <w:rFonts w:hint="eastAsia" w:ascii="宋体" w:hAnsi="宋体" w:eastAsia="宋体" w:cs="宋体"/>
                <w:sz w:val="28"/>
                <w:szCs w:val="28"/>
              </w:rPr>
            </w:pPr>
          </w:p>
          <w:p w14:paraId="27713EBC">
            <w:pPr>
              <w:adjustRightInd w:val="0"/>
              <w:snapToGrid w:val="0"/>
              <w:spacing w:before="72" w:beforeLines="30" w:line="460" w:lineRule="exact"/>
              <w:rPr>
                <w:rFonts w:hint="eastAsia" w:ascii="宋体" w:hAnsi="宋体" w:eastAsia="宋体" w:cs="宋体"/>
                <w:sz w:val="28"/>
                <w:szCs w:val="28"/>
              </w:rPr>
            </w:pPr>
          </w:p>
        </w:tc>
      </w:tr>
    </w:tbl>
    <w:p w14:paraId="54E63928">
      <w:pPr>
        <w:spacing w:line="460" w:lineRule="exact"/>
        <w:jc w:val="center"/>
        <w:rPr>
          <w:rFonts w:hint="eastAsia" w:ascii="宋体" w:hAnsi="宋体" w:cs="宋体"/>
          <w:bCs/>
          <w:color w:val="auto"/>
          <w:sz w:val="36"/>
          <w:szCs w:val="36"/>
        </w:rPr>
        <w:sectPr>
          <w:pgSz w:w="11907" w:h="16839"/>
          <w:pgMar w:top="1440" w:right="1803" w:bottom="1440" w:left="1803" w:header="720" w:footer="720" w:gutter="0"/>
          <w:cols w:space="720" w:num="1"/>
          <w:docGrid w:linePitch="286" w:charSpace="0"/>
        </w:sectPr>
      </w:pPr>
    </w:p>
    <w:p w14:paraId="77ECA9CB">
      <w:pPr>
        <w:spacing w:line="460" w:lineRule="exact"/>
        <w:jc w:val="center"/>
        <w:rPr>
          <w:rFonts w:ascii="宋体" w:hAnsi="宋体" w:cs="宋体"/>
          <w:b/>
          <w:color w:val="auto"/>
          <w:sz w:val="32"/>
          <w:szCs w:val="32"/>
        </w:rPr>
      </w:pPr>
      <w:r>
        <w:rPr>
          <w:rFonts w:hint="eastAsia" w:ascii="宋体" w:hAnsi="宋体" w:cs="宋体"/>
          <w:bCs/>
          <w:color w:val="auto"/>
          <w:sz w:val="36"/>
          <w:szCs w:val="36"/>
        </w:rPr>
        <w:t>第四部分 评审方法和评审标准</w:t>
      </w:r>
    </w:p>
    <w:p w14:paraId="0C016570">
      <w:pPr>
        <w:adjustRightInd w:val="0"/>
        <w:snapToGrid w:val="0"/>
        <w:spacing w:line="460" w:lineRule="exact"/>
        <w:ind w:firstLine="562" w:firstLineChars="200"/>
        <w:jc w:val="left"/>
        <w:textAlignment w:val="baseline"/>
        <w:outlineLvl w:val="1"/>
        <w:rPr>
          <w:rFonts w:ascii="宋体" w:hAnsi="宋体" w:cs="宋体"/>
          <w:b/>
          <w:color w:val="auto"/>
          <w:sz w:val="28"/>
          <w:szCs w:val="28"/>
        </w:rPr>
      </w:pPr>
      <w:r>
        <w:rPr>
          <w:rFonts w:hint="eastAsia" w:ascii="宋体" w:hAnsi="宋体" w:cs="宋体"/>
          <w:b/>
          <w:color w:val="auto"/>
          <w:sz w:val="28"/>
          <w:szCs w:val="28"/>
        </w:rPr>
        <w:t>一、</w:t>
      </w:r>
      <w:r>
        <w:rPr>
          <w:rFonts w:hint="eastAsia" w:ascii="宋体" w:hAnsi="宋体" w:cs="宋体"/>
          <w:bCs/>
          <w:color w:val="auto"/>
          <w:sz w:val="28"/>
          <w:szCs w:val="28"/>
        </w:rPr>
        <w:t>磋商方式</w:t>
      </w:r>
    </w:p>
    <w:p w14:paraId="2B6ECE4F">
      <w:pPr>
        <w:tabs>
          <w:tab w:val="left" w:pos="3585"/>
        </w:tabs>
        <w:adjustRightInd w:val="0"/>
        <w:snapToGrid w:val="0"/>
        <w:spacing w:line="460" w:lineRule="exact"/>
        <w:ind w:firstLine="537" w:firstLineChars="192"/>
        <w:rPr>
          <w:rFonts w:ascii="宋体" w:hAnsi="宋体" w:cs="宋体"/>
          <w:color w:val="auto"/>
          <w:sz w:val="28"/>
          <w:szCs w:val="28"/>
        </w:rPr>
      </w:pPr>
      <w:r>
        <w:rPr>
          <w:rFonts w:hint="eastAsia" w:ascii="宋体" w:hAnsi="宋体" w:cs="宋体"/>
          <w:color w:val="auto"/>
          <w:sz w:val="28"/>
          <w:szCs w:val="28"/>
        </w:rPr>
        <w:t>见面磋商模式：供应商在采购文件规定的时间和地点参加磋商活动。</w:t>
      </w:r>
    </w:p>
    <w:p w14:paraId="498E2259">
      <w:pPr>
        <w:adjustRightInd w:val="0"/>
        <w:snapToGrid w:val="0"/>
        <w:spacing w:line="460" w:lineRule="exact"/>
        <w:ind w:firstLine="562" w:firstLineChars="200"/>
        <w:jc w:val="left"/>
        <w:textAlignment w:val="baseline"/>
        <w:outlineLvl w:val="1"/>
        <w:rPr>
          <w:rFonts w:ascii="宋体" w:hAnsi="宋体" w:cs="宋体"/>
          <w:color w:val="auto"/>
          <w:sz w:val="28"/>
          <w:szCs w:val="28"/>
        </w:rPr>
      </w:pPr>
      <w:r>
        <w:rPr>
          <w:rFonts w:hint="eastAsia" w:ascii="宋体" w:hAnsi="宋体" w:cs="宋体"/>
          <w:b/>
          <w:color w:val="auto"/>
          <w:sz w:val="28"/>
          <w:szCs w:val="28"/>
        </w:rPr>
        <w:t>二、</w:t>
      </w:r>
      <w:r>
        <w:rPr>
          <w:rFonts w:hint="eastAsia" w:ascii="宋体" w:hAnsi="宋体" w:cs="宋体"/>
          <w:color w:val="auto"/>
          <w:sz w:val="28"/>
          <w:szCs w:val="28"/>
        </w:rPr>
        <w:t>磋商程序及评审方法和标准</w:t>
      </w:r>
    </w:p>
    <w:p w14:paraId="3E8B0BBB">
      <w:pPr>
        <w:adjustRightInd w:val="0"/>
        <w:snapToGrid w:val="0"/>
        <w:spacing w:line="460" w:lineRule="exact"/>
        <w:ind w:firstLine="691" w:firstLineChars="247"/>
        <w:rPr>
          <w:rFonts w:ascii="宋体" w:hAnsi="宋体" w:cs="宋体"/>
          <w:bCs/>
          <w:color w:val="auto"/>
          <w:sz w:val="28"/>
          <w:szCs w:val="28"/>
        </w:rPr>
      </w:pPr>
      <w:r>
        <w:rPr>
          <w:rFonts w:hint="eastAsia" w:ascii="宋体" w:hAnsi="宋体" w:cs="宋体"/>
          <w:bCs/>
          <w:color w:val="auto"/>
          <w:sz w:val="28"/>
          <w:szCs w:val="28"/>
        </w:rPr>
        <w:t>1.评审方法：综合评分法，经磋商确定最终采购需求和提交最后报价的供应商后，由磋商小组采用综合评分法对提交最后报价的供应商的响应文件和最后报价进行综合评分。</w:t>
      </w:r>
    </w:p>
    <w:p w14:paraId="0B9E34D9">
      <w:pPr>
        <w:adjustRightInd w:val="0"/>
        <w:snapToGrid w:val="0"/>
        <w:spacing w:line="460" w:lineRule="exact"/>
        <w:ind w:firstLine="700" w:firstLineChars="250"/>
        <w:rPr>
          <w:rFonts w:ascii="宋体" w:hAnsi="宋体" w:cs="宋体"/>
          <w:bCs/>
          <w:color w:val="auto"/>
          <w:sz w:val="28"/>
          <w:szCs w:val="28"/>
        </w:rPr>
      </w:pPr>
      <w:r>
        <w:rPr>
          <w:rFonts w:hint="eastAsia" w:ascii="宋体" w:hAnsi="宋体" w:cs="宋体"/>
          <w:bCs/>
          <w:color w:val="auto"/>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bCs/>
          <w:color w:val="auto"/>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2C1E97F">
      <w:pPr>
        <w:adjustRightInd w:val="0"/>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供应商商务、技术部分和价格部分的合计分值，为该供应商的评审总得分。</w:t>
      </w:r>
    </w:p>
    <w:p w14:paraId="625C8327">
      <w:pPr>
        <w:adjustRightInd w:val="0"/>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adjustRightInd w:val="0"/>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评委在认真审阅响应文件的基础上，根据各响应文件的响应程度独立评判，不得统一打分。</w:t>
      </w:r>
    </w:p>
    <w:p w14:paraId="1EB01176">
      <w:pPr>
        <w:adjustRightInd w:val="0"/>
        <w:snapToGrid w:val="0"/>
        <w:spacing w:line="460" w:lineRule="exact"/>
        <w:ind w:firstLine="555"/>
        <w:rPr>
          <w:rFonts w:ascii="宋体" w:hAnsi="宋体" w:cs="宋体"/>
          <w:color w:val="auto"/>
          <w:sz w:val="28"/>
          <w:szCs w:val="28"/>
        </w:rPr>
      </w:pPr>
      <w:r>
        <w:rPr>
          <w:rFonts w:hint="eastAsia" w:ascii="宋体" w:hAnsi="宋体" w:cs="宋体"/>
          <w:color w:val="auto"/>
          <w:sz w:val="28"/>
          <w:szCs w:val="28"/>
        </w:rPr>
        <w:t>技术商务部分评审结束后，再开启最后报价计算分值。总分值为100分，加分和减分因素除外。</w:t>
      </w:r>
    </w:p>
    <w:p w14:paraId="7D00124D">
      <w:pPr>
        <w:adjustRightInd w:val="0"/>
        <w:snapToGrid w:val="0"/>
        <w:spacing w:line="460" w:lineRule="exact"/>
        <w:ind w:firstLine="579" w:firstLineChars="206"/>
        <w:outlineLvl w:val="2"/>
        <w:rPr>
          <w:rFonts w:ascii="宋体" w:hAnsi="宋体" w:cs="宋体"/>
          <w:b/>
          <w:color w:val="auto"/>
          <w:sz w:val="28"/>
          <w:szCs w:val="28"/>
        </w:rPr>
      </w:pPr>
      <w:r>
        <w:rPr>
          <w:rFonts w:hint="eastAsia" w:ascii="宋体" w:hAnsi="宋体" w:cs="宋体"/>
          <w:b/>
          <w:color w:val="auto"/>
          <w:sz w:val="28"/>
          <w:szCs w:val="28"/>
        </w:rPr>
        <w:t>（一）采购人（代表）对供应商资格进行审查。</w:t>
      </w:r>
    </w:p>
    <w:p w14:paraId="57B87CD8">
      <w:pPr>
        <w:adjustRightInd w:val="0"/>
        <w:snapToGrid w:val="0"/>
        <w:spacing w:line="460" w:lineRule="exact"/>
        <w:ind w:firstLine="576" w:firstLineChars="206"/>
        <w:rPr>
          <w:rFonts w:ascii="宋体" w:hAnsi="宋体" w:cs="宋体"/>
          <w:color w:val="auto"/>
          <w:kern w:val="0"/>
          <w:sz w:val="28"/>
          <w:szCs w:val="28"/>
        </w:rPr>
      </w:pPr>
      <w:r>
        <w:rPr>
          <w:rFonts w:hint="eastAsia" w:ascii="宋体" w:hAnsi="宋体" w:cs="宋体"/>
          <w:color w:val="auto"/>
          <w:kern w:val="0"/>
          <w:sz w:val="28"/>
          <w:szCs w:val="28"/>
        </w:rPr>
        <w:t>供应商资格不合格的，其响应文件判定为无效响应文件。</w:t>
      </w:r>
    </w:p>
    <w:p w14:paraId="20780BEE">
      <w:pPr>
        <w:adjustRightInd w:val="0"/>
        <w:snapToGrid w:val="0"/>
        <w:spacing w:line="460" w:lineRule="exact"/>
        <w:ind w:firstLine="579" w:firstLineChars="206"/>
        <w:outlineLvl w:val="2"/>
        <w:rPr>
          <w:rFonts w:ascii="宋体" w:hAnsi="宋体" w:cs="宋体"/>
          <w:b/>
          <w:color w:val="auto"/>
          <w:sz w:val="28"/>
          <w:szCs w:val="28"/>
        </w:rPr>
      </w:pPr>
      <w:r>
        <w:rPr>
          <w:rFonts w:hint="eastAsia" w:ascii="宋体" w:hAnsi="宋体" w:cs="宋体"/>
          <w:b/>
          <w:color w:val="auto"/>
          <w:sz w:val="28"/>
          <w:szCs w:val="28"/>
        </w:rPr>
        <w:t>（二）磋商小组对符合资格供应商的响应文件进行符合性审查。</w:t>
      </w:r>
    </w:p>
    <w:p w14:paraId="3DA4E77B">
      <w:pPr>
        <w:adjustRightInd w:val="0"/>
        <w:snapToGrid w:val="0"/>
        <w:spacing w:line="460" w:lineRule="exact"/>
        <w:ind w:firstLine="576" w:firstLineChars="206"/>
        <w:rPr>
          <w:rFonts w:ascii="宋体" w:hAnsi="宋体" w:cs="宋体"/>
          <w:color w:val="auto"/>
          <w:kern w:val="0"/>
          <w:sz w:val="28"/>
          <w:szCs w:val="28"/>
        </w:rPr>
      </w:pPr>
      <w:r>
        <w:rPr>
          <w:rFonts w:hint="eastAsia" w:ascii="宋体" w:hAnsi="宋体" w:cs="宋体"/>
          <w:color w:val="auto"/>
          <w:kern w:val="0"/>
          <w:sz w:val="28"/>
          <w:szCs w:val="28"/>
        </w:rPr>
        <w:t xml:space="preserve">未通过符合性审查的响应文件，将被判为不满足磋商文件实质性要求。 </w:t>
      </w:r>
    </w:p>
    <w:p w14:paraId="331960B1">
      <w:pPr>
        <w:adjustRightInd w:val="0"/>
        <w:snapToGrid w:val="0"/>
        <w:spacing w:line="460" w:lineRule="exact"/>
        <w:ind w:firstLine="560" w:firstLineChars="200"/>
        <w:jc w:val="left"/>
        <w:outlineLvl w:val="2"/>
        <w:rPr>
          <w:rFonts w:ascii="宋体" w:hAnsi="宋体" w:cs="宋体"/>
          <w:color w:val="auto"/>
          <w:sz w:val="28"/>
          <w:szCs w:val="28"/>
          <w:lang w:val="zh-CN"/>
        </w:rPr>
      </w:pPr>
      <w:r>
        <w:rPr>
          <w:rFonts w:hint="eastAsia" w:ascii="宋体" w:hAnsi="宋体" w:cs="宋体"/>
          <w:color w:val="auto"/>
          <w:sz w:val="28"/>
          <w:szCs w:val="28"/>
          <w:lang w:val="zh-CN"/>
        </w:rPr>
        <w:t>（三）商务技术分：</w:t>
      </w:r>
      <w:r>
        <w:rPr>
          <w:rFonts w:hint="eastAsia" w:ascii="宋体" w:hAnsi="宋体" w:cs="宋体"/>
          <w:color w:val="auto"/>
          <w:sz w:val="28"/>
          <w:szCs w:val="28"/>
          <w:lang w:val="en-US" w:eastAsia="zh-CN"/>
        </w:rPr>
        <w:t>70</w:t>
      </w:r>
      <w:r>
        <w:rPr>
          <w:rFonts w:hint="eastAsia" w:ascii="宋体" w:hAnsi="宋体" w:cs="宋体"/>
          <w:color w:val="auto"/>
          <w:sz w:val="28"/>
          <w:szCs w:val="28"/>
          <w:lang w:val="zh-CN"/>
        </w:rPr>
        <w:t>分</w:t>
      </w:r>
    </w:p>
    <w:p w14:paraId="11261083">
      <w:pPr>
        <w:adjustRightInd w:val="0"/>
        <w:snapToGrid w:val="0"/>
        <w:spacing w:line="460" w:lineRule="exact"/>
        <w:ind w:firstLine="700" w:firstLineChars="250"/>
        <w:jc w:val="left"/>
        <w:rPr>
          <w:rFonts w:ascii="宋体" w:hAnsi="宋体" w:cs="宋体"/>
          <w:color w:val="auto"/>
          <w:sz w:val="28"/>
          <w:szCs w:val="28"/>
        </w:rPr>
      </w:pPr>
      <w:r>
        <w:rPr>
          <w:rFonts w:hint="eastAsia" w:ascii="宋体" w:hAnsi="宋体" w:cs="宋体"/>
          <w:color w:val="auto"/>
          <w:sz w:val="28"/>
          <w:szCs w:val="28"/>
        </w:rPr>
        <w:t>各供应商得分为磋商小组成员评分的算术平均分，分值保留小数点后两位。</w:t>
      </w:r>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020"/>
        <w:gridCol w:w="6240"/>
      </w:tblGrid>
      <w:tr w14:paraId="563B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vAlign w:val="center"/>
          </w:tcPr>
          <w:p w14:paraId="05F2D84A">
            <w:pPr>
              <w:spacing w:line="460" w:lineRule="exact"/>
              <w:jc w:val="center"/>
              <w:rPr>
                <w:rFonts w:ascii="宋体" w:hAnsi="宋体" w:cs="宋体"/>
                <w:sz w:val="24"/>
              </w:rPr>
            </w:pPr>
            <w:r>
              <w:rPr>
                <w:rFonts w:hint="eastAsia" w:ascii="宋体" w:hAnsi="宋体" w:cs="宋体"/>
                <w:sz w:val="24"/>
              </w:rPr>
              <w:t>评审因素</w:t>
            </w:r>
          </w:p>
        </w:tc>
        <w:tc>
          <w:tcPr>
            <w:tcW w:w="1020" w:type="dxa"/>
            <w:vAlign w:val="center"/>
          </w:tcPr>
          <w:p w14:paraId="7AA27936">
            <w:pPr>
              <w:spacing w:line="460" w:lineRule="exact"/>
              <w:jc w:val="center"/>
              <w:rPr>
                <w:rFonts w:ascii="宋体" w:hAnsi="宋体" w:cs="宋体"/>
                <w:sz w:val="24"/>
              </w:rPr>
            </w:pPr>
            <w:r>
              <w:rPr>
                <w:rFonts w:hint="eastAsia" w:ascii="宋体" w:hAnsi="宋体" w:cs="宋体"/>
                <w:sz w:val="24"/>
              </w:rPr>
              <w:t>分值</w:t>
            </w:r>
          </w:p>
        </w:tc>
        <w:tc>
          <w:tcPr>
            <w:tcW w:w="6240" w:type="dxa"/>
            <w:vAlign w:val="center"/>
          </w:tcPr>
          <w:p w14:paraId="7AB19DB4">
            <w:pPr>
              <w:spacing w:line="460" w:lineRule="exact"/>
              <w:ind w:firstLine="480" w:firstLineChars="200"/>
              <w:jc w:val="center"/>
              <w:rPr>
                <w:rFonts w:ascii="宋体" w:hAnsi="宋体" w:cs="宋体"/>
                <w:sz w:val="24"/>
              </w:rPr>
            </w:pPr>
            <w:r>
              <w:rPr>
                <w:rFonts w:hint="eastAsia" w:ascii="宋体" w:hAnsi="宋体" w:cs="宋体"/>
                <w:sz w:val="24"/>
              </w:rPr>
              <w:t>评分细则</w:t>
            </w:r>
          </w:p>
        </w:tc>
      </w:tr>
      <w:tr w14:paraId="7067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812" w:type="dxa"/>
            <w:vAlign w:val="center"/>
          </w:tcPr>
          <w:p w14:paraId="5E497FD9">
            <w:pPr>
              <w:widowControl/>
              <w:shd w:val="clear" w:color="auto" w:fill="FFFFFF"/>
              <w:snapToGrid w:val="0"/>
              <w:spacing w:line="460" w:lineRule="exact"/>
              <w:jc w:val="left"/>
              <w:rPr>
                <w:rFonts w:ascii="宋体" w:hAnsi="宋体" w:cs="宋体"/>
                <w:sz w:val="24"/>
              </w:rPr>
            </w:pPr>
            <w:r>
              <w:rPr>
                <w:rFonts w:hint="eastAsia" w:ascii="宋体" w:hAnsi="宋体" w:cs="宋体"/>
                <w:sz w:val="24"/>
              </w:rPr>
              <w:t>社会美誉度</w:t>
            </w:r>
          </w:p>
        </w:tc>
        <w:tc>
          <w:tcPr>
            <w:tcW w:w="1020" w:type="dxa"/>
            <w:vAlign w:val="center"/>
          </w:tcPr>
          <w:p w14:paraId="05CDE74B">
            <w:pPr>
              <w:widowControl/>
              <w:shd w:val="clear" w:color="auto" w:fill="FFFFFF"/>
              <w:snapToGrid w:val="0"/>
              <w:spacing w:line="460" w:lineRule="exact"/>
              <w:jc w:val="left"/>
              <w:rPr>
                <w:rFonts w:ascii="宋体" w:hAnsi="宋体" w:cs="宋体"/>
                <w:sz w:val="24"/>
              </w:rPr>
            </w:pPr>
            <w:r>
              <w:rPr>
                <w:rFonts w:hint="eastAsia" w:ascii="宋体" w:hAnsi="宋体" w:cs="宋体"/>
                <w:sz w:val="24"/>
              </w:rPr>
              <w:t>10分</w:t>
            </w:r>
          </w:p>
        </w:tc>
        <w:tc>
          <w:tcPr>
            <w:tcW w:w="6240" w:type="dxa"/>
            <w:vAlign w:val="center"/>
          </w:tcPr>
          <w:p w14:paraId="0AF4E496">
            <w:pPr>
              <w:widowControl/>
              <w:shd w:val="clear" w:color="auto" w:fill="FFFFFF"/>
              <w:snapToGrid w:val="0"/>
              <w:spacing w:line="460" w:lineRule="exact"/>
              <w:jc w:val="left"/>
              <w:rPr>
                <w:rFonts w:hint="eastAsia" w:ascii="宋体" w:hAnsi="宋体" w:eastAsia="宋体" w:cs="宋体"/>
                <w:sz w:val="24"/>
                <w:lang w:eastAsia="zh-CN"/>
              </w:rPr>
            </w:pPr>
            <w:r>
              <w:rPr>
                <w:rFonts w:hint="eastAsia" w:ascii="宋体" w:hAnsi="宋体" w:cs="宋体"/>
                <w:sz w:val="24"/>
              </w:rPr>
              <w:t>根据投标人的公众信任、</w:t>
            </w:r>
            <w:r>
              <w:fldChar w:fldCharType="begin"/>
            </w:r>
            <w:r>
              <w:instrText xml:space="preserve"> HYPERLINK "http://www.so.com/s?q=%E5%A5%BD%E6%84%9F&amp;ie=utf-8&amp;src=internal_wenda_recommend_textn" \t "_blank" </w:instrText>
            </w:r>
            <w:r>
              <w:fldChar w:fldCharType="separate"/>
            </w:r>
            <w:r>
              <w:rPr>
                <w:rFonts w:hint="eastAsia" w:ascii="宋体" w:hAnsi="宋体" w:cs="宋体"/>
                <w:sz w:val="24"/>
              </w:rPr>
              <w:t>好感</w:t>
            </w:r>
            <w:r>
              <w:rPr>
                <w:rFonts w:hint="eastAsia" w:ascii="宋体" w:hAnsi="宋体" w:cs="宋体"/>
                <w:sz w:val="24"/>
              </w:rPr>
              <w:fldChar w:fldCharType="end"/>
            </w:r>
            <w:r>
              <w:rPr>
                <w:rFonts w:hint="eastAsia" w:ascii="宋体" w:hAnsi="宋体" w:cs="宋体"/>
                <w:sz w:val="24"/>
              </w:rPr>
              <w:t>、接纳和欢迎的</w:t>
            </w:r>
            <w:r>
              <w:fldChar w:fldCharType="begin"/>
            </w:r>
            <w:r>
              <w:instrText xml:space="preserve"> HYPERLINK "http://www.so.com/s?q=%E7%A8%8B%E5%BA%A6&amp;ie=utf-8&amp;src=internal_wenda_recommend_textn" \t "_blank" </w:instrText>
            </w:r>
            <w:r>
              <w:fldChar w:fldCharType="separate"/>
            </w:r>
            <w:r>
              <w:rPr>
                <w:rFonts w:hint="eastAsia" w:ascii="宋体" w:hAnsi="宋体" w:cs="宋体"/>
                <w:sz w:val="24"/>
              </w:rPr>
              <w:t>程度</w:t>
            </w:r>
            <w:r>
              <w:rPr>
                <w:rFonts w:hint="eastAsia" w:ascii="宋体" w:hAnsi="宋体" w:cs="宋体"/>
                <w:sz w:val="24"/>
              </w:rPr>
              <w:fldChar w:fldCharType="end"/>
            </w:r>
            <w:r>
              <w:rPr>
                <w:rFonts w:hint="eastAsia" w:ascii="宋体" w:hAnsi="宋体" w:cs="宋体"/>
                <w:sz w:val="24"/>
              </w:rPr>
              <w:t>进行打分。</w:t>
            </w:r>
            <w:r>
              <w:rPr>
                <w:rFonts w:hint="eastAsia" w:ascii="宋体" w:hAnsi="宋体" w:cs="宋体"/>
                <w:kern w:val="0"/>
                <w:sz w:val="24"/>
              </w:rPr>
              <w:t>优秀得10分；良好得7分；一般得4分，较差得2分。</w:t>
            </w:r>
            <w:r>
              <w:rPr>
                <w:rFonts w:hint="eastAsia" w:ascii="宋体" w:hAnsi="宋体" w:cs="宋体"/>
                <w:kern w:val="0"/>
                <w:sz w:val="24"/>
                <w:lang w:eastAsia="zh-CN"/>
              </w:rPr>
              <w:t>提供相关佐证材料。</w:t>
            </w:r>
          </w:p>
        </w:tc>
      </w:tr>
      <w:tr w14:paraId="5CFF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vAlign w:val="center"/>
          </w:tcPr>
          <w:p w14:paraId="6D20690B">
            <w:pPr>
              <w:widowControl/>
              <w:shd w:val="clear" w:color="auto" w:fill="FFFFFF"/>
              <w:snapToGrid w:val="0"/>
              <w:spacing w:line="460" w:lineRule="exact"/>
              <w:jc w:val="left"/>
              <w:rPr>
                <w:rFonts w:ascii="宋体" w:hAnsi="宋体" w:cs="宋体"/>
                <w:sz w:val="24"/>
              </w:rPr>
            </w:pPr>
            <w:r>
              <w:rPr>
                <w:rFonts w:hint="eastAsia" w:ascii="宋体" w:hAnsi="宋体" w:cs="宋体"/>
                <w:sz w:val="24"/>
              </w:rPr>
              <w:t>服务方案</w:t>
            </w:r>
          </w:p>
        </w:tc>
        <w:tc>
          <w:tcPr>
            <w:tcW w:w="1020" w:type="dxa"/>
            <w:vAlign w:val="center"/>
          </w:tcPr>
          <w:p w14:paraId="74F44622">
            <w:pPr>
              <w:widowControl/>
              <w:shd w:val="clear" w:color="auto" w:fill="FFFFFF"/>
              <w:snapToGrid w:val="0"/>
              <w:spacing w:line="460" w:lineRule="exact"/>
              <w:jc w:val="left"/>
              <w:rPr>
                <w:rFonts w:ascii="宋体" w:hAnsi="宋体" w:cs="宋体"/>
                <w:sz w:val="24"/>
              </w:rPr>
            </w:pPr>
            <w:r>
              <w:rPr>
                <w:rFonts w:hint="eastAsia" w:ascii="宋体" w:hAnsi="宋体" w:cs="宋体"/>
                <w:sz w:val="24"/>
              </w:rPr>
              <w:t>10分</w:t>
            </w:r>
          </w:p>
        </w:tc>
        <w:tc>
          <w:tcPr>
            <w:tcW w:w="6240" w:type="dxa"/>
            <w:vAlign w:val="center"/>
          </w:tcPr>
          <w:p w14:paraId="1F79CE01">
            <w:pPr>
              <w:widowControl/>
              <w:shd w:val="clear" w:color="auto" w:fill="FFFFFF"/>
              <w:snapToGrid w:val="0"/>
              <w:spacing w:line="460" w:lineRule="exact"/>
              <w:jc w:val="left"/>
              <w:rPr>
                <w:rFonts w:ascii="宋体" w:hAnsi="宋体" w:cs="宋体"/>
                <w:sz w:val="24"/>
              </w:rPr>
            </w:pPr>
            <w:r>
              <w:rPr>
                <w:rFonts w:hint="eastAsia" w:ascii="宋体" w:hAnsi="宋体" w:cs="宋体"/>
                <w:sz w:val="24"/>
              </w:rPr>
              <w:t>以</w:t>
            </w:r>
            <w:r>
              <w:rPr>
                <w:rFonts w:hint="eastAsia" w:ascii="宋体" w:hAnsi="宋体" w:cs="宋体"/>
                <w:sz w:val="24"/>
                <w:lang w:eastAsia="zh-CN"/>
              </w:rPr>
              <w:t>投标人提供</w:t>
            </w:r>
            <w:r>
              <w:rPr>
                <w:rFonts w:hint="eastAsia" w:ascii="宋体" w:hAnsi="宋体" w:cs="宋体"/>
                <w:color w:val="auto"/>
                <w:sz w:val="24"/>
                <w:lang w:eastAsia="zh-CN"/>
              </w:rPr>
              <w:t>的</w:t>
            </w:r>
            <w:r>
              <w:rPr>
                <w:rFonts w:hint="eastAsia" w:ascii="宋体" w:hAnsi="宋体" w:cs="宋体"/>
                <w:color w:val="auto"/>
                <w:sz w:val="24"/>
              </w:rPr>
              <w:t>《2025年度江苏商贸职业学院工会会员慰问品清单》为基础，为2025年度江苏商贸职业学院工会会员</w:t>
            </w:r>
            <w:r>
              <w:rPr>
                <w:rFonts w:hint="eastAsia" w:ascii="宋体" w:hAnsi="宋体" w:cs="宋体"/>
                <w:color w:val="auto"/>
                <w:sz w:val="24"/>
                <w:lang w:val="en-US" w:eastAsia="zh-CN"/>
              </w:rPr>
              <w:t>节日</w:t>
            </w:r>
            <w:r>
              <w:rPr>
                <w:rFonts w:hint="eastAsia" w:ascii="宋体" w:hAnsi="宋体" w:cs="宋体"/>
                <w:color w:val="auto"/>
                <w:sz w:val="24"/>
              </w:rPr>
              <w:t>慰问品设计一份整体方案构思。无固定格式内容，请各投标人根据我校员工人数和自身服务实力提供定制化服务方案。</w:t>
            </w:r>
            <w:r>
              <w:rPr>
                <w:rFonts w:hint="eastAsia" w:ascii="宋体" w:hAnsi="宋体" w:cs="宋体"/>
                <w:color w:val="auto"/>
                <w:kern w:val="0"/>
                <w:sz w:val="24"/>
              </w:rPr>
              <w:t>服务方案内容完善、</w:t>
            </w:r>
            <w:r>
              <w:rPr>
                <w:rFonts w:hint="eastAsia" w:ascii="宋体" w:hAnsi="宋体" w:cs="宋体"/>
                <w:color w:val="auto"/>
                <w:kern w:val="0"/>
                <w:sz w:val="24"/>
                <w:lang w:eastAsia="zh-CN"/>
              </w:rPr>
              <w:t>商品品质优秀、</w:t>
            </w:r>
            <w:r>
              <w:rPr>
                <w:rFonts w:hint="eastAsia" w:ascii="宋体" w:hAnsi="宋体" w:cs="宋体"/>
                <w:color w:val="auto"/>
                <w:kern w:val="0"/>
                <w:sz w:val="24"/>
              </w:rPr>
              <w:t>质量保障措施有效贴合实际、投诉渠道明确便捷、配送方式迅速有保障得10分；服务方案内容较完善、</w:t>
            </w:r>
            <w:r>
              <w:rPr>
                <w:rFonts w:hint="eastAsia" w:ascii="宋体" w:hAnsi="宋体" w:cs="宋体"/>
                <w:color w:val="auto"/>
                <w:kern w:val="0"/>
                <w:sz w:val="24"/>
                <w:lang w:eastAsia="zh-CN"/>
              </w:rPr>
              <w:t>商品品质较好、</w:t>
            </w:r>
            <w:r>
              <w:rPr>
                <w:rFonts w:hint="eastAsia" w:ascii="宋体" w:hAnsi="宋体" w:cs="宋体"/>
                <w:color w:val="auto"/>
                <w:kern w:val="0"/>
                <w:sz w:val="24"/>
              </w:rPr>
              <w:t>质量保障措施较为有效符合实际、投诉渠道较明确、配送方式较迅速有保障得6分；服务方案内容有所欠缺、</w:t>
            </w:r>
            <w:r>
              <w:rPr>
                <w:rFonts w:hint="eastAsia" w:ascii="宋体" w:hAnsi="宋体" w:cs="宋体"/>
                <w:color w:val="auto"/>
                <w:kern w:val="0"/>
                <w:sz w:val="24"/>
                <w:lang w:eastAsia="zh-CN"/>
              </w:rPr>
              <w:t>商品品质一般、</w:t>
            </w:r>
            <w:r>
              <w:rPr>
                <w:rFonts w:hint="eastAsia" w:ascii="宋体" w:hAnsi="宋体" w:cs="宋体"/>
                <w:color w:val="auto"/>
                <w:kern w:val="0"/>
                <w:sz w:val="24"/>
              </w:rPr>
              <w:t>质量保障措施泛泛而谈、投诉渠道含糊、配送</w:t>
            </w:r>
            <w:r>
              <w:rPr>
                <w:rFonts w:hint="eastAsia" w:ascii="宋体" w:hAnsi="宋体" w:cs="宋体"/>
                <w:kern w:val="0"/>
                <w:sz w:val="24"/>
              </w:rPr>
              <w:t>方式复杂且无保障得2分；未提供本项不得分。</w:t>
            </w:r>
          </w:p>
        </w:tc>
      </w:tr>
      <w:tr w14:paraId="646D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812" w:type="dxa"/>
            <w:vAlign w:val="center"/>
          </w:tcPr>
          <w:p w14:paraId="1E6E8EE3">
            <w:pPr>
              <w:widowControl/>
              <w:shd w:val="clear" w:color="auto" w:fill="FFFFFF"/>
              <w:snapToGrid w:val="0"/>
              <w:spacing w:line="460" w:lineRule="exact"/>
              <w:jc w:val="left"/>
              <w:rPr>
                <w:rFonts w:ascii="宋体" w:hAnsi="宋体" w:cs="宋体"/>
                <w:sz w:val="24"/>
              </w:rPr>
            </w:pPr>
            <w:r>
              <w:rPr>
                <w:rFonts w:hint="eastAsia" w:ascii="宋体" w:hAnsi="宋体" w:cs="宋体"/>
                <w:sz w:val="24"/>
              </w:rPr>
              <w:t>机关事业单位合作案例</w:t>
            </w:r>
          </w:p>
        </w:tc>
        <w:tc>
          <w:tcPr>
            <w:tcW w:w="1020" w:type="dxa"/>
            <w:vAlign w:val="center"/>
          </w:tcPr>
          <w:p w14:paraId="33C4411F">
            <w:pPr>
              <w:widowControl/>
              <w:shd w:val="clear" w:color="auto" w:fill="FFFFFF"/>
              <w:snapToGrid w:val="0"/>
              <w:spacing w:line="460" w:lineRule="exact"/>
              <w:jc w:val="left"/>
              <w:rPr>
                <w:rFonts w:ascii="宋体" w:hAnsi="宋体" w:cs="宋体"/>
                <w:sz w:val="24"/>
              </w:rPr>
            </w:pPr>
            <w:r>
              <w:rPr>
                <w:rFonts w:hint="eastAsia" w:ascii="宋体" w:hAnsi="宋体" w:cs="宋体"/>
                <w:sz w:val="24"/>
              </w:rPr>
              <w:t>4分</w:t>
            </w:r>
          </w:p>
        </w:tc>
        <w:tc>
          <w:tcPr>
            <w:tcW w:w="6240" w:type="dxa"/>
            <w:vAlign w:val="center"/>
          </w:tcPr>
          <w:p w14:paraId="32ADEE8D">
            <w:pPr>
              <w:widowControl/>
              <w:shd w:val="clear" w:color="auto" w:fill="FFFFFF"/>
              <w:snapToGrid w:val="0"/>
              <w:spacing w:line="460" w:lineRule="exact"/>
              <w:jc w:val="left"/>
              <w:rPr>
                <w:rFonts w:ascii="宋体" w:hAnsi="宋体" w:cs="宋体"/>
                <w:sz w:val="24"/>
              </w:rPr>
            </w:pPr>
            <w:r>
              <w:rPr>
                <w:rFonts w:hint="eastAsia" w:ascii="宋体" w:hAnsi="宋体" w:cs="宋体"/>
                <w:sz w:val="24"/>
              </w:rPr>
              <w:t>自202</w:t>
            </w:r>
            <w:r>
              <w:rPr>
                <w:rFonts w:hint="eastAsia" w:ascii="宋体" w:hAnsi="宋体" w:cs="宋体"/>
                <w:sz w:val="24"/>
                <w:lang w:val="en-US" w:eastAsia="zh-CN"/>
              </w:rPr>
              <w:t>3</w:t>
            </w:r>
            <w:r>
              <w:rPr>
                <w:rFonts w:hint="eastAsia" w:ascii="宋体" w:hAnsi="宋体" w:cs="宋体"/>
                <w:sz w:val="24"/>
              </w:rPr>
              <w:t>年1月1日以来（以合同签订时间为准）签署的机关、事业单位慰问品相关合同复印件，每提交1份得2分，满分4分。</w:t>
            </w:r>
          </w:p>
        </w:tc>
      </w:tr>
      <w:tr w14:paraId="0FD4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812" w:type="dxa"/>
            <w:vAlign w:val="center"/>
          </w:tcPr>
          <w:p w14:paraId="29E8E4A9">
            <w:pPr>
              <w:widowControl/>
              <w:shd w:val="clear" w:color="auto" w:fill="FFFFFF"/>
              <w:snapToGrid w:val="0"/>
              <w:spacing w:line="460" w:lineRule="exact"/>
              <w:jc w:val="left"/>
              <w:rPr>
                <w:rFonts w:ascii="宋体" w:hAnsi="宋体" w:cs="宋体"/>
                <w:sz w:val="24"/>
              </w:rPr>
            </w:pPr>
            <w:r>
              <w:rPr>
                <w:rFonts w:hint="eastAsia" w:ascii="宋体" w:hAnsi="宋体" w:cs="宋体"/>
                <w:sz w:val="24"/>
              </w:rPr>
              <w:t>组合样品</w:t>
            </w:r>
          </w:p>
        </w:tc>
        <w:tc>
          <w:tcPr>
            <w:tcW w:w="1020" w:type="dxa"/>
            <w:vAlign w:val="center"/>
          </w:tcPr>
          <w:p w14:paraId="7E1D1F43">
            <w:pPr>
              <w:widowControl/>
              <w:shd w:val="clear" w:color="auto" w:fill="FFFFFF"/>
              <w:snapToGrid w:val="0"/>
              <w:spacing w:line="460" w:lineRule="exact"/>
              <w:jc w:val="left"/>
              <w:rPr>
                <w:rFonts w:ascii="宋体" w:hAnsi="宋体" w:cs="宋体"/>
                <w:sz w:val="24"/>
              </w:rPr>
            </w:pPr>
            <w:r>
              <w:rPr>
                <w:rFonts w:hint="eastAsia" w:ascii="宋体" w:hAnsi="宋体" w:cs="宋体"/>
                <w:sz w:val="24"/>
              </w:rPr>
              <w:t>46分</w:t>
            </w:r>
          </w:p>
        </w:tc>
        <w:tc>
          <w:tcPr>
            <w:tcW w:w="6240" w:type="dxa"/>
            <w:vAlign w:val="center"/>
          </w:tcPr>
          <w:p w14:paraId="5AF8D567">
            <w:pPr>
              <w:widowControl/>
              <w:shd w:val="clear" w:color="auto" w:fill="FFFFFF"/>
              <w:snapToGrid w:val="0"/>
              <w:spacing w:line="460" w:lineRule="exact"/>
              <w:jc w:val="left"/>
              <w:rPr>
                <w:rFonts w:ascii="宋体" w:hAnsi="宋体" w:cs="宋体"/>
              </w:rPr>
            </w:pPr>
            <w:r>
              <w:rPr>
                <w:rFonts w:hint="eastAsia" w:ascii="宋体" w:hAnsi="宋体" w:cs="宋体"/>
                <w:sz w:val="24"/>
              </w:rPr>
              <w:t>投标人</w:t>
            </w:r>
            <w:r>
              <w:rPr>
                <w:rFonts w:hint="eastAsia" w:ascii="宋体" w:hAnsi="宋体" w:cs="宋体"/>
                <w:sz w:val="24"/>
                <w:lang w:eastAsia="zh-CN"/>
              </w:rPr>
              <w:t>提供</w:t>
            </w:r>
            <w:r>
              <w:rPr>
                <w:rFonts w:hint="eastAsia" w:ascii="宋体" w:hAnsi="宋体" w:cs="宋体"/>
                <w:sz w:val="24"/>
              </w:rPr>
              <w:t>《2025年度江苏商贸职业学院工会会员慰问品</w:t>
            </w:r>
            <w:r>
              <w:rPr>
                <w:rFonts w:hint="eastAsia" w:ascii="宋体" w:hAnsi="宋体" w:cs="宋体"/>
                <w:sz w:val="24"/>
                <w:lang w:eastAsia="zh-CN"/>
              </w:rPr>
              <w:t>清单</w:t>
            </w:r>
            <w:r>
              <w:rPr>
                <w:rFonts w:hint="eastAsia" w:ascii="宋体" w:hAnsi="宋体" w:cs="宋体"/>
                <w:sz w:val="24"/>
              </w:rPr>
              <w:t>》，提供不少于</w:t>
            </w:r>
            <w:r>
              <w:rPr>
                <w:rFonts w:hint="eastAsia" w:ascii="宋体" w:hAnsi="宋体" w:cs="宋体"/>
                <w:sz w:val="24"/>
                <w:lang w:val="en-US" w:eastAsia="zh-CN"/>
              </w:rPr>
              <w:t>1</w:t>
            </w:r>
            <w:r>
              <w:rPr>
                <w:rFonts w:hint="eastAsia" w:ascii="宋体" w:hAnsi="宋体" w:cs="宋体"/>
                <w:sz w:val="24"/>
              </w:rPr>
              <w:t>00种产品清单，并在提供的产品清单中，搭配两种</w:t>
            </w:r>
            <w:r>
              <w:rPr>
                <w:rFonts w:hint="eastAsia" w:ascii="宋体" w:hAnsi="宋体" w:cs="宋体"/>
                <w:sz w:val="24"/>
                <w:lang w:val="en-US" w:eastAsia="zh-CN"/>
              </w:rPr>
              <w:t>节日</w:t>
            </w:r>
            <w:r>
              <w:rPr>
                <w:rFonts w:hint="eastAsia" w:ascii="宋体" w:hAnsi="宋体" w:cs="宋体"/>
                <w:sz w:val="24"/>
              </w:rPr>
              <w:t>套餐组合参与本项目评审，清单内所有产品必须根据工会会员实际情况需求进行搭配，</w:t>
            </w:r>
            <w:r>
              <w:rPr>
                <w:rFonts w:hint="eastAsia" w:ascii="宋体" w:hAnsi="宋体" w:cs="宋体"/>
                <w:kern w:val="0"/>
                <w:sz w:val="24"/>
              </w:rPr>
              <w:t>组合一与组合二之间要有一定的辨识度，组合的品种类别及数量自行设计</w:t>
            </w:r>
            <w:r>
              <w:rPr>
                <w:rFonts w:hint="eastAsia" w:ascii="宋体" w:hAnsi="宋体" w:cs="宋体"/>
                <w:sz w:val="24"/>
              </w:rPr>
              <w:t>。评委对每个投标人的两个组合清单进行综合打分，组合辨识度高、搭配齐全、品种类别多、品质卓越得46分；组合辨识度较高、搭配较齐全、品种类别较多、品质较卓越得36分；组合辨识度一般、搭配普通、品种类别寻常、品质缺乏特色得26分；组合辨识度较低、搭配欠缺、品种类别较少、品质一般得16分；组合辨识度低、品种类别少、品质差强人意得6分；未提供本项不得分。</w:t>
            </w:r>
          </w:p>
        </w:tc>
      </w:tr>
    </w:tbl>
    <w:p w14:paraId="59DFB962">
      <w:pPr>
        <w:spacing w:line="460" w:lineRule="exact"/>
        <w:ind w:firstLine="562" w:firstLineChars="200"/>
        <w:outlineLvl w:val="2"/>
        <w:rPr>
          <w:rFonts w:hint="eastAsia" w:ascii="宋体" w:hAnsi="宋体" w:cs="宋体"/>
          <w:b/>
          <w:color w:val="auto"/>
          <w:sz w:val="28"/>
          <w:szCs w:val="28"/>
        </w:rPr>
      </w:pPr>
    </w:p>
    <w:p w14:paraId="779C31B4">
      <w:pPr>
        <w:spacing w:line="460" w:lineRule="exact"/>
        <w:ind w:firstLine="562" w:firstLineChars="200"/>
        <w:outlineLvl w:val="2"/>
        <w:rPr>
          <w:rFonts w:ascii="宋体" w:hAnsi="宋体" w:cs="宋体"/>
          <w:color w:val="auto"/>
          <w:sz w:val="28"/>
          <w:szCs w:val="28"/>
        </w:rPr>
      </w:pPr>
      <w:r>
        <w:rPr>
          <w:rFonts w:hint="eastAsia" w:ascii="宋体" w:hAnsi="宋体" w:cs="宋体"/>
          <w:b/>
          <w:color w:val="auto"/>
          <w:sz w:val="28"/>
          <w:szCs w:val="28"/>
        </w:rPr>
        <w:t>（四）</w:t>
      </w:r>
      <w:r>
        <w:rPr>
          <w:rFonts w:hint="eastAsia" w:ascii="宋体" w:hAnsi="宋体" w:cs="宋体"/>
          <w:b/>
          <w:color w:val="auto"/>
          <w:sz w:val="28"/>
          <w:szCs w:val="28"/>
          <w:lang w:val="zh-CN"/>
        </w:rPr>
        <w:t>价格分</w:t>
      </w:r>
      <w:r>
        <w:rPr>
          <w:rFonts w:hint="eastAsia" w:ascii="宋体" w:hAnsi="宋体" w:cs="宋体"/>
          <w:b/>
          <w:color w:val="auto"/>
          <w:sz w:val="28"/>
          <w:szCs w:val="28"/>
        </w:rPr>
        <w:t>：</w:t>
      </w:r>
      <w:r>
        <w:rPr>
          <w:rFonts w:hint="eastAsia" w:ascii="宋体" w:hAnsi="宋体" w:cs="宋体"/>
          <w:color w:val="auto"/>
          <w:sz w:val="28"/>
          <w:szCs w:val="28"/>
          <w:lang w:val="en-US" w:eastAsia="zh-CN"/>
        </w:rPr>
        <w:t>30</w:t>
      </w:r>
      <w:r>
        <w:rPr>
          <w:rFonts w:hint="eastAsia" w:ascii="宋体" w:hAnsi="宋体" w:cs="宋体"/>
          <w:color w:val="auto"/>
          <w:sz w:val="28"/>
          <w:szCs w:val="28"/>
          <w:lang w:val="zh-CN"/>
        </w:rPr>
        <w:t>分</w:t>
      </w:r>
    </w:p>
    <w:p w14:paraId="715430B9">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价格分统一采用高价优先法计算，即满足磋商文件要求且最后报价最高的供应商的价格为磋商基准价，其价格分为满分。其他供应商的价格分统一按照下列公式计算：</w:t>
      </w:r>
    </w:p>
    <w:p w14:paraId="27BD807E">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磋商报价得分=（最后磋商报价/磋商基准价）×30分</w:t>
      </w:r>
    </w:p>
    <w:p w14:paraId="428F9833">
      <w:pPr>
        <w:adjustRightInd w:val="0"/>
        <w:snapToGrid w:val="0"/>
        <w:spacing w:line="460" w:lineRule="exact"/>
        <w:ind w:firstLine="570"/>
        <w:outlineLvl w:val="2"/>
        <w:rPr>
          <w:rFonts w:ascii="宋体" w:hAnsi="宋体" w:cs="宋体"/>
          <w:bCs/>
          <w:color w:val="auto"/>
          <w:sz w:val="28"/>
          <w:szCs w:val="28"/>
        </w:rPr>
      </w:pPr>
      <w:r>
        <w:rPr>
          <w:rFonts w:hint="eastAsia" w:ascii="宋体" w:hAnsi="宋体" w:cs="宋体"/>
          <w:b/>
          <w:color w:val="auto"/>
          <w:sz w:val="28"/>
          <w:szCs w:val="28"/>
        </w:rPr>
        <w:t>（五）成交供应商的确定</w:t>
      </w:r>
    </w:p>
    <w:p w14:paraId="70E5CBF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所有合格供应商的商务技术分与价格分的总和作为最终成交的评判依据。选取总得分排名第一、第二的供应商为成交候选人。</w:t>
      </w:r>
    </w:p>
    <w:p w14:paraId="11ACC7CD">
      <w:pPr>
        <w:adjustRightInd w:val="0"/>
        <w:snapToGrid w:val="0"/>
        <w:spacing w:line="460" w:lineRule="exact"/>
        <w:ind w:firstLine="562" w:firstLineChars="200"/>
        <w:outlineLvl w:val="2"/>
        <w:rPr>
          <w:rFonts w:hint="eastAsia" w:ascii="宋体" w:hAnsi="宋体" w:cs="宋体"/>
          <w:b/>
          <w:color w:val="auto"/>
          <w:sz w:val="28"/>
          <w:szCs w:val="28"/>
        </w:rPr>
      </w:pPr>
      <w:r>
        <w:rPr>
          <w:rFonts w:hint="eastAsia" w:ascii="宋体" w:hAnsi="宋体" w:cs="宋体"/>
          <w:b/>
          <w:color w:val="auto"/>
          <w:sz w:val="28"/>
          <w:szCs w:val="28"/>
        </w:rPr>
        <w:t>现场不对投标报价进行唱标，直接由</w:t>
      </w:r>
      <w:r>
        <w:rPr>
          <w:rFonts w:hint="eastAsia" w:ascii="宋体" w:hAnsi="宋体" w:cs="宋体"/>
          <w:b/>
          <w:color w:val="auto"/>
          <w:sz w:val="28"/>
          <w:szCs w:val="28"/>
          <w:lang w:val="en-US" w:eastAsia="zh-CN"/>
        </w:rPr>
        <w:t>磋商</w:t>
      </w:r>
      <w:r>
        <w:rPr>
          <w:rFonts w:hint="eastAsia" w:ascii="宋体" w:hAnsi="宋体" w:cs="宋体"/>
          <w:b/>
          <w:color w:val="auto"/>
          <w:sz w:val="28"/>
          <w:szCs w:val="28"/>
        </w:rPr>
        <w:t>小组评审，最终公布成交价。</w:t>
      </w:r>
    </w:p>
    <w:p w14:paraId="2F4F558C">
      <w:pPr>
        <w:adjustRightInd w:val="0"/>
        <w:snapToGrid w:val="0"/>
        <w:spacing w:line="460" w:lineRule="exact"/>
        <w:ind w:firstLine="562" w:firstLineChars="200"/>
        <w:outlineLvl w:val="2"/>
        <w:rPr>
          <w:rFonts w:ascii="宋体" w:hAnsi="宋体" w:cs="宋体"/>
          <w:b/>
          <w:color w:val="auto"/>
          <w:sz w:val="28"/>
          <w:szCs w:val="28"/>
        </w:rPr>
      </w:pPr>
      <w:r>
        <w:rPr>
          <w:rFonts w:hint="eastAsia" w:ascii="宋体" w:hAnsi="宋体" w:cs="宋体"/>
          <w:b/>
          <w:color w:val="auto"/>
          <w:sz w:val="28"/>
          <w:szCs w:val="28"/>
        </w:rPr>
        <w:t>（六）公告成交结果</w:t>
      </w:r>
    </w:p>
    <w:p w14:paraId="51DCE270">
      <w:pPr>
        <w:adjustRightInd w:val="0"/>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自确定成交供应商之日起2个工作日内，在</w:t>
      </w:r>
      <w:r>
        <w:rPr>
          <w:rFonts w:hint="eastAsia" w:ascii="宋体" w:hAnsi="宋体" w:cs="宋体"/>
          <w:color w:val="auto"/>
          <w:sz w:val="28"/>
          <w:szCs w:val="28"/>
          <w:lang w:eastAsia="zh-CN"/>
        </w:rPr>
        <w:t>江苏商贸职业学院网站</w:t>
      </w:r>
      <w:r>
        <w:rPr>
          <w:rFonts w:hint="eastAsia" w:ascii="宋体" w:hAnsi="宋体" w:cs="宋体"/>
          <w:color w:val="auto"/>
          <w:sz w:val="28"/>
          <w:szCs w:val="28"/>
        </w:rPr>
        <w:t>公告成交结果，公告期限为1个工作日。</w:t>
      </w:r>
    </w:p>
    <w:p w14:paraId="7015121C">
      <w:pPr>
        <w:adjustRightInd w:val="0"/>
        <w:snapToGrid w:val="0"/>
        <w:spacing w:line="460" w:lineRule="exact"/>
        <w:ind w:firstLine="562" w:firstLineChars="200"/>
        <w:outlineLvl w:val="2"/>
        <w:rPr>
          <w:rFonts w:ascii="宋体" w:hAnsi="宋体" w:cs="宋体"/>
          <w:b/>
          <w:bCs/>
          <w:color w:val="auto"/>
          <w:sz w:val="28"/>
          <w:szCs w:val="28"/>
        </w:rPr>
      </w:pPr>
      <w:r>
        <w:rPr>
          <w:rFonts w:hint="eastAsia" w:ascii="宋体" w:hAnsi="宋体" w:cs="宋体"/>
          <w:b/>
          <w:color w:val="auto"/>
          <w:sz w:val="28"/>
          <w:szCs w:val="28"/>
        </w:rPr>
        <w:t>（七）</w:t>
      </w:r>
      <w:r>
        <w:rPr>
          <w:rFonts w:hint="eastAsia" w:ascii="宋体" w:hAnsi="宋体" w:cs="宋体"/>
          <w:b/>
          <w:bCs/>
          <w:color w:val="auto"/>
          <w:sz w:val="28"/>
          <w:szCs w:val="28"/>
        </w:rPr>
        <w:t>发放成交通知书</w:t>
      </w:r>
    </w:p>
    <w:p w14:paraId="0C23BC54">
      <w:pPr>
        <w:adjustRightInd w:val="0"/>
        <w:snapToGrid w:val="0"/>
        <w:spacing w:line="460" w:lineRule="exact"/>
        <w:ind w:firstLine="560" w:firstLineChars="200"/>
        <w:rPr>
          <w:rFonts w:ascii="宋体" w:hAnsi="宋体" w:cs="宋体"/>
          <w:bCs/>
          <w:color w:val="auto"/>
          <w:sz w:val="28"/>
          <w:szCs w:val="28"/>
        </w:rPr>
      </w:pPr>
      <w:r>
        <w:rPr>
          <w:rFonts w:hint="eastAsia" w:ascii="宋体" w:hAnsi="宋体" w:cs="宋体"/>
          <w:color w:val="auto"/>
          <w:sz w:val="28"/>
          <w:szCs w:val="28"/>
        </w:rPr>
        <w:t>公告成交结果的同时，采购代理机构</w:t>
      </w:r>
      <w:r>
        <w:rPr>
          <w:rFonts w:hint="eastAsia" w:ascii="宋体" w:hAnsi="宋体" w:cs="宋体"/>
          <w:bCs/>
          <w:color w:val="auto"/>
          <w:sz w:val="28"/>
          <w:szCs w:val="28"/>
        </w:rPr>
        <w:t>向成交供应商发放成交通知书。</w:t>
      </w:r>
    </w:p>
    <w:p w14:paraId="3DF2307F">
      <w:pPr>
        <w:adjustRightInd w:val="0"/>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成交通知书发出后，采购人不得违法改变成交结果，成交供应商无正当理由不得放弃成交。</w:t>
      </w:r>
    </w:p>
    <w:p w14:paraId="0D113FFA">
      <w:pPr>
        <w:snapToGrid w:val="0"/>
        <w:spacing w:line="460" w:lineRule="exact"/>
        <w:ind w:firstLine="562" w:firstLineChars="200"/>
        <w:rPr>
          <w:rFonts w:ascii="宋体" w:hAnsi="宋体" w:cs="宋体"/>
          <w:b/>
          <w:color w:val="auto"/>
          <w:sz w:val="28"/>
          <w:szCs w:val="28"/>
        </w:rPr>
      </w:pPr>
      <w:r>
        <w:rPr>
          <w:rFonts w:hint="eastAsia" w:ascii="宋体" w:hAnsi="宋体" w:cs="宋体"/>
          <w:b/>
          <w:color w:val="auto"/>
          <w:sz w:val="28"/>
          <w:szCs w:val="28"/>
        </w:rPr>
        <w:t>（八）其他</w:t>
      </w:r>
    </w:p>
    <w:p w14:paraId="662F9B25">
      <w:pPr>
        <w:adjustRightInd w:val="0"/>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7F0765CE">
      <w:pPr>
        <w:adjustRightInd w:val="0"/>
        <w:snapToGrid w:val="0"/>
        <w:spacing w:line="460" w:lineRule="exact"/>
        <w:ind w:firstLine="570"/>
        <w:rPr>
          <w:rFonts w:ascii="宋体" w:hAnsi="宋体" w:cs="宋体"/>
          <w:color w:val="auto"/>
          <w:sz w:val="28"/>
          <w:szCs w:val="28"/>
        </w:rPr>
      </w:pPr>
      <w:r>
        <w:rPr>
          <w:rFonts w:hint="eastAsia" w:ascii="宋体" w:hAnsi="宋体" w:cs="宋体"/>
          <w:color w:val="auto"/>
          <w:sz w:val="28"/>
          <w:szCs w:val="28"/>
        </w:rPr>
        <w:t>当成交候选人放弃成交、因不可抗力不能履行合同，或者被查实存在影响成交结果的违法行为等情形，不符合成交条件的，招标人重新招标。</w:t>
      </w:r>
    </w:p>
    <w:p w14:paraId="71923052">
      <w:pPr>
        <w:adjustRightInd w:val="0"/>
        <w:snapToGrid w:val="0"/>
        <w:spacing w:line="360" w:lineRule="auto"/>
        <w:jc w:val="center"/>
        <w:outlineLvl w:val="0"/>
        <w:rPr>
          <w:rFonts w:ascii="宋体" w:hAnsi="宋体" w:cs="宋体"/>
          <w:b/>
          <w:color w:val="auto"/>
          <w:sz w:val="28"/>
          <w:szCs w:val="28"/>
        </w:rPr>
      </w:pPr>
      <w:r>
        <w:rPr>
          <w:rFonts w:hint="eastAsia" w:ascii="宋体" w:hAnsi="宋体" w:cs="宋体"/>
          <w:b/>
          <w:color w:val="auto"/>
          <w:sz w:val="36"/>
          <w:szCs w:val="36"/>
        </w:rPr>
        <w:br w:type="page"/>
      </w:r>
      <w:r>
        <w:rPr>
          <w:rFonts w:hint="eastAsia" w:ascii="宋体" w:hAnsi="宋体" w:cs="宋体"/>
          <w:bCs/>
          <w:color w:val="auto"/>
          <w:sz w:val="36"/>
          <w:szCs w:val="36"/>
        </w:rPr>
        <w:t>第五部分 响应文件组成</w:t>
      </w:r>
    </w:p>
    <w:p w14:paraId="58C47794">
      <w:pPr>
        <w:adjustRightInd w:val="0"/>
        <w:snapToGrid w:val="0"/>
        <w:spacing w:line="460" w:lineRule="exact"/>
        <w:ind w:firstLine="562" w:firstLineChars="200"/>
        <w:jc w:val="left"/>
        <w:rPr>
          <w:rFonts w:ascii="宋体" w:hAnsi="宋体" w:cs="宋体"/>
          <w:b/>
          <w:color w:val="auto"/>
          <w:sz w:val="28"/>
          <w:szCs w:val="28"/>
        </w:rPr>
      </w:pPr>
      <w:r>
        <w:rPr>
          <w:rFonts w:hint="eastAsia" w:ascii="宋体" w:hAnsi="宋体" w:cs="宋体"/>
          <w:b/>
          <w:color w:val="auto"/>
          <w:sz w:val="28"/>
          <w:szCs w:val="28"/>
        </w:rPr>
        <w:t>响应文件由资格审查文件、商务技术文件、价格文件、电子响应文件</w:t>
      </w:r>
      <w:r>
        <w:rPr>
          <w:rFonts w:hint="eastAsia" w:ascii="宋体" w:hAnsi="宋体" w:cs="宋体"/>
          <w:b/>
          <w:color w:val="auto"/>
          <w:sz w:val="28"/>
          <w:szCs w:val="28"/>
          <w:lang w:val="en-US" w:eastAsia="zh-CN"/>
        </w:rPr>
        <w:t>四</w:t>
      </w:r>
      <w:r>
        <w:rPr>
          <w:rFonts w:hint="eastAsia" w:ascii="宋体" w:hAnsi="宋体" w:cs="宋体"/>
          <w:b/>
          <w:color w:val="auto"/>
          <w:sz w:val="28"/>
          <w:szCs w:val="28"/>
        </w:rPr>
        <w:t>部分组成。</w:t>
      </w:r>
    </w:p>
    <w:p w14:paraId="452A1363">
      <w:pPr>
        <w:adjustRightInd w:val="0"/>
        <w:snapToGrid w:val="0"/>
        <w:spacing w:line="460" w:lineRule="exact"/>
        <w:ind w:firstLine="562" w:firstLineChars="200"/>
        <w:outlineLvl w:val="1"/>
        <w:rPr>
          <w:rFonts w:ascii="宋体" w:hAnsi="宋体" w:cs="宋体"/>
          <w:b/>
          <w:bCs/>
          <w:color w:val="auto"/>
          <w:kern w:val="0"/>
          <w:sz w:val="28"/>
          <w:szCs w:val="28"/>
          <w:lang w:val="zh-CN"/>
        </w:rPr>
      </w:pPr>
      <w:r>
        <w:rPr>
          <w:rFonts w:hint="eastAsia" w:ascii="宋体" w:hAnsi="宋体" w:cs="宋体"/>
          <w:b/>
          <w:bCs/>
          <w:color w:val="auto"/>
          <w:kern w:val="0"/>
          <w:sz w:val="28"/>
          <w:szCs w:val="28"/>
        </w:rPr>
        <w:t>一、</w:t>
      </w:r>
      <w:r>
        <w:rPr>
          <w:rFonts w:hint="eastAsia" w:ascii="宋体" w:hAnsi="宋体" w:cs="宋体"/>
          <w:b/>
          <w:bCs/>
          <w:color w:val="auto"/>
          <w:kern w:val="0"/>
          <w:sz w:val="28"/>
          <w:szCs w:val="28"/>
          <w:lang w:val="zh-CN"/>
        </w:rPr>
        <w:t>资格审查文件</w:t>
      </w:r>
    </w:p>
    <w:p w14:paraId="023783F8">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zh-CN"/>
        </w:rPr>
        <w:t>1.</w:t>
      </w:r>
      <w:r>
        <w:rPr>
          <w:rFonts w:hint="eastAsia" w:ascii="宋体" w:hAnsi="宋体" w:cs="宋体"/>
          <w:color w:val="auto"/>
          <w:kern w:val="0"/>
          <w:sz w:val="28"/>
          <w:szCs w:val="28"/>
        </w:rPr>
        <w:t>供应商符合本项目供应商资格要求的承诺函</w:t>
      </w:r>
      <w:r>
        <w:rPr>
          <w:rFonts w:hint="eastAsia" w:ascii="宋体" w:hAnsi="宋体" w:cs="宋体"/>
          <w:color w:val="auto"/>
          <w:kern w:val="0"/>
          <w:sz w:val="28"/>
          <w:szCs w:val="28"/>
          <w:lang w:val="zh-CN"/>
        </w:rPr>
        <w:t>（格式见附件1）；</w:t>
      </w:r>
    </w:p>
    <w:p w14:paraId="1932D7F8">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zh-CN"/>
        </w:rPr>
        <w:t>2.法定代表人身份证明书（格式见附件2）；</w:t>
      </w:r>
    </w:p>
    <w:p w14:paraId="7DFF4DF1">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zh-CN"/>
        </w:rPr>
        <w:t>3.</w:t>
      </w:r>
      <w:r>
        <w:rPr>
          <w:rFonts w:hint="eastAsia" w:ascii="宋体" w:hAnsi="宋体" w:cs="宋体"/>
          <w:color w:val="auto"/>
          <w:kern w:val="0"/>
          <w:sz w:val="28"/>
          <w:szCs w:val="28"/>
          <w:lang w:val="en-US" w:eastAsia="zh-CN"/>
        </w:rPr>
        <w:t>非法定代表人需提供：</w:t>
      </w:r>
      <w:r>
        <w:rPr>
          <w:rFonts w:hint="default" w:ascii="Calibri" w:hAnsi="Calibri" w:cs="Calibri"/>
          <w:color w:val="auto"/>
          <w:kern w:val="0"/>
          <w:sz w:val="28"/>
          <w:szCs w:val="28"/>
          <w:lang w:val="en-US" w:eastAsia="zh-CN"/>
        </w:rPr>
        <w:t>①</w:t>
      </w:r>
      <w:r>
        <w:rPr>
          <w:rFonts w:hint="eastAsia" w:ascii="宋体" w:hAnsi="宋体" w:cs="宋体"/>
          <w:color w:val="auto"/>
          <w:kern w:val="0"/>
          <w:sz w:val="28"/>
          <w:szCs w:val="28"/>
          <w:lang w:val="zh-CN"/>
        </w:rPr>
        <w:t>法定代表人身份证明书（格式见附件2）</w:t>
      </w:r>
      <w:r>
        <w:rPr>
          <w:rFonts w:hint="default" w:ascii="Calibri" w:hAnsi="Calibri" w:cs="Calibri"/>
          <w:color w:val="auto"/>
          <w:kern w:val="0"/>
          <w:sz w:val="28"/>
          <w:szCs w:val="28"/>
          <w:lang w:val="zh-CN"/>
        </w:rPr>
        <w:t>②</w:t>
      </w:r>
      <w:r>
        <w:rPr>
          <w:rFonts w:hint="eastAsia" w:ascii="宋体" w:hAnsi="宋体" w:cs="宋体"/>
          <w:color w:val="auto"/>
          <w:kern w:val="0"/>
          <w:sz w:val="28"/>
          <w:szCs w:val="28"/>
          <w:lang w:val="zh-CN"/>
        </w:rPr>
        <w:t>法定代表人授权委托书原件</w:t>
      </w:r>
      <w:r>
        <w:rPr>
          <w:rFonts w:hint="default" w:ascii="Calibri" w:hAnsi="Calibri" w:cs="Calibri"/>
          <w:color w:val="auto"/>
          <w:kern w:val="0"/>
          <w:sz w:val="28"/>
          <w:szCs w:val="28"/>
          <w:lang w:val="zh-CN"/>
        </w:rPr>
        <w:t>③</w:t>
      </w:r>
      <w:r>
        <w:rPr>
          <w:rFonts w:hint="eastAsia" w:ascii="宋体" w:hAnsi="宋体" w:cs="宋体"/>
          <w:color w:val="auto"/>
          <w:kern w:val="0"/>
          <w:sz w:val="28"/>
          <w:szCs w:val="28"/>
          <w:lang w:val="zh-CN"/>
        </w:rPr>
        <w:t>磋商代表本人身份证复印件（格式见附件3）</w:t>
      </w:r>
      <w:r>
        <w:rPr>
          <w:rFonts w:hint="eastAsia" w:ascii="宋体" w:hAnsi="宋体" w:eastAsia="宋体" w:cs="宋体"/>
          <w:color w:val="auto"/>
          <w:kern w:val="0"/>
          <w:sz w:val="28"/>
          <w:szCs w:val="28"/>
          <w:lang w:val="zh-CN"/>
        </w:rPr>
        <w:t>；</w:t>
      </w:r>
    </w:p>
    <w:p w14:paraId="448C50EA">
      <w:pPr>
        <w:adjustRightInd w:val="0"/>
        <w:snapToGrid w:val="0"/>
        <w:spacing w:line="460" w:lineRule="exact"/>
        <w:ind w:firstLine="560" w:firstLineChars="200"/>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zh-CN"/>
        </w:rPr>
        <w:t>4.</w:t>
      </w:r>
      <w:r>
        <w:rPr>
          <w:rFonts w:hint="eastAsia" w:ascii="宋体" w:hAnsi="宋体" w:cs="宋体"/>
          <w:color w:val="auto"/>
          <w:kern w:val="0"/>
          <w:sz w:val="28"/>
          <w:szCs w:val="28"/>
          <w:lang w:val="en-US" w:eastAsia="zh-CN"/>
        </w:rPr>
        <w:t>提供有效的营业执照副本复印件并加盖公章；</w:t>
      </w:r>
    </w:p>
    <w:p w14:paraId="5B2B2378">
      <w:pPr>
        <w:adjustRightInd w:val="0"/>
        <w:snapToGrid w:val="0"/>
        <w:spacing w:line="460" w:lineRule="exact"/>
        <w:ind w:firstLine="562" w:firstLineChars="200"/>
        <w:rPr>
          <w:rFonts w:ascii="宋体" w:hAnsi="宋体" w:cs="宋体"/>
          <w:b/>
          <w:bCs/>
          <w:color w:val="auto"/>
          <w:kern w:val="0"/>
          <w:sz w:val="28"/>
          <w:szCs w:val="28"/>
          <w:lang w:val="zh-CN"/>
        </w:rPr>
      </w:pPr>
      <w:r>
        <w:rPr>
          <w:rFonts w:hint="eastAsia" w:ascii="宋体" w:hAnsi="宋体" w:cs="宋体"/>
          <w:b/>
          <w:bCs/>
          <w:color w:val="auto"/>
          <w:kern w:val="0"/>
          <w:sz w:val="28"/>
          <w:szCs w:val="28"/>
          <w:lang w:val="en-US" w:eastAsia="zh-CN"/>
        </w:rPr>
        <w:t>二、</w:t>
      </w:r>
      <w:r>
        <w:rPr>
          <w:rFonts w:hint="eastAsia" w:ascii="宋体" w:hAnsi="宋体" w:cs="宋体"/>
          <w:b/>
          <w:bCs/>
          <w:color w:val="auto"/>
          <w:kern w:val="0"/>
          <w:sz w:val="28"/>
          <w:szCs w:val="28"/>
          <w:lang w:val="zh-CN"/>
        </w:rPr>
        <w:t>商务技术文件</w:t>
      </w:r>
    </w:p>
    <w:p w14:paraId="18B68F36">
      <w:pPr>
        <w:spacing w:line="460" w:lineRule="exact"/>
        <w:ind w:firstLine="560"/>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rPr>
        <w:t>1.供应商情况一览表</w:t>
      </w:r>
      <w:r>
        <w:rPr>
          <w:rFonts w:hint="eastAsia" w:ascii="宋体" w:hAnsi="宋体" w:cs="宋体"/>
          <w:bCs/>
          <w:color w:val="auto"/>
          <w:sz w:val="28"/>
          <w:szCs w:val="28"/>
          <w:highlight w:val="none"/>
        </w:rPr>
        <w:t>（格式见附件</w:t>
      </w:r>
      <w:r>
        <w:rPr>
          <w:rFonts w:hint="eastAsia" w:ascii="宋体" w:hAnsi="宋体" w:cs="宋体"/>
          <w:bCs/>
          <w:color w:val="auto"/>
          <w:sz w:val="28"/>
          <w:szCs w:val="28"/>
          <w:highlight w:val="none"/>
          <w:lang w:val="en-US" w:eastAsia="zh-CN"/>
        </w:rPr>
        <w:t>4</w:t>
      </w:r>
      <w:r>
        <w:rPr>
          <w:rFonts w:hint="eastAsia" w:ascii="宋体" w:hAnsi="宋体" w:cs="宋体"/>
          <w:bCs/>
          <w:color w:val="auto"/>
          <w:sz w:val="28"/>
          <w:szCs w:val="28"/>
          <w:highlight w:val="none"/>
        </w:rPr>
        <w:t>）</w:t>
      </w:r>
    </w:p>
    <w:p w14:paraId="3922D4A7">
      <w:pPr>
        <w:spacing w:line="460" w:lineRule="exact"/>
        <w:ind w:firstLine="560"/>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2.</w:t>
      </w:r>
      <w:r>
        <w:rPr>
          <w:rFonts w:hint="eastAsia" w:ascii="宋体" w:hAnsi="宋体" w:cs="宋体"/>
          <w:kern w:val="0"/>
          <w:sz w:val="28"/>
          <w:szCs w:val="28"/>
        </w:rPr>
        <w:t>业绩、方案、组合样品</w:t>
      </w:r>
      <w:r>
        <w:rPr>
          <w:rFonts w:hint="eastAsia" w:ascii="宋体" w:hAnsi="宋体" w:cs="宋体"/>
          <w:kern w:val="0"/>
          <w:sz w:val="28"/>
          <w:szCs w:val="28"/>
          <w:lang w:val="zh-CN"/>
        </w:rPr>
        <w:t>等</w:t>
      </w:r>
      <w:r>
        <w:rPr>
          <w:rFonts w:hint="eastAsia" w:ascii="宋体" w:hAnsi="宋体" w:cs="宋体"/>
          <w:bCs/>
          <w:color w:val="auto"/>
          <w:sz w:val="28"/>
          <w:szCs w:val="28"/>
          <w:highlight w:val="none"/>
        </w:rPr>
        <w:t>（格式见附件</w:t>
      </w:r>
      <w:r>
        <w:rPr>
          <w:rFonts w:hint="eastAsia" w:ascii="宋体" w:hAnsi="宋体" w:cs="宋体"/>
          <w:bCs/>
          <w:color w:val="auto"/>
          <w:sz w:val="28"/>
          <w:szCs w:val="28"/>
          <w:highlight w:val="none"/>
          <w:lang w:val="en-US" w:eastAsia="zh-CN"/>
        </w:rPr>
        <w:t>5</w:t>
      </w: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eastAsia="zh-CN"/>
        </w:rPr>
        <w:t>；</w:t>
      </w:r>
    </w:p>
    <w:p w14:paraId="4AB07A71">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val="zh-CN"/>
        </w:rPr>
        <w:t>为方便评委评审，请供应商按评审办法中所涉及的事项顺序进行编制，可以补充相关材料；</w:t>
      </w:r>
    </w:p>
    <w:p w14:paraId="3C98101D">
      <w:pPr>
        <w:adjustRightInd w:val="0"/>
        <w:snapToGrid w:val="0"/>
        <w:spacing w:line="460" w:lineRule="exact"/>
        <w:ind w:firstLine="560" w:firstLineChars="200"/>
        <w:rPr>
          <w:rFonts w:ascii="宋体" w:hAnsi="宋体" w:cs="宋体"/>
          <w:bCs/>
          <w:color w:val="auto"/>
          <w:kern w:val="0"/>
          <w:sz w:val="28"/>
          <w:szCs w:val="28"/>
          <w:lang w:val="zh-CN"/>
        </w:rPr>
      </w:pPr>
      <w:r>
        <w:rPr>
          <w:rFonts w:hint="eastAsia" w:ascii="宋体" w:hAnsi="宋体" w:cs="宋体"/>
          <w:color w:val="auto"/>
          <w:kern w:val="0"/>
          <w:sz w:val="28"/>
          <w:szCs w:val="28"/>
          <w:lang w:val="en-US" w:eastAsia="zh-CN"/>
        </w:rPr>
        <w:t>4</w:t>
      </w:r>
      <w:r>
        <w:rPr>
          <w:rFonts w:hint="eastAsia" w:ascii="宋体" w:hAnsi="宋体" w:cs="宋体"/>
          <w:color w:val="auto"/>
          <w:kern w:val="0"/>
          <w:sz w:val="28"/>
          <w:szCs w:val="28"/>
          <w:lang w:val="zh-CN"/>
        </w:rPr>
        <w:t>.评审办法中未涉及的事项，供应商认为需要提交的其他资料。</w:t>
      </w:r>
    </w:p>
    <w:p w14:paraId="0D63B877">
      <w:pPr>
        <w:adjustRightInd w:val="0"/>
        <w:snapToGrid w:val="0"/>
        <w:spacing w:line="460" w:lineRule="exact"/>
        <w:ind w:firstLine="562" w:firstLineChars="200"/>
        <w:outlineLvl w:val="1"/>
        <w:rPr>
          <w:rFonts w:ascii="宋体" w:hAnsi="宋体" w:cs="宋体"/>
          <w:b/>
          <w:bCs/>
          <w:color w:val="auto"/>
          <w:kern w:val="0"/>
          <w:sz w:val="28"/>
          <w:szCs w:val="28"/>
          <w:lang w:val="zh-CN"/>
        </w:rPr>
      </w:pPr>
      <w:r>
        <w:rPr>
          <w:rFonts w:hint="eastAsia" w:ascii="宋体" w:hAnsi="宋体" w:cs="宋体"/>
          <w:b/>
          <w:bCs/>
          <w:color w:val="auto"/>
          <w:kern w:val="0"/>
          <w:sz w:val="28"/>
          <w:szCs w:val="28"/>
          <w:lang w:val="en-US" w:eastAsia="zh-CN"/>
        </w:rPr>
        <w:t>三、</w:t>
      </w:r>
      <w:r>
        <w:rPr>
          <w:rFonts w:hint="eastAsia" w:ascii="宋体" w:hAnsi="宋体" w:cs="宋体"/>
          <w:b/>
          <w:bCs/>
          <w:color w:val="auto"/>
          <w:kern w:val="0"/>
          <w:sz w:val="28"/>
          <w:szCs w:val="28"/>
          <w:lang w:val="zh-CN"/>
        </w:rPr>
        <w:t>价格文件</w:t>
      </w:r>
    </w:p>
    <w:p w14:paraId="7DBE995C">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zh-CN"/>
        </w:rPr>
        <w:t>1报价一览表（格式见附件</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lang w:val="zh-CN"/>
        </w:rPr>
        <w:t>）；</w:t>
      </w:r>
    </w:p>
    <w:p w14:paraId="3F773C9F">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w:t>
      </w:r>
      <w:r>
        <w:rPr>
          <w:rFonts w:hint="eastAsia" w:ascii="宋体" w:hAnsi="宋体" w:cs="宋体"/>
          <w:color w:val="auto"/>
          <w:kern w:val="0"/>
          <w:sz w:val="28"/>
          <w:szCs w:val="28"/>
          <w:lang w:val="zh-CN"/>
        </w:rPr>
        <w:t>供应商信用承诺书（格式见附件</w:t>
      </w:r>
      <w:r>
        <w:rPr>
          <w:rFonts w:hint="eastAsia" w:ascii="宋体" w:hAnsi="宋体" w:cs="宋体"/>
          <w:color w:val="auto"/>
          <w:kern w:val="0"/>
          <w:sz w:val="28"/>
          <w:szCs w:val="28"/>
          <w:lang w:val="en-US" w:eastAsia="zh-CN"/>
        </w:rPr>
        <w:t>8</w:t>
      </w:r>
      <w:r>
        <w:rPr>
          <w:rFonts w:hint="eastAsia" w:ascii="宋体" w:hAnsi="宋体" w:cs="宋体"/>
          <w:color w:val="auto"/>
          <w:kern w:val="0"/>
          <w:sz w:val="28"/>
          <w:szCs w:val="28"/>
          <w:lang w:val="zh-CN"/>
        </w:rPr>
        <w:t>）。</w:t>
      </w:r>
    </w:p>
    <w:p w14:paraId="63E5DC06">
      <w:pPr>
        <w:adjustRightInd w:val="0"/>
        <w:snapToGrid w:val="0"/>
        <w:spacing w:line="460" w:lineRule="exact"/>
        <w:ind w:firstLine="562" w:firstLineChars="200"/>
        <w:outlineLvl w:val="1"/>
        <w:rPr>
          <w:rFonts w:ascii="宋体" w:hAnsi="宋体" w:cs="宋体"/>
          <w:color w:val="auto"/>
          <w:kern w:val="0"/>
          <w:sz w:val="28"/>
          <w:szCs w:val="28"/>
        </w:rPr>
      </w:pPr>
      <w:r>
        <w:rPr>
          <w:rFonts w:hint="eastAsia" w:ascii="宋体" w:hAnsi="宋体" w:cs="宋体"/>
          <w:b/>
          <w:bCs/>
          <w:color w:val="auto"/>
          <w:kern w:val="0"/>
          <w:sz w:val="28"/>
          <w:szCs w:val="28"/>
          <w:lang w:val="en-US" w:eastAsia="zh-CN"/>
        </w:rPr>
        <w:t>四</w:t>
      </w:r>
      <w:r>
        <w:rPr>
          <w:rFonts w:hint="eastAsia" w:ascii="宋体" w:hAnsi="宋体" w:cs="宋体"/>
          <w:b/>
          <w:bCs/>
          <w:color w:val="auto"/>
          <w:kern w:val="0"/>
          <w:sz w:val="28"/>
          <w:szCs w:val="28"/>
        </w:rPr>
        <w:t>、电子响应文件（一份）</w:t>
      </w:r>
    </w:p>
    <w:p w14:paraId="62D01AAD">
      <w:pPr>
        <w:adjustRightInd w:val="0"/>
        <w:snapToGrid w:val="0"/>
        <w:spacing w:line="460" w:lineRule="exact"/>
        <w:ind w:firstLine="560" w:firstLineChars="200"/>
        <w:rPr>
          <w:rFonts w:ascii="宋体" w:hAnsi="宋体" w:cs="宋体"/>
          <w:color w:val="auto"/>
          <w:kern w:val="0"/>
          <w:sz w:val="28"/>
          <w:szCs w:val="28"/>
          <w:lang w:val="zh-CN"/>
        </w:rPr>
      </w:pPr>
      <w:r>
        <w:rPr>
          <w:rFonts w:hint="eastAsia" w:ascii="宋体" w:hAnsi="宋体" w:cs="宋体"/>
          <w:color w:val="auto"/>
          <w:kern w:val="0"/>
          <w:sz w:val="28"/>
          <w:szCs w:val="28"/>
        </w:rPr>
        <w:t>电子响应文件的内容为“资格审查文件、商务技术文件、价格文件”的打印盖章后的响应文件的扫描件。</w:t>
      </w:r>
    </w:p>
    <w:p w14:paraId="5D5F3D15">
      <w:pPr>
        <w:snapToGrid w:val="0"/>
        <w:spacing w:line="360" w:lineRule="auto"/>
        <w:ind w:firstLine="540" w:firstLineChars="192"/>
        <w:contextualSpacing/>
        <w:rPr>
          <w:rFonts w:ascii="宋体" w:hAnsi="宋体" w:cs="宋体"/>
          <w:b/>
          <w:color w:val="auto"/>
          <w:kern w:val="0"/>
          <w:sz w:val="28"/>
          <w:szCs w:val="28"/>
        </w:rPr>
      </w:pPr>
    </w:p>
    <w:p w14:paraId="76D5CF87">
      <w:pPr>
        <w:snapToGrid w:val="0"/>
        <w:spacing w:line="360" w:lineRule="auto"/>
        <w:contextualSpacing/>
        <w:rPr>
          <w:rFonts w:ascii="宋体" w:hAnsi="宋体" w:cs="宋体"/>
          <w:b/>
          <w:color w:val="auto"/>
          <w:sz w:val="30"/>
          <w:szCs w:val="30"/>
        </w:rPr>
      </w:pPr>
      <w:r>
        <w:rPr>
          <w:rFonts w:hint="eastAsia" w:ascii="宋体" w:hAnsi="宋体" w:cs="宋体"/>
          <w:color w:val="auto"/>
          <w:kern w:val="0"/>
          <w:sz w:val="32"/>
          <w:szCs w:val="32"/>
          <w:lang w:val="zh-CN"/>
        </w:rPr>
        <w:br w:type="page"/>
      </w:r>
      <w:r>
        <w:rPr>
          <w:rFonts w:hint="eastAsia" w:ascii="宋体" w:hAnsi="宋体" w:cs="宋体"/>
          <w:color w:val="auto"/>
          <w:kern w:val="0"/>
          <w:sz w:val="32"/>
          <w:szCs w:val="32"/>
          <w:lang w:val="zh-CN"/>
        </w:rPr>
        <w:t>附件1</w:t>
      </w:r>
    </w:p>
    <w:p w14:paraId="3AB3FF9F">
      <w:pPr>
        <w:spacing w:line="360" w:lineRule="auto"/>
        <w:jc w:val="center"/>
        <w:rPr>
          <w:rFonts w:ascii="宋体" w:hAnsi="宋体" w:cs="宋体"/>
          <w:b/>
          <w:color w:val="auto"/>
          <w:sz w:val="30"/>
          <w:szCs w:val="30"/>
        </w:rPr>
      </w:pPr>
      <w:r>
        <w:rPr>
          <w:rFonts w:hint="eastAsia" w:ascii="宋体" w:hAnsi="宋体" w:cs="宋体"/>
          <w:b/>
          <w:color w:val="auto"/>
          <w:sz w:val="30"/>
          <w:szCs w:val="30"/>
        </w:rPr>
        <w:t>供应商符合本项目供应商资格要求的承诺函</w:t>
      </w:r>
    </w:p>
    <w:p w14:paraId="7F5342E9">
      <w:pPr>
        <w:spacing w:line="360" w:lineRule="auto"/>
        <w:rPr>
          <w:rFonts w:ascii="宋体" w:hAnsi="宋体" w:cs="宋体"/>
          <w:b/>
          <w:bCs/>
          <w:color w:val="auto"/>
          <w:sz w:val="44"/>
          <w:szCs w:val="44"/>
        </w:rPr>
      </w:pPr>
      <w:r>
        <w:rPr>
          <w:rFonts w:hint="eastAsia" w:ascii="宋体" w:hAnsi="宋体" w:cs="宋体"/>
          <w:b/>
          <w:bCs/>
          <w:color w:val="auto"/>
          <w:sz w:val="24"/>
          <w:szCs w:val="21"/>
        </w:rPr>
        <w:t xml:space="preserve">                       </w:t>
      </w:r>
      <w:r>
        <w:rPr>
          <w:rFonts w:hint="eastAsia" w:ascii="宋体" w:hAnsi="宋体" w:cs="宋体"/>
          <w:b/>
          <w:bCs/>
          <w:color w:val="auto"/>
          <w:sz w:val="44"/>
          <w:szCs w:val="44"/>
        </w:rPr>
        <w:t xml:space="preserve">   </w:t>
      </w:r>
    </w:p>
    <w:p w14:paraId="6DCB29DE">
      <w:pPr>
        <w:spacing w:line="360" w:lineRule="auto"/>
        <w:ind w:firstLine="480" w:firstLineChars="200"/>
        <w:rPr>
          <w:rFonts w:ascii="宋体" w:hAnsi="宋体" w:cs="宋体"/>
          <w:b/>
          <w:bCs/>
          <w:color w:val="auto"/>
          <w:sz w:val="24"/>
        </w:rPr>
      </w:pPr>
      <w:r>
        <w:rPr>
          <w:rFonts w:hint="eastAsia" w:ascii="宋体" w:hAnsi="宋体" w:cs="宋体"/>
          <w:bCs/>
          <w:color w:val="auto"/>
          <w:sz w:val="24"/>
        </w:rPr>
        <w:t>我单位参加</w:t>
      </w:r>
      <w:r>
        <w:rPr>
          <w:rFonts w:hint="eastAsia" w:ascii="宋体" w:hAnsi="宋体" w:cs="宋体"/>
          <w:bCs/>
          <w:color w:val="auto"/>
          <w:sz w:val="24"/>
          <w:szCs w:val="21"/>
          <w:u w:val="single"/>
        </w:rPr>
        <w:t>________________ _</w:t>
      </w:r>
      <w:r>
        <w:rPr>
          <w:rFonts w:hint="eastAsia" w:ascii="宋体" w:hAnsi="宋体" w:cs="宋体"/>
          <w:bCs/>
          <w:color w:val="auto"/>
          <w:sz w:val="24"/>
          <w:szCs w:val="21"/>
        </w:rPr>
        <w:t>（项目名称），</w:t>
      </w:r>
      <w:r>
        <w:rPr>
          <w:rFonts w:hint="eastAsia" w:ascii="宋体" w:hAnsi="宋体" w:cs="宋体"/>
          <w:bCs/>
          <w:color w:val="auto"/>
          <w:sz w:val="24"/>
          <w:szCs w:val="21"/>
          <w:u w:val="single"/>
        </w:rPr>
        <w:t>_______ __________</w:t>
      </w:r>
      <w:r>
        <w:rPr>
          <w:rFonts w:hint="eastAsia" w:ascii="宋体" w:hAnsi="宋体" w:cs="宋体"/>
          <w:bCs/>
          <w:color w:val="auto"/>
          <w:sz w:val="24"/>
          <w:szCs w:val="21"/>
        </w:rPr>
        <w:t>（项目编号）投标活动。针对本项目供应商资格要求做出如下承诺：</w:t>
      </w:r>
    </w:p>
    <w:p w14:paraId="5249F641">
      <w:pPr>
        <w:spacing w:line="360" w:lineRule="auto"/>
        <w:ind w:firstLine="480" w:firstLineChars="200"/>
        <w:rPr>
          <w:rFonts w:ascii="宋体" w:hAnsi="宋体" w:cs="宋体"/>
          <w:color w:val="auto"/>
          <w:sz w:val="24"/>
        </w:rPr>
      </w:pPr>
      <w:r>
        <w:rPr>
          <w:rFonts w:hint="eastAsia" w:ascii="宋体" w:hAnsi="宋体" w:cs="宋体"/>
          <w:bCs/>
          <w:color w:val="auto"/>
          <w:sz w:val="24"/>
          <w:szCs w:val="21"/>
        </w:rPr>
        <w:t>1.我单位具有独立承担民事责任的能力；</w:t>
      </w:r>
    </w:p>
    <w:p w14:paraId="2D55FAB4">
      <w:pPr>
        <w:spacing w:line="360" w:lineRule="auto"/>
        <w:ind w:firstLine="480" w:firstLineChars="200"/>
        <w:rPr>
          <w:rFonts w:ascii="宋体" w:hAnsi="宋体" w:cs="宋体"/>
          <w:color w:val="auto"/>
          <w:sz w:val="24"/>
        </w:rPr>
      </w:pPr>
      <w:r>
        <w:rPr>
          <w:rFonts w:hint="eastAsia" w:ascii="宋体" w:hAnsi="宋体" w:cs="宋体"/>
          <w:color w:val="auto"/>
          <w:sz w:val="24"/>
        </w:rPr>
        <w:t>2.我单位具有良好的商业信誉和健全的财务会计制度；</w:t>
      </w:r>
    </w:p>
    <w:p w14:paraId="62AD76ED">
      <w:pPr>
        <w:spacing w:line="360" w:lineRule="auto"/>
        <w:ind w:firstLine="480" w:firstLineChars="200"/>
        <w:rPr>
          <w:rFonts w:ascii="宋体" w:hAnsi="宋体" w:cs="宋体"/>
          <w:color w:val="auto"/>
          <w:sz w:val="24"/>
        </w:rPr>
      </w:pPr>
      <w:r>
        <w:rPr>
          <w:rFonts w:hint="eastAsia" w:ascii="宋体" w:hAnsi="宋体" w:cs="宋体"/>
          <w:color w:val="auto"/>
          <w:sz w:val="24"/>
        </w:rPr>
        <w:t>3.我单位具有履行合同所必需的设备和专业技术能力；</w:t>
      </w:r>
    </w:p>
    <w:p w14:paraId="4DE3A2F7">
      <w:pPr>
        <w:spacing w:line="360" w:lineRule="auto"/>
        <w:ind w:firstLine="480" w:firstLineChars="200"/>
        <w:rPr>
          <w:rFonts w:ascii="宋体" w:hAnsi="宋体" w:cs="宋体"/>
          <w:color w:val="auto"/>
          <w:sz w:val="24"/>
        </w:rPr>
      </w:pPr>
      <w:r>
        <w:rPr>
          <w:rFonts w:hint="eastAsia" w:ascii="宋体" w:hAnsi="宋体" w:cs="宋体"/>
          <w:color w:val="auto"/>
          <w:sz w:val="24"/>
        </w:rPr>
        <w:t>4.我单位有依法缴纳税收和社会保障资金的良好记录；</w:t>
      </w:r>
    </w:p>
    <w:p w14:paraId="1A906566">
      <w:pPr>
        <w:spacing w:line="360" w:lineRule="auto"/>
        <w:ind w:firstLine="480" w:firstLineChars="200"/>
        <w:rPr>
          <w:rFonts w:ascii="宋体" w:hAnsi="宋体" w:cs="宋体"/>
          <w:color w:val="auto"/>
          <w:sz w:val="24"/>
        </w:rPr>
      </w:pPr>
      <w:r>
        <w:rPr>
          <w:rFonts w:hint="eastAsia" w:ascii="宋体" w:hAnsi="宋体" w:cs="宋体"/>
          <w:color w:val="auto"/>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4E554CF8">
      <w:pPr>
        <w:spacing w:line="360" w:lineRule="auto"/>
        <w:ind w:firstLine="480" w:firstLineChars="200"/>
        <w:rPr>
          <w:rFonts w:ascii="宋体" w:hAnsi="宋体" w:cs="宋体"/>
          <w:color w:val="auto"/>
          <w:sz w:val="24"/>
        </w:rPr>
      </w:pPr>
      <w:r>
        <w:rPr>
          <w:rFonts w:hint="eastAsia" w:ascii="宋体" w:hAnsi="宋体" w:cs="宋体"/>
          <w:color w:val="auto"/>
          <w:sz w:val="24"/>
        </w:rPr>
        <w:t>6.我单位满足法律、行政法规规定的其他条件。</w:t>
      </w:r>
    </w:p>
    <w:p w14:paraId="5D4F0F70">
      <w:pPr>
        <w:spacing w:line="360" w:lineRule="auto"/>
        <w:ind w:firstLine="480" w:firstLineChars="200"/>
        <w:rPr>
          <w:rFonts w:ascii="宋体" w:hAnsi="宋体" w:cs="宋体"/>
          <w:color w:val="auto"/>
          <w:sz w:val="24"/>
        </w:rPr>
      </w:pPr>
    </w:p>
    <w:p w14:paraId="2F492542">
      <w:pPr>
        <w:spacing w:line="360" w:lineRule="auto"/>
        <w:ind w:firstLine="480" w:firstLineChars="200"/>
        <w:rPr>
          <w:rFonts w:ascii="宋体" w:hAnsi="宋体" w:cs="宋体"/>
          <w:color w:val="auto"/>
          <w:sz w:val="24"/>
        </w:rPr>
      </w:pPr>
    </w:p>
    <w:p w14:paraId="121551CB">
      <w:pPr>
        <w:spacing w:line="360" w:lineRule="auto"/>
        <w:ind w:firstLine="480" w:firstLineChars="200"/>
        <w:rPr>
          <w:rFonts w:ascii="宋体" w:hAnsi="宋体" w:cs="宋体"/>
          <w:bCs/>
          <w:color w:val="auto"/>
          <w:sz w:val="24"/>
          <w:szCs w:val="21"/>
        </w:rPr>
      </w:pPr>
    </w:p>
    <w:p w14:paraId="29BD441C">
      <w:pPr>
        <w:spacing w:line="360" w:lineRule="auto"/>
        <w:ind w:firstLine="480" w:firstLineChars="200"/>
        <w:rPr>
          <w:rFonts w:ascii="宋体" w:hAnsi="宋体" w:cs="宋体"/>
          <w:bCs/>
          <w:color w:val="auto"/>
          <w:sz w:val="24"/>
          <w:szCs w:val="21"/>
        </w:rPr>
      </w:pPr>
    </w:p>
    <w:p w14:paraId="22057A3E">
      <w:pPr>
        <w:spacing w:line="360" w:lineRule="auto"/>
        <w:ind w:firstLine="480" w:firstLineChars="200"/>
        <w:rPr>
          <w:rFonts w:ascii="宋体" w:hAnsi="宋体" w:cs="宋体"/>
          <w:bCs/>
          <w:color w:val="auto"/>
          <w:sz w:val="24"/>
          <w:szCs w:val="21"/>
        </w:rPr>
      </w:pPr>
    </w:p>
    <w:p w14:paraId="058E8DC5">
      <w:pPr>
        <w:spacing w:line="360" w:lineRule="auto"/>
        <w:ind w:firstLine="480" w:firstLineChars="200"/>
        <w:jc w:val="center"/>
        <w:rPr>
          <w:rFonts w:ascii="宋体" w:hAnsi="宋体" w:cs="宋体"/>
          <w:bCs/>
          <w:color w:val="auto"/>
          <w:sz w:val="24"/>
          <w:szCs w:val="21"/>
        </w:rPr>
      </w:pPr>
      <w:r>
        <w:rPr>
          <w:rFonts w:hint="eastAsia" w:ascii="宋体" w:hAnsi="宋体" w:cs="宋体"/>
          <w:bCs/>
          <w:color w:val="auto"/>
          <w:sz w:val="24"/>
          <w:szCs w:val="21"/>
        </w:rPr>
        <w:t xml:space="preserve">                                             承诺人名称（公章）：</w:t>
      </w:r>
    </w:p>
    <w:p w14:paraId="062329B4">
      <w:pPr>
        <w:spacing w:line="360" w:lineRule="auto"/>
        <w:ind w:firstLine="480" w:firstLineChars="200"/>
        <w:jc w:val="right"/>
        <w:rPr>
          <w:rFonts w:ascii="宋体" w:hAnsi="宋体" w:cs="宋体"/>
          <w:bCs/>
          <w:color w:val="auto"/>
          <w:sz w:val="24"/>
          <w:szCs w:val="21"/>
        </w:rPr>
      </w:pPr>
    </w:p>
    <w:p w14:paraId="0637959A">
      <w:pPr>
        <w:spacing w:line="360" w:lineRule="auto"/>
        <w:ind w:firstLine="480" w:firstLineChars="200"/>
        <w:jc w:val="right"/>
        <w:rPr>
          <w:rFonts w:ascii="宋体" w:hAnsi="宋体" w:cs="宋体"/>
          <w:bCs/>
          <w:color w:val="auto"/>
          <w:sz w:val="24"/>
          <w:szCs w:val="21"/>
        </w:rPr>
      </w:pPr>
    </w:p>
    <w:p w14:paraId="19ACFEC4">
      <w:pPr>
        <w:spacing w:line="360" w:lineRule="auto"/>
        <w:ind w:firstLine="480" w:firstLineChars="200"/>
        <w:jc w:val="right"/>
        <w:rPr>
          <w:rFonts w:ascii="宋体" w:hAnsi="宋体" w:cs="宋体"/>
          <w:bCs/>
          <w:color w:val="auto"/>
          <w:sz w:val="24"/>
          <w:szCs w:val="21"/>
        </w:rPr>
      </w:pPr>
      <w:r>
        <w:rPr>
          <w:rFonts w:hint="eastAsia" w:ascii="宋体" w:hAnsi="宋体" w:cs="宋体"/>
          <w:bCs/>
          <w:color w:val="auto"/>
          <w:sz w:val="24"/>
          <w:szCs w:val="21"/>
        </w:rPr>
        <w:t xml:space="preserve">    </w:t>
      </w:r>
    </w:p>
    <w:p w14:paraId="11C67D3E">
      <w:pPr>
        <w:spacing w:line="360" w:lineRule="auto"/>
        <w:ind w:firstLine="480" w:firstLineChars="200"/>
        <w:jc w:val="right"/>
        <w:rPr>
          <w:rFonts w:ascii="宋体" w:hAnsi="宋体" w:cs="宋体"/>
          <w:bCs/>
          <w:color w:val="auto"/>
          <w:sz w:val="24"/>
          <w:szCs w:val="21"/>
        </w:rPr>
      </w:pPr>
      <w:r>
        <w:rPr>
          <w:rFonts w:hint="eastAsia" w:ascii="宋体" w:hAnsi="宋体" w:cs="宋体"/>
          <w:bCs/>
          <w:color w:val="auto"/>
          <w:sz w:val="24"/>
          <w:szCs w:val="21"/>
        </w:rPr>
        <w:t xml:space="preserve">                                 日期：</w:t>
      </w:r>
      <w:r>
        <w:rPr>
          <w:rFonts w:hint="eastAsia" w:ascii="宋体" w:hAnsi="宋体" w:cs="宋体"/>
          <w:bCs/>
          <w:color w:val="auto"/>
          <w:sz w:val="24"/>
          <w:szCs w:val="21"/>
          <w:u w:val="single"/>
        </w:rPr>
        <w:t>______</w:t>
      </w:r>
      <w:r>
        <w:rPr>
          <w:rFonts w:hint="eastAsia" w:ascii="宋体" w:hAnsi="宋体" w:cs="宋体"/>
          <w:bCs/>
          <w:color w:val="auto"/>
          <w:sz w:val="24"/>
          <w:szCs w:val="21"/>
        </w:rPr>
        <w:t>年</w:t>
      </w:r>
      <w:r>
        <w:rPr>
          <w:rFonts w:hint="eastAsia" w:ascii="宋体" w:hAnsi="宋体" w:cs="宋体"/>
          <w:bCs/>
          <w:color w:val="auto"/>
          <w:sz w:val="24"/>
          <w:szCs w:val="21"/>
          <w:u w:val="single"/>
        </w:rPr>
        <w:t xml:space="preserve">    </w:t>
      </w:r>
      <w:r>
        <w:rPr>
          <w:rFonts w:hint="eastAsia" w:ascii="宋体" w:hAnsi="宋体" w:cs="宋体"/>
          <w:bCs/>
          <w:color w:val="auto"/>
          <w:sz w:val="24"/>
          <w:szCs w:val="21"/>
        </w:rPr>
        <w:t>月</w:t>
      </w:r>
      <w:r>
        <w:rPr>
          <w:rFonts w:hint="eastAsia" w:ascii="宋体" w:hAnsi="宋体" w:cs="宋体"/>
          <w:bCs/>
          <w:color w:val="auto"/>
          <w:sz w:val="24"/>
          <w:szCs w:val="21"/>
          <w:u w:val="single"/>
        </w:rPr>
        <w:t xml:space="preserve">    </w:t>
      </w:r>
      <w:r>
        <w:rPr>
          <w:rFonts w:hint="eastAsia" w:ascii="宋体" w:hAnsi="宋体" w:cs="宋体"/>
          <w:bCs/>
          <w:color w:val="auto"/>
          <w:sz w:val="24"/>
          <w:szCs w:val="21"/>
        </w:rPr>
        <w:t>日</w:t>
      </w:r>
    </w:p>
    <w:p w14:paraId="5AEADC39">
      <w:pPr>
        <w:snapToGrid w:val="0"/>
        <w:spacing w:line="360" w:lineRule="auto"/>
        <w:ind w:firstLine="540" w:firstLineChars="192"/>
        <w:contextualSpacing/>
        <w:rPr>
          <w:rFonts w:ascii="宋体" w:hAnsi="宋体" w:cs="宋体"/>
          <w:b/>
          <w:color w:val="auto"/>
          <w:kern w:val="0"/>
          <w:sz w:val="28"/>
          <w:szCs w:val="28"/>
        </w:rPr>
      </w:pPr>
    </w:p>
    <w:p w14:paraId="087B9E95">
      <w:pPr>
        <w:snapToGrid w:val="0"/>
        <w:spacing w:line="360" w:lineRule="auto"/>
        <w:ind w:firstLine="540" w:firstLineChars="192"/>
        <w:contextualSpacing/>
        <w:rPr>
          <w:rFonts w:ascii="宋体" w:hAnsi="宋体" w:cs="宋体"/>
          <w:b/>
          <w:color w:val="auto"/>
          <w:kern w:val="0"/>
          <w:sz w:val="28"/>
          <w:szCs w:val="28"/>
        </w:rPr>
      </w:pPr>
    </w:p>
    <w:p w14:paraId="09B9C220">
      <w:pPr>
        <w:snapToGrid w:val="0"/>
        <w:spacing w:line="360" w:lineRule="auto"/>
        <w:contextualSpacing/>
        <w:rPr>
          <w:rFonts w:ascii="宋体" w:hAnsi="宋体" w:cs="宋体"/>
          <w:color w:val="auto"/>
          <w:kern w:val="0"/>
          <w:sz w:val="32"/>
          <w:szCs w:val="32"/>
          <w:lang w:val="zh-CN"/>
        </w:rPr>
      </w:pPr>
      <w:r>
        <w:rPr>
          <w:rFonts w:hint="eastAsia" w:ascii="宋体" w:hAnsi="宋体" w:cs="宋体"/>
          <w:color w:val="auto"/>
          <w:kern w:val="0"/>
          <w:sz w:val="32"/>
          <w:szCs w:val="32"/>
          <w:lang w:val="zh-CN"/>
        </w:rPr>
        <w:br w:type="page"/>
      </w:r>
      <w:r>
        <w:rPr>
          <w:rFonts w:hint="eastAsia" w:ascii="宋体" w:hAnsi="宋体" w:cs="宋体"/>
          <w:color w:val="auto"/>
          <w:kern w:val="0"/>
          <w:sz w:val="32"/>
          <w:szCs w:val="32"/>
          <w:lang w:val="zh-CN"/>
        </w:rPr>
        <w:t>附件2</w:t>
      </w:r>
    </w:p>
    <w:p w14:paraId="6113D674">
      <w:pPr>
        <w:spacing w:line="360" w:lineRule="auto"/>
        <w:jc w:val="center"/>
        <w:rPr>
          <w:rFonts w:ascii="宋体" w:hAnsi="宋体" w:cs="宋体"/>
          <w:b/>
          <w:bCs/>
          <w:color w:val="auto"/>
          <w:sz w:val="32"/>
          <w:szCs w:val="32"/>
        </w:rPr>
      </w:pPr>
    </w:p>
    <w:p w14:paraId="6A3D23B4">
      <w:pPr>
        <w:spacing w:line="360" w:lineRule="auto"/>
        <w:jc w:val="center"/>
        <w:rPr>
          <w:rFonts w:ascii="宋体" w:hAnsi="宋体" w:cs="宋体"/>
          <w:b/>
          <w:bCs/>
          <w:color w:val="auto"/>
          <w:sz w:val="32"/>
          <w:szCs w:val="32"/>
        </w:rPr>
      </w:pPr>
    </w:p>
    <w:p w14:paraId="630BF19B">
      <w:pPr>
        <w:spacing w:line="360" w:lineRule="auto"/>
        <w:jc w:val="center"/>
        <w:rPr>
          <w:rFonts w:ascii="宋体" w:hAnsi="宋体" w:cs="宋体"/>
          <w:b/>
          <w:bCs/>
          <w:color w:val="auto"/>
          <w:sz w:val="32"/>
          <w:szCs w:val="32"/>
        </w:rPr>
      </w:pPr>
    </w:p>
    <w:p w14:paraId="2AF56842">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法定代表人身份证明</w:t>
      </w:r>
    </w:p>
    <w:p w14:paraId="459B1B85">
      <w:pPr>
        <w:spacing w:line="360" w:lineRule="auto"/>
        <w:rPr>
          <w:rFonts w:ascii="宋体" w:hAnsi="宋体" w:cs="宋体"/>
          <w:color w:val="auto"/>
          <w:sz w:val="24"/>
        </w:rPr>
      </w:pPr>
    </w:p>
    <w:p w14:paraId="582DE61B">
      <w:pPr>
        <w:spacing w:line="360" w:lineRule="auto"/>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先生/女士： 现任我单位</w:t>
      </w:r>
      <w:r>
        <w:rPr>
          <w:rFonts w:hint="eastAsia" w:ascii="宋体" w:hAnsi="宋体" w:cs="宋体"/>
          <w:color w:val="auto"/>
          <w:sz w:val="24"/>
          <w:u w:val="single"/>
        </w:rPr>
        <w:t xml:space="preserve">        </w:t>
      </w:r>
      <w:r>
        <w:rPr>
          <w:rFonts w:hint="eastAsia" w:ascii="宋体" w:hAnsi="宋体" w:cs="宋体"/>
          <w:color w:val="auto"/>
          <w:sz w:val="24"/>
        </w:rPr>
        <w:t>职务，为法定代表人，特此证明。</w:t>
      </w:r>
    </w:p>
    <w:p w14:paraId="7326E1FE">
      <w:pPr>
        <w:spacing w:line="360" w:lineRule="auto"/>
        <w:ind w:firstLine="480"/>
        <w:rPr>
          <w:rFonts w:ascii="宋体" w:hAnsi="宋体" w:cs="宋体"/>
          <w:color w:val="auto"/>
          <w:sz w:val="24"/>
          <w:u w:val="single"/>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7D8F99B6">
      <w:pPr>
        <w:spacing w:line="360" w:lineRule="auto"/>
        <w:ind w:firstLine="480"/>
        <w:rPr>
          <w:rFonts w:ascii="宋体" w:hAnsi="宋体" w:cs="宋体"/>
          <w:color w:val="auto"/>
          <w:sz w:val="24"/>
        </w:rPr>
      </w:pPr>
    </w:p>
    <w:p w14:paraId="493A12D6">
      <w:pPr>
        <w:spacing w:line="360" w:lineRule="auto"/>
        <w:rPr>
          <w:rFonts w:ascii="宋体" w:hAnsi="宋体" w:cs="宋体"/>
          <w:b/>
          <w:color w:val="auto"/>
          <w:sz w:val="24"/>
        </w:rPr>
      </w:pPr>
      <w:r>
        <w:rPr>
          <w:rFonts w:hint="eastAsia" w:ascii="宋体" w:hAnsi="宋体" w:cs="宋体"/>
          <w:b/>
          <w:color w:val="auto"/>
          <w:sz w:val="24"/>
        </w:rPr>
        <w:t>注：提供法定代表人的身份证</w:t>
      </w:r>
      <w:r>
        <w:rPr>
          <w:rFonts w:hint="eastAsia" w:ascii="宋体" w:hAnsi="宋体" w:cs="宋体"/>
          <w:b/>
          <w:color w:val="auto"/>
          <w:sz w:val="24"/>
          <w:lang w:eastAsia="zh-CN"/>
        </w:rPr>
        <w:t>（</w:t>
      </w:r>
      <w:r>
        <w:rPr>
          <w:rFonts w:hint="eastAsia" w:ascii="宋体" w:hAnsi="宋体" w:cs="宋体"/>
          <w:b/>
          <w:color w:val="auto"/>
          <w:sz w:val="24"/>
          <w:lang w:val="en-US" w:eastAsia="zh-CN"/>
        </w:rPr>
        <w:t>正、反面</w:t>
      </w:r>
      <w:r>
        <w:rPr>
          <w:rFonts w:hint="eastAsia" w:ascii="宋体" w:hAnsi="宋体" w:cs="宋体"/>
          <w:b/>
          <w:color w:val="auto"/>
          <w:sz w:val="24"/>
          <w:lang w:eastAsia="zh-CN"/>
        </w:rPr>
        <w:t>）</w:t>
      </w:r>
      <w:r>
        <w:rPr>
          <w:rFonts w:hint="eastAsia" w:ascii="宋体" w:hAnsi="宋体" w:cs="宋体"/>
          <w:b/>
          <w:color w:val="auto"/>
          <w:sz w:val="24"/>
        </w:rPr>
        <w:t>复印件</w:t>
      </w:r>
    </w:p>
    <w:p w14:paraId="3DF637C9">
      <w:pPr>
        <w:spacing w:line="360" w:lineRule="auto"/>
        <w:ind w:firstLine="480" w:firstLineChars="200"/>
        <w:rPr>
          <w:rFonts w:ascii="宋体" w:hAnsi="宋体" w:cs="宋体"/>
          <w:color w:val="auto"/>
          <w:sz w:val="24"/>
        </w:rPr>
      </w:pPr>
    </w:p>
    <w:p w14:paraId="38AC66C0">
      <w:pPr>
        <w:spacing w:line="360" w:lineRule="auto"/>
        <w:rPr>
          <w:rFonts w:ascii="宋体" w:hAnsi="宋体" w:cs="宋体"/>
          <w:color w:val="auto"/>
        </w:rPr>
      </w:pPr>
    </w:p>
    <w:p w14:paraId="7C0CFE2B">
      <w:pPr>
        <w:snapToGrid w:val="0"/>
        <w:spacing w:line="360" w:lineRule="auto"/>
        <w:ind w:firstLine="540" w:firstLineChars="192"/>
        <w:contextualSpacing/>
        <w:rPr>
          <w:rFonts w:ascii="宋体" w:hAnsi="宋体" w:cs="宋体"/>
          <w:b/>
          <w:color w:val="auto"/>
          <w:kern w:val="0"/>
          <w:sz w:val="28"/>
          <w:szCs w:val="28"/>
        </w:rPr>
      </w:pPr>
    </w:p>
    <w:p w14:paraId="203C511B">
      <w:pPr>
        <w:snapToGrid w:val="0"/>
        <w:spacing w:line="360" w:lineRule="auto"/>
        <w:ind w:firstLine="540" w:firstLineChars="192"/>
        <w:contextualSpacing/>
        <w:rPr>
          <w:rFonts w:ascii="宋体" w:hAnsi="宋体" w:cs="宋体"/>
          <w:b/>
          <w:color w:val="auto"/>
          <w:kern w:val="0"/>
          <w:sz w:val="28"/>
          <w:szCs w:val="28"/>
          <w:lang w:val="zh-CN"/>
        </w:rPr>
      </w:pPr>
    </w:p>
    <w:p w14:paraId="144B05EB">
      <w:pPr>
        <w:snapToGrid w:val="0"/>
        <w:spacing w:line="360" w:lineRule="auto"/>
        <w:ind w:firstLine="540" w:firstLineChars="192"/>
        <w:contextualSpacing/>
        <w:rPr>
          <w:rFonts w:ascii="宋体" w:hAnsi="宋体" w:cs="宋体"/>
          <w:b/>
          <w:color w:val="auto"/>
          <w:kern w:val="0"/>
          <w:sz w:val="28"/>
          <w:szCs w:val="28"/>
          <w:lang w:val="zh-CN"/>
        </w:rPr>
      </w:pPr>
    </w:p>
    <w:p w14:paraId="05BE6B7A">
      <w:pPr>
        <w:snapToGrid w:val="0"/>
        <w:spacing w:line="360" w:lineRule="auto"/>
        <w:ind w:firstLine="540" w:firstLineChars="192"/>
        <w:contextualSpacing/>
        <w:rPr>
          <w:rFonts w:ascii="宋体" w:hAnsi="宋体" w:cs="宋体"/>
          <w:b/>
          <w:color w:val="auto"/>
          <w:kern w:val="0"/>
          <w:sz w:val="28"/>
          <w:szCs w:val="28"/>
          <w:lang w:val="zh-CN"/>
        </w:rPr>
      </w:pPr>
    </w:p>
    <w:p w14:paraId="23E52656">
      <w:pPr>
        <w:snapToGrid w:val="0"/>
        <w:spacing w:line="360" w:lineRule="auto"/>
        <w:ind w:firstLine="540" w:firstLineChars="192"/>
        <w:contextualSpacing/>
        <w:rPr>
          <w:rFonts w:ascii="宋体" w:hAnsi="宋体" w:cs="宋体"/>
          <w:b/>
          <w:color w:val="auto"/>
          <w:kern w:val="0"/>
          <w:sz w:val="28"/>
          <w:szCs w:val="28"/>
          <w:lang w:val="zh-CN"/>
        </w:rPr>
      </w:pPr>
    </w:p>
    <w:p w14:paraId="0A891386">
      <w:pPr>
        <w:snapToGrid w:val="0"/>
        <w:spacing w:line="360" w:lineRule="auto"/>
        <w:ind w:firstLine="540" w:firstLineChars="192"/>
        <w:contextualSpacing/>
        <w:rPr>
          <w:rFonts w:ascii="宋体" w:hAnsi="宋体" w:cs="宋体"/>
          <w:b/>
          <w:color w:val="auto"/>
          <w:kern w:val="0"/>
          <w:sz w:val="28"/>
          <w:szCs w:val="28"/>
          <w:lang w:val="zh-CN"/>
        </w:rPr>
      </w:pPr>
    </w:p>
    <w:p w14:paraId="3D4CDF16">
      <w:pPr>
        <w:snapToGrid w:val="0"/>
        <w:spacing w:line="360" w:lineRule="auto"/>
        <w:ind w:firstLine="540" w:firstLineChars="192"/>
        <w:contextualSpacing/>
        <w:rPr>
          <w:rFonts w:ascii="宋体" w:hAnsi="宋体" w:cs="宋体"/>
          <w:b/>
          <w:color w:val="auto"/>
          <w:kern w:val="0"/>
          <w:sz w:val="28"/>
          <w:szCs w:val="28"/>
          <w:lang w:val="zh-CN"/>
        </w:rPr>
      </w:pPr>
    </w:p>
    <w:p w14:paraId="4D995BE3">
      <w:pPr>
        <w:snapToGrid w:val="0"/>
        <w:spacing w:line="360" w:lineRule="auto"/>
        <w:ind w:firstLine="540" w:firstLineChars="192"/>
        <w:contextualSpacing/>
        <w:rPr>
          <w:rFonts w:ascii="宋体" w:hAnsi="宋体" w:cs="宋体"/>
          <w:b/>
          <w:color w:val="auto"/>
          <w:kern w:val="0"/>
          <w:sz w:val="28"/>
          <w:szCs w:val="28"/>
          <w:lang w:val="zh-CN"/>
        </w:rPr>
      </w:pPr>
    </w:p>
    <w:p w14:paraId="6E9C35D1">
      <w:pPr>
        <w:snapToGrid w:val="0"/>
        <w:spacing w:line="360" w:lineRule="auto"/>
        <w:ind w:firstLine="540" w:firstLineChars="192"/>
        <w:contextualSpacing/>
        <w:rPr>
          <w:rFonts w:ascii="宋体" w:hAnsi="宋体" w:cs="宋体"/>
          <w:b/>
          <w:color w:val="auto"/>
          <w:kern w:val="0"/>
          <w:sz w:val="28"/>
          <w:szCs w:val="28"/>
          <w:lang w:val="zh-CN"/>
        </w:rPr>
      </w:pPr>
    </w:p>
    <w:p w14:paraId="6A5E9163">
      <w:pPr>
        <w:snapToGrid w:val="0"/>
        <w:spacing w:line="360" w:lineRule="auto"/>
        <w:ind w:firstLine="540" w:firstLineChars="192"/>
        <w:contextualSpacing/>
        <w:rPr>
          <w:rFonts w:ascii="宋体" w:hAnsi="宋体" w:cs="宋体"/>
          <w:b/>
          <w:color w:val="auto"/>
          <w:kern w:val="0"/>
          <w:sz w:val="28"/>
          <w:szCs w:val="28"/>
          <w:lang w:val="zh-CN"/>
        </w:rPr>
      </w:pPr>
    </w:p>
    <w:p w14:paraId="1233EAF4">
      <w:pPr>
        <w:snapToGrid w:val="0"/>
        <w:spacing w:line="360" w:lineRule="auto"/>
        <w:contextualSpacing/>
        <w:rPr>
          <w:rFonts w:ascii="宋体" w:hAnsi="宋体" w:cs="宋体"/>
          <w:color w:val="auto"/>
          <w:kern w:val="0"/>
          <w:sz w:val="32"/>
          <w:szCs w:val="32"/>
          <w:lang w:val="zh-CN"/>
        </w:rPr>
      </w:pPr>
      <w:r>
        <w:rPr>
          <w:rFonts w:hint="eastAsia" w:ascii="宋体" w:hAnsi="宋体" w:cs="宋体"/>
          <w:color w:val="auto"/>
          <w:kern w:val="0"/>
          <w:sz w:val="32"/>
          <w:szCs w:val="32"/>
          <w:lang w:val="zh-CN"/>
        </w:rPr>
        <w:br w:type="page"/>
      </w:r>
      <w:r>
        <w:rPr>
          <w:rFonts w:hint="eastAsia" w:ascii="宋体" w:hAnsi="宋体" w:cs="宋体"/>
          <w:color w:val="auto"/>
          <w:kern w:val="0"/>
          <w:sz w:val="32"/>
          <w:szCs w:val="32"/>
          <w:lang w:val="zh-CN"/>
        </w:rPr>
        <w:t>附件3</w:t>
      </w:r>
    </w:p>
    <w:p w14:paraId="5BD34E1B">
      <w:pPr>
        <w:spacing w:line="360" w:lineRule="auto"/>
        <w:jc w:val="center"/>
        <w:rPr>
          <w:rFonts w:ascii="宋体" w:hAnsi="宋体" w:cs="宋体"/>
          <w:color w:val="auto"/>
          <w:sz w:val="32"/>
          <w:szCs w:val="32"/>
        </w:rPr>
      </w:pPr>
    </w:p>
    <w:p w14:paraId="2538C701">
      <w:pPr>
        <w:spacing w:line="360" w:lineRule="auto"/>
        <w:ind w:firstLine="560" w:firstLineChars="200"/>
        <w:jc w:val="center"/>
        <w:rPr>
          <w:rFonts w:ascii="宋体" w:hAnsi="宋体" w:cs="宋体"/>
          <w:color w:val="auto"/>
          <w:sz w:val="28"/>
          <w:szCs w:val="28"/>
        </w:rPr>
      </w:pPr>
      <w:r>
        <w:rPr>
          <w:rFonts w:hint="eastAsia" w:ascii="宋体" w:hAnsi="宋体" w:cs="宋体"/>
          <w:color w:val="auto"/>
          <w:sz w:val="28"/>
          <w:szCs w:val="28"/>
        </w:rPr>
        <w:t>法定代表人授权委托书</w:t>
      </w:r>
    </w:p>
    <w:p w14:paraId="5CD9B7F8">
      <w:pPr>
        <w:spacing w:line="360" w:lineRule="auto"/>
        <w:ind w:firstLine="560" w:firstLineChars="200"/>
        <w:rPr>
          <w:rFonts w:ascii="宋体" w:hAnsi="宋体" w:cs="宋体"/>
          <w:color w:val="auto"/>
          <w:sz w:val="28"/>
          <w:szCs w:val="28"/>
        </w:rPr>
      </w:pPr>
    </w:p>
    <w:p w14:paraId="0018DCE7">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人------（姓名）系————（授权单位名称）的法定代表人，现委托-------（姓名）（身份证号——————）为我方代理人，以我方名义全权处理与本次采购项目（编号：----------）有关的一切事务，其法律后果由我方承担。</w:t>
      </w:r>
    </w:p>
    <w:p w14:paraId="5FF22555">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本授权书于---年---月---日起生效。代理人无转委托权。</w:t>
      </w:r>
    </w:p>
    <w:p w14:paraId="2C9ABE01">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代理人(被授权人</w:t>
      </w:r>
      <w:r>
        <w:rPr>
          <w:rFonts w:hint="eastAsia" w:ascii="宋体" w:hAnsi="宋体" w:cs="宋体"/>
          <w:color w:val="auto"/>
          <w:sz w:val="28"/>
          <w:szCs w:val="28"/>
          <w:lang w:val="en-US" w:eastAsia="zh-CN"/>
        </w:rPr>
        <w:t>签字</w:t>
      </w:r>
      <w:r>
        <w:rPr>
          <w:rFonts w:hint="eastAsia" w:ascii="宋体" w:hAnsi="宋体" w:cs="宋体"/>
          <w:color w:val="auto"/>
          <w:sz w:val="28"/>
          <w:szCs w:val="28"/>
        </w:rPr>
        <w:t>):------</w:t>
      </w:r>
    </w:p>
    <w:p w14:paraId="06E9B42C">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授权单位名称（盖章）：-----</w:t>
      </w:r>
    </w:p>
    <w:p w14:paraId="78553EAE">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授权单位法定代表人（签字或盖章）：-----</w:t>
      </w:r>
    </w:p>
    <w:p w14:paraId="433FB92A">
      <w:pPr>
        <w:spacing w:line="360" w:lineRule="auto"/>
        <w:ind w:firstLine="560" w:firstLineChars="200"/>
        <w:jc w:val="right"/>
        <w:rPr>
          <w:rFonts w:ascii="宋体" w:hAnsi="宋体" w:cs="宋体"/>
          <w:color w:val="auto"/>
          <w:sz w:val="28"/>
          <w:szCs w:val="28"/>
        </w:rPr>
      </w:pPr>
    </w:p>
    <w:p w14:paraId="222F19D9">
      <w:pPr>
        <w:spacing w:line="360" w:lineRule="auto"/>
        <w:ind w:firstLine="560" w:firstLineChars="200"/>
        <w:jc w:val="right"/>
        <w:rPr>
          <w:rFonts w:ascii="宋体" w:hAnsi="宋体" w:cs="宋体"/>
          <w:color w:val="auto"/>
          <w:sz w:val="28"/>
          <w:szCs w:val="28"/>
        </w:rPr>
      </w:pPr>
      <w:r>
        <w:rPr>
          <w:rFonts w:hint="eastAsia" w:ascii="宋体" w:hAnsi="宋体" w:cs="宋体"/>
          <w:color w:val="auto"/>
          <w:sz w:val="28"/>
          <w:szCs w:val="28"/>
        </w:rPr>
        <w:t>XXXX年XX月XX日</w:t>
      </w:r>
    </w:p>
    <w:p w14:paraId="78982039">
      <w:pPr>
        <w:snapToGrid w:val="0"/>
        <w:spacing w:line="360" w:lineRule="auto"/>
        <w:ind w:firstLine="562" w:firstLineChars="200"/>
        <w:contextualSpacing/>
        <w:rPr>
          <w:rFonts w:ascii="宋体" w:hAnsi="宋体" w:cs="宋体"/>
          <w:b/>
          <w:color w:val="auto"/>
          <w:kern w:val="0"/>
          <w:sz w:val="28"/>
          <w:szCs w:val="28"/>
        </w:rPr>
      </w:pPr>
    </w:p>
    <w:p w14:paraId="665618C0">
      <w:pPr>
        <w:snapToGrid w:val="0"/>
        <w:spacing w:line="360" w:lineRule="auto"/>
        <w:ind w:firstLine="562" w:firstLineChars="200"/>
        <w:contextualSpacing/>
        <w:rPr>
          <w:rFonts w:ascii="宋体" w:hAnsi="宋体" w:cs="宋体"/>
          <w:b/>
          <w:color w:val="auto"/>
          <w:kern w:val="0"/>
          <w:sz w:val="28"/>
          <w:szCs w:val="28"/>
        </w:rPr>
      </w:pPr>
      <w:r>
        <w:rPr>
          <w:rFonts w:hint="eastAsia" w:ascii="宋体" w:hAnsi="宋体" w:cs="宋体"/>
          <w:b/>
          <w:color w:val="auto"/>
          <w:kern w:val="0"/>
          <w:sz w:val="28"/>
          <w:szCs w:val="28"/>
        </w:rPr>
        <w:t>注：提供投标代表本人身份证（正、反面）复印件</w:t>
      </w:r>
    </w:p>
    <w:p w14:paraId="7432C228">
      <w:pPr>
        <w:snapToGrid w:val="0"/>
        <w:spacing w:line="360" w:lineRule="auto"/>
        <w:ind w:firstLine="562" w:firstLineChars="200"/>
        <w:contextualSpacing/>
        <w:rPr>
          <w:rFonts w:ascii="宋体" w:hAnsi="宋体" w:cs="宋体"/>
          <w:b/>
          <w:color w:val="auto"/>
          <w:kern w:val="0"/>
          <w:sz w:val="28"/>
          <w:szCs w:val="28"/>
        </w:rPr>
      </w:pPr>
    </w:p>
    <w:p w14:paraId="22732E67">
      <w:pPr>
        <w:snapToGrid w:val="0"/>
        <w:spacing w:line="360" w:lineRule="auto"/>
        <w:ind w:firstLine="540" w:firstLineChars="192"/>
        <w:contextualSpacing/>
        <w:rPr>
          <w:rFonts w:ascii="宋体" w:hAnsi="宋体" w:cs="宋体"/>
          <w:b/>
          <w:color w:val="auto"/>
          <w:kern w:val="0"/>
          <w:sz w:val="28"/>
          <w:szCs w:val="28"/>
        </w:rPr>
      </w:pPr>
    </w:p>
    <w:p w14:paraId="23DE0A9F">
      <w:pPr>
        <w:snapToGrid w:val="0"/>
        <w:spacing w:line="360" w:lineRule="auto"/>
        <w:ind w:firstLine="540" w:firstLineChars="192"/>
        <w:contextualSpacing/>
        <w:rPr>
          <w:rFonts w:ascii="宋体" w:hAnsi="宋体" w:cs="宋体"/>
          <w:b/>
          <w:color w:val="auto"/>
          <w:kern w:val="0"/>
          <w:sz w:val="28"/>
          <w:szCs w:val="28"/>
        </w:rPr>
      </w:pPr>
    </w:p>
    <w:p w14:paraId="2E441003">
      <w:pPr>
        <w:snapToGrid w:val="0"/>
        <w:spacing w:line="360" w:lineRule="auto"/>
        <w:ind w:firstLine="540" w:firstLineChars="192"/>
        <w:contextualSpacing/>
        <w:rPr>
          <w:rFonts w:ascii="宋体" w:hAnsi="宋体" w:cs="宋体"/>
          <w:b/>
          <w:color w:val="auto"/>
          <w:kern w:val="0"/>
          <w:sz w:val="28"/>
          <w:szCs w:val="28"/>
        </w:rPr>
      </w:pPr>
    </w:p>
    <w:p w14:paraId="5FE96A52">
      <w:pPr>
        <w:pStyle w:val="62"/>
        <w:ind w:firstLine="562"/>
        <w:rPr>
          <w:rFonts w:ascii="宋体" w:hAnsi="宋体" w:cs="宋体"/>
          <w:b/>
          <w:color w:val="auto"/>
          <w:kern w:val="0"/>
          <w:sz w:val="28"/>
          <w:szCs w:val="28"/>
        </w:rPr>
      </w:pPr>
    </w:p>
    <w:p w14:paraId="13B85570">
      <w:pPr>
        <w:pStyle w:val="62"/>
        <w:ind w:firstLine="562"/>
        <w:rPr>
          <w:rFonts w:ascii="宋体" w:hAnsi="宋体" w:cs="宋体"/>
          <w:b/>
          <w:color w:val="auto"/>
          <w:kern w:val="0"/>
          <w:sz w:val="28"/>
          <w:szCs w:val="28"/>
        </w:rPr>
      </w:pPr>
    </w:p>
    <w:p w14:paraId="0177FB69">
      <w:pPr>
        <w:snapToGrid w:val="0"/>
        <w:spacing w:line="360" w:lineRule="auto"/>
        <w:ind w:firstLine="540" w:firstLineChars="192"/>
        <w:contextualSpacing/>
        <w:rPr>
          <w:rFonts w:ascii="宋体" w:hAnsi="宋体" w:cs="宋体"/>
          <w:b/>
          <w:color w:val="auto"/>
          <w:kern w:val="0"/>
          <w:sz w:val="28"/>
          <w:szCs w:val="28"/>
        </w:rPr>
      </w:pPr>
    </w:p>
    <w:p w14:paraId="64175251">
      <w:pPr>
        <w:snapToGrid w:val="0"/>
        <w:spacing w:line="360" w:lineRule="auto"/>
        <w:ind w:firstLine="540" w:firstLineChars="192"/>
        <w:contextualSpacing/>
        <w:rPr>
          <w:rFonts w:ascii="宋体" w:hAnsi="宋体" w:cs="宋体"/>
          <w:b/>
          <w:color w:val="auto"/>
          <w:kern w:val="0"/>
          <w:sz w:val="28"/>
          <w:szCs w:val="28"/>
        </w:rPr>
      </w:pPr>
    </w:p>
    <w:p w14:paraId="6EE3CC1A">
      <w:pPr>
        <w:snapToGrid w:val="0"/>
        <w:spacing w:line="360" w:lineRule="auto"/>
        <w:ind w:firstLine="540" w:firstLineChars="192"/>
        <w:contextualSpacing/>
        <w:rPr>
          <w:rFonts w:ascii="宋体" w:hAnsi="宋体" w:cs="宋体"/>
          <w:b/>
          <w:color w:val="auto"/>
          <w:kern w:val="0"/>
          <w:sz w:val="28"/>
          <w:szCs w:val="28"/>
        </w:rPr>
      </w:pPr>
    </w:p>
    <w:p w14:paraId="07CFB075">
      <w:pPr>
        <w:snapToGrid w:val="0"/>
        <w:spacing w:line="300" w:lineRule="auto"/>
        <w:ind w:firstLine="640" w:firstLineChars="200"/>
        <w:contextualSpacing/>
        <w:rPr>
          <w:rFonts w:ascii="宋体" w:hAnsi="宋体" w:cs="宋体"/>
          <w:color w:val="auto"/>
          <w:kern w:val="0"/>
          <w:sz w:val="32"/>
          <w:szCs w:val="32"/>
        </w:rPr>
      </w:pPr>
      <w:r>
        <w:rPr>
          <w:rFonts w:hint="eastAsia" w:ascii="宋体" w:hAnsi="宋体" w:cs="宋体"/>
          <w:color w:val="auto"/>
          <w:kern w:val="0"/>
          <w:sz w:val="32"/>
          <w:szCs w:val="32"/>
        </w:rPr>
        <w:br w:type="page"/>
      </w:r>
      <w:r>
        <w:rPr>
          <w:rFonts w:hint="eastAsia" w:ascii="宋体" w:hAnsi="宋体" w:cs="宋体"/>
          <w:color w:val="auto"/>
          <w:kern w:val="0"/>
          <w:sz w:val="32"/>
          <w:szCs w:val="32"/>
        </w:rPr>
        <w:t>附件4</w:t>
      </w:r>
    </w:p>
    <w:p w14:paraId="6523DD78">
      <w:pPr>
        <w:tabs>
          <w:tab w:val="left" w:pos="1260"/>
        </w:tabs>
        <w:spacing w:line="30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供应商情况一览表</w:t>
      </w:r>
    </w:p>
    <w:tbl>
      <w:tblPr>
        <w:tblStyle w:val="2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7BD9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42" w:type="dxa"/>
            <w:gridSpan w:val="2"/>
            <w:noWrap w:val="0"/>
            <w:vAlign w:val="center"/>
          </w:tcPr>
          <w:p w14:paraId="6CB7BFA8">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单位名称</w:t>
            </w:r>
          </w:p>
        </w:tc>
        <w:tc>
          <w:tcPr>
            <w:tcW w:w="7923" w:type="dxa"/>
            <w:gridSpan w:val="10"/>
            <w:noWrap w:val="0"/>
            <w:vAlign w:val="center"/>
          </w:tcPr>
          <w:p w14:paraId="7E052A63">
            <w:pPr>
              <w:tabs>
                <w:tab w:val="left" w:pos="4320"/>
              </w:tabs>
              <w:rPr>
                <w:rFonts w:hint="eastAsia" w:ascii="宋体" w:hAnsi="宋体" w:cs="宋体"/>
                <w:color w:val="auto"/>
                <w:sz w:val="24"/>
                <w:highlight w:val="none"/>
              </w:rPr>
            </w:pPr>
          </w:p>
        </w:tc>
      </w:tr>
      <w:tr w14:paraId="0908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093" w:type="dxa"/>
            <w:gridSpan w:val="3"/>
            <w:noWrap w:val="0"/>
            <w:vAlign w:val="center"/>
          </w:tcPr>
          <w:p w14:paraId="61AFEEAA">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单位优势及特长</w:t>
            </w:r>
          </w:p>
        </w:tc>
        <w:tc>
          <w:tcPr>
            <w:tcW w:w="7072" w:type="dxa"/>
            <w:gridSpan w:val="9"/>
            <w:noWrap w:val="0"/>
            <w:vAlign w:val="center"/>
          </w:tcPr>
          <w:p w14:paraId="57E9F7B7">
            <w:pPr>
              <w:tabs>
                <w:tab w:val="left" w:pos="4320"/>
              </w:tabs>
              <w:rPr>
                <w:rFonts w:hint="eastAsia" w:ascii="宋体" w:hAnsi="宋体" w:cs="宋体"/>
                <w:color w:val="auto"/>
                <w:sz w:val="24"/>
                <w:highlight w:val="none"/>
              </w:rPr>
            </w:pPr>
          </w:p>
        </w:tc>
      </w:tr>
      <w:tr w14:paraId="68D66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60296B32">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单位</w:t>
            </w:r>
          </w:p>
          <w:p w14:paraId="0AD22C48">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概况</w:t>
            </w:r>
          </w:p>
        </w:tc>
        <w:tc>
          <w:tcPr>
            <w:tcW w:w="1276" w:type="dxa"/>
            <w:gridSpan w:val="2"/>
            <w:noWrap w:val="0"/>
            <w:vAlign w:val="center"/>
          </w:tcPr>
          <w:p w14:paraId="14BD7031">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职工总数</w:t>
            </w:r>
          </w:p>
        </w:tc>
        <w:tc>
          <w:tcPr>
            <w:tcW w:w="1417" w:type="dxa"/>
            <w:gridSpan w:val="2"/>
            <w:noWrap w:val="0"/>
            <w:vAlign w:val="center"/>
          </w:tcPr>
          <w:p w14:paraId="3BEC54FB">
            <w:pPr>
              <w:tabs>
                <w:tab w:val="left" w:pos="4320"/>
              </w:tabs>
              <w:jc w:val="right"/>
              <w:rPr>
                <w:rFonts w:hint="eastAsia" w:ascii="宋体" w:hAnsi="宋体" w:cs="宋体"/>
                <w:color w:val="auto"/>
                <w:sz w:val="24"/>
                <w:highlight w:val="none"/>
              </w:rPr>
            </w:pPr>
            <w:r>
              <w:rPr>
                <w:rFonts w:hint="eastAsia" w:ascii="宋体" w:hAnsi="宋体" w:cs="宋体"/>
                <w:color w:val="auto"/>
                <w:sz w:val="24"/>
                <w:highlight w:val="none"/>
              </w:rPr>
              <w:t>人</w:t>
            </w:r>
          </w:p>
        </w:tc>
        <w:tc>
          <w:tcPr>
            <w:tcW w:w="567" w:type="dxa"/>
            <w:vMerge w:val="restart"/>
            <w:noWrap w:val="0"/>
            <w:vAlign w:val="center"/>
          </w:tcPr>
          <w:p w14:paraId="7356EB4F">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上一年主要经济指标</w:t>
            </w:r>
          </w:p>
        </w:tc>
        <w:tc>
          <w:tcPr>
            <w:tcW w:w="946" w:type="dxa"/>
            <w:noWrap w:val="0"/>
            <w:vAlign w:val="center"/>
          </w:tcPr>
          <w:p w14:paraId="6D24D0D7">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营业额</w:t>
            </w:r>
          </w:p>
        </w:tc>
        <w:tc>
          <w:tcPr>
            <w:tcW w:w="1414" w:type="dxa"/>
            <w:gridSpan w:val="2"/>
            <w:noWrap w:val="0"/>
            <w:vAlign w:val="center"/>
          </w:tcPr>
          <w:p w14:paraId="1B27C519">
            <w:pPr>
              <w:tabs>
                <w:tab w:val="left" w:pos="4320"/>
              </w:tabs>
              <w:rPr>
                <w:rFonts w:hint="eastAsia" w:ascii="宋体" w:hAnsi="宋体" w:cs="宋体"/>
                <w:color w:val="auto"/>
                <w:sz w:val="24"/>
                <w:highlight w:val="none"/>
              </w:rPr>
            </w:pPr>
          </w:p>
        </w:tc>
        <w:tc>
          <w:tcPr>
            <w:tcW w:w="1184" w:type="dxa"/>
            <w:gridSpan w:val="2"/>
            <w:noWrap w:val="0"/>
            <w:vAlign w:val="center"/>
          </w:tcPr>
          <w:p w14:paraId="0000E234">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实现利润</w:t>
            </w:r>
          </w:p>
        </w:tc>
        <w:tc>
          <w:tcPr>
            <w:tcW w:w="1544" w:type="dxa"/>
            <w:noWrap w:val="0"/>
            <w:vAlign w:val="center"/>
          </w:tcPr>
          <w:p w14:paraId="3681B114">
            <w:pPr>
              <w:tabs>
                <w:tab w:val="left" w:pos="4320"/>
              </w:tabs>
              <w:rPr>
                <w:rFonts w:hint="eastAsia" w:ascii="宋体" w:hAnsi="宋体" w:cs="宋体"/>
                <w:color w:val="auto"/>
                <w:sz w:val="24"/>
                <w:highlight w:val="none"/>
              </w:rPr>
            </w:pPr>
          </w:p>
        </w:tc>
      </w:tr>
      <w:tr w14:paraId="6A067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4ED908A1">
            <w:pPr>
              <w:tabs>
                <w:tab w:val="left" w:pos="4320"/>
              </w:tabs>
              <w:ind w:left="266" w:hanging="266"/>
              <w:rPr>
                <w:rFonts w:hint="eastAsia" w:ascii="宋体" w:hAnsi="宋体" w:cs="宋体"/>
                <w:color w:val="auto"/>
                <w:sz w:val="24"/>
                <w:highlight w:val="none"/>
              </w:rPr>
            </w:pPr>
          </w:p>
        </w:tc>
        <w:tc>
          <w:tcPr>
            <w:tcW w:w="1276" w:type="dxa"/>
            <w:gridSpan w:val="2"/>
            <w:noWrap w:val="0"/>
            <w:vAlign w:val="center"/>
          </w:tcPr>
          <w:p w14:paraId="4612D783">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流动资金</w:t>
            </w:r>
          </w:p>
        </w:tc>
        <w:tc>
          <w:tcPr>
            <w:tcW w:w="1417" w:type="dxa"/>
            <w:gridSpan w:val="2"/>
            <w:noWrap w:val="0"/>
            <w:vAlign w:val="center"/>
          </w:tcPr>
          <w:p w14:paraId="7BADD5FF">
            <w:pPr>
              <w:tabs>
                <w:tab w:val="left" w:pos="4320"/>
              </w:tabs>
              <w:jc w:val="right"/>
              <w:rPr>
                <w:rFonts w:hint="eastAsia" w:ascii="宋体" w:hAnsi="宋体" w:cs="宋体"/>
                <w:color w:val="auto"/>
                <w:sz w:val="24"/>
                <w:highlight w:val="none"/>
              </w:rPr>
            </w:pPr>
            <w:r>
              <w:rPr>
                <w:rFonts w:hint="eastAsia" w:ascii="宋体" w:hAnsi="宋体" w:cs="宋体"/>
                <w:color w:val="auto"/>
                <w:sz w:val="24"/>
                <w:highlight w:val="none"/>
              </w:rPr>
              <w:t>万元</w:t>
            </w:r>
          </w:p>
        </w:tc>
        <w:tc>
          <w:tcPr>
            <w:tcW w:w="567" w:type="dxa"/>
            <w:vMerge w:val="continue"/>
            <w:noWrap w:val="0"/>
            <w:vAlign w:val="center"/>
          </w:tcPr>
          <w:p w14:paraId="4FBCD39E">
            <w:pPr>
              <w:tabs>
                <w:tab w:val="left" w:pos="4320"/>
              </w:tabs>
              <w:rPr>
                <w:rFonts w:hint="eastAsia" w:ascii="宋体" w:hAnsi="宋体" w:cs="宋体"/>
                <w:color w:val="auto"/>
                <w:sz w:val="24"/>
                <w:highlight w:val="none"/>
              </w:rPr>
            </w:pPr>
          </w:p>
        </w:tc>
        <w:tc>
          <w:tcPr>
            <w:tcW w:w="946" w:type="dxa"/>
            <w:vMerge w:val="restart"/>
            <w:noWrap w:val="0"/>
            <w:vAlign w:val="center"/>
          </w:tcPr>
          <w:p w14:paraId="558CACA7">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主要</w:t>
            </w:r>
          </w:p>
          <w:p w14:paraId="07C830BC">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产品</w:t>
            </w:r>
          </w:p>
        </w:tc>
        <w:tc>
          <w:tcPr>
            <w:tcW w:w="4142" w:type="dxa"/>
            <w:gridSpan w:val="5"/>
            <w:noWrap w:val="0"/>
            <w:vAlign w:val="center"/>
          </w:tcPr>
          <w:p w14:paraId="7599F189">
            <w:pPr>
              <w:tabs>
                <w:tab w:val="left" w:pos="4320"/>
              </w:tabs>
              <w:spacing w:before="120" w:after="120"/>
              <w:rPr>
                <w:rFonts w:hint="eastAsia" w:ascii="宋体" w:hAnsi="宋体" w:cs="宋体"/>
                <w:color w:val="auto"/>
                <w:sz w:val="24"/>
                <w:highlight w:val="none"/>
              </w:rPr>
            </w:pPr>
            <w:r>
              <w:rPr>
                <w:rFonts w:hint="eastAsia" w:ascii="宋体" w:hAnsi="宋体" w:cs="宋体"/>
                <w:color w:val="auto"/>
                <w:sz w:val="24"/>
                <w:highlight w:val="none"/>
              </w:rPr>
              <w:t>1.</w:t>
            </w:r>
          </w:p>
        </w:tc>
      </w:tr>
      <w:tr w14:paraId="66E30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7" w:type="dxa"/>
            <w:vMerge w:val="continue"/>
            <w:noWrap w:val="0"/>
            <w:vAlign w:val="center"/>
          </w:tcPr>
          <w:p w14:paraId="22FDA886">
            <w:pPr>
              <w:tabs>
                <w:tab w:val="left" w:pos="4320"/>
              </w:tabs>
              <w:ind w:left="266" w:hanging="266"/>
              <w:rPr>
                <w:rFonts w:hint="eastAsia" w:ascii="宋体" w:hAnsi="宋体" w:cs="宋体"/>
                <w:color w:val="auto"/>
                <w:sz w:val="24"/>
                <w:highlight w:val="none"/>
              </w:rPr>
            </w:pPr>
          </w:p>
        </w:tc>
        <w:tc>
          <w:tcPr>
            <w:tcW w:w="1276" w:type="dxa"/>
            <w:gridSpan w:val="2"/>
            <w:noWrap w:val="0"/>
            <w:vAlign w:val="center"/>
          </w:tcPr>
          <w:p w14:paraId="66F8CD62">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固定资产</w:t>
            </w:r>
          </w:p>
          <w:p w14:paraId="66DE3093">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1417" w:type="dxa"/>
            <w:gridSpan w:val="2"/>
            <w:noWrap w:val="0"/>
            <w:vAlign w:val="center"/>
          </w:tcPr>
          <w:p w14:paraId="08FA47F2">
            <w:pPr>
              <w:tabs>
                <w:tab w:val="left" w:pos="-48"/>
                <w:tab w:val="left" w:pos="4320"/>
              </w:tabs>
              <w:ind w:right="-133" w:hanging="48"/>
              <w:rPr>
                <w:rFonts w:hint="eastAsia" w:ascii="宋体" w:hAnsi="宋体" w:cs="宋体"/>
                <w:color w:val="auto"/>
                <w:sz w:val="24"/>
                <w:highlight w:val="none"/>
              </w:rPr>
            </w:pPr>
            <w:r>
              <w:rPr>
                <w:rFonts w:hint="eastAsia" w:ascii="宋体" w:hAnsi="宋体" w:cs="宋体"/>
                <w:color w:val="auto"/>
                <w:sz w:val="24"/>
                <w:highlight w:val="none"/>
              </w:rPr>
              <w:t>原值：</w:t>
            </w:r>
          </w:p>
          <w:p w14:paraId="032058CC">
            <w:pPr>
              <w:tabs>
                <w:tab w:val="left" w:pos="-48"/>
                <w:tab w:val="left" w:pos="4320"/>
              </w:tabs>
              <w:ind w:hanging="48"/>
              <w:jc w:val="right"/>
              <w:rPr>
                <w:rFonts w:hint="eastAsia" w:ascii="宋体" w:hAnsi="宋体" w:cs="宋体"/>
                <w:color w:val="auto"/>
                <w:sz w:val="24"/>
                <w:highlight w:val="none"/>
              </w:rPr>
            </w:pPr>
          </w:p>
          <w:p w14:paraId="27D6BA08">
            <w:pPr>
              <w:tabs>
                <w:tab w:val="left" w:pos="-48"/>
                <w:tab w:val="left" w:pos="4320"/>
              </w:tabs>
              <w:ind w:right="-133" w:hanging="48"/>
              <w:rPr>
                <w:rFonts w:hint="eastAsia" w:ascii="宋体" w:hAnsi="宋体" w:cs="宋体"/>
                <w:color w:val="auto"/>
                <w:sz w:val="24"/>
                <w:highlight w:val="none"/>
              </w:rPr>
            </w:pPr>
            <w:r>
              <w:rPr>
                <w:rFonts w:hint="eastAsia" w:ascii="宋体" w:hAnsi="宋体" w:cs="宋体"/>
                <w:color w:val="auto"/>
                <w:sz w:val="24"/>
                <w:highlight w:val="none"/>
              </w:rPr>
              <w:t>净值：</w:t>
            </w:r>
          </w:p>
          <w:p w14:paraId="01847B52">
            <w:pPr>
              <w:tabs>
                <w:tab w:val="left" w:pos="-48"/>
                <w:tab w:val="left" w:pos="4320"/>
              </w:tabs>
              <w:ind w:hanging="48"/>
              <w:jc w:val="right"/>
              <w:rPr>
                <w:rFonts w:hint="eastAsia" w:ascii="宋体" w:hAnsi="宋体" w:cs="宋体"/>
                <w:color w:val="auto"/>
                <w:sz w:val="24"/>
                <w:highlight w:val="none"/>
              </w:rPr>
            </w:pPr>
          </w:p>
        </w:tc>
        <w:tc>
          <w:tcPr>
            <w:tcW w:w="567" w:type="dxa"/>
            <w:vMerge w:val="continue"/>
            <w:noWrap w:val="0"/>
            <w:vAlign w:val="center"/>
          </w:tcPr>
          <w:p w14:paraId="17479473">
            <w:pPr>
              <w:tabs>
                <w:tab w:val="left" w:pos="4320"/>
              </w:tabs>
              <w:rPr>
                <w:rFonts w:hint="eastAsia" w:ascii="宋体" w:hAnsi="宋体" w:cs="宋体"/>
                <w:color w:val="auto"/>
                <w:sz w:val="24"/>
                <w:highlight w:val="none"/>
              </w:rPr>
            </w:pPr>
          </w:p>
        </w:tc>
        <w:tc>
          <w:tcPr>
            <w:tcW w:w="946" w:type="dxa"/>
            <w:vMerge w:val="continue"/>
            <w:noWrap w:val="0"/>
            <w:vAlign w:val="center"/>
          </w:tcPr>
          <w:p w14:paraId="35BF1B09">
            <w:pPr>
              <w:tabs>
                <w:tab w:val="left" w:pos="4320"/>
              </w:tabs>
              <w:jc w:val="center"/>
              <w:rPr>
                <w:rFonts w:hint="eastAsia" w:ascii="宋体" w:hAnsi="宋体" w:cs="宋体"/>
                <w:color w:val="auto"/>
                <w:sz w:val="24"/>
                <w:highlight w:val="none"/>
              </w:rPr>
            </w:pPr>
          </w:p>
        </w:tc>
        <w:tc>
          <w:tcPr>
            <w:tcW w:w="4142" w:type="dxa"/>
            <w:gridSpan w:val="5"/>
            <w:noWrap w:val="0"/>
            <w:vAlign w:val="center"/>
          </w:tcPr>
          <w:p w14:paraId="3418F8DC">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2.</w:t>
            </w:r>
          </w:p>
        </w:tc>
      </w:tr>
      <w:tr w14:paraId="43D97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5D7D9EFA">
            <w:pPr>
              <w:tabs>
                <w:tab w:val="left" w:pos="4320"/>
              </w:tabs>
              <w:ind w:left="266" w:hanging="266"/>
              <w:rPr>
                <w:rFonts w:hint="eastAsia" w:ascii="宋体" w:hAnsi="宋体" w:cs="宋体"/>
                <w:color w:val="auto"/>
                <w:sz w:val="24"/>
                <w:highlight w:val="none"/>
              </w:rPr>
            </w:pPr>
          </w:p>
        </w:tc>
        <w:tc>
          <w:tcPr>
            <w:tcW w:w="1276" w:type="dxa"/>
            <w:gridSpan w:val="2"/>
            <w:noWrap w:val="0"/>
            <w:vAlign w:val="center"/>
          </w:tcPr>
          <w:p w14:paraId="320A1618">
            <w:pPr>
              <w:tabs>
                <w:tab w:val="left" w:pos="4320"/>
              </w:tabs>
              <w:jc w:val="center"/>
              <w:rPr>
                <w:rFonts w:hint="eastAsia" w:ascii="宋体" w:hAnsi="宋体" w:cs="宋体"/>
                <w:color w:val="auto"/>
                <w:sz w:val="24"/>
                <w:highlight w:val="none"/>
              </w:rPr>
            </w:pPr>
            <w:r>
              <w:rPr>
                <w:rFonts w:hint="eastAsia" w:ascii="宋体" w:hAnsi="宋体" w:cs="宋体"/>
                <w:color w:val="auto"/>
                <w:sz w:val="24"/>
                <w:highlight w:val="none"/>
              </w:rPr>
              <w:t>占地面积</w:t>
            </w:r>
          </w:p>
        </w:tc>
        <w:tc>
          <w:tcPr>
            <w:tcW w:w="1417" w:type="dxa"/>
            <w:gridSpan w:val="2"/>
            <w:noWrap w:val="0"/>
            <w:vAlign w:val="center"/>
          </w:tcPr>
          <w:p w14:paraId="501B0D7F">
            <w:pPr>
              <w:tabs>
                <w:tab w:val="left" w:pos="4320"/>
              </w:tabs>
              <w:jc w:val="right"/>
              <w:rPr>
                <w:rFonts w:hint="eastAsia" w:ascii="宋体" w:hAnsi="宋体" w:cs="宋体"/>
                <w:color w:val="auto"/>
                <w:sz w:val="24"/>
                <w:highlight w:val="none"/>
              </w:rPr>
            </w:pPr>
            <w:r>
              <w:rPr>
                <w:rFonts w:hint="eastAsia" w:ascii="宋体" w:hAnsi="宋体" w:cs="宋体"/>
                <w:color w:val="auto"/>
                <w:sz w:val="24"/>
                <w:highlight w:val="none"/>
              </w:rPr>
              <w:t>M</w:t>
            </w:r>
            <w:r>
              <w:rPr>
                <w:rFonts w:hint="eastAsia" w:ascii="宋体" w:hAnsi="宋体" w:cs="宋体"/>
                <w:color w:val="auto"/>
                <w:sz w:val="24"/>
                <w:highlight w:val="none"/>
                <w:vertAlign w:val="superscript"/>
              </w:rPr>
              <w:t>2</w:t>
            </w:r>
          </w:p>
        </w:tc>
        <w:tc>
          <w:tcPr>
            <w:tcW w:w="567" w:type="dxa"/>
            <w:vMerge w:val="continue"/>
            <w:noWrap w:val="0"/>
            <w:vAlign w:val="center"/>
          </w:tcPr>
          <w:p w14:paraId="6250D283">
            <w:pPr>
              <w:tabs>
                <w:tab w:val="left" w:pos="4320"/>
              </w:tabs>
              <w:rPr>
                <w:rFonts w:hint="eastAsia" w:ascii="宋体" w:hAnsi="宋体" w:cs="宋体"/>
                <w:color w:val="auto"/>
                <w:sz w:val="24"/>
                <w:highlight w:val="none"/>
              </w:rPr>
            </w:pPr>
          </w:p>
        </w:tc>
        <w:tc>
          <w:tcPr>
            <w:tcW w:w="946" w:type="dxa"/>
            <w:vMerge w:val="continue"/>
            <w:noWrap w:val="0"/>
            <w:vAlign w:val="center"/>
          </w:tcPr>
          <w:p w14:paraId="26EA9103">
            <w:pPr>
              <w:tabs>
                <w:tab w:val="left" w:pos="4320"/>
              </w:tabs>
              <w:jc w:val="center"/>
              <w:rPr>
                <w:rFonts w:hint="eastAsia" w:ascii="宋体" w:hAnsi="宋体" w:cs="宋体"/>
                <w:color w:val="auto"/>
                <w:sz w:val="24"/>
                <w:highlight w:val="none"/>
              </w:rPr>
            </w:pPr>
          </w:p>
        </w:tc>
        <w:tc>
          <w:tcPr>
            <w:tcW w:w="4142" w:type="dxa"/>
            <w:gridSpan w:val="5"/>
            <w:noWrap w:val="0"/>
            <w:vAlign w:val="center"/>
          </w:tcPr>
          <w:p w14:paraId="309BE26F">
            <w:pPr>
              <w:tabs>
                <w:tab w:val="left" w:pos="4320"/>
              </w:tabs>
              <w:spacing w:before="120" w:after="120"/>
              <w:rPr>
                <w:rFonts w:hint="eastAsia" w:ascii="宋体" w:hAnsi="宋体" w:cs="宋体"/>
                <w:color w:val="auto"/>
                <w:sz w:val="24"/>
                <w:highlight w:val="none"/>
              </w:rPr>
            </w:pPr>
            <w:r>
              <w:rPr>
                <w:rFonts w:hint="eastAsia" w:ascii="宋体" w:hAnsi="宋体" w:cs="宋体"/>
                <w:color w:val="auto"/>
                <w:sz w:val="24"/>
                <w:highlight w:val="none"/>
              </w:rPr>
              <w:t>3.</w:t>
            </w:r>
          </w:p>
        </w:tc>
      </w:tr>
      <w:tr w14:paraId="42B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0F74B526">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本次</w:t>
            </w:r>
          </w:p>
          <w:p w14:paraId="7051CE8C">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投标</w:t>
            </w:r>
          </w:p>
          <w:p w14:paraId="2ACE3913">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产品</w:t>
            </w:r>
          </w:p>
          <w:p w14:paraId="03C9572E">
            <w:pPr>
              <w:tabs>
                <w:tab w:val="left" w:pos="4320"/>
              </w:tabs>
              <w:ind w:left="266" w:hanging="266"/>
              <w:rPr>
                <w:rFonts w:hint="eastAsia" w:ascii="宋体" w:hAnsi="宋体" w:cs="宋体"/>
                <w:color w:val="auto"/>
                <w:sz w:val="24"/>
                <w:highlight w:val="none"/>
              </w:rPr>
            </w:pPr>
            <w:r>
              <w:rPr>
                <w:rFonts w:hint="eastAsia" w:ascii="宋体" w:hAnsi="宋体" w:cs="宋体"/>
                <w:color w:val="auto"/>
                <w:sz w:val="24"/>
                <w:highlight w:val="none"/>
              </w:rPr>
              <w:t>情况</w:t>
            </w:r>
          </w:p>
        </w:tc>
        <w:tc>
          <w:tcPr>
            <w:tcW w:w="1643" w:type="dxa"/>
            <w:gridSpan w:val="3"/>
            <w:noWrap w:val="0"/>
            <w:vAlign w:val="center"/>
          </w:tcPr>
          <w:p w14:paraId="7D4A8EAC">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本次投标</w:t>
            </w:r>
          </w:p>
          <w:p w14:paraId="40BBB1F2">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617" w:type="dxa"/>
            <w:gridSpan w:val="2"/>
            <w:noWrap w:val="0"/>
            <w:vAlign w:val="center"/>
          </w:tcPr>
          <w:p w14:paraId="0130716A">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型    号</w:t>
            </w:r>
          </w:p>
        </w:tc>
        <w:tc>
          <w:tcPr>
            <w:tcW w:w="946" w:type="dxa"/>
            <w:noWrap w:val="0"/>
            <w:vAlign w:val="center"/>
          </w:tcPr>
          <w:p w14:paraId="43BA7DF9">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上年</w:t>
            </w:r>
          </w:p>
          <w:p w14:paraId="470CBE6B">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产销量</w:t>
            </w:r>
          </w:p>
        </w:tc>
        <w:tc>
          <w:tcPr>
            <w:tcW w:w="1263" w:type="dxa"/>
            <w:noWrap w:val="0"/>
            <w:vAlign w:val="center"/>
          </w:tcPr>
          <w:p w14:paraId="5D36340E">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产品技术</w:t>
            </w:r>
          </w:p>
          <w:p w14:paraId="3084631B">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先进水平</w:t>
            </w:r>
          </w:p>
        </w:tc>
        <w:tc>
          <w:tcPr>
            <w:tcW w:w="1273" w:type="dxa"/>
            <w:gridSpan w:val="2"/>
            <w:noWrap w:val="0"/>
            <w:vAlign w:val="center"/>
          </w:tcPr>
          <w:p w14:paraId="20AA2F77">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曾获何级</w:t>
            </w:r>
          </w:p>
          <w:p w14:paraId="6EBF5854">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何种奖励</w:t>
            </w:r>
          </w:p>
        </w:tc>
        <w:tc>
          <w:tcPr>
            <w:tcW w:w="1606" w:type="dxa"/>
            <w:gridSpan w:val="2"/>
            <w:noWrap w:val="0"/>
            <w:vAlign w:val="center"/>
          </w:tcPr>
          <w:p w14:paraId="086E9BCA">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主要用户</w:t>
            </w:r>
          </w:p>
          <w:p w14:paraId="31320DE8">
            <w:pPr>
              <w:tabs>
                <w:tab w:val="left" w:pos="4320"/>
              </w:tabs>
              <w:spacing w:before="60" w:after="60"/>
              <w:jc w:val="center"/>
              <w:rPr>
                <w:rFonts w:hint="eastAsia" w:ascii="宋体" w:hAnsi="宋体" w:cs="宋体"/>
                <w:color w:val="auto"/>
                <w:sz w:val="24"/>
                <w:highlight w:val="none"/>
              </w:rPr>
            </w:pPr>
            <w:r>
              <w:rPr>
                <w:rFonts w:hint="eastAsia" w:ascii="宋体" w:hAnsi="宋体" w:cs="宋体"/>
                <w:color w:val="auto"/>
                <w:sz w:val="24"/>
                <w:highlight w:val="none"/>
              </w:rPr>
              <w:t>名称</w:t>
            </w:r>
          </w:p>
        </w:tc>
      </w:tr>
      <w:tr w14:paraId="18C48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0592EF70">
            <w:pPr>
              <w:tabs>
                <w:tab w:val="left" w:pos="4320"/>
              </w:tabs>
              <w:rPr>
                <w:rFonts w:hint="eastAsia" w:ascii="宋体" w:hAnsi="宋体" w:cs="宋体"/>
                <w:color w:val="auto"/>
                <w:sz w:val="24"/>
                <w:highlight w:val="none"/>
              </w:rPr>
            </w:pPr>
          </w:p>
        </w:tc>
        <w:tc>
          <w:tcPr>
            <w:tcW w:w="1643" w:type="dxa"/>
            <w:gridSpan w:val="3"/>
            <w:noWrap w:val="0"/>
            <w:vAlign w:val="center"/>
          </w:tcPr>
          <w:p w14:paraId="5BDD1E3E">
            <w:pPr>
              <w:tabs>
                <w:tab w:val="left" w:pos="4320"/>
              </w:tabs>
              <w:rPr>
                <w:rFonts w:hint="eastAsia" w:ascii="宋体" w:hAnsi="宋体" w:cs="宋体"/>
                <w:color w:val="auto"/>
                <w:sz w:val="24"/>
                <w:highlight w:val="none"/>
              </w:rPr>
            </w:pPr>
          </w:p>
        </w:tc>
        <w:tc>
          <w:tcPr>
            <w:tcW w:w="1617" w:type="dxa"/>
            <w:gridSpan w:val="2"/>
            <w:noWrap w:val="0"/>
            <w:vAlign w:val="center"/>
          </w:tcPr>
          <w:p w14:paraId="5CB6A7B1">
            <w:pPr>
              <w:tabs>
                <w:tab w:val="left" w:pos="4320"/>
              </w:tabs>
              <w:rPr>
                <w:rFonts w:hint="eastAsia" w:ascii="宋体" w:hAnsi="宋体" w:cs="宋体"/>
                <w:color w:val="auto"/>
                <w:sz w:val="24"/>
                <w:highlight w:val="none"/>
              </w:rPr>
            </w:pPr>
          </w:p>
        </w:tc>
        <w:tc>
          <w:tcPr>
            <w:tcW w:w="946" w:type="dxa"/>
            <w:noWrap w:val="0"/>
            <w:vAlign w:val="center"/>
          </w:tcPr>
          <w:p w14:paraId="62877166">
            <w:pPr>
              <w:tabs>
                <w:tab w:val="left" w:pos="4320"/>
              </w:tabs>
              <w:rPr>
                <w:rFonts w:hint="eastAsia" w:ascii="宋体" w:hAnsi="宋体" w:cs="宋体"/>
                <w:color w:val="auto"/>
                <w:sz w:val="24"/>
                <w:highlight w:val="none"/>
              </w:rPr>
            </w:pPr>
          </w:p>
        </w:tc>
        <w:tc>
          <w:tcPr>
            <w:tcW w:w="1263" w:type="dxa"/>
            <w:noWrap w:val="0"/>
            <w:vAlign w:val="center"/>
          </w:tcPr>
          <w:p w14:paraId="43384843">
            <w:pPr>
              <w:tabs>
                <w:tab w:val="left" w:pos="4320"/>
              </w:tabs>
              <w:rPr>
                <w:rFonts w:hint="eastAsia" w:ascii="宋体" w:hAnsi="宋体" w:cs="宋体"/>
                <w:color w:val="auto"/>
                <w:sz w:val="24"/>
                <w:highlight w:val="none"/>
              </w:rPr>
            </w:pPr>
          </w:p>
        </w:tc>
        <w:tc>
          <w:tcPr>
            <w:tcW w:w="1273" w:type="dxa"/>
            <w:gridSpan w:val="2"/>
            <w:noWrap w:val="0"/>
            <w:vAlign w:val="center"/>
          </w:tcPr>
          <w:p w14:paraId="794B4D27">
            <w:pPr>
              <w:tabs>
                <w:tab w:val="left" w:pos="4320"/>
              </w:tabs>
              <w:rPr>
                <w:rFonts w:hint="eastAsia" w:ascii="宋体" w:hAnsi="宋体" w:cs="宋体"/>
                <w:color w:val="auto"/>
                <w:sz w:val="24"/>
                <w:highlight w:val="none"/>
              </w:rPr>
            </w:pPr>
          </w:p>
        </w:tc>
        <w:tc>
          <w:tcPr>
            <w:tcW w:w="1606" w:type="dxa"/>
            <w:gridSpan w:val="2"/>
            <w:noWrap w:val="0"/>
            <w:vAlign w:val="center"/>
          </w:tcPr>
          <w:p w14:paraId="7373BE94">
            <w:pPr>
              <w:tabs>
                <w:tab w:val="left" w:pos="4320"/>
              </w:tabs>
              <w:rPr>
                <w:rFonts w:hint="eastAsia" w:ascii="宋体" w:hAnsi="宋体" w:cs="宋体"/>
                <w:color w:val="auto"/>
                <w:sz w:val="24"/>
                <w:highlight w:val="none"/>
              </w:rPr>
            </w:pPr>
          </w:p>
        </w:tc>
      </w:tr>
      <w:tr w14:paraId="61431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2BDAB2D9">
            <w:pPr>
              <w:tabs>
                <w:tab w:val="left" w:pos="4320"/>
              </w:tabs>
              <w:rPr>
                <w:rFonts w:hint="eastAsia" w:ascii="宋体" w:hAnsi="宋体" w:cs="宋体"/>
                <w:color w:val="auto"/>
                <w:sz w:val="24"/>
                <w:highlight w:val="none"/>
              </w:rPr>
            </w:pPr>
          </w:p>
        </w:tc>
        <w:tc>
          <w:tcPr>
            <w:tcW w:w="1643" w:type="dxa"/>
            <w:gridSpan w:val="3"/>
            <w:noWrap w:val="0"/>
            <w:vAlign w:val="center"/>
          </w:tcPr>
          <w:p w14:paraId="6E2900CE">
            <w:pPr>
              <w:tabs>
                <w:tab w:val="left" w:pos="4320"/>
              </w:tabs>
              <w:rPr>
                <w:rFonts w:hint="eastAsia" w:ascii="宋体" w:hAnsi="宋体" w:cs="宋体"/>
                <w:color w:val="auto"/>
                <w:sz w:val="24"/>
                <w:highlight w:val="none"/>
              </w:rPr>
            </w:pPr>
          </w:p>
        </w:tc>
        <w:tc>
          <w:tcPr>
            <w:tcW w:w="1617" w:type="dxa"/>
            <w:gridSpan w:val="2"/>
            <w:noWrap w:val="0"/>
            <w:vAlign w:val="center"/>
          </w:tcPr>
          <w:p w14:paraId="47A065BD">
            <w:pPr>
              <w:tabs>
                <w:tab w:val="left" w:pos="4320"/>
              </w:tabs>
              <w:rPr>
                <w:rFonts w:hint="eastAsia" w:ascii="宋体" w:hAnsi="宋体" w:cs="宋体"/>
                <w:color w:val="auto"/>
                <w:sz w:val="24"/>
                <w:highlight w:val="none"/>
              </w:rPr>
            </w:pPr>
          </w:p>
        </w:tc>
        <w:tc>
          <w:tcPr>
            <w:tcW w:w="946" w:type="dxa"/>
            <w:noWrap w:val="0"/>
            <w:vAlign w:val="center"/>
          </w:tcPr>
          <w:p w14:paraId="42F01315">
            <w:pPr>
              <w:tabs>
                <w:tab w:val="left" w:pos="4320"/>
              </w:tabs>
              <w:rPr>
                <w:rFonts w:hint="eastAsia" w:ascii="宋体" w:hAnsi="宋体" w:cs="宋体"/>
                <w:color w:val="auto"/>
                <w:sz w:val="24"/>
                <w:highlight w:val="none"/>
              </w:rPr>
            </w:pPr>
          </w:p>
        </w:tc>
        <w:tc>
          <w:tcPr>
            <w:tcW w:w="1263" w:type="dxa"/>
            <w:noWrap w:val="0"/>
            <w:vAlign w:val="center"/>
          </w:tcPr>
          <w:p w14:paraId="1097D626">
            <w:pPr>
              <w:tabs>
                <w:tab w:val="left" w:pos="4320"/>
              </w:tabs>
              <w:rPr>
                <w:rFonts w:hint="eastAsia" w:ascii="宋体" w:hAnsi="宋体" w:cs="宋体"/>
                <w:color w:val="auto"/>
                <w:sz w:val="24"/>
                <w:highlight w:val="none"/>
              </w:rPr>
            </w:pPr>
          </w:p>
        </w:tc>
        <w:tc>
          <w:tcPr>
            <w:tcW w:w="1273" w:type="dxa"/>
            <w:gridSpan w:val="2"/>
            <w:noWrap w:val="0"/>
            <w:vAlign w:val="center"/>
          </w:tcPr>
          <w:p w14:paraId="29EDBFE7">
            <w:pPr>
              <w:tabs>
                <w:tab w:val="left" w:pos="4320"/>
              </w:tabs>
              <w:rPr>
                <w:rFonts w:hint="eastAsia" w:ascii="宋体" w:hAnsi="宋体" w:cs="宋体"/>
                <w:color w:val="auto"/>
                <w:sz w:val="24"/>
                <w:highlight w:val="none"/>
              </w:rPr>
            </w:pPr>
          </w:p>
        </w:tc>
        <w:tc>
          <w:tcPr>
            <w:tcW w:w="1606" w:type="dxa"/>
            <w:gridSpan w:val="2"/>
            <w:noWrap w:val="0"/>
            <w:vAlign w:val="center"/>
          </w:tcPr>
          <w:p w14:paraId="5BC5764A">
            <w:pPr>
              <w:tabs>
                <w:tab w:val="left" w:pos="4320"/>
              </w:tabs>
              <w:rPr>
                <w:rFonts w:hint="eastAsia" w:ascii="宋体" w:hAnsi="宋体" w:cs="宋体"/>
                <w:color w:val="auto"/>
                <w:sz w:val="24"/>
                <w:highlight w:val="none"/>
              </w:rPr>
            </w:pPr>
          </w:p>
        </w:tc>
      </w:tr>
      <w:tr w14:paraId="0D21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747F5B1F">
            <w:pPr>
              <w:tabs>
                <w:tab w:val="left" w:pos="4320"/>
              </w:tabs>
              <w:rPr>
                <w:rFonts w:hint="eastAsia" w:ascii="宋体" w:hAnsi="宋体" w:cs="宋体"/>
                <w:color w:val="auto"/>
                <w:sz w:val="24"/>
                <w:highlight w:val="none"/>
              </w:rPr>
            </w:pPr>
          </w:p>
        </w:tc>
        <w:tc>
          <w:tcPr>
            <w:tcW w:w="1643" w:type="dxa"/>
            <w:gridSpan w:val="3"/>
            <w:noWrap w:val="0"/>
            <w:vAlign w:val="center"/>
          </w:tcPr>
          <w:p w14:paraId="06D90FA9">
            <w:pPr>
              <w:tabs>
                <w:tab w:val="left" w:pos="4320"/>
              </w:tabs>
              <w:rPr>
                <w:rFonts w:hint="eastAsia" w:ascii="宋体" w:hAnsi="宋体" w:cs="宋体"/>
                <w:color w:val="auto"/>
                <w:sz w:val="24"/>
                <w:highlight w:val="none"/>
              </w:rPr>
            </w:pPr>
          </w:p>
        </w:tc>
        <w:tc>
          <w:tcPr>
            <w:tcW w:w="1617" w:type="dxa"/>
            <w:gridSpan w:val="2"/>
            <w:noWrap w:val="0"/>
            <w:vAlign w:val="center"/>
          </w:tcPr>
          <w:p w14:paraId="3E4410F6">
            <w:pPr>
              <w:tabs>
                <w:tab w:val="left" w:pos="4320"/>
              </w:tabs>
              <w:rPr>
                <w:rFonts w:hint="eastAsia" w:ascii="宋体" w:hAnsi="宋体" w:cs="宋体"/>
                <w:color w:val="auto"/>
                <w:sz w:val="24"/>
                <w:highlight w:val="none"/>
              </w:rPr>
            </w:pPr>
          </w:p>
        </w:tc>
        <w:tc>
          <w:tcPr>
            <w:tcW w:w="946" w:type="dxa"/>
            <w:noWrap w:val="0"/>
            <w:vAlign w:val="center"/>
          </w:tcPr>
          <w:p w14:paraId="4BD9B163">
            <w:pPr>
              <w:tabs>
                <w:tab w:val="left" w:pos="4320"/>
              </w:tabs>
              <w:rPr>
                <w:rFonts w:hint="eastAsia" w:ascii="宋体" w:hAnsi="宋体" w:cs="宋体"/>
                <w:color w:val="auto"/>
                <w:sz w:val="24"/>
                <w:highlight w:val="none"/>
              </w:rPr>
            </w:pPr>
          </w:p>
        </w:tc>
        <w:tc>
          <w:tcPr>
            <w:tcW w:w="1263" w:type="dxa"/>
            <w:noWrap w:val="0"/>
            <w:vAlign w:val="center"/>
          </w:tcPr>
          <w:p w14:paraId="53596378">
            <w:pPr>
              <w:tabs>
                <w:tab w:val="left" w:pos="4320"/>
              </w:tabs>
              <w:rPr>
                <w:rFonts w:hint="eastAsia" w:ascii="宋体" w:hAnsi="宋体" w:cs="宋体"/>
                <w:color w:val="auto"/>
                <w:sz w:val="24"/>
                <w:highlight w:val="none"/>
              </w:rPr>
            </w:pPr>
          </w:p>
        </w:tc>
        <w:tc>
          <w:tcPr>
            <w:tcW w:w="1273" w:type="dxa"/>
            <w:gridSpan w:val="2"/>
            <w:noWrap w:val="0"/>
            <w:vAlign w:val="center"/>
          </w:tcPr>
          <w:p w14:paraId="22FF9236">
            <w:pPr>
              <w:tabs>
                <w:tab w:val="left" w:pos="4320"/>
              </w:tabs>
              <w:rPr>
                <w:rFonts w:hint="eastAsia" w:ascii="宋体" w:hAnsi="宋体" w:cs="宋体"/>
                <w:color w:val="auto"/>
                <w:sz w:val="24"/>
                <w:highlight w:val="none"/>
              </w:rPr>
            </w:pPr>
          </w:p>
        </w:tc>
        <w:tc>
          <w:tcPr>
            <w:tcW w:w="1606" w:type="dxa"/>
            <w:gridSpan w:val="2"/>
            <w:noWrap w:val="0"/>
            <w:vAlign w:val="center"/>
          </w:tcPr>
          <w:p w14:paraId="034007C9">
            <w:pPr>
              <w:tabs>
                <w:tab w:val="left" w:pos="4320"/>
              </w:tabs>
              <w:rPr>
                <w:rFonts w:hint="eastAsia" w:ascii="宋体" w:hAnsi="宋体" w:cs="宋体"/>
                <w:color w:val="auto"/>
                <w:sz w:val="24"/>
                <w:highlight w:val="none"/>
              </w:rPr>
            </w:pPr>
          </w:p>
        </w:tc>
      </w:tr>
      <w:tr w14:paraId="203E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continue"/>
            <w:noWrap w:val="0"/>
            <w:vAlign w:val="center"/>
          </w:tcPr>
          <w:p w14:paraId="3442119A">
            <w:pPr>
              <w:tabs>
                <w:tab w:val="left" w:pos="4320"/>
              </w:tabs>
              <w:rPr>
                <w:rFonts w:hint="eastAsia" w:ascii="宋体" w:hAnsi="宋体" w:cs="宋体"/>
                <w:color w:val="auto"/>
                <w:sz w:val="24"/>
                <w:highlight w:val="none"/>
              </w:rPr>
            </w:pPr>
          </w:p>
        </w:tc>
        <w:tc>
          <w:tcPr>
            <w:tcW w:w="1643" w:type="dxa"/>
            <w:gridSpan w:val="3"/>
            <w:noWrap w:val="0"/>
            <w:vAlign w:val="center"/>
          </w:tcPr>
          <w:p w14:paraId="49C94223">
            <w:pPr>
              <w:tabs>
                <w:tab w:val="left" w:pos="4320"/>
              </w:tabs>
              <w:rPr>
                <w:rFonts w:hint="eastAsia" w:ascii="宋体" w:hAnsi="宋体" w:cs="宋体"/>
                <w:color w:val="auto"/>
                <w:sz w:val="24"/>
                <w:highlight w:val="none"/>
              </w:rPr>
            </w:pPr>
          </w:p>
        </w:tc>
        <w:tc>
          <w:tcPr>
            <w:tcW w:w="1617" w:type="dxa"/>
            <w:gridSpan w:val="2"/>
            <w:noWrap w:val="0"/>
            <w:vAlign w:val="center"/>
          </w:tcPr>
          <w:p w14:paraId="71D0EB50">
            <w:pPr>
              <w:tabs>
                <w:tab w:val="left" w:pos="4320"/>
              </w:tabs>
              <w:rPr>
                <w:rFonts w:hint="eastAsia" w:ascii="宋体" w:hAnsi="宋体" w:cs="宋体"/>
                <w:color w:val="auto"/>
                <w:sz w:val="24"/>
                <w:highlight w:val="none"/>
              </w:rPr>
            </w:pPr>
          </w:p>
        </w:tc>
        <w:tc>
          <w:tcPr>
            <w:tcW w:w="946" w:type="dxa"/>
            <w:noWrap w:val="0"/>
            <w:vAlign w:val="center"/>
          </w:tcPr>
          <w:p w14:paraId="18B5A760">
            <w:pPr>
              <w:tabs>
                <w:tab w:val="left" w:pos="4320"/>
              </w:tabs>
              <w:rPr>
                <w:rFonts w:hint="eastAsia" w:ascii="宋体" w:hAnsi="宋体" w:cs="宋体"/>
                <w:color w:val="auto"/>
                <w:sz w:val="24"/>
                <w:highlight w:val="none"/>
              </w:rPr>
            </w:pPr>
          </w:p>
        </w:tc>
        <w:tc>
          <w:tcPr>
            <w:tcW w:w="1263" w:type="dxa"/>
            <w:noWrap w:val="0"/>
            <w:vAlign w:val="center"/>
          </w:tcPr>
          <w:p w14:paraId="6C0D6A6B">
            <w:pPr>
              <w:tabs>
                <w:tab w:val="left" w:pos="4320"/>
              </w:tabs>
              <w:rPr>
                <w:rFonts w:hint="eastAsia" w:ascii="宋体" w:hAnsi="宋体" w:cs="宋体"/>
                <w:color w:val="auto"/>
                <w:sz w:val="24"/>
                <w:highlight w:val="none"/>
              </w:rPr>
            </w:pPr>
          </w:p>
        </w:tc>
        <w:tc>
          <w:tcPr>
            <w:tcW w:w="1273" w:type="dxa"/>
            <w:gridSpan w:val="2"/>
            <w:noWrap w:val="0"/>
            <w:vAlign w:val="center"/>
          </w:tcPr>
          <w:p w14:paraId="3F4694BA">
            <w:pPr>
              <w:tabs>
                <w:tab w:val="left" w:pos="4320"/>
              </w:tabs>
              <w:rPr>
                <w:rFonts w:hint="eastAsia" w:ascii="宋体" w:hAnsi="宋体" w:cs="宋体"/>
                <w:color w:val="auto"/>
                <w:sz w:val="24"/>
                <w:highlight w:val="none"/>
              </w:rPr>
            </w:pPr>
          </w:p>
        </w:tc>
        <w:tc>
          <w:tcPr>
            <w:tcW w:w="1606" w:type="dxa"/>
            <w:gridSpan w:val="2"/>
            <w:noWrap w:val="0"/>
            <w:vAlign w:val="center"/>
          </w:tcPr>
          <w:p w14:paraId="001582CE">
            <w:pPr>
              <w:tabs>
                <w:tab w:val="left" w:pos="4320"/>
              </w:tabs>
              <w:rPr>
                <w:rFonts w:hint="eastAsia" w:ascii="宋体" w:hAnsi="宋体" w:cs="宋体"/>
                <w:color w:val="auto"/>
                <w:sz w:val="24"/>
                <w:highlight w:val="none"/>
              </w:rPr>
            </w:pPr>
          </w:p>
        </w:tc>
      </w:tr>
      <w:tr w14:paraId="4CA7C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17" w:type="dxa"/>
            <w:vMerge w:val="restart"/>
            <w:noWrap w:val="0"/>
            <w:vAlign w:val="center"/>
          </w:tcPr>
          <w:p w14:paraId="57557E2E">
            <w:pPr>
              <w:tabs>
                <w:tab w:val="left" w:pos="4320"/>
              </w:tabs>
              <w:rPr>
                <w:rFonts w:hint="eastAsia" w:ascii="宋体" w:hAnsi="宋体" w:cs="宋体"/>
                <w:color w:val="auto"/>
                <w:sz w:val="24"/>
                <w:highlight w:val="none"/>
              </w:rPr>
            </w:pPr>
            <w:r>
              <w:rPr>
                <w:rFonts w:hint="eastAsia" w:ascii="宋体" w:hAnsi="宋体" w:cs="宋体"/>
                <w:color w:val="auto"/>
                <w:sz w:val="24"/>
                <w:highlight w:val="none"/>
              </w:rPr>
              <w:t>其它</w:t>
            </w:r>
          </w:p>
        </w:tc>
        <w:tc>
          <w:tcPr>
            <w:tcW w:w="4206" w:type="dxa"/>
            <w:gridSpan w:val="6"/>
            <w:noWrap w:val="0"/>
            <w:vAlign w:val="center"/>
          </w:tcPr>
          <w:p w14:paraId="767B0832">
            <w:pPr>
              <w:tabs>
                <w:tab w:val="left" w:pos="4320"/>
              </w:tabs>
              <w:spacing w:before="60" w:after="60"/>
              <w:rPr>
                <w:rFonts w:hint="eastAsia" w:ascii="宋体" w:hAnsi="宋体" w:cs="宋体"/>
                <w:color w:val="auto"/>
                <w:sz w:val="24"/>
                <w:highlight w:val="none"/>
              </w:rPr>
            </w:pPr>
            <w:r>
              <w:rPr>
                <w:rFonts w:hint="eastAsia" w:ascii="宋体" w:hAnsi="宋体" w:cs="宋体"/>
                <w:color w:val="auto"/>
                <w:sz w:val="24"/>
                <w:highlight w:val="none"/>
              </w:rPr>
              <w:t>近3年完成及正在执行的合同中发生的由于供应商违约或部分违约而引起诉讼和受到索赔的案件具体情况及结果（须如实填写，若对此进行隐瞒，尔后又被招标人或采购代理机构发现，或被它人举证成立，其投标资格将被取消）。</w:t>
            </w:r>
          </w:p>
        </w:tc>
        <w:tc>
          <w:tcPr>
            <w:tcW w:w="4142" w:type="dxa"/>
            <w:gridSpan w:val="5"/>
            <w:noWrap w:val="0"/>
            <w:vAlign w:val="center"/>
          </w:tcPr>
          <w:p w14:paraId="49394305">
            <w:pPr>
              <w:tabs>
                <w:tab w:val="left" w:pos="4320"/>
              </w:tabs>
              <w:spacing w:before="60" w:after="60"/>
              <w:rPr>
                <w:rFonts w:hint="eastAsia" w:ascii="宋体" w:hAnsi="宋体" w:cs="宋体"/>
                <w:color w:val="auto"/>
                <w:sz w:val="24"/>
                <w:highlight w:val="none"/>
              </w:rPr>
            </w:pPr>
            <w:r>
              <w:rPr>
                <w:rFonts w:hint="eastAsia" w:ascii="宋体" w:hAnsi="宋体" w:cs="宋体"/>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060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trPr>
        <w:tc>
          <w:tcPr>
            <w:tcW w:w="817" w:type="dxa"/>
            <w:vMerge w:val="continue"/>
            <w:noWrap w:val="0"/>
            <w:vAlign w:val="center"/>
          </w:tcPr>
          <w:p w14:paraId="4035D9F3">
            <w:pPr>
              <w:tabs>
                <w:tab w:val="left" w:pos="4320"/>
              </w:tabs>
              <w:rPr>
                <w:rFonts w:hint="eastAsia" w:ascii="宋体" w:hAnsi="宋体" w:cs="宋体"/>
                <w:color w:val="auto"/>
                <w:sz w:val="24"/>
                <w:highlight w:val="none"/>
              </w:rPr>
            </w:pPr>
          </w:p>
        </w:tc>
        <w:tc>
          <w:tcPr>
            <w:tcW w:w="4206" w:type="dxa"/>
            <w:gridSpan w:val="6"/>
            <w:noWrap w:val="0"/>
            <w:vAlign w:val="center"/>
          </w:tcPr>
          <w:p w14:paraId="157B6896">
            <w:pPr>
              <w:tabs>
                <w:tab w:val="left" w:pos="4320"/>
              </w:tabs>
              <w:rPr>
                <w:rFonts w:hint="eastAsia" w:ascii="宋体" w:hAnsi="宋体" w:cs="宋体"/>
                <w:color w:val="auto"/>
                <w:sz w:val="24"/>
                <w:highlight w:val="none"/>
              </w:rPr>
            </w:pPr>
          </w:p>
        </w:tc>
        <w:tc>
          <w:tcPr>
            <w:tcW w:w="4142" w:type="dxa"/>
            <w:gridSpan w:val="5"/>
            <w:noWrap w:val="0"/>
            <w:vAlign w:val="center"/>
          </w:tcPr>
          <w:p w14:paraId="4F6590FC">
            <w:pPr>
              <w:tabs>
                <w:tab w:val="left" w:pos="4320"/>
              </w:tabs>
              <w:rPr>
                <w:rFonts w:hint="eastAsia" w:ascii="宋体" w:hAnsi="宋体" w:cs="宋体"/>
                <w:color w:val="auto"/>
                <w:sz w:val="24"/>
                <w:highlight w:val="none"/>
              </w:rPr>
            </w:pPr>
          </w:p>
        </w:tc>
      </w:tr>
    </w:tbl>
    <w:p w14:paraId="7105C610">
      <w:pPr>
        <w:spacing w:line="300" w:lineRule="auto"/>
        <w:contextualSpacing/>
        <w:jc w:val="center"/>
        <w:rPr>
          <w:rFonts w:hint="eastAsia" w:ascii="宋体" w:hAnsi="宋体" w:cs="宋体"/>
          <w:b/>
          <w:color w:val="auto"/>
          <w:sz w:val="32"/>
          <w:szCs w:val="32"/>
        </w:rPr>
      </w:pPr>
    </w:p>
    <w:p w14:paraId="3BB36D74">
      <w:pPr>
        <w:spacing w:line="300" w:lineRule="auto"/>
        <w:contextualSpacing/>
        <w:jc w:val="left"/>
        <w:rPr>
          <w:rFonts w:hint="eastAsia" w:ascii="宋体" w:hAnsi="宋体" w:eastAsia="宋体" w:cs="宋体"/>
          <w:color w:val="auto"/>
          <w:kern w:val="0"/>
          <w:sz w:val="32"/>
          <w:szCs w:val="32"/>
          <w:lang w:val="en-US" w:eastAsia="zh-CN"/>
        </w:rPr>
      </w:pPr>
      <w:r>
        <w:rPr>
          <w:rFonts w:hint="eastAsia" w:ascii="宋体" w:hAnsi="宋体" w:cs="宋体"/>
          <w:color w:val="auto"/>
          <w:kern w:val="0"/>
          <w:sz w:val="32"/>
          <w:szCs w:val="32"/>
        </w:rPr>
        <w:t>附件</w:t>
      </w:r>
      <w:r>
        <w:rPr>
          <w:rFonts w:hint="eastAsia" w:ascii="宋体" w:hAnsi="宋体" w:cs="宋体"/>
          <w:color w:val="auto"/>
          <w:kern w:val="0"/>
          <w:sz w:val="32"/>
          <w:szCs w:val="32"/>
          <w:lang w:val="en-US" w:eastAsia="zh-CN"/>
        </w:rPr>
        <w:t>5</w:t>
      </w:r>
    </w:p>
    <w:p w14:paraId="492AF7C1">
      <w:pPr>
        <w:jc w:val="center"/>
        <w:rPr>
          <w:rFonts w:ascii="宋体" w:hAnsi="宋体" w:cs="宋体"/>
          <w:b/>
          <w:sz w:val="28"/>
          <w:szCs w:val="28"/>
        </w:rPr>
      </w:pPr>
      <w:r>
        <w:rPr>
          <w:rFonts w:hint="eastAsia" w:ascii="宋体" w:hAnsi="宋体" w:cs="宋体"/>
          <w:b/>
          <w:sz w:val="28"/>
          <w:szCs w:val="28"/>
        </w:rPr>
        <w:t>2025年度江苏商贸职业学院工会会员</w:t>
      </w:r>
      <w:r>
        <w:rPr>
          <w:rFonts w:hint="eastAsia" w:ascii="宋体" w:hAnsi="宋体" w:cs="宋体"/>
          <w:b/>
          <w:sz w:val="28"/>
          <w:szCs w:val="28"/>
          <w:lang w:val="en-US" w:eastAsia="zh-CN"/>
        </w:rPr>
        <w:t>节日</w:t>
      </w:r>
      <w:r>
        <w:rPr>
          <w:rFonts w:hint="eastAsia" w:ascii="宋体" w:hAnsi="宋体" w:cs="宋体"/>
          <w:b/>
          <w:sz w:val="28"/>
          <w:szCs w:val="28"/>
        </w:rPr>
        <w:t>慰问品清单</w:t>
      </w:r>
    </w:p>
    <w:p w14:paraId="3271E01A">
      <w:pPr>
        <w:jc w:val="center"/>
        <w:rPr>
          <w:rFonts w:ascii="宋体" w:hAnsi="宋体" w:cs="宋体"/>
          <w:b/>
          <w:color w:val="000000"/>
          <w:sz w:val="28"/>
          <w:szCs w:val="28"/>
        </w:rPr>
      </w:pPr>
      <w:r>
        <w:rPr>
          <w:rFonts w:hint="eastAsia" w:ascii="宋体" w:hAnsi="宋体" w:cs="宋体"/>
          <w:b/>
          <w:sz w:val="28"/>
          <w:szCs w:val="28"/>
        </w:rPr>
        <w:t>（投标样品根据本表提供）</w:t>
      </w:r>
    </w:p>
    <w:tbl>
      <w:tblPr>
        <w:tblStyle w:val="27"/>
        <w:tblW w:w="8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475"/>
        <w:gridCol w:w="1901"/>
        <w:gridCol w:w="1729"/>
        <w:gridCol w:w="1729"/>
      </w:tblGrid>
      <w:tr w14:paraId="5842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876" w:type="dxa"/>
          </w:tcPr>
          <w:p w14:paraId="364D7E3C">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序号</w:t>
            </w:r>
          </w:p>
        </w:tc>
        <w:tc>
          <w:tcPr>
            <w:tcW w:w="2475" w:type="dxa"/>
          </w:tcPr>
          <w:p w14:paraId="2994051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慰问品名称</w:t>
            </w:r>
          </w:p>
        </w:tc>
        <w:tc>
          <w:tcPr>
            <w:tcW w:w="1901" w:type="dxa"/>
          </w:tcPr>
          <w:p w14:paraId="1A468A9B">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规格</w:t>
            </w:r>
          </w:p>
        </w:tc>
        <w:tc>
          <w:tcPr>
            <w:tcW w:w="1729" w:type="dxa"/>
          </w:tcPr>
          <w:p w14:paraId="6BD501D2">
            <w:pPr>
              <w:widowControl/>
              <w:snapToGrid w:val="0"/>
              <w:spacing w:line="440" w:lineRule="atLeas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品牌</w:t>
            </w:r>
          </w:p>
        </w:tc>
        <w:tc>
          <w:tcPr>
            <w:tcW w:w="1729" w:type="dxa"/>
          </w:tcPr>
          <w:p w14:paraId="1039C17E">
            <w:pPr>
              <w:widowControl/>
              <w:snapToGrid w:val="0"/>
              <w:spacing w:line="440" w:lineRule="atLeast"/>
              <w:jc w:val="center"/>
              <w:rPr>
                <w:rFonts w:hint="eastAsia" w:ascii="宋体" w:hAnsi="宋体" w:cs="宋体"/>
                <w:kern w:val="0"/>
                <w:sz w:val="28"/>
                <w:szCs w:val="28"/>
                <w:lang w:eastAsia="zh-CN"/>
              </w:rPr>
            </w:pPr>
            <w:r>
              <w:rPr>
                <w:rFonts w:hint="eastAsia" w:ascii="宋体" w:hAnsi="宋体" w:cs="宋体"/>
                <w:kern w:val="0"/>
                <w:sz w:val="28"/>
                <w:szCs w:val="28"/>
                <w:lang w:eastAsia="zh-CN"/>
              </w:rPr>
              <w:t>其他信息</w:t>
            </w:r>
          </w:p>
        </w:tc>
      </w:tr>
      <w:tr w14:paraId="13890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CA6829E">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w:t>
            </w:r>
          </w:p>
        </w:tc>
        <w:tc>
          <w:tcPr>
            <w:tcW w:w="2475" w:type="dxa"/>
          </w:tcPr>
          <w:p w14:paraId="1CC3386E">
            <w:pPr>
              <w:widowControl/>
              <w:snapToGrid w:val="0"/>
              <w:spacing w:line="440" w:lineRule="atLeast"/>
              <w:jc w:val="center"/>
              <w:rPr>
                <w:rFonts w:ascii="宋体" w:hAnsi="宋体" w:cs="宋体"/>
                <w:kern w:val="0"/>
                <w:sz w:val="28"/>
                <w:szCs w:val="28"/>
              </w:rPr>
            </w:pPr>
          </w:p>
        </w:tc>
        <w:tc>
          <w:tcPr>
            <w:tcW w:w="1901" w:type="dxa"/>
          </w:tcPr>
          <w:p w14:paraId="394BCA52">
            <w:pPr>
              <w:widowControl/>
              <w:snapToGrid w:val="0"/>
              <w:spacing w:line="440" w:lineRule="atLeast"/>
              <w:jc w:val="center"/>
              <w:rPr>
                <w:rFonts w:ascii="宋体" w:hAnsi="宋体" w:cs="宋体"/>
                <w:kern w:val="0"/>
                <w:sz w:val="28"/>
                <w:szCs w:val="28"/>
              </w:rPr>
            </w:pPr>
          </w:p>
        </w:tc>
        <w:tc>
          <w:tcPr>
            <w:tcW w:w="1729" w:type="dxa"/>
          </w:tcPr>
          <w:p w14:paraId="78390E80">
            <w:pPr>
              <w:widowControl/>
              <w:snapToGrid w:val="0"/>
              <w:spacing w:line="440" w:lineRule="atLeast"/>
              <w:jc w:val="center"/>
              <w:rPr>
                <w:rFonts w:ascii="宋体" w:hAnsi="宋体" w:cs="宋体"/>
                <w:kern w:val="0"/>
                <w:sz w:val="28"/>
                <w:szCs w:val="28"/>
              </w:rPr>
            </w:pPr>
          </w:p>
        </w:tc>
        <w:tc>
          <w:tcPr>
            <w:tcW w:w="1729" w:type="dxa"/>
          </w:tcPr>
          <w:p w14:paraId="3FCB5F07">
            <w:pPr>
              <w:widowControl/>
              <w:snapToGrid w:val="0"/>
              <w:spacing w:line="440" w:lineRule="atLeast"/>
              <w:jc w:val="center"/>
              <w:rPr>
                <w:rFonts w:ascii="宋体" w:hAnsi="宋体" w:cs="宋体"/>
                <w:kern w:val="0"/>
                <w:sz w:val="28"/>
                <w:szCs w:val="28"/>
              </w:rPr>
            </w:pPr>
          </w:p>
        </w:tc>
      </w:tr>
      <w:tr w14:paraId="32A0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6302019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2</w:t>
            </w:r>
          </w:p>
        </w:tc>
        <w:tc>
          <w:tcPr>
            <w:tcW w:w="2475" w:type="dxa"/>
          </w:tcPr>
          <w:p w14:paraId="0445D004">
            <w:pPr>
              <w:widowControl/>
              <w:snapToGrid w:val="0"/>
              <w:spacing w:line="440" w:lineRule="atLeast"/>
              <w:jc w:val="center"/>
              <w:rPr>
                <w:rFonts w:ascii="宋体" w:hAnsi="宋体" w:cs="宋体"/>
                <w:kern w:val="0"/>
                <w:sz w:val="28"/>
                <w:szCs w:val="28"/>
              </w:rPr>
            </w:pPr>
          </w:p>
        </w:tc>
        <w:tc>
          <w:tcPr>
            <w:tcW w:w="1901" w:type="dxa"/>
          </w:tcPr>
          <w:p w14:paraId="3D1502BE">
            <w:pPr>
              <w:widowControl/>
              <w:snapToGrid w:val="0"/>
              <w:spacing w:line="440" w:lineRule="atLeast"/>
              <w:jc w:val="center"/>
              <w:rPr>
                <w:rFonts w:ascii="宋体" w:hAnsi="宋体" w:cs="宋体"/>
                <w:kern w:val="0"/>
                <w:sz w:val="28"/>
                <w:szCs w:val="28"/>
              </w:rPr>
            </w:pPr>
          </w:p>
        </w:tc>
        <w:tc>
          <w:tcPr>
            <w:tcW w:w="1729" w:type="dxa"/>
          </w:tcPr>
          <w:p w14:paraId="25E3582C">
            <w:pPr>
              <w:widowControl/>
              <w:snapToGrid w:val="0"/>
              <w:spacing w:line="440" w:lineRule="atLeast"/>
              <w:jc w:val="center"/>
              <w:rPr>
                <w:rFonts w:ascii="宋体" w:hAnsi="宋体" w:cs="宋体"/>
                <w:kern w:val="0"/>
                <w:sz w:val="28"/>
                <w:szCs w:val="28"/>
              </w:rPr>
            </w:pPr>
          </w:p>
        </w:tc>
        <w:tc>
          <w:tcPr>
            <w:tcW w:w="1729" w:type="dxa"/>
          </w:tcPr>
          <w:p w14:paraId="50D3AEE8">
            <w:pPr>
              <w:widowControl/>
              <w:snapToGrid w:val="0"/>
              <w:spacing w:line="440" w:lineRule="atLeast"/>
              <w:jc w:val="center"/>
              <w:rPr>
                <w:rFonts w:ascii="宋体" w:hAnsi="宋体" w:cs="宋体"/>
                <w:kern w:val="0"/>
                <w:sz w:val="28"/>
                <w:szCs w:val="28"/>
              </w:rPr>
            </w:pPr>
          </w:p>
        </w:tc>
      </w:tr>
      <w:tr w14:paraId="510F3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882166F">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3</w:t>
            </w:r>
          </w:p>
        </w:tc>
        <w:tc>
          <w:tcPr>
            <w:tcW w:w="2475" w:type="dxa"/>
          </w:tcPr>
          <w:p w14:paraId="33056E95">
            <w:pPr>
              <w:widowControl/>
              <w:snapToGrid w:val="0"/>
              <w:spacing w:line="440" w:lineRule="atLeast"/>
              <w:jc w:val="center"/>
              <w:rPr>
                <w:rFonts w:ascii="宋体" w:hAnsi="宋体" w:cs="宋体"/>
                <w:kern w:val="0"/>
                <w:sz w:val="28"/>
                <w:szCs w:val="28"/>
              </w:rPr>
            </w:pPr>
          </w:p>
        </w:tc>
        <w:tc>
          <w:tcPr>
            <w:tcW w:w="1901" w:type="dxa"/>
          </w:tcPr>
          <w:p w14:paraId="1D22B108">
            <w:pPr>
              <w:widowControl/>
              <w:snapToGrid w:val="0"/>
              <w:spacing w:line="440" w:lineRule="atLeast"/>
              <w:jc w:val="center"/>
              <w:rPr>
                <w:rFonts w:ascii="宋体" w:hAnsi="宋体" w:cs="宋体"/>
                <w:kern w:val="0"/>
                <w:sz w:val="28"/>
                <w:szCs w:val="28"/>
              </w:rPr>
            </w:pPr>
          </w:p>
        </w:tc>
        <w:tc>
          <w:tcPr>
            <w:tcW w:w="1729" w:type="dxa"/>
          </w:tcPr>
          <w:p w14:paraId="530024F1">
            <w:pPr>
              <w:widowControl/>
              <w:snapToGrid w:val="0"/>
              <w:spacing w:line="440" w:lineRule="atLeast"/>
              <w:jc w:val="center"/>
              <w:rPr>
                <w:rFonts w:ascii="宋体" w:hAnsi="宋体" w:cs="宋体"/>
                <w:kern w:val="0"/>
                <w:sz w:val="28"/>
                <w:szCs w:val="28"/>
              </w:rPr>
            </w:pPr>
          </w:p>
        </w:tc>
        <w:tc>
          <w:tcPr>
            <w:tcW w:w="1729" w:type="dxa"/>
          </w:tcPr>
          <w:p w14:paraId="59B9DCC9">
            <w:pPr>
              <w:widowControl/>
              <w:snapToGrid w:val="0"/>
              <w:spacing w:line="440" w:lineRule="atLeast"/>
              <w:jc w:val="center"/>
              <w:rPr>
                <w:rFonts w:ascii="宋体" w:hAnsi="宋体" w:cs="宋体"/>
                <w:kern w:val="0"/>
                <w:sz w:val="28"/>
                <w:szCs w:val="28"/>
              </w:rPr>
            </w:pPr>
          </w:p>
        </w:tc>
      </w:tr>
      <w:tr w14:paraId="0588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7EB1CB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4</w:t>
            </w:r>
          </w:p>
        </w:tc>
        <w:tc>
          <w:tcPr>
            <w:tcW w:w="2475" w:type="dxa"/>
          </w:tcPr>
          <w:p w14:paraId="4E8DD695">
            <w:pPr>
              <w:widowControl/>
              <w:snapToGrid w:val="0"/>
              <w:spacing w:line="440" w:lineRule="atLeast"/>
              <w:jc w:val="center"/>
              <w:rPr>
                <w:rFonts w:ascii="宋体" w:hAnsi="宋体" w:cs="宋体"/>
                <w:kern w:val="0"/>
                <w:sz w:val="28"/>
                <w:szCs w:val="28"/>
              </w:rPr>
            </w:pPr>
          </w:p>
        </w:tc>
        <w:tc>
          <w:tcPr>
            <w:tcW w:w="1901" w:type="dxa"/>
          </w:tcPr>
          <w:p w14:paraId="6979DE99">
            <w:pPr>
              <w:widowControl/>
              <w:snapToGrid w:val="0"/>
              <w:spacing w:line="440" w:lineRule="atLeast"/>
              <w:jc w:val="center"/>
              <w:rPr>
                <w:rFonts w:ascii="宋体" w:hAnsi="宋体" w:cs="宋体"/>
                <w:kern w:val="0"/>
                <w:sz w:val="28"/>
                <w:szCs w:val="28"/>
              </w:rPr>
            </w:pPr>
          </w:p>
        </w:tc>
        <w:tc>
          <w:tcPr>
            <w:tcW w:w="1729" w:type="dxa"/>
          </w:tcPr>
          <w:p w14:paraId="76F1B193">
            <w:pPr>
              <w:widowControl/>
              <w:snapToGrid w:val="0"/>
              <w:spacing w:line="440" w:lineRule="atLeast"/>
              <w:jc w:val="center"/>
              <w:rPr>
                <w:rFonts w:ascii="宋体" w:hAnsi="宋体" w:cs="宋体"/>
                <w:kern w:val="0"/>
                <w:sz w:val="28"/>
                <w:szCs w:val="28"/>
              </w:rPr>
            </w:pPr>
          </w:p>
        </w:tc>
        <w:tc>
          <w:tcPr>
            <w:tcW w:w="1729" w:type="dxa"/>
          </w:tcPr>
          <w:p w14:paraId="7C7CFDCB">
            <w:pPr>
              <w:widowControl/>
              <w:snapToGrid w:val="0"/>
              <w:spacing w:line="440" w:lineRule="atLeast"/>
              <w:jc w:val="center"/>
              <w:rPr>
                <w:rFonts w:ascii="宋体" w:hAnsi="宋体" w:cs="宋体"/>
                <w:kern w:val="0"/>
                <w:sz w:val="28"/>
                <w:szCs w:val="28"/>
              </w:rPr>
            </w:pPr>
          </w:p>
        </w:tc>
      </w:tr>
      <w:tr w14:paraId="22C2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C78D4F2">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5</w:t>
            </w:r>
          </w:p>
        </w:tc>
        <w:tc>
          <w:tcPr>
            <w:tcW w:w="2475" w:type="dxa"/>
          </w:tcPr>
          <w:p w14:paraId="6188685F">
            <w:pPr>
              <w:widowControl/>
              <w:snapToGrid w:val="0"/>
              <w:spacing w:line="440" w:lineRule="atLeast"/>
              <w:jc w:val="center"/>
              <w:rPr>
                <w:rFonts w:ascii="宋体" w:hAnsi="宋体" w:cs="宋体"/>
                <w:kern w:val="0"/>
                <w:sz w:val="28"/>
                <w:szCs w:val="28"/>
              </w:rPr>
            </w:pPr>
          </w:p>
        </w:tc>
        <w:tc>
          <w:tcPr>
            <w:tcW w:w="1901" w:type="dxa"/>
          </w:tcPr>
          <w:p w14:paraId="4D2E14EC">
            <w:pPr>
              <w:widowControl/>
              <w:snapToGrid w:val="0"/>
              <w:spacing w:line="440" w:lineRule="atLeast"/>
              <w:jc w:val="center"/>
              <w:rPr>
                <w:rFonts w:ascii="宋体" w:hAnsi="宋体" w:cs="宋体"/>
                <w:kern w:val="0"/>
                <w:sz w:val="28"/>
                <w:szCs w:val="28"/>
              </w:rPr>
            </w:pPr>
          </w:p>
        </w:tc>
        <w:tc>
          <w:tcPr>
            <w:tcW w:w="1729" w:type="dxa"/>
          </w:tcPr>
          <w:p w14:paraId="7949A8B9">
            <w:pPr>
              <w:widowControl/>
              <w:snapToGrid w:val="0"/>
              <w:spacing w:line="440" w:lineRule="atLeast"/>
              <w:jc w:val="center"/>
              <w:rPr>
                <w:rFonts w:ascii="宋体" w:hAnsi="宋体" w:cs="宋体"/>
                <w:kern w:val="0"/>
                <w:sz w:val="28"/>
                <w:szCs w:val="28"/>
              </w:rPr>
            </w:pPr>
          </w:p>
        </w:tc>
        <w:tc>
          <w:tcPr>
            <w:tcW w:w="1729" w:type="dxa"/>
          </w:tcPr>
          <w:p w14:paraId="04177A65">
            <w:pPr>
              <w:widowControl/>
              <w:snapToGrid w:val="0"/>
              <w:spacing w:line="440" w:lineRule="atLeast"/>
              <w:jc w:val="center"/>
              <w:rPr>
                <w:rFonts w:ascii="宋体" w:hAnsi="宋体" w:cs="宋体"/>
                <w:kern w:val="0"/>
                <w:sz w:val="28"/>
                <w:szCs w:val="28"/>
              </w:rPr>
            </w:pPr>
          </w:p>
        </w:tc>
      </w:tr>
      <w:tr w14:paraId="0BF3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4C0FBD2">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6</w:t>
            </w:r>
          </w:p>
        </w:tc>
        <w:tc>
          <w:tcPr>
            <w:tcW w:w="2475" w:type="dxa"/>
          </w:tcPr>
          <w:p w14:paraId="7EFB2C0A">
            <w:pPr>
              <w:widowControl/>
              <w:snapToGrid w:val="0"/>
              <w:spacing w:line="440" w:lineRule="atLeast"/>
              <w:jc w:val="center"/>
              <w:rPr>
                <w:rFonts w:ascii="宋体" w:hAnsi="宋体" w:cs="宋体"/>
                <w:kern w:val="0"/>
                <w:sz w:val="28"/>
                <w:szCs w:val="28"/>
              </w:rPr>
            </w:pPr>
          </w:p>
        </w:tc>
        <w:tc>
          <w:tcPr>
            <w:tcW w:w="1901" w:type="dxa"/>
          </w:tcPr>
          <w:p w14:paraId="0D06A996">
            <w:pPr>
              <w:widowControl/>
              <w:snapToGrid w:val="0"/>
              <w:spacing w:line="440" w:lineRule="atLeast"/>
              <w:jc w:val="center"/>
              <w:rPr>
                <w:rFonts w:ascii="宋体" w:hAnsi="宋体" w:cs="宋体"/>
                <w:kern w:val="0"/>
                <w:sz w:val="28"/>
                <w:szCs w:val="28"/>
              </w:rPr>
            </w:pPr>
          </w:p>
        </w:tc>
        <w:tc>
          <w:tcPr>
            <w:tcW w:w="1729" w:type="dxa"/>
          </w:tcPr>
          <w:p w14:paraId="1623E9B8">
            <w:pPr>
              <w:widowControl/>
              <w:snapToGrid w:val="0"/>
              <w:spacing w:line="440" w:lineRule="atLeast"/>
              <w:jc w:val="center"/>
              <w:rPr>
                <w:rFonts w:ascii="宋体" w:hAnsi="宋体" w:cs="宋体"/>
                <w:kern w:val="0"/>
                <w:sz w:val="28"/>
                <w:szCs w:val="28"/>
              </w:rPr>
            </w:pPr>
          </w:p>
        </w:tc>
        <w:tc>
          <w:tcPr>
            <w:tcW w:w="1729" w:type="dxa"/>
          </w:tcPr>
          <w:p w14:paraId="241501B7">
            <w:pPr>
              <w:widowControl/>
              <w:snapToGrid w:val="0"/>
              <w:spacing w:line="440" w:lineRule="atLeast"/>
              <w:jc w:val="center"/>
              <w:rPr>
                <w:rFonts w:ascii="宋体" w:hAnsi="宋体" w:cs="宋体"/>
                <w:kern w:val="0"/>
                <w:sz w:val="28"/>
                <w:szCs w:val="28"/>
              </w:rPr>
            </w:pPr>
          </w:p>
        </w:tc>
      </w:tr>
      <w:tr w14:paraId="1FDD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46BA12E">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7</w:t>
            </w:r>
          </w:p>
        </w:tc>
        <w:tc>
          <w:tcPr>
            <w:tcW w:w="2475" w:type="dxa"/>
          </w:tcPr>
          <w:p w14:paraId="64497A27">
            <w:pPr>
              <w:widowControl/>
              <w:snapToGrid w:val="0"/>
              <w:spacing w:line="440" w:lineRule="atLeast"/>
              <w:jc w:val="center"/>
              <w:rPr>
                <w:rFonts w:ascii="宋体" w:hAnsi="宋体" w:cs="宋体"/>
                <w:kern w:val="0"/>
                <w:sz w:val="28"/>
                <w:szCs w:val="28"/>
              </w:rPr>
            </w:pPr>
          </w:p>
        </w:tc>
        <w:tc>
          <w:tcPr>
            <w:tcW w:w="1901" w:type="dxa"/>
          </w:tcPr>
          <w:p w14:paraId="66642C62">
            <w:pPr>
              <w:widowControl/>
              <w:snapToGrid w:val="0"/>
              <w:spacing w:line="440" w:lineRule="atLeast"/>
              <w:jc w:val="center"/>
              <w:rPr>
                <w:rFonts w:ascii="宋体" w:hAnsi="宋体" w:cs="宋体"/>
                <w:kern w:val="0"/>
                <w:sz w:val="28"/>
                <w:szCs w:val="28"/>
              </w:rPr>
            </w:pPr>
          </w:p>
        </w:tc>
        <w:tc>
          <w:tcPr>
            <w:tcW w:w="1729" w:type="dxa"/>
          </w:tcPr>
          <w:p w14:paraId="4FA7A2B2">
            <w:pPr>
              <w:widowControl/>
              <w:snapToGrid w:val="0"/>
              <w:spacing w:line="440" w:lineRule="atLeast"/>
              <w:jc w:val="center"/>
              <w:rPr>
                <w:rFonts w:ascii="宋体" w:hAnsi="宋体" w:cs="宋体"/>
                <w:kern w:val="0"/>
                <w:sz w:val="28"/>
                <w:szCs w:val="28"/>
              </w:rPr>
            </w:pPr>
          </w:p>
        </w:tc>
        <w:tc>
          <w:tcPr>
            <w:tcW w:w="1729" w:type="dxa"/>
          </w:tcPr>
          <w:p w14:paraId="66B83D9D">
            <w:pPr>
              <w:widowControl/>
              <w:snapToGrid w:val="0"/>
              <w:spacing w:line="440" w:lineRule="atLeast"/>
              <w:jc w:val="center"/>
              <w:rPr>
                <w:rFonts w:ascii="宋体" w:hAnsi="宋体" w:cs="宋体"/>
                <w:kern w:val="0"/>
                <w:sz w:val="28"/>
                <w:szCs w:val="28"/>
              </w:rPr>
            </w:pPr>
          </w:p>
        </w:tc>
      </w:tr>
      <w:tr w14:paraId="210D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2A9C76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8</w:t>
            </w:r>
          </w:p>
        </w:tc>
        <w:tc>
          <w:tcPr>
            <w:tcW w:w="2475" w:type="dxa"/>
          </w:tcPr>
          <w:p w14:paraId="73F6FDF6">
            <w:pPr>
              <w:widowControl/>
              <w:snapToGrid w:val="0"/>
              <w:spacing w:line="440" w:lineRule="atLeast"/>
              <w:jc w:val="center"/>
              <w:rPr>
                <w:rFonts w:ascii="宋体" w:hAnsi="宋体" w:cs="宋体"/>
                <w:kern w:val="0"/>
                <w:sz w:val="28"/>
                <w:szCs w:val="28"/>
              </w:rPr>
            </w:pPr>
          </w:p>
        </w:tc>
        <w:tc>
          <w:tcPr>
            <w:tcW w:w="1901" w:type="dxa"/>
          </w:tcPr>
          <w:p w14:paraId="7AD0E9E8">
            <w:pPr>
              <w:widowControl/>
              <w:snapToGrid w:val="0"/>
              <w:spacing w:line="440" w:lineRule="atLeast"/>
              <w:jc w:val="center"/>
              <w:rPr>
                <w:rFonts w:ascii="宋体" w:hAnsi="宋体" w:cs="宋体"/>
                <w:kern w:val="0"/>
                <w:sz w:val="28"/>
                <w:szCs w:val="28"/>
              </w:rPr>
            </w:pPr>
          </w:p>
        </w:tc>
        <w:tc>
          <w:tcPr>
            <w:tcW w:w="1729" w:type="dxa"/>
          </w:tcPr>
          <w:p w14:paraId="7A6684B9">
            <w:pPr>
              <w:widowControl/>
              <w:snapToGrid w:val="0"/>
              <w:spacing w:line="440" w:lineRule="atLeast"/>
              <w:jc w:val="center"/>
              <w:rPr>
                <w:rFonts w:ascii="宋体" w:hAnsi="宋体" w:cs="宋体"/>
                <w:kern w:val="0"/>
                <w:sz w:val="28"/>
                <w:szCs w:val="28"/>
              </w:rPr>
            </w:pPr>
          </w:p>
        </w:tc>
        <w:tc>
          <w:tcPr>
            <w:tcW w:w="1729" w:type="dxa"/>
          </w:tcPr>
          <w:p w14:paraId="312933D3">
            <w:pPr>
              <w:widowControl/>
              <w:snapToGrid w:val="0"/>
              <w:spacing w:line="440" w:lineRule="atLeast"/>
              <w:jc w:val="center"/>
              <w:rPr>
                <w:rFonts w:ascii="宋体" w:hAnsi="宋体" w:cs="宋体"/>
                <w:kern w:val="0"/>
                <w:sz w:val="28"/>
                <w:szCs w:val="28"/>
              </w:rPr>
            </w:pPr>
          </w:p>
        </w:tc>
      </w:tr>
      <w:tr w14:paraId="3498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F2749A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9</w:t>
            </w:r>
          </w:p>
        </w:tc>
        <w:tc>
          <w:tcPr>
            <w:tcW w:w="2475" w:type="dxa"/>
          </w:tcPr>
          <w:p w14:paraId="273E95EC">
            <w:pPr>
              <w:widowControl/>
              <w:snapToGrid w:val="0"/>
              <w:spacing w:line="440" w:lineRule="atLeast"/>
              <w:jc w:val="center"/>
              <w:rPr>
                <w:rFonts w:ascii="宋体" w:hAnsi="宋体" w:cs="宋体"/>
                <w:kern w:val="0"/>
                <w:sz w:val="28"/>
                <w:szCs w:val="28"/>
              </w:rPr>
            </w:pPr>
          </w:p>
        </w:tc>
        <w:tc>
          <w:tcPr>
            <w:tcW w:w="1901" w:type="dxa"/>
          </w:tcPr>
          <w:p w14:paraId="40F0E572">
            <w:pPr>
              <w:widowControl/>
              <w:snapToGrid w:val="0"/>
              <w:spacing w:line="440" w:lineRule="atLeast"/>
              <w:jc w:val="center"/>
              <w:rPr>
                <w:rFonts w:ascii="宋体" w:hAnsi="宋体" w:cs="宋体"/>
                <w:kern w:val="0"/>
                <w:sz w:val="28"/>
                <w:szCs w:val="28"/>
              </w:rPr>
            </w:pPr>
          </w:p>
        </w:tc>
        <w:tc>
          <w:tcPr>
            <w:tcW w:w="1729" w:type="dxa"/>
          </w:tcPr>
          <w:p w14:paraId="41996B1D">
            <w:pPr>
              <w:widowControl/>
              <w:snapToGrid w:val="0"/>
              <w:spacing w:line="440" w:lineRule="atLeast"/>
              <w:jc w:val="center"/>
              <w:rPr>
                <w:rFonts w:ascii="宋体" w:hAnsi="宋体" w:cs="宋体"/>
                <w:kern w:val="0"/>
                <w:sz w:val="28"/>
                <w:szCs w:val="28"/>
              </w:rPr>
            </w:pPr>
          </w:p>
        </w:tc>
        <w:tc>
          <w:tcPr>
            <w:tcW w:w="1729" w:type="dxa"/>
          </w:tcPr>
          <w:p w14:paraId="182AE823">
            <w:pPr>
              <w:widowControl/>
              <w:snapToGrid w:val="0"/>
              <w:spacing w:line="440" w:lineRule="atLeast"/>
              <w:jc w:val="center"/>
              <w:rPr>
                <w:rFonts w:ascii="宋体" w:hAnsi="宋体" w:cs="宋体"/>
                <w:kern w:val="0"/>
                <w:sz w:val="28"/>
                <w:szCs w:val="28"/>
              </w:rPr>
            </w:pPr>
          </w:p>
        </w:tc>
      </w:tr>
      <w:tr w14:paraId="39B8E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6AC9499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10</w:t>
            </w:r>
          </w:p>
        </w:tc>
        <w:tc>
          <w:tcPr>
            <w:tcW w:w="2475" w:type="dxa"/>
          </w:tcPr>
          <w:p w14:paraId="3A29B80B">
            <w:pPr>
              <w:widowControl/>
              <w:snapToGrid w:val="0"/>
              <w:spacing w:line="440" w:lineRule="atLeast"/>
              <w:jc w:val="center"/>
              <w:rPr>
                <w:rFonts w:ascii="宋体" w:hAnsi="宋体" w:cs="宋体"/>
                <w:kern w:val="0"/>
                <w:sz w:val="28"/>
                <w:szCs w:val="28"/>
              </w:rPr>
            </w:pPr>
          </w:p>
        </w:tc>
        <w:tc>
          <w:tcPr>
            <w:tcW w:w="1901" w:type="dxa"/>
          </w:tcPr>
          <w:p w14:paraId="219A9721">
            <w:pPr>
              <w:widowControl/>
              <w:snapToGrid w:val="0"/>
              <w:spacing w:line="440" w:lineRule="atLeast"/>
              <w:jc w:val="center"/>
              <w:rPr>
                <w:rFonts w:ascii="宋体" w:hAnsi="宋体" w:cs="宋体"/>
                <w:kern w:val="0"/>
                <w:sz w:val="28"/>
                <w:szCs w:val="28"/>
              </w:rPr>
            </w:pPr>
          </w:p>
        </w:tc>
        <w:tc>
          <w:tcPr>
            <w:tcW w:w="1729" w:type="dxa"/>
          </w:tcPr>
          <w:p w14:paraId="0A2FEBB6">
            <w:pPr>
              <w:widowControl/>
              <w:snapToGrid w:val="0"/>
              <w:spacing w:line="440" w:lineRule="atLeast"/>
              <w:jc w:val="center"/>
              <w:rPr>
                <w:rFonts w:ascii="宋体" w:hAnsi="宋体" w:cs="宋体"/>
                <w:kern w:val="0"/>
                <w:sz w:val="28"/>
                <w:szCs w:val="28"/>
              </w:rPr>
            </w:pPr>
          </w:p>
        </w:tc>
        <w:tc>
          <w:tcPr>
            <w:tcW w:w="1729" w:type="dxa"/>
          </w:tcPr>
          <w:p w14:paraId="5052BCF3">
            <w:pPr>
              <w:widowControl/>
              <w:snapToGrid w:val="0"/>
              <w:spacing w:line="440" w:lineRule="atLeast"/>
              <w:jc w:val="center"/>
              <w:rPr>
                <w:rFonts w:ascii="宋体" w:hAnsi="宋体" w:cs="宋体"/>
                <w:kern w:val="0"/>
                <w:sz w:val="28"/>
                <w:szCs w:val="28"/>
              </w:rPr>
            </w:pPr>
          </w:p>
        </w:tc>
      </w:tr>
      <w:tr w14:paraId="38FC4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B10B96D">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11</w:t>
            </w:r>
          </w:p>
        </w:tc>
        <w:tc>
          <w:tcPr>
            <w:tcW w:w="2475" w:type="dxa"/>
          </w:tcPr>
          <w:p w14:paraId="27C5D3BA">
            <w:pPr>
              <w:widowControl/>
              <w:snapToGrid w:val="0"/>
              <w:spacing w:line="440" w:lineRule="atLeast"/>
              <w:jc w:val="center"/>
              <w:rPr>
                <w:rFonts w:ascii="宋体" w:hAnsi="宋体" w:cs="宋体"/>
                <w:kern w:val="0"/>
                <w:sz w:val="28"/>
                <w:szCs w:val="28"/>
              </w:rPr>
            </w:pPr>
          </w:p>
        </w:tc>
        <w:tc>
          <w:tcPr>
            <w:tcW w:w="1901" w:type="dxa"/>
          </w:tcPr>
          <w:p w14:paraId="7499DB4F">
            <w:pPr>
              <w:widowControl/>
              <w:snapToGrid w:val="0"/>
              <w:spacing w:line="440" w:lineRule="atLeast"/>
              <w:jc w:val="center"/>
              <w:rPr>
                <w:rFonts w:ascii="宋体" w:hAnsi="宋体" w:cs="宋体"/>
                <w:kern w:val="0"/>
                <w:sz w:val="28"/>
                <w:szCs w:val="28"/>
              </w:rPr>
            </w:pPr>
          </w:p>
        </w:tc>
        <w:tc>
          <w:tcPr>
            <w:tcW w:w="1729" w:type="dxa"/>
          </w:tcPr>
          <w:p w14:paraId="0377F237">
            <w:pPr>
              <w:widowControl/>
              <w:snapToGrid w:val="0"/>
              <w:spacing w:line="440" w:lineRule="atLeast"/>
              <w:jc w:val="center"/>
              <w:rPr>
                <w:rFonts w:ascii="宋体" w:hAnsi="宋体" w:cs="宋体"/>
                <w:kern w:val="0"/>
                <w:sz w:val="28"/>
                <w:szCs w:val="28"/>
              </w:rPr>
            </w:pPr>
          </w:p>
        </w:tc>
        <w:tc>
          <w:tcPr>
            <w:tcW w:w="1729" w:type="dxa"/>
          </w:tcPr>
          <w:p w14:paraId="689D1E93">
            <w:pPr>
              <w:widowControl/>
              <w:snapToGrid w:val="0"/>
              <w:spacing w:line="440" w:lineRule="atLeast"/>
              <w:jc w:val="center"/>
              <w:rPr>
                <w:rFonts w:ascii="宋体" w:hAnsi="宋体" w:cs="宋体"/>
                <w:kern w:val="0"/>
                <w:sz w:val="28"/>
                <w:szCs w:val="28"/>
              </w:rPr>
            </w:pPr>
          </w:p>
        </w:tc>
      </w:tr>
      <w:tr w14:paraId="45DA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B1833F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12</w:t>
            </w:r>
          </w:p>
        </w:tc>
        <w:tc>
          <w:tcPr>
            <w:tcW w:w="2475" w:type="dxa"/>
          </w:tcPr>
          <w:p w14:paraId="2CE1A227">
            <w:pPr>
              <w:widowControl/>
              <w:snapToGrid w:val="0"/>
              <w:spacing w:line="440" w:lineRule="atLeast"/>
              <w:jc w:val="center"/>
              <w:rPr>
                <w:rFonts w:ascii="宋体" w:hAnsi="宋体" w:cs="宋体"/>
                <w:kern w:val="0"/>
                <w:sz w:val="28"/>
                <w:szCs w:val="28"/>
              </w:rPr>
            </w:pPr>
          </w:p>
        </w:tc>
        <w:tc>
          <w:tcPr>
            <w:tcW w:w="1901" w:type="dxa"/>
          </w:tcPr>
          <w:p w14:paraId="0C566B20">
            <w:pPr>
              <w:widowControl/>
              <w:snapToGrid w:val="0"/>
              <w:spacing w:line="440" w:lineRule="atLeast"/>
              <w:jc w:val="center"/>
              <w:rPr>
                <w:rFonts w:ascii="宋体" w:hAnsi="宋体" w:cs="宋体"/>
                <w:kern w:val="0"/>
                <w:sz w:val="28"/>
                <w:szCs w:val="28"/>
              </w:rPr>
            </w:pPr>
          </w:p>
        </w:tc>
        <w:tc>
          <w:tcPr>
            <w:tcW w:w="1729" w:type="dxa"/>
          </w:tcPr>
          <w:p w14:paraId="00DCED26">
            <w:pPr>
              <w:widowControl/>
              <w:snapToGrid w:val="0"/>
              <w:spacing w:line="440" w:lineRule="atLeast"/>
              <w:jc w:val="center"/>
              <w:rPr>
                <w:rFonts w:ascii="宋体" w:hAnsi="宋体" w:cs="宋体"/>
                <w:kern w:val="0"/>
                <w:sz w:val="28"/>
                <w:szCs w:val="28"/>
              </w:rPr>
            </w:pPr>
          </w:p>
        </w:tc>
        <w:tc>
          <w:tcPr>
            <w:tcW w:w="1729" w:type="dxa"/>
          </w:tcPr>
          <w:p w14:paraId="73B97A21">
            <w:pPr>
              <w:widowControl/>
              <w:snapToGrid w:val="0"/>
              <w:spacing w:line="440" w:lineRule="atLeast"/>
              <w:jc w:val="center"/>
              <w:rPr>
                <w:rFonts w:ascii="宋体" w:hAnsi="宋体" w:cs="宋体"/>
                <w:kern w:val="0"/>
                <w:sz w:val="28"/>
                <w:szCs w:val="28"/>
              </w:rPr>
            </w:pPr>
          </w:p>
        </w:tc>
      </w:tr>
      <w:tr w14:paraId="42BC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320A2C4">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13</w:t>
            </w:r>
          </w:p>
        </w:tc>
        <w:tc>
          <w:tcPr>
            <w:tcW w:w="2475" w:type="dxa"/>
          </w:tcPr>
          <w:p w14:paraId="4B990753">
            <w:pPr>
              <w:widowControl/>
              <w:snapToGrid w:val="0"/>
              <w:spacing w:line="440" w:lineRule="atLeast"/>
              <w:jc w:val="center"/>
              <w:rPr>
                <w:rFonts w:ascii="宋体" w:hAnsi="宋体" w:cs="宋体"/>
                <w:kern w:val="0"/>
                <w:sz w:val="28"/>
                <w:szCs w:val="28"/>
              </w:rPr>
            </w:pPr>
          </w:p>
        </w:tc>
        <w:tc>
          <w:tcPr>
            <w:tcW w:w="1901" w:type="dxa"/>
          </w:tcPr>
          <w:p w14:paraId="6E8382AB">
            <w:pPr>
              <w:widowControl/>
              <w:snapToGrid w:val="0"/>
              <w:spacing w:line="440" w:lineRule="atLeast"/>
              <w:jc w:val="center"/>
              <w:rPr>
                <w:rFonts w:ascii="宋体" w:hAnsi="宋体" w:cs="宋体"/>
                <w:kern w:val="0"/>
                <w:sz w:val="28"/>
                <w:szCs w:val="28"/>
              </w:rPr>
            </w:pPr>
          </w:p>
        </w:tc>
        <w:tc>
          <w:tcPr>
            <w:tcW w:w="1729" w:type="dxa"/>
          </w:tcPr>
          <w:p w14:paraId="11A702B1">
            <w:pPr>
              <w:widowControl/>
              <w:snapToGrid w:val="0"/>
              <w:spacing w:line="440" w:lineRule="atLeast"/>
              <w:jc w:val="center"/>
              <w:rPr>
                <w:rFonts w:ascii="宋体" w:hAnsi="宋体" w:cs="宋体"/>
                <w:kern w:val="0"/>
                <w:sz w:val="28"/>
                <w:szCs w:val="28"/>
              </w:rPr>
            </w:pPr>
          </w:p>
        </w:tc>
        <w:tc>
          <w:tcPr>
            <w:tcW w:w="1729" w:type="dxa"/>
          </w:tcPr>
          <w:p w14:paraId="309C21E8">
            <w:pPr>
              <w:widowControl/>
              <w:snapToGrid w:val="0"/>
              <w:spacing w:line="440" w:lineRule="atLeast"/>
              <w:jc w:val="center"/>
              <w:rPr>
                <w:rFonts w:ascii="宋体" w:hAnsi="宋体" w:cs="宋体"/>
                <w:kern w:val="0"/>
                <w:sz w:val="28"/>
                <w:szCs w:val="28"/>
              </w:rPr>
            </w:pPr>
          </w:p>
        </w:tc>
      </w:tr>
      <w:tr w14:paraId="4B791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AF18349">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14</w:t>
            </w:r>
          </w:p>
        </w:tc>
        <w:tc>
          <w:tcPr>
            <w:tcW w:w="2475" w:type="dxa"/>
          </w:tcPr>
          <w:p w14:paraId="774C53B5">
            <w:pPr>
              <w:widowControl/>
              <w:snapToGrid w:val="0"/>
              <w:spacing w:line="440" w:lineRule="atLeast"/>
              <w:jc w:val="center"/>
              <w:rPr>
                <w:rFonts w:ascii="宋体" w:hAnsi="宋体" w:cs="宋体"/>
                <w:kern w:val="0"/>
                <w:sz w:val="28"/>
                <w:szCs w:val="28"/>
              </w:rPr>
            </w:pPr>
          </w:p>
        </w:tc>
        <w:tc>
          <w:tcPr>
            <w:tcW w:w="1901" w:type="dxa"/>
          </w:tcPr>
          <w:p w14:paraId="4DDF7613">
            <w:pPr>
              <w:widowControl/>
              <w:snapToGrid w:val="0"/>
              <w:spacing w:line="440" w:lineRule="atLeast"/>
              <w:jc w:val="center"/>
              <w:rPr>
                <w:rFonts w:ascii="宋体" w:hAnsi="宋体" w:cs="宋体"/>
                <w:kern w:val="0"/>
                <w:sz w:val="28"/>
                <w:szCs w:val="28"/>
              </w:rPr>
            </w:pPr>
          </w:p>
        </w:tc>
        <w:tc>
          <w:tcPr>
            <w:tcW w:w="1729" w:type="dxa"/>
          </w:tcPr>
          <w:p w14:paraId="48CCA22A">
            <w:pPr>
              <w:widowControl/>
              <w:snapToGrid w:val="0"/>
              <w:spacing w:line="440" w:lineRule="atLeast"/>
              <w:jc w:val="center"/>
              <w:rPr>
                <w:rFonts w:ascii="宋体" w:hAnsi="宋体" w:cs="宋体"/>
                <w:kern w:val="0"/>
                <w:sz w:val="28"/>
                <w:szCs w:val="28"/>
              </w:rPr>
            </w:pPr>
          </w:p>
        </w:tc>
        <w:tc>
          <w:tcPr>
            <w:tcW w:w="1729" w:type="dxa"/>
          </w:tcPr>
          <w:p w14:paraId="319B4027">
            <w:pPr>
              <w:widowControl/>
              <w:snapToGrid w:val="0"/>
              <w:spacing w:line="440" w:lineRule="atLeast"/>
              <w:jc w:val="center"/>
              <w:rPr>
                <w:rFonts w:ascii="宋体" w:hAnsi="宋体" w:cs="宋体"/>
                <w:kern w:val="0"/>
                <w:sz w:val="28"/>
                <w:szCs w:val="28"/>
              </w:rPr>
            </w:pPr>
          </w:p>
        </w:tc>
      </w:tr>
      <w:tr w14:paraId="7A81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29958D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15</w:t>
            </w:r>
          </w:p>
        </w:tc>
        <w:tc>
          <w:tcPr>
            <w:tcW w:w="2475" w:type="dxa"/>
          </w:tcPr>
          <w:p w14:paraId="0CBADCBD">
            <w:pPr>
              <w:widowControl/>
              <w:snapToGrid w:val="0"/>
              <w:spacing w:line="440" w:lineRule="atLeast"/>
              <w:jc w:val="center"/>
              <w:rPr>
                <w:rFonts w:ascii="宋体" w:hAnsi="宋体" w:cs="宋体"/>
                <w:kern w:val="0"/>
                <w:sz w:val="28"/>
                <w:szCs w:val="28"/>
              </w:rPr>
            </w:pPr>
          </w:p>
        </w:tc>
        <w:tc>
          <w:tcPr>
            <w:tcW w:w="1901" w:type="dxa"/>
          </w:tcPr>
          <w:p w14:paraId="51245A76">
            <w:pPr>
              <w:widowControl/>
              <w:snapToGrid w:val="0"/>
              <w:spacing w:line="440" w:lineRule="atLeast"/>
              <w:jc w:val="center"/>
              <w:rPr>
                <w:rFonts w:ascii="宋体" w:hAnsi="宋体" w:cs="宋体"/>
                <w:kern w:val="0"/>
                <w:sz w:val="28"/>
                <w:szCs w:val="28"/>
              </w:rPr>
            </w:pPr>
          </w:p>
        </w:tc>
        <w:tc>
          <w:tcPr>
            <w:tcW w:w="1729" w:type="dxa"/>
          </w:tcPr>
          <w:p w14:paraId="01A4869E">
            <w:pPr>
              <w:widowControl/>
              <w:snapToGrid w:val="0"/>
              <w:spacing w:line="440" w:lineRule="atLeast"/>
              <w:jc w:val="center"/>
              <w:rPr>
                <w:rFonts w:ascii="宋体" w:hAnsi="宋体" w:cs="宋体"/>
                <w:kern w:val="0"/>
                <w:sz w:val="28"/>
                <w:szCs w:val="28"/>
              </w:rPr>
            </w:pPr>
          </w:p>
        </w:tc>
        <w:tc>
          <w:tcPr>
            <w:tcW w:w="1729" w:type="dxa"/>
          </w:tcPr>
          <w:p w14:paraId="28B9EBCB">
            <w:pPr>
              <w:widowControl/>
              <w:snapToGrid w:val="0"/>
              <w:spacing w:line="440" w:lineRule="atLeast"/>
              <w:jc w:val="center"/>
              <w:rPr>
                <w:rFonts w:ascii="宋体" w:hAnsi="宋体" w:cs="宋体"/>
                <w:kern w:val="0"/>
                <w:sz w:val="28"/>
                <w:szCs w:val="28"/>
              </w:rPr>
            </w:pPr>
          </w:p>
        </w:tc>
      </w:tr>
      <w:tr w14:paraId="7A13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0D91B2BF">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16</w:t>
            </w:r>
          </w:p>
        </w:tc>
        <w:tc>
          <w:tcPr>
            <w:tcW w:w="2475" w:type="dxa"/>
          </w:tcPr>
          <w:p w14:paraId="398B9508">
            <w:pPr>
              <w:widowControl/>
              <w:snapToGrid w:val="0"/>
              <w:spacing w:line="440" w:lineRule="atLeast"/>
              <w:jc w:val="center"/>
              <w:rPr>
                <w:rFonts w:ascii="宋体" w:hAnsi="宋体" w:cs="宋体"/>
                <w:kern w:val="0"/>
                <w:sz w:val="28"/>
                <w:szCs w:val="28"/>
              </w:rPr>
            </w:pPr>
          </w:p>
        </w:tc>
        <w:tc>
          <w:tcPr>
            <w:tcW w:w="1901" w:type="dxa"/>
          </w:tcPr>
          <w:p w14:paraId="214B1527">
            <w:pPr>
              <w:widowControl/>
              <w:snapToGrid w:val="0"/>
              <w:spacing w:line="440" w:lineRule="atLeast"/>
              <w:jc w:val="center"/>
              <w:rPr>
                <w:rFonts w:ascii="宋体" w:hAnsi="宋体" w:cs="宋体"/>
                <w:kern w:val="0"/>
                <w:sz w:val="28"/>
                <w:szCs w:val="28"/>
              </w:rPr>
            </w:pPr>
          </w:p>
        </w:tc>
        <w:tc>
          <w:tcPr>
            <w:tcW w:w="1729" w:type="dxa"/>
          </w:tcPr>
          <w:p w14:paraId="3458092E">
            <w:pPr>
              <w:widowControl/>
              <w:snapToGrid w:val="0"/>
              <w:spacing w:line="440" w:lineRule="atLeast"/>
              <w:jc w:val="center"/>
              <w:rPr>
                <w:rFonts w:ascii="宋体" w:hAnsi="宋体" w:cs="宋体"/>
                <w:kern w:val="0"/>
                <w:sz w:val="28"/>
                <w:szCs w:val="28"/>
              </w:rPr>
            </w:pPr>
          </w:p>
        </w:tc>
        <w:tc>
          <w:tcPr>
            <w:tcW w:w="1729" w:type="dxa"/>
          </w:tcPr>
          <w:p w14:paraId="3135F88B">
            <w:pPr>
              <w:widowControl/>
              <w:snapToGrid w:val="0"/>
              <w:spacing w:line="440" w:lineRule="atLeast"/>
              <w:jc w:val="center"/>
              <w:rPr>
                <w:rFonts w:ascii="宋体" w:hAnsi="宋体" w:cs="宋体"/>
                <w:kern w:val="0"/>
                <w:sz w:val="28"/>
                <w:szCs w:val="28"/>
              </w:rPr>
            </w:pPr>
          </w:p>
        </w:tc>
      </w:tr>
      <w:tr w14:paraId="2601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CC793B3">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17</w:t>
            </w:r>
          </w:p>
        </w:tc>
        <w:tc>
          <w:tcPr>
            <w:tcW w:w="2475" w:type="dxa"/>
          </w:tcPr>
          <w:p w14:paraId="47A89218">
            <w:pPr>
              <w:widowControl/>
              <w:snapToGrid w:val="0"/>
              <w:spacing w:line="440" w:lineRule="atLeast"/>
              <w:jc w:val="center"/>
              <w:rPr>
                <w:rFonts w:ascii="宋体" w:hAnsi="宋体" w:cs="宋体"/>
                <w:kern w:val="0"/>
                <w:sz w:val="28"/>
                <w:szCs w:val="28"/>
              </w:rPr>
            </w:pPr>
          </w:p>
        </w:tc>
        <w:tc>
          <w:tcPr>
            <w:tcW w:w="1901" w:type="dxa"/>
          </w:tcPr>
          <w:p w14:paraId="4C5D4F19">
            <w:pPr>
              <w:widowControl/>
              <w:snapToGrid w:val="0"/>
              <w:spacing w:line="440" w:lineRule="atLeast"/>
              <w:jc w:val="center"/>
              <w:rPr>
                <w:rFonts w:ascii="宋体" w:hAnsi="宋体" w:cs="宋体"/>
                <w:kern w:val="0"/>
                <w:sz w:val="28"/>
                <w:szCs w:val="28"/>
              </w:rPr>
            </w:pPr>
          </w:p>
        </w:tc>
        <w:tc>
          <w:tcPr>
            <w:tcW w:w="1729" w:type="dxa"/>
          </w:tcPr>
          <w:p w14:paraId="013815EE">
            <w:pPr>
              <w:widowControl/>
              <w:snapToGrid w:val="0"/>
              <w:spacing w:line="440" w:lineRule="atLeast"/>
              <w:jc w:val="center"/>
              <w:rPr>
                <w:rFonts w:ascii="宋体" w:hAnsi="宋体" w:cs="宋体"/>
                <w:kern w:val="0"/>
                <w:sz w:val="28"/>
                <w:szCs w:val="28"/>
              </w:rPr>
            </w:pPr>
          </w:p>
        </w:tc>
        <w:tc>
          <w:tcPr>
            <w:tcW w:w="1729" w:type="dxa"/>
          </w:tcPr>
          <w:p w14:paraId="7E3ED50E">
            <w:pPr>
              <w:widowControl/>
              <w:snapToGrid w:val="0"/>
              <w:spacing w:line="440" w:lineRule="atLeast"/>
              <w:jc w:val="center"/>
              <w:rPr>
                <w:rFonts w:ascii="宋体" w:hAnsi="宋体" w:cs="宋体"/>
                <w:kern w:val="0"/>
                <w:sz w:val="28"/>
                <w:szCs w:val="28"/>
              </w:rPr>
            </w:pPr>
          </w:p>
        </w:tc>
      </w:tr>
      <w:tr w14:paraId="7B9F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4D39C8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18</w:t>
            </w:r>
          </w:p>
        </w:tc>
        <w:tc>
          <w:tcPr>
            <w:tcW w:w="2475" w:type="dxa"/>
          </w:tcPr>
          <w:p w14:paraId="327CF285">
            <w:pPr>
              <w:widowControl/>
              <w:snapToGrid w:val="0"/>
              <w:spacing w:line="440" w:lineRule="atLeast"/>
              <w:jc w:val="center"/>
              <w:rPr>
                <w:rFonts w:ascii="宋体" w:hAnsi="宋体" w:cs="宋体"/>
                <w:kern w:val="0"/>
                <w:sz w:val="28"/>
                <w:szCs w:val="28"/>
              </w:rPr>
            </w:pPr>
          </w:p>
        </w:tc>
        <w:tc>
          <w:tcPr>
            <w:tcW w:w="1901" w:type="dxa"/>
          </w:tcPr>
          <w:p w14:paraId="43D266ED">
            <w:pPr>
              <w:widowControl/>
              <w:snapToGrid w:val="0"/>
              <w:spacing w:line="440" w:lineRule="atLeast"/>
              <w:jc w:val="center"/>
              <w:rPr>
                <w:rFonts w:ascii="宋体" w:hAnsi="宋体" w:cs="宋体"/>
                <w:kern w:val="0"/>
                <w:sz w:val="28"/>
                <w:szCs w:val="28"/>
              </w:rPr>
            </w:pPr>
          </w:p>
        </w:tc>
        <w:tc>
          <w:tcPr>
            <w:tcW w:w="1729" w:type="dxa"/>
          </w:tcPr>
          <w:p w14:paraId="52547194">
            <w:pPr>
              <w:widowControl/>
              <w:snapToGrid w:val="0"/>
              <w:spacing w:line="440" w:lineRule="atLeast"/>
              <w:jc w:val="center"/>
              <w:rPr>
                <w:rFonts w:ascii="宋体" w:hAnsi="宋体" w:cs="宋体"/>
                <w:kern w:val="0"/>
                <w:sz w:val="28"/>
                <w:szCs w:val="28"/>
              </w:rPr>
            </w:pPr>
          </w:p>
        </w:tc>
        <w:tc>
          <w:tcPr>
            <w:tcW w:w="1729" w:type="dxa"/>
          </w:tcPr>
          <w:p w14:paraId="7F9773EC">
            <w:pPr>
              <w:widowControl/>
              <w:snapToGrid w:val="0"/>
              <w:spacing w:line="440" w:lineRule="atLeast"/>
              <w:jc w:val="center"/>
              <w:rPr>
                <w:rFonts w:ascii="宋体" w:hAnsi="宋体" w:cs="宋体"/>
                <w:kern w:val="0"/>
                <w:sz w:val="28"/>
                <w:szCs w:val="28"/>
              </w:rPr>
            </w:pPr>
          </w:p>
        </w:tc>
      </w:tr>
      <w:tr w14:paraId="2FD9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C7C8BD1">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19</w:t>
            </w:r>
          </w:p>
        </w:tc>
        <w:tc>
          <w:tcPr>
            <w:tcW w:w="2475" w:type="dxa"/>
          </w:tcPr>
          <w:p w14:paraId="27780A44">
            <w:pPr>
              <w:widowControl/>
              <w:snapToGrid w:val="0"/>
              <w:spacing w:line="440" w:lineRule="atLeast"/>
              <w:jc w:val="center"/>
              <w:rPr>
                <w:rFonts w:ascii="宋体" w:hAnsi="宋体" w:cs="宋体"/>
                <w:kern w:val="0"/>
                <w:sz w:val="28"/>
                <w:szCs w:val="28"/>
              </w:rPr>
            </w:pPr>
          </w:p>
        </w:tc>
        <w:tc>
          <w:tcPr>
            <w:tcW w:w="1901" w:type="dxa"/>
          </w:tcPr>
          <w:p w14:paraId="2D01434F">
            <w:pPr>
              <w:widowControl/>
              <w:snapToGrid w:val="0"/>
              <w:spacing w:line="440" w:lineRule="atLeast"/>
              <w:jc w:val="center"/>
              <w:rPr>
                <w:rFonts w:ascii="宋体" w:hAnsi="宋体" w:cs="宋体"/>
                <w:kern w:val="0"/>
                <w:sz w:val="28"/>
                <w:szCs w:val="28"/>
              </w:rPr>
            </w:pPr>
          </w:p>
        </w:tc>
        <w:tc>
          <w:tcPr>
            <w:tcW w:w="1729" w:type="dxa"/>
          </w:tcPr>
          <w:p w14:paraId="365D3A07">
            <w:pPr>
              <w:widowControl/>
              <w:snapToGrid w:val="0"/>
              <w:spacing w:line="440" w:lineRule="atLeast"/>
              <w:jc w:val="center"/>
              <w:rPr>
                <w:rFonts w:ascii="宋体" w:hAnsi="宋体" w:cs="宋体"/>
                <w:kern w:val="0"/>
                <w:sz w:val="28"/>
                <w:szCs w:val="28"/>
              </w:rPr>
            </w:pPr>
          </w:p>
        </w:tc>
        <w:tc>
          <w:tcPr>
            <w:tcW w:w="1729" w:type="dxa"/>
          </w:tcPr>
          <w:p w14:paraId="329DD0F6">
            <w:pPr>
              <w:widowControl/>
              <w:snapToGrid w:val="0"/>
              <w:spacing w:line="440" w:lineRule="atLeast"/>
              <w:jc w:val="center"/>
              <w:rPr>
                <w:rFonts w:ascii="宋体" w:hAnsi="宋体" w:cs="宋体"/>
                <w:kern w:val="0"/>
                <w:sz w:val="28"/>
                <w:szCs w:val="28"/>
              </w:rPr>
            </w:pPr>
          </w:p>
        </w:tc>
      </w:tr>
      <w:tr w14:paraId="7EAE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951612D">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20</w:t>
            </w:r>
          </w:p>
        </w:tc>
        <w:tc>
          <w:tcPr>
            <w:tcW w:w="2475" w:type="dxa"/>
          </w:tcPr>
          <w:p w14:paraId="6100E0CB">
            <w:pPr>
              <w:widowControl/>
              <w:snapToGrid w:val="0"/>
              <w:spacing w:line="440" w:lineRule="atLeast"/>
              <w:jc w:val="center"/>
              <w:rPr>
                <w:rFonts w:ascii="宋体" w:hAnsi="宋体" w:cs="宋体"/>
                <w:kern w:val="0"/>
                <w:sz w:val="28"/>
                <w:szCs w:val="28"/>
              </w:rPr>
            </w:pPr>
          </w:p>
        </w:tc>
        <w:tc>
          <w:tcPr>
            <w:tcW w:w="1901" w:type="dxa"/>
          </w:tcPr>
          <w:p w14:paraId="4CFB00CD">
            <w:pPr>
              <w:widowControl/>
              <w:snapToGrid w:val="0"/>
              <w:spacing w:line="440" w:lineRule="atLeast"/>
              <w:jc w:val="center"/>
              <w:rPr>
                <w:rFonts w:ascii="宋体" w:hAnsi="宋体" w:cs="宋体"/>
                <w:kern w:val="0"/>
                <w:sz w:val="28"/>
                <w:szCs w:val="28"/>
              </w:rPr>
            </w:pPr>
          </w:p>
        </w:tc>
        <w:tc>
          <w:tcPr>
            <w:tcW w:w="1729" w:type="dxa"/>
          </w:tcPr>
          <w:p w14:paraId="2403DE11">
            <w:pPr>
              <w:widowControl/>
              <w:snapToGrid w:val="0"/>
              <w:spacing w:line="440" w:lineRule="atLeast"/>
              <w:jc w:val="center"/>
              <w:rPr>
                <w:rFonts w:ascii="宋体" w:hAnsi="宋体" w:cs="宋体"/>
                <w:kern w:val="0"/>
                <w:sz w:val="28"/>
                <w:szCs w:val="28"/>
              </w:rPr>
            </w:pPr>
          </w:p>
        </w:tc>
        <w:tc>
          <w:tcPr>
            <w:tcW w:w="1729" w:type="dxa"/>
          </w:tcPr>
          <w:p w14:paraId="544E2842">
            <w:pPr>
              <w:widowControl/>
              <w:snapToGrid w:val="0"/>
              <w:spacing w:line="440" w:lineRule="atLeast"/>
              <w:jc w:val="center"/>
              <w:rPr>
                <w:rFonts w:ascii="宋体" w:hAnsi="宋体" w:cs="宋体"/>
                <w:kern w:val="0"/>
                <w:sz w:val="28"/>
                <w:szCs w:val="28"/>
              </w:rPr>
            </w:pPr>
          </w:p>
        </w:tc>
      </w:tr>
      <w:tr w14:paraId="51C9A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5276AE60">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475" w:type="dxa"/>
          </w:tcPr>
          <w:p w14:paraId="6F1DAD82">
            <w:pPr>
              <w:widowControl/>
              <w:snapToGrid w:val="0"/>
              <w:spacing w:line="440" w:lineRule="atLeast"/>
              <w:jc w:val="center"/>
              <w:rPr>
                <w:rFonts w:ascii="宋体" w:hAnsi="宋体" w:cs="宋体"/>
                <w:kern w:val="0"/>
                <w:sz w:val="28"/>
                <w:szCs w:val="28"/>
              </w:rPr>
            </w:pPr>
          </w:p>
        </w:tc>
        <w:tc>
          <w:tcPr>
            <w:tcW w:w="1901" w:type="dxa"/>
          </w:tcPr>
          <w:p w14:paraId="6B8BD315">
            <w:pPr>
              <w:widowControl/>
              <w:snapToGrid w:val="0"/>
              <w:spacing w:line="440" w:lineRule="atLeast"/>
              <w:jc w:val="center"/>
              <w:rPr>
                <w:rFonts w:ascii="宋体" w:hAnsi="宋体" w:cs="宋体"/>
                <w:kern w:val="0"/>
                <w:sz w:val="28"/>
                <w:szCs w:val="28"/>
              </w:rPr>
            </w:pPr>
          </w:p>
        </w:tc>
        <w:tc>
          <w:tcPr>
            <w:tcW w:w="1729" w:type="dxa"/>
          </w:tcPr>
          <w:p w14:paraId="4A27AF83">
            <w:pPr>
              <w:widowControl/>
              <w:snapToGrid w:val="0"/>
              <w:spacing w:line="440" w:lineRule="atLeast"/>
              <w:jc w:val="center"/>
              <w:rPr>
                <w:rFonts w:ascii="宋体" w:hAnsi="宋体" w:cs="宋体"/>
                <w:kern w:val="0"/>
                <w:sz w:val="28"/>
                <w:szCs w:val="28"/>
              </w:rPr>
            </w:pPr>
          </w:p>
        </w:tc>
        <w:tc>
          <w:tcPr>
            <w:tcW w:w="1729" w:type="dxa"/>
          </w:tcPr>
          <w:p w14:paraId="3120F50E">
            <w:pPr>
              <w:widowControl/>
              <w:snapToGrid w:val="0"/>
              <w:spacing w:line="440" w:lineRule="atLeast"/>
              <w:jc w:val="center"/>
              <w:rPr>
                <w:rFonts w:ascii="宋体" w:hAnsi="宋体" w:cs="宋体"/>
                <w:kern w:val="0"/>
                <w:sz w:val="28"/>
                <w:szCs w:val="28"/>
              </w:rPr>
            </w:pPr>
          </w:p>
        </w:tc>
      </w:tr>
    </w:tbl>
    <w:p w14:paraId="11AE2892">
      <w:pPr>
        <w:ind w:firstLine="560" w:firstLineChars="200"/>
        <w:rPr>
          <w:rFonts w:ascii="宋体" w:hAnsi="宋体" w:cs="宋体"/>
          <w:b/>
          <w:bCs/>
          <w:sz w:val="28"/>
          <w:szCs w:val="28"/>
        </w:rPr>
      </w:pPr>
      <w:r>
        <w:rPr>
          <w:rFonts w:hint="eastAsia" w:ascii="宋体" w:hAnsi="宋体" w:cs="宋体"/>
          <w:sz w:val="28"/>
          <w:szCs w:val="28"/>
        </w:rPr>
        <w:t>填表说明：①本表需提供慰问品品种（不少于</w:t>
      </w:r>
      <w:r>
        <w:rPr>
          <w:rFonts w:hint="eastAsia" w:ascii="宋体" w:hAnsi="宋体" w:cs="宋体"/>
          <w:sz w:val="28"/>
          <w:szCs w:val="28"/>
          <w:lang w:val="en-US" w:eastAsia="zh-CN"/>
        </w:rPr>
        <w:t>1</w:t>
      </w:r>
      <w:r>
        <w:rPr>
          <w:rFonts w:hint="eastAsia" w:ascii="宋体" w:hAnsi="宋体" w:cs="宋体"/>
          <w:sz w:val="28"/>
          <w:szCs w:val="28"/>
        </w:rPr>
        <w:t>00种），请如实填写。②所列慰问品品种必须符合国家发放节日慰问品相关法律规定</w:t>
      </w:r>
      <w:r>
        <w:rPr>
          <w:rFonts w:hint="eastAsia" w:ascii="宋体" w:hAnsi="宋体" w:cs="宋体"/>
          <w:b/>
          <w:bCs/>
          <w:sz w:val="28"/>
          <w:szCs w:val="28"/>
        </w:rPr>
        <w:t>。</w:t>
      </w:r>
    </w:p>
    <w:p w14:paraId="2FE6C2A6">
      <w:pPr>
        <w:rPr>
          <w:rFonts w:ascii="宋体" w:hAnsi="宋体" w:cs="宋体"/>
          <w:b/>
          <w:sz w:val="28"/>
          <w:szCs w:val="28"/>
        </w:rPr>
      </w:pPr>
    </w:p>
    <w:p w14:paraId="0CD8E372">
      <w:pPr>
        <w:pStyle w:val="2"/>
      </w:pPr>
    </w:p>
    <w:p w14:paraId="1A6BE179">
      <w:pPr>
        <w:spacing w:line="460" w:lineRule="exact"/>
        <w:rPr>
          <w:rFonts w:ascii="宋体" w:hAnsi="宋体" w:cs="宋体"/>
          <w:b/>
          <w:sz w:val="28"/>
          <w:szCs w:val="28"/>
        </w:rPr>
      </w:pPr>
      <w:r>
        <w:rPr>
          <w:rFonts w:hint="eastAsia" w:ascii="宋体" w:hAnsi="宋体" w:cs="宋体"/>
          <w:b/>
          <w:sz w:val="28"/>
          <w:szCs w:val="28"/>
        </w:rPr>
        <w:t>清单组合</w:t>
      </w:r>
    </w:p>
    <w:p w14:paraId="0F5DF787">
      <w:pPr>
        <w:spacing w:line="460" w:lineRule="exact"/>
        <w:ind w:firstLine="560" w:firstLineChars="200"/>
        <w:rPr>
          <w:rFonts w:ascii="宋体" w:hAnsi="宋体" w:cs="宋体"/>
          <w:sz w:val="28"/>
          <w:szCs w:val="28"/>
        </w:rPr>
      </w:pPr>
      <w:r>
        <w:rPr>
          <w:rFonts w:hint="eastAsia" w:ascii="宋体" w:hAnsi="宋体" w:cs="宋体"/>
          <w:sz w:val="28"/>
          <w:szCs w:val="28"/>
        </w:rPr>
        <w:t>慰问品的发放设计符合大众需求的</w:t>
      </w:r>
      <w:r>
        <w:rPr>
          <w:rFonts w:hint="eastAsia" w:ascii="宋体" w:hAnsi="宋体" w:cs="宋体"/>
          <w:sz w:val="28"/>
          <w:szCs w:val="28"/>
          <w:lang w:val="en-US" w:eastAsia="zh-CN"/>
        </w:rPr>
        <w:t>节日</w:t>
      </w:r>
      <w:r>
        <w:rPr>
          <w:rFonts w:hint="eastAsia" w:ascii="宋体" w:hAnsi="宋体" w:cs="宋体"/>
          <w:sz w:val="28"/>
          <w:szCs w:val="28"/>
        </w:rPr>
        <w:t>慰问品组合。</w:t>
      </w:r>
      <w:r>
        <w:rPr>
          <w:rFonts w:hint="eastAsia" w:ascii="宋体" w:hAnsi="宋体" w:cs="宋体"/>
          <w:b/>
          <w:bCs/>
          <w:sz w:val="28"/>
          <w:szCs w:val="28"/>
        </w:rPr>
        <w:t>（必须提供两个组合）</w:t>
      </w:r>
      <w:r>
        <w:rPr>
          <w:rFonts w:hint="eastAsia" w:ascii="宋体" w:hAnsi="宋体" w:cs="宋体"/>
          <w:sz w:val="28"/>
          <w:szCs w:val="28"/>
        </w:rPr>
        <w:t>相关说明及要求：</w:t>
      </w:r>
    </w:p>
    <w:p w14:paraId="66FC6E0D">
      <w:pPr>
        <w:spacing w:line="460" w:lineRule="exact"/>
        <w:ind w:firstLine="560" w:firstLineChars="200"/>
        <w:rPr>
          <w:rFonts w:ascii="宋体" w:hAnsi="宋体" w:cs="宋体"/>
          <w:sz w:val="28"/>
          <w:szCs w:val="28"/>
        </w:rPr>
      </w:pPr>
      <w:r>
        <w:rPr>
          <w:rFonts w:hint="eastAsia" w:ascii="宋体" w:hAnsi="宋体" w:cs="宋体"/>
          <w:sz w:val="28"/>
          <w:szCs w:val="28"/>
        </w:rPr>
        <w:t>1.品种范围：投标单位提供的《</w:t>
      </w:r>
      <w:r>
        <w:rPr>
          <w:rFonts w:hint="eastAsia" w:ascii="宋体" w:hAnsi="宋体" w:cs="宋体"/>
          <w:b/>
          <w:sz w:val="28"/>
          <w:szCs w:val="28"/>
        </w:rPr>
        <w:t>2025年度江苏商贸职业学院工会会员慰问品清单</w:t>
      </w:r>
      <w:r>
        <w:rPr>
          <w:rFonts w:hint="eastAsia" w:ascii="宋体" w:hAnsi="宋体" w:cs="宋体"/>
          <w:sz w:val="28"/>
          <w:szCs w:val="28"/>
        </w:rPr>
        <w:t>》之内；</w:t>
      </w:r>
    </w:p>
    <w:p w14:paraId="549DCF6D">
      <w:pPr>
        <w:spacing w:line="460" w:lineRule="exact"/>
        <w:ind w:firstLine="560" w:firstLineChars="200"/>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组合一与组合二之间要有一定的辨识度；</w:t>
      </w:r>
    </w:p>
    <w:p w14:paraId="7524E9C3">
      <w:pPr>
        <w:spacing w:line="460" w:lineRule="exact"/>
        <w:ind w:firstLine="560" w:firstLineChars="200"/>
        <w:rPr>
          <w:rFonts w:ascii="宋体" w:hAnsi="宋体" w:cs="宋体"/>
          <w:sz w:val="28"/>
          <w:szCs w:val="28"/>
        </w:rPr>
      </w:pPr>
      <w:r>
        <w:rPr>
          <w:rFonts w:hint="eastAsia" w:ascii="宋体" w:hAnsi="宋体" w:cs="宋体"/>
          <w:kern w:val="0"/>
          <w:sz w:val="28"/>
          <w:szCs w:val="28"/>
        </w:rPr>
        <w:t>3.组合的品种类别及数量自行设计。</w:t>
      </w:r>
    </w:p>
    <w:p w14:paraId="1DC4030C">
      <w:pPr>
        <w:jc w:val="center"/>
        <w:rPr>
          <w:rFonts w:ascii="宋体" w:hAnsi="宋体" w:cs="宋体"/>
          <w:b/>
          <w:bCs/>
          <w:kern w:val="0"/>
          <w:sz w:val="28"/>
          <w:szCs w:val="28"/>
        </w:rPr>
      </w:pPr>
    </w:p>
    <w:p w14:paraId="3987CE02">
      <w:pPr>
        <w:jc w:val="center"/>
        <w:rPr>
          <w:rFonts w:ascii="宋体" w:hAnsi="宋体" w:cs="宋体"/>
          <w:b/>
          <w:bCs/>
          <w:kern w:val="0"/>
          <w:sz w:val="28"/>
          <w:szCs w:val="28"/>
        </w:rPr>
      </w:pPr>
    </w:p>
    <w:p w14:paraId="492E588B">
      <w:pPr>
        <w:jc w:val="center"/>
        <w:rPr>
          <w:rFonts w:ascii="宋体" w:hAnsi="宋体" w:cs="宋体"/>
          <w:b/>
          <w:bCs/>
          <w:kern w:val="0"/>
          <w:sz w:val="28"/>
          <w:szCs w:val="28"/>
        </w:rPr>
      </w:pPr>
      <w:r>
        <w:rPr>
          <w:rFonts w:hint="eastAsia" w:ascii="宋体" w:hAnsi="宋体" w:cs="宋体"/>
          <w:b/>
          <w:bCs/>
          <w:kern w:val="0"/>
          <w:sz w:val="28"/>
          <w:szCs w:val="28"/>
        </w:rPr>
        <w:t>组合一</w:t>
      </w:r>
    </w:p>
    <w:p w14:paraId="14BC11C5">
      <w:pPr>
        <w:rPr>
          <w:rFonts w:ascii="宋体" w:hAnsi="宋体" w:cs="宋体"/>
          <w:kern w:val="0"/>
          <w:sz w:val="28"/>
          <w:szCs w:val="28"/>
        </w:rPr>
      </w:pPr>
    </w:p>
    <w:tbl>
      <w:tblPr>
        <w:tblStyle w:val="27"/>
        <w:tblW w:w="7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475"/>
        <w:gridCol w:w="2206"/>
        <w:gridCol w:w="1134"/>
        <w:gridCol w:w="1134"/>
      </w:tblGrid>
      <w:tr w14:paraId="4D18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FCE951D">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编号</w:t>
            </w:r>
          </w:p>
        </w:tc>
        <w:tc>
          <w:tcPr>
            <w:tcW w:w="2475" w:type="dxa"/>
          </w:tcPr>
          <w:p w14:paraId="7B3499F8">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慰问品名称</w:t>
            </w:r>
          </w:p>
        </w:tc>
        <w:tc>
          <w:tcPr>
            <w:tcW w:w="2206" w:type="dxa"/>
          </w:tcPr>
          <w:p w14:paraId="44C575AE">
            <w:pPr>
              <w:widowControl/>
              <w:snapToGrid w:val="0"/>
              <w:spacing w:line="440" w:lineRule="atLeast"/>
              <w:jc w:val="center"/>
              <w:rPr>
                <w:rFonts w:hint="eastAsia" w:ascii="宋体" w:hAnsi="宋体" w:eastAsia="宋体" w:cs="宋体"/>
                <w:kern w:val="0"/>
                <w:sz w:val="28"/>
                <w:szCs w:val="28"/>
                <w:lang w:eastAsia="zh-CN"/>
              </w:rPr>
            </w:pPr>
            <w:r>
              <w:rPr>
                <w:rFonts w:hint="eastAsia" w:ascii="宋体" w:hAnsi="宋体" w:cs="宋体"/>
                <w:kern w:val="0"/>
                <w:sz w:val="28"/>
                <w:szCs w:val="28"/>
              </w:rPr>
              <w:t>规格</w:t>
            </w:r>
            <w:r>
              <w:rPr>
                <w:rFonts w:hint="eastAsia" w:ascii="宋体" w:hAnsi="宋体" w:cs="宋体"/>
                <w:kern w:val="0"/>
                <w:sz w:val="28"/>
                <w:szCs w:val="28"/>
                <w:lang w:eastAsia="zh-CN"/>
              </w:rPr>
              <w:t>、品牌</w:t>
            </w:r>
          </w:p>
        </w:tc>
        <w:tc>
          <w:tcPr>
            <w:tcW w:w="1134" w:type="dxa"/>
          </w:tcPr>
          <w:p w14:paraId="6B28AA70">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备注</w:t>
            </w:r>
          </w:p>
        </w:tc>
        <w:tc>
          <w:tcPr>
            <w:tcW w:w="1134" w:type="dxa"/>
          </w:tcPr>
          <w:p w14:paraId="717A5521">
            <w:pPr>
              <w:widowControl/>
              <w:snapToGrid w:val="0"/>
              <w:spacing w:line="440" w:lineRule="atLeast"/>
              <w:jc w:val="center"/>
              <w:rPr>
                <w:rFonts w:ascii="宋体" w:hAnsi="宋体" w:cs="宋体"/>
                <w:kern w:val="0"/>
                <w:sz w:val="28"/>
                <w:szCs w:val="28"/>
              </w:rPr>
            </w:pPr>
          </w:p>
        </w:tc>
      </w:tr>
      <w:tr w14:paraId="1765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352AD97A">
            <w:pPr>
              <w:widowControl/>
              <w:snapToGrid w:val="0"/>
              <w:spacing w:line="440" w:lineRule="atLeast"/>
              <w:jc w:val="center"/>
              <w:rPr>
                <w:rFonts w:ascii="宋体" w:hAnsi="宋体" w:cs="宋体"/>
                <w:kern w:val="0"/>
                <w:sz w:val="28"/>
                <w:szCs w:val="28"/>
              </w:rPr>
            </w:pPr>
          </w:p>
        </w:tc>
        <w:tc>
          <w:tcPr>
            <w:tcW w:w="2475" w:type="dxa"/>
          </w:tcPr>
          <w:p w14:paraId="61D09840">
            <w:pPr>
              <w:widowControl/>
              <w:snapToGrid w:val="0"/>
              <w:spacing w:line="440" w:lineRule="atLeast"/>
              <w:jc w:val="center"/>
              <w:rPr>
                <w:rFonts w:ascii="宋体" w:hAnsi="宋体" w:cs="宋体"/>
                <w:kern w:val="0"/>
                <w:sz w:val="28"/>
                <w:szCs w:val="28"/>
              </w:rPr>
            </w:pPr>
          </w:p>
        </w:tc>
        <w:tc>
          <w:tcPr>
            <w:tcW w:w="2206" w:type="dxa"/>
          </w:tcPr>
          <w:p w14:paraId="292CE886">
            <w:pPr>
              <w:widowControl/>
              <w:snapToGrid w:val="0"/>
              <w:spacing w:line="440" w:lineRule="atLeast"/>
              <w:jc w:val="center"/>
              <w:rPr>
                <w:rFonts w:ascii="宋体" w:hAnsi="宋体" w:cs="宋体"/>
                <w:kern w:val="0"/>
                <w:sz w:val="28"/>
                <w:szCs w:val="28"/>
              </w:rPr>
            </w:pPr>
          </w:p>
        </w:tc>
        <w:tc>
          <w:tcPr>
            <w:tcW w:w="1134" w:type="dxa"/>
          </w:tcPr>
          <w:p w14:paraId="516A50F5">
            <w:pPr>
              <w:widowControl/>
              <w:snapToGrid w:val="0"/>
              <w:spacing w:line="440" w:lineRule="atLeast"/>
              <w:jc w:val="center"/>
              <w:rPr>
                <w:rFonts w:ascii="宋体" w:hAnsi="宋体" w:cs="宋体"/>
                <w:kern w:val="0"/>
                <w:sz w:val="28"/>
                <w:szCs w:val="28"/>
              </w:rPr>
            </w:pPr>
          </w:p>
        </w:tc>
        <w:tc>
          <w:tcPr>
            <w:tcW w:w="1134" w:type="dxa"/>
          </w:tcPr>
          <w:p w14:paraId="75CBD10B">
            <w:pPr>
              <w:widowControl/>
              <w:snapToGrid w:val="0"/>
              <w:spacing w:line="440" w:lineRule="atLeast"/>
              <w:jc w:val="center"/>
              <w:rPr>
                <w:rFonts w:ascii="宋体" w:hAnsi="宋体" w:cs="宋体"/>
                <w:kern w:val="0"/>
                <w:sz w:val="28"/>
                <w:szCs w:val="28"/>
              </w:rPr>
            </w:pPr>
          </w:p>
        </w:tc>
      </w:tr>
      <w:tr w14:paraId="417B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456AB79E">
            <w:pPr>
              <w:widowControl/>
              <w:snapToGrid w:val="0"/>
              <w:spacing w:line="440" w:lineRule="atLeast"/>
              <w:jc w:val="center"/>
              <w:rPr>
                <w:rFonts w:ascii="宋体" w:hAnsi="宋体" w:cs="宋体"/>
                <w:kern w:val="0"/>
                <w:sz w:val="28"/>
                <w:szCs w:val="28"/>
              </w:rPr>
            </w:pPr>
          </w:p>
        </w:tc>
        <w:tc>
          <w:tcPr>
            <w:tcW w:w="2475" w:type="dxa"/>
          </w:tcPr>
          <w:p w14:paraId="6823E2C1">
            <w:pPr>
              <w:widowControl/>
              <w:snapToGrid w:val="0"/>
              <w:spacing w:line="440" w:lineRule="atLeast"/>
              <w:jc w:val="center"/>
              <w:rPr>
                <w:rFonts w:ascii="宋体" w:hAnsi="宋体" w:cs="宋体"/>
                <w:kern w:val="0"/>
                <w:sz w:val="28"/>
                <w:szCs w:val="28"/>
              </w:rPr>
            </w:pPr>
          </w:p>
        </w:tc>
        <w:tc>
          <w:tcPr>
            <w:tcW w:w="2206" w:type="dxa"/>
          </w:tcPr>
          <w:p w14:paraId="18F4A77E">
            <w:pPr>
              <w:widowControl/>
              <w:snapToGrid w:val="0"/>
              <w:spacing w:line="440" w:lineRule="atLeast"/>
              <w:jc w:val="center"/>
              <w:rPr>
                <w:rFonts w:ascii="宋体" w:hAnsi="宋体" w:cs="宋体"/>
                <w:kern w:val="0"/>
                <w:sz w:val="28"/>
                <w:szCs w:val="28"/>
              </w:rPr>
            </w:pPr>
          </w:p>
        </w:tc>
        <w:tc>
          <w:tcPr>
            <w:tcW w:w="1134" w:type="dxa"/>
          </w:tcPr>
          <w:p w14:paraId="5A6962D3">
            <w:pPr>
              <w:widowControl/>
              <w:snapToGrid w:val="0"/>
              <w:spacing w:line="440" w:lineRule="atLeast"/>
              <w:jc w:val="center"/>
              <w:rPr>
                <w:rFonts w:ascii="宋体" w:hAnsi="宋体" w:cs="宋体"/>
                <w:kern w:val="0"/>
                <w:sz w:val="28"/>
                <w:szCs w:val="28"/>
              </w:rPr>
            </w:pPr>
          </w:p>
        </w:tc>
        <w:tc>
          <w:tcPr>
            <w:tcW w:w="1134" w:type="dxa"/>
          </w:tcPr>
          <w:p w14:paraId="77479167">
            <w:pPr>
              <w:widowControl/>
              <w:snapToGrid w:val="0"/>
              <w:spacing w:line="440" w:lineRule="atLeast"/>
              <w:jc w:val="center"/>
              <w:rPr>
                <w:rFonts w:ascii="宋体" w:hAnsi="宋体" w:cs="宋体"/>
                <w:kern w:val="0"/>
                <w:sz w:val="28"/>
                <w:szCs w:val="28"/>
              </w:rPr>
            </w:pPr>
          </w:p>
        </w:tc>
      </w:tr>
      <w:tr w14:paraId="757A7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jc w:val="center"/>
        </w:trPr>
        <w:tc>
          <w:tcPr>
            <w:tcW w:w="876" w:type="dxa"/>
            <w:vAlign w:val="center"/>
          </w:tcPr>
          <w:p w14:paraId="2F7C4479">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475" w:type="dxa"/>
            <w:vAlign w:val="center"/>
          </w:tcPr>
          <w:p w14:paraId="4C2D80F6">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206" w:type="dxa"/>
            <w:vAlign w:val="center"/>
          </w:tcPr>
          <w:p w14:paraId="659C529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1F3A121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4D4C4CD4">
            <w:pPr>
              <w:widowControl/>
              <w:snapToGrid w:val="0"/>
              <w:spacing w:line="440" w:lineRule="atLeast"/>
              <w:jc w:val="center"/>
              <w:rPr>
                <w:rFonts w:ascii="宋体" w:hAnsi="宋体" w:cs="宋体"/>
                <w:kern w:val="0"/>
                <w:sz w:val="28"/>
                <w:szCs w:val="28"/>
              </w:rPr>
            </w:pPr>
          </w:p>
        </w:tc>
      </w:tr>
      <w:tr w14:paraId="3EA92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6" w:type="dxa"/>
            <w:vAlign w:val="center"/>
          </w:tcPr>
          <w:p w14:paraId="45F95EF6">
            <w:pPr>
              <w:widowControl/>
              <w:snapToGrid w:val="0"/>
              <w:spacing w:line="440" w:lineRule="atLeast"/>
              <w:jc w:val="center"/>
              <w:rPr>
                <w:rFonts w:ascii="宋体" w:hAnsi="宋体" w:cs="宋体"/>
                <w:kern w:val="0"/>
                <w:sz w:val="28"/>
                <w:szCs w:val="28"/>
              </w:rPr>
            </w:pPr>
          </w:p>
        </w:tc>
        <w:tc>
          <w:tcPr>
            <w:tcW w:w="2475" w:type="dxa"/>
            <w:vAlign w:val="center"/>
          </w:tcPr>
          <w:p w14:paraId="6771A9F3">
            <w:pPr>
              <w:widowControl/>
              <w:snapToGrid w:val="0"/>
              <w:spacing w:line="440" w:lineRule="atLeast"/>
              <w:jc w:val="center"/>
              <w:rPr>
                <w:rFonts w:ascii="宋体" w:hAnsi="宋体" w:cs="宋体"/>
                <w:kern w:val="0"/>
                <w:sz w:val="28"/>
                <w:szCs w:val="28"/>
              </w:rPr>
            </w:pPr>
          </w:p>
        </w:tc>
        <w:tc>
          <w:tcPr>
            <w:tcW w:w="2206" w:type="dxa"/>
            <w:vAlign w:val="center"/>
          </w:tcPr>
          <w:p w14:paraId="18BB4031">
            <w:pPr>
              <w:widowControl/>
              <w:snapToGrid w:val="0"/>
              <w:spacing w:line="440" w:lineRule="atLeast"/>
              <w:jc w:val="center"/>
              <w:rPr>
                <w:rFonts w:ascii="宋体" w:hAnsi="宋体" w:cs="宋体"/>
                <w:kern w:val="0"/>
                <w:sz w:val="28"/>
                <w:szCs w:val="28"/>
              </w:rPr>
            </w:pPr>
          </w:p>
        </w:tc>
        <w:tc>
          <w:tcPr>
            <w:tcW w:w="1134" w:type="dxa"/>
            <w:vAlign w:val="center"/>
          </w:tcPr>
          <w:p w14:paraId="208095C5">
            <w:pPr>
              <w:widowControl/>
              <w:snapToGrid w:val="0"/>
              <w:spacing w:line="440" w:lineRule="atLeast"/>
              <w:jc w:val="center"/>
              <w:rPr>
                <w:rFonts w:ascii="宋体" w:hAnsi="宋体" w:cs="宋体"/>
                <w:kern w:val="0"/>
                <w:sz w:val="28"/>
                <w:szCs w:val="28"/>
              </w:rPr>
            </w:pPr>
          </w:p>
        </w:tc>
        <w:tc>
          <w:tcPr>
            <w:tcW w:w="1134" w:type="dxa"/>
            <w:vAlign w:val="center"/>
          </w:tcPr>
          <w:p w14:paraId="734F3CC5">
            <w:pPr>
              <w:widowControl/>
              <w:snapToGrid w:val="0"/>
              <w:spacing w:line="440" w:lineRule="atLeast"/>
              <w:jc w:val="center"/>
              <w:rPr>
                <w:rFonts w:ascii="宋体" w:hAnsi="宋体" w:cs="宋体"/>
                <w:kern w:val="0"/>
                <w:sz w:val="28"/>
                <w:szCs w:val="28"/>
              </w:rPr>
            </w:pPr>
          </w:p>
        </w:tc>
      </w:tr>
    </w:tbl>
    <w:p w14:paraId="3E98EA63">
      <w:pPr>
        <w:rPr>
          <w:rFonts w:ascii="宋体" w:hAnsi="宋体" w:cs="宋体"/>
          <w:kern w:val="0"/>
          <w:sz w:val="32"/>
          <w:szCs w:val="32"/>
        </w:rPr>
      </w:pPr>
    </w:p>
    <w:p w14:paraId="7AF76831">
      <w:pPr>
        <w:jc w:val="center"/>
        <w:rPr>
          <w:rFonts w:ascii="宋体" w:hAnsi="宋体" w:cs="宋体"/>
          <w:b/>
          <w:bCs/>
          <w:kern w:val="0"/>
          <w:sz w:val="28"/>
          <w:szCs w:val="28"/>
        </w:rPr>
      </w:pPr>
      <w:r>
        <w:rPr>
          <w:rFonts w:hint="eastAsia" w:ascii="宋体" w:hAnsi="宋体" w:cs="宋体"/>
          <w:b/>
          <w:bCs/>
          <w:kern w:val="0"/>
          <w:sz w:val="28"/>
          <w:szCs w:val="28"/>
        </w:rPr>
        <w:t>组合二</w:t>
      </w:r>
    </w:p>
    <w:p w14:paraId="2BDB449E">
      <w:pPr>
        <w:rPr>
          <w:rFonts w:ascii="宋体" w:hAnsi="宋体" w:cs="宋体"/>
          <w:kern w:val="0"/>
          <w:sz w:val="28"/>
          <w:szCs w:val="28"/>
        </w:rPr>
      </w:pPr>
    </w:p>
    <w:tbl>
      <w:tblPr>
        <w:tblStyle w:val="27"/>
        <w:tblW w:w="7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475"/>
        <w:gridCol w:w="2206"/>
        <w:gridCol w:w="1134"/>
        <w:gridCol w:w="1134"/>
      </w:tblGrid>
      <w:tr w14:paraId="28B6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22CF9693">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编号</w:t>
            </w:r>
          </w:p>
        </w:tc>
        <w:tc>
          <w:tcPr>
            <w:tcW w:w="2475" w:type="dxa"/>
          </w:tcPr>
          <w:p w14:paraId="32430384">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慰问品名称</w:t>
            </w:r>
          </w:p>
        </w:tc>
        <w:tc>
          <w:tcPr>
            <w:tcW w:w="2206" w:type="dxa"/>
          </w:tcPr>
          <w:p w14:paraId="6306844A">
            <w:pPr>
              <w:widowControl/>
              <w:snapToGrid w:val="0"/>
              <w:spacing w:line="440" w:lineRule="atLeast"/>
              <w:jc w:val="center"/>
              <w:rPr>
                <w:rFonts w:hint="eastAsia" w:ascii="宋体" w:hAnsi="宋体" w:eastAsia="宋体" w:cs="宋体"/>
                <w:kern w:val="0"/>
                <w:sz w:val="28"/>
                <w:szCs w:val="28"/>
                <w:lang w:eastAsia="zh-CN"/>
              </w:rPr>
            </w:pPr>
            <w:r>
              <w:rPr>
                <w:rFonts w:hint="eastAsia" w:ascii="宋体" w:hAnsi="宋体" w:cs="宋体"/>
                <w:kern w:val="0"/>
                <w:sz w:val="28"/>
                <w:szCs w:val="28"/>
              </w:rPr>
              <w:t>规格</w:t>
            </w:r>
            <w:r>
              <w:rPr>
                <w:rFonts w:hint="eastAsia" w:ascii="宋体" w:hAnsi="宋体" w:cs="宋体"/>
                <w:kern w:val="0"/>
                <w:sz w:val="28"/>
                <w:szCs w:val="28"/>
                <w:lang w:eastAsia="zh-CN"/>
              </w:rPr>
              <w:t>、品牌</w:t>
            </w:r>
          </w:p>
        </w:tc>
        <w:tc>
          <w:tcPr>
            <w:tcW w:w="1134" w:type="dxa"/>
          </w:tcPr>
          <w:p w14:paraId="5720CC56">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备注</w:t>
            </w:r>
          </w:p>
        </w:tc>
        <w:tc>
          <w:tcPr>
            <w:tcW w:w="1134" w:type="dxa"/>
          </w:tcPr>
          <w:p w14:paraId="3D24BEFA">
            <w:pPr>
              <w:widowControl/>
              <w:snapToGrid w:val="0"/>
              <w:spacing w:line="440" w:lineRule="atLeast"/>
              <w:jc w:val="center"/>
              <w:rPr>
                <w:rFonts w:ascii="宋体" w:hAnsi="宋体" w:cs="宋体"/>
                <w:kern w:val="0"/>
                <w:sz w:val="28"/>
                <w:szCs w:val="28"/>
              </w:rPr>
            </w:pPr>
          </w:p>
        </w:tc>
      </w:tr>
      <w:tr w14:paraId="24A7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12BE6F5B">
            <w:pPr>
              <w:widowControl/>
              <w:snapToGrid w:val="0"/>
              <w:spacing w:line="440" w:lineRule="atLeast"/>
              <w:jc w:val="center"/>
              <w:rPr>
                <w:rFonts w:ascii="宋体" w:hAnsi="宋体" w:cs="宋体"/>
                <w:kern w:val="0"/>
                <w:sz w:val="28"/>
                <w:szCs w:val="28"/>
              </w:rPr>
            </w:pPr>
          </w:p>
        </w:tc>
        <w:tc>
          <w:tcPr>
            <w:tcW w:w="2475" w:type="dxa"/>
          </w:tcPr>
          <w:p w14:paraId="0AB0FBBA">
            <w:pPr>
              <w:widowControl/>
              <w:snapToGrid w:val="0"/>
              <w:spacing w:line="440" w:lineRule="atLeast"/>
              <w:jc w:val="center"/>
              <w:rPr>
                <w:rFonts w:ascii="宋体" w:hAnsi="宋体" w:cs="宋体"/>
                <w:kern w:val="0"/>
                <w:sz w:val="28"/>
                <w:szCs w:val="28"/>
              </w:rPr>
            </w:pPr>
          </w:p>
        </w:tc>
        <w:tc>
          <w:tcPr>
            <w:tcW w:w="2206" w:type="dxa"/>
          </w:tcPr>
          <w:p w14:paraId="6696D1EF">
            <w:pPr>
              <w:widowControl/>
              <w:snapToGrid w:val="0"/>
              <w:spacing w:line="440" w:lineRule="atLeast"/>
              <w:jc w:val="center"/>
              <w:rPr>
                <w:rFonts w:ascii="宋体" w:hAnsi="宋体" w:cs="宋体"/>
                <w:kern w:val="0"/>
                <w:sz w:val="28"/>
                <w:szCs w:val="28"/>
              </w:rPr>
            </w:pPr>
          </w:p>
        </w:tc>
        <w:tc>
          <w:tcPr>
            <w:tcW w:w="1134" w:type="dxa"/>
          </w:tcPr>
          <w:p w14:paraId="64EBE9E0">
            <w:pPr>
              <w:widowControl/>
              <w:snapToGrid w:val="0"/>
              <w:spacing w:line="440" w:lineRule="atLeast"/>
              <w:jc w:val="center"/>
              <w:rPr>
                <w:rFonts w:ascii="宋体" w:hAnsi="宋体" w:cs="宋体"/>
                <w:kern w:val="0"/>
                <w:sz w:val="28"/>
                <w:szCs w:val="28"/>
              </w:rPr>
            </w:pPr>
          </w:p>
        </w:tc>
        <w:tc>
          <w:tcPr>
            <w:tcW w:w="1134" w:type="dxa"/>
          </w:tcPr>
          <w:p w14:paraId="2D12EE86">
            <w:pPr>
              <w:widowControl/>
              <w:snapToGrid w:val="0"/>
              <w:spacing w:line="440" w:lineRule="atLeast"/>
              <w:jc w:val="center"/>
              <w:rPr>
                <w:rFonts w:ascii="宋体" w:hAnsi="宋体" w:cs="宋体"/>
                <w:kern w:val="0"/>
                <w:sz w:val="28"/>
                <w:szCs w:val="28"/>
              </w:rPr>
            </w:pPr>
          </w:p>
        </w:tc>
      </w:tr>
      <w:tr w14:paraId="0215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6" w:type="dxa"/>
          </w:tcPr>
          <w:p w14:paraId="7549240A">
            <w:pPr>
              <w:widowControl/>
              <w:snapToGrid w:val="0"/>
              <w:spacing w:line="440" w:lineRule="atLeast"/>
              <w:jc w:val="center"/>
              <w:rPr>
                <w:rFonts w:ascii="宋体" w:hAnsi="宋体" w:cs="宋体"/>
                <w:kern w:val="0"/>
                <w:sz w:val="28"/>
                <w:szCs w:val="28"/>
              </w:rPr>
            </w:pPr>
          </w:p>
        </w:tc>
        <w:tc>
          <w:tcPr>
            <w:tcW w:w="2475" w:type="dxa"/>
          </w:tcPr>
          <w:p w14:paraId="0ED63152">
            <w:pPr>
              <w:widowControl/>
              <w:snapToGrid w:val="0"/>
              <w:spacing w:line="440" w:lineRule="atLeast"/>
              <w:jc w:val="center"/>
              <w:rPr>
                <w:rFonts w:ascii="宋体" w:hAnsi="宋体" w:cs="宋体"/>
                <w:kern w:val="0"/>
                <w:sz w:val="28"/>
                <w:szCs w:val="28"/>
              </w:rPr>
            </w:pPr>
          </w:p>
        </w:tc>
        <w:tc>
          <w:tcPr>
            <w:tcW w:w="2206" w:type="dxa"/>
          </w:tcPr>
          <w:p w14:paraId="0A2259A6">
            <w:pPr>
              <w:widowControl/>
              <w:snapToGrid w:val="0"/>
              <w:spacing w:line="440" w:lineRule="atLeast"/>
              <w:jc w:val="center"/>
              <w:rPr>
                <w:rFonts w:ascii="宋体" w:hAnsi="宋体" w:cs="宋体"/>
                <w:kern w:val="0"/>
                <w:sz w:val="28"/>
                <w:szCs w:val="28"/>
              </w:rPr>
            </w:pPr>
          </w:p>
        </w:tc>
        <w:tc>
          <w:tcPr>
            <w:tcW w:w="1134" w:type="dxa"/>
          </w:tcPr>
          <w:p w14:paraId="7D6E2994">
            <w:pPr>
              <w:widowControl/>
              <w:snapToGrid w:val="0"/>
              <w:spacing w:line="440" w:lineRule="atLeast"/>
              <w:jc w:val="center"/>
              <w:rPr>
                <w:rFonts w:ascii="宋体" w:hAnsi="宋体" w:cs="宋体"/>
                <w:kern w:val="0"/>
                <w:sz w:val="28"/>
                <w:szCs w:val="28"/>
              </w:rPr>
            </w:pPr>
          </w:p>
        </w:tc>
        <w:tc>
          <w:tcPr>
            <w:tcW w:w="1134" w:type="dxa"/>
          </w:tcPr>
          <w:p w14:paraId="59F0C5E7">
            <w:pPr>
              <w:widowControl/>
              <w:snapToGrid w:val="0"/>
              <w:spacing w:line="440" w:lineRule="atLeast"/>
              <w:jc w:val="center"/>
              <w:rPr>
                <w:rFonts w:ascii="宋体" w:hAnsi="宋体" w:cs="宋体"/>
                <w:kern w:val="0"/>
                <w:sz w:val="28"/>
                <w:szCs w:val="28"/>
              </w:rPr>
            </w:pPr>
          </w:p>
        </w:tc>
      </w:tr>
      <w:tr w14:paraId="692E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876" w:type="dxa"/>
            <w:vAlign w:val="center"/>
          </w:tcPr>
          <w:p w14:paraId="619934B2">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475" w:type="dxa"/>
            <w:vAlign w:val="center"/>
          </w:tcPr>
          <w:p w14:paraId="09A99BAB">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2206" w:type="dxa"/>
            <w:vAlign w:val="center"/>
          </w:tcPr>
          <w:p w14:paraId="20C90265">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6D5011BA">
            <w:pPr>
              <w:widowControl/>
              <w:snapToGrid w:val="0"/>
              <w:spacing w:line="440" w:lineRule="atLeast"/>
              <w:jc w:val="center"/>
              <w:rPr>
                <w:rFonts w:ascii="宋体" w:hAnsi="宋体" w:cs="宋体"/>
                <w:kern w:val="0"/>
                <w:sz w:val="28"/>
                <w:szCs w:val="28"/>
              </w:rPr>
            </w:pPr>
            <w:r>
              <w:rPr>
                <w:rFonts w:hint="eastAsia" w:ascii="宋体" w:hAnsi="宋体" w:cs="宋体"/>
                <w:kern w:val="0"/>
                <w:sz w:val="28"/>
                <w:szCs w:val="28"/>
              </w:rPr>
              <w:t>……</w:t>
            </w:r>
          </w:p>
        </w:tc>
        <w:tc>
          <w:tcPr>
            <w:tcW w:w="1134" w:type="dxa"/>
            <w:vAlign w:val="center"/>
          </w:tcPr>
          <w:p w14:paraId="22E54192">
            <w:pPr>
              <w:widowControl/>
              <w:snapToGrid w:val="0"/>
              <w:spacing w:line="440" w:lineRule="atLeast"/>
              <w:jc w:val="center"/>
              <w:rPr>
                <w:rFonts w:ascii="宋体" w:hAnsi="宋体" w:cs="宋体"/>
                <w:kern w:val="0"/>
                <w:sz w:val="28"/>
                <w:szCs w:val="28"/>
              </w:rPr>
            </w:pPr>
          </w:p>
        </w:tc>
      </w:tr>
      <w:tr w14:paraId="1663E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6" w:type="dxa"/>
            <w:vAlign w:val="center"/>
          </w:tcPr>
          <w:p w14:paraId="0180E9D4">
            <w:pPr>
              <w:widowControl/>
              <w:snapToGrid w:val="0"/>
              <w:spacing w:line="440" w:lineRule="atLeast"/>
              <w:jc w:val="center"/>
              <w:rPr>
                <w:rFonts w:ascii="宋体" w:hAnsi="宋体" w:cs="宋体"/>
                <w:kern w:val="0"/>
                <w:sz w:val="28"/>
                <w:szCs w:val="28"/>
              </w:rPr>
            </w:pPr>
          </w:p>
        </w:tc>
        <w:tc>
          <w:tcPr>
            <w:tcW w:w="2475" w:type="dxa"/>
            <w:vAlign w:val="center"/>
          </w:tcPr>
          <w:p w14:paraId="46B60E77">
            <w:pPr>
              <w:widowControl/>
              <w:snapToGrid w:val="0"/>
              <w:spacing w:line="440" w:lineRule="atLeast"/>
              <w:jc w:val="center"/>
              <w:rPr>
                <w:rFonts w:ascii="宋体" w:hAnsi="宋体" w:cs="宋体"/>
                <w:kern w:val="0"/>
                <w:sz w:val="28"/>
                <w:szCs w:val="28"/>
              </w:rPr>
            </w:pPr>
          </w:p>
        </w:tc>
        <w:tc>
          <w:tcPr>
            <w:tcW w:w="2206" w:type="dxa"/>
            <w:vAlign w:val="center"/>
          </w:tcPr>
          <w:p w14:paraId="0F212612">
            <w:pPr>
              <w:widowControl/>
              <w:snapToGrid w:val="0"/>
              <w:spacing w:line="440" w:lineRule="atLeast"/>
              <w:jc w:val="center"/>
              <w:rPr>
                <w:rFonts w:ascii="宋体" w:hAnsi="宋体" w:cs="宋体"/>
                <w:kern w:val="0"/>
                <w:sz w:val="28"/>
                <w:szCs w:val="28"/>
              </w:rPr>
            </w:pPr>
          </w:p>
        </w:tc>
        <w:tc>
          <w:tcPr>
            <w:tcW w:w="1134" w:type="dxa"/>
            <w:vAlign w:val="center"/>
          </w:tcPr>
          <w:p w14:paraId="772EA7F3">
            <w:pPr>
              <w:widowControl/>
              <w:snapToGrid w:val="0"/>
              <w:spacing w:line="440" w:lineRule="atLeast"/>
              <w:jc w:val="center"/>
              <w:rPr>
                <w:rFonts w:ascii="宋体" w:hAnsi="宋体" w:cs="宋体"/>
                <w:kern w:val="0"/>
                <w:sz w:val="28"/>
                <w:szCs w:val="28"/>
              </w:rPr>
            </w:pPr>
          </w:p>
        </w:tc>
        <w:tc>
          <w:tcPr>
            <w:tcW w:w="1134" w:type="dxa"/>
            <w:vAlign w:val="center"/>
          </w:tcPr>
          <w:p w14:paraId="2F5294CB">
            <w:pPr>
              <w:widowControl/>
              <w:snapToGrid w:val="0"/>
              <w:spacing w:line="440" w:lineRule="atLeast"/>
              <w:jc w:val="center"/>
              <w:rPr>
                <w:rFonts w:ascii="宋体" w:hAnsi="宋体" w:cs="宋体"/>
                <w:kern w:val="0"/>
                <w:sz w:val="28"/>
                <w:szCs w:val="28"/>
              </w:rPr>
            </w:pPr>
          </w:p>
        </w:tc>
      </w:tr>
    </w:tbl>
    <w:p w14:paraId="1AE9EDFB">
      <w:pPr>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57EBF2A2">
      <w:pPr>
        <w:spacing w:line="300" w:lineRule="auto"/>
        <w:contextualSpacing/>
        <w:jc w:val="left"/>
        <w:rPr>
          <w:rFonts w:hint="eastAsia" w:ascii="宋体" w:hAnsi="宋体" w:eastAsia="宋体" w:cs="宋体"/>
          <w:b/>
          <w:color w:val="auto"/>
          <w:sz w:val="32"/>
          <w:szCs w:val="32"/>
          <w:highlight w:val="none"/>
          <w:lang w:eastAsia="zh-CN"/>
        </w:rPr>
      </w:pPr>
      <w:r>
        <w:rPr>
          <w:rFonts w:hint="eastAsia" w:ascii="宋体" w:hAnsi="宋体" w:cs="宋体"/>
          <w:bCs/>
          <w:color w:val="auto"/>
          <w:sz w:val="32"/>
          <w:szCs w:val="32"/>
          <w:highlight w:val="none"/>
        </w:rPr>
        <w:t>附件</w:t>
      </w:r>
      <w:r>
        <w:rPr>
          <w:rFonts w:hint="eastAsia" w:ascii="宋体" w:hAnsi="宋体" w:cs="宋体"/>
          <w:bCs/>
          <w:color w:val="auto"/>
          <w:sz w:val="32"/>
          <w:szCs w:val="32"/>
          <w:highlight w:val="none"/>
          <w:lang w:val="en-US" w:eastAsia="zh-CN"/>
        </w:rPr>
        <w:t>6</w:t>
      </w:r>
    </w:p>
    <w:p w14:paraId="4C624367">
      <w:pPr>
        <w:widowControl/>
        <w:spacing w:before="100" w:beforeAutospacing="1" w:after="100" w:afterAutospacing="1" w:line="360" w:lineRule="auto"/>
        <w:jc w:val="center"/>
        <w:rPr>
          <w:rFonts w:ascii="宋体" w:hAnsi="宋体" w:cs="宋体"/>
          <w:color w:val="auto"/>
          <w:kern w:val="0"/>
          <w:sz w:val="32"/>
          <w:szCs w:val="32"/>
        </w:rPr>
      </w:pPr>
      <w:r>
        <w:rPr>
          <w:rFonts w:hint="eastAsia" w:ascii="宋体" w:hAnsi="宋体" w:cs="宋体"/>
          <w:b/>
          <w:bCs/>
          <w:color w:val="auto"/>
          <w:kern w:val="0"/>
          <w:sz w:val="32"/>
          <w:szCs w:val="32"/>
        </w:rPr>
        <w:t>报价一览表</w:t>
      </w:r>
    </w:p>
    <w:p w14:paraId="6211A94B">
      <w:pPr>
        <w:pStyle w:val="123"/>
        <w:snapToGrid w:val="0"/>
        <w:spacing w:line="460" w:lineRule="exact"/>
        <w:rPr>
          <w:rFonts w:hAnsi="宋体" w:cs="宋体"/>
          <w:iCs/>
          <w:color w:val="000000"/>
          <w:szCs w:val="28"/>
        </w:rPr>
      </w:pPr>
    </w:p>
    <w:tbl>
      <w:tblPr>
        <w:tblStyle w:val="27"/>
        <w:tblW w:w="87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
        <w:gridCol w:w="1843"/>
        <w:gridCol w:w="2029"/>
        <w:gridCol w:w="1618"/>
        <w:gridCol w:w="2389"/>
      </w:tblGrid>
      <w:tr w14:paraId="5F2A1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904" w:type="dxa"/>
            <w:tcBorders>
              <w:top w:val="single" w:color="auto" w:sz="4" w:space="0"/>
              <w:right w:val="single" w:color="auto" w:sz="4" w:space="0"/>
            </w:tcBorders>
            <w:noWrap w:val="0"/>
            <w:vAlign w:val="center"/>
          </w:tcPr>
          <w:p w14:paraId="0DCA1F52">
            <w:pPr>
              <w:snapToGrid w:val="0"/>
              <w:ind w:right="12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843" w:type="dxa"/>
            <w:tcBorders>
              <w:top w:val="single" w:color="auto" w:sz="4" w:space="0"/>
              <w:right w:val="single" w:color="auto" w:sz="4" w:space="0"/>
            </w:tcBorders>
            <w:noWrap w:val="0"/>
            <w:vAlign w:val="center"/>
          </w:tcPr>
          <w:p w14:paraId="6A25BC3F">
            <w:pPr>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发放时间</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25160F8B">
            <w:pPr>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提货券采购人</w:t>
            </w:r>
          </w:p>
          <w:p w14:paraId="33DB9B35">
            <w:pPr>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实际支付金额</w:t>
            </w:r>
          </w:p>
          <w:p w14:paraId="0FB3A7C9">
            <w:pPr>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（元/张）</w:t>
            </w:r>
          </w:p>
        </w:tc>
        <w:tc>
          <w:tcPr>
            <w:tcW w:w="1618" w:type="dxa"/>
            <w:tcBorders>
              <w:top w:val="single" w:color="auto" w:sz="4" w:space="0"/>
              <w:left w:val="single" w:color="auto" w:sz="4" w:space="0"/>
              <w:right w:val="single" w:color="auto" w:sz="4" w:space="0"/>
            </w:tcBorders>
            <w:noWrap w:val="0"/>
            <w:vAlign w:val="center"/>
          </w:tcPr>
          <w:p w14:paraId="5698FD57">
            <w:pPr>
              <w:snapToGrid w:val="0"/>
              <w:jc w:val="center"/>
              <w:rPr>
                <w:rFonts w:hint="eastAsia" w:ascii="宋体" w:hAnsi="宋体" w:eastAsia="宋体" w:cs="宋体"/>
                <w:color w:val="auto"/>
                <w:sz w:val="28"/>
                <w:szCs w:val="28"/>
              </w:rPr>
            </w:pPr>
            <w:r>
              <w:rPr>
                <w:rFonts w:hint="eastAsia" w:ascii="宋体" w:hAnsi="宋体" w:cs="宋体"/>
                <w:color w:val="auto"/>
                <w:sz w:val="28"/>
                <w:szCs w:val="28"/>
                <w:lang w:eastAsia="zh-CN"/>
              </w:rPr>
              <w:t>上浮率（</w:t>
            </w:r>
            <w:r>
              <w:rPr>
                <w:rFonts w:hint="eastAsia" w:ascii="宋体" w:hAnsi="宋体" w:cs="宋体"/>
                <w:color w:val="auto"/>
                <w:sz w:val="28"/>
                <w:szCs w:val="28"/>
                <w:lang w:val="en-US" w:eastAsia="zh-CN"/>
              </w:rPr>
              <w:t>%</w:t>
            </w:r>
            <w:r>
              <w:rPr>
                <w:rFonts w:hint="eastAsia" w:ascii="宋体" w:hAnsi="宋体" w:cs="宋体"/>
                <w:color w:val="auto"/>
                <w:sz w:val="28"/>
                <w:szCs w:val="28"/>
                <w:lang w:eastAsia="zh-CN"/>
              </w:rPr>
              <w:t>）</w:t>
            </w:r>
          </w:p>
        </w:tc>
        <w:tc>
          <w:tcPr>
            <w:tcW w:w="2389" w:type="dxa"/>
            <w:tcBorders>
              <w:top w:val="single" w:color="auto" w:sz="4" w:space="0"/>
              <w:left w:val="single" w:color="auto" w:sz="4" w:space="0"/>
              <w:right w:val="single" w:color="auto" w:sz="4" w:space="0"/>
            </w:tcBorders>
            <w:noWrap w:val="0"/>
            <w:vAlign w:val="center"/>
          </w:tcPr>
          <w:p w14:paraId="51A4330B">
            <w:pPr>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提货券面值金额</w:t>
            </w:r>
          </w:p>
          <w:p w14:paraId="16734F6F">
            <w:pPr>
              <w:snapToGrid w:val="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（元/张</w:t>
            </w:r>
            <w:r>
              <w:rPr>
                <w:rFonts w:hint="eastAsia" w:ascii="宋体" w:hAnsi="宋体" w:cs="宋体"/>
                <w:color w:val="auto"/>
                <w:sz w:val="28"/>
                <w:szCs w:val="28"/>
                <w:lang w:eastAsia="zh-CN"/>
              </w:rPr>
              <w:t>）</w:t>
            </w:r>
          </w:p>
        </w:tc>
      </w:tr>
      <w:tr w14:paraId="0B594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904" w:type="dxa"/>
            <w:tcBorders>
              <w:top w:val="single" w:color="auto" w:sz="4" w:space="0"/>
              <w:bottom w:val="single" w:color="auto" w:sz="4" w:space="0"/>
              <w:right w:val="single" w:color="auto" w:sz="4" w:space="0"/>
            </w:tcBorders>
            <w:noWrap w:val="0"/>
            <w:vAlign w:val="center"/>
          </w:tcPr>
          <w:p w14:paraId="0867C145">
            <w:pPr>
              <w:snapToGrid w:val="0"/>
              <w:spacing w:line="5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843" w:type="dxa"/>
            <w:tcBorders>
              <w:top w:val="single" w:color="auto" w:sz="4" w:space="0"/>
              <w:bottom w:val="single" w:color="auto" w:sz="4" w:space="0"/>
              <w:right w:val="single" w:color="auto" w:sz="4" w:space="0"/>
            </w:tcBorders>
            <w:noWrap w:val="0"/>
            <w:vAlign w:val="center"/>
          </w:tcPr>
          <w:p w14:paraId="336FCADE">
            <w:pPr>
              <w:snapToGrid w:val="0"/>
              <w:spacing w:line="50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2025年12月</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6542DA30">
            <w:pPr>
              <w:snapToGrid w:val="0"/>
              <w:spacing w:line="500" w:lineRule="exact"/>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400</w:t>
            </w:r>
          </w:p>
        </w:tc>
        <w:tc>
          <w:tcPr>
            <w:tcW w:w="1618" w:type="dxa"/>
            <w:tcBorders>
              <w:top w:val="single" w:color="auto" w:sz="4" w:space="0"/>
              <w:left w:val="single" w:color="auto" w:sz="4" w:space="0"/>
              <w:right w:val="single" w:color="auto" w:sz="4" w:space="0"/>
            </w:tcBorders>
            <w:noWrap w:val="0"/>
            <w:vAlign w:val="center"/>
          </w:tcPr>
          <w:p w14:paraId="103AA89D">
            <w:pPr>
              <w:snapToGrid w:val="0"/>
              <w:spacing w:line="500" w:lineRule="exact"/>
              <w:jc w:val="center"/>
              <w:rPr>
                <w:rFonts w:hint="eastAsia" w:ascii="宋体" w:hAnsi="宋体" w:eastAsia="宋体" w:cs="宋体"/>
                <w:color w:val="auto"/>
                <w:sz w:val="28"/>
                <w:szCs w:val="28"/>
              </w:rPr>
            </w:pPr>
          </w:p>
        </w:tc>
        <w:tc>
          <w:tcPr>
            <w:tcW w:w="2389" w:type="dxa"/>
            <w:tcBorders>
              <w:top w:val="single" w:color="auto" w:sz="4" w:space="0"/>
              <w:left w:val="single" w:color="auto" w:sz="4" w:space="0"/>
              <w:bottom w:val="single" w:color="auto" w:sz="4" w:space="0"/>
              <w:right w:val="single" w:color="auto" w:sz="4" w:space="0"/>
            </w:tcBorders>
            <w:noWrap w:val="0"/>
            <w:vAlign w:val="center"/>
          </w:tcPr>
          <w:p w14:paraId="637F1F9E">
            <w:pPr>
              <w:snapToGrid w:val="0"/>
              <w:spacing w:line="500" w:lineRule="exact"/>
              <w:jc w:val="center"/>
              <w:rPr>
                <w:rFonts w:hint="eastAsia" w:ascii="宋体" w:hAnsi="宋体" w:eastAsia="宋体" w:cs="宋体"/>
                <w:color w:val="auto"/>
                <w:sz w:val="28"/>
                <w:szCs w:val="28"/>
              </w:rPr>
            </w:pPr>
          </w:p>
        </w:tc>
      </w:tr>
    </w:tbl>
    <w:p w14:paraId="56FE5CD1">
      <w:pPr>
        <w:widowControl/>
        <w:spacing w:line="440" w:lineRule="exact"/>
        <w:ind w:firstLine="280" w:firstLineChars="1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（1）本表为格式表，不得自行改动，必须提供，否则视为未实质性响应。</w:t>
      </w:r>
    </w:p>
    <w:p w14:paraId="5BB09CCB">
      <w:pPr>
        <w:widowControl/>
        <w:spacing w:line="440" w:lineRule="exact"/>
        <w:ind w:firstLine="280" w:firstLineChars="100"/>
        <w:jc w:val="left"/>
        <w:rPr>
          <w:rFonts w:hint="eastAsia" w:ascii="宋体" w:hAnsi="宋体" w:eastAsia="宋体" w:cs="宋体"/>
          <w:b/>
          <w:bCs/>
          <w:color w:val="auto"/>
          <w:kern w:val="0"/>
          <w:sz w:val="28"/>
          <w:szCs w:val="28"/>
          <w:u w:val="single"/>
          <w:lang w:val="zh-CN"/>
        </w:rPr>
      </w:pPr>
      <w:r>
        <w:rPr>
          <w:rFonts w:hint="eastAsia" w:ascii="宋体" w:hAnsi="宋体" w:eastAsia="宋体" w:cs="宋体"/>
          <w:color w:val="auto"/>
          <w:kern w:val="0"/>
          <w:sz w:val="28"/>
          <w:szCs w:val="28"/>
        </w:rPr>
        <w:t>（2）</w:t>
      </w:r>
      <w:r>
        <w:rPr>
          <w:rFonts w:hint="eastAsia" w:ascii="宋体" w:hAnsi="宋体" w:eastAsia="宋体" w:cs="宋体"/>
          <w:b/>
          <w:bCs/>
          <w:color w:val="auto"/>
          <w:kern w:val="0"/>
          <w:sz w:val="28"/>
          <w:szCs w:val="28"/>
          <w:u w:val="single"/>
        </w:rPr>
        <w:t>说明：</w:t>
      </w:r>
      <w:r>
        <w:rPr>
          <w:rFonts w:hint="eastAsia" w:ascii="宋体" w:hAnsi="宋体" w:eastAsia="宋体" w:cs="宋体"/>
          <w:b/>
          <w:bCs/>
          <w:color w:val="auto"/>
          <w:kern w:val="0"/>
          <w:sz w:val="28"/>
          <w:szCs w:val="28"/>
          <w:u w:val="single"/>
          <w:lang w:val="zh-CN"/>
        </w:rPr>
        <w:t>本次采购总计约5</w:t>
      </w:r>
      <w:r>
        <w:rPr>
          <w:rFonts w:hint="eastAsia" w:ascii="宋体" w:hAnsi="宋体" w:cs="宋体"/>
          <w:b/>
          <w:bCs/>
          <w:color w:val="auto"/>
          <w:kern w:val="0"/>
          <w:sz w:val="28"/>
          <w:szCs w:val="28"/>
          <w:u w:val="single"/>
          <w:lang w:val="en-US" w:eastAsia="zh-CN"/>
        </w:rPr>
        <w:t>81</w:t>
      </w:r>
      <w:r>
        <w:rPr>
          <w:rFonts w:hint="eastAsia" w:ascii="宋体" w:hAnsi="宋体" w:eastAsia="宋体" w:cs="宋体"/>
          <w:b/>
          <w:bCs/>
          <w:color w:val="auto"/>
          <w:kern w:val="0"/>
          <w:sz w:val="28"/>
          <w:szCs w:val="28"/>
          <w:u w:val="single"/>
          <w:lang w:val="zh-CN"/>
        </w:rPr>
        <w:t>份。供应商的供应数量以</w:t>
      </w:r>
      <w:r>
        <w:rPr>
          <w:rFonts w:hint="eastAsia" w:ascii="宋体" w:hAnsi="宋体" w:cs="宋体"/>
          <w:b/>
          <w:bCs/>
          <w:color w:val="auto"/>
          <w:kern w:val="0"/>
          <w:sz w:val="28"/>
          <w:szCs w:val="28"/>
          <w:u w:val="single"/>
          <w:lang w:val="zh-CN"/>
        </w:rPr>
        <w:t>采购人</w:t>
      </w:r>
      <w:r>
        <w:rPr>
          <w:rFonts w:hint="eastAsia" w:ascii="宋体" w:hAnsi="宋体" w:eastAsia="宋体" w:cs="宋体"/>
          <w:b/>
          <w:bCs/>
          <w:color w:val="auto"/>
          <w:kern w:val="0"/>
          <w:sz w:val="28"/>
          <w:szCs w:val="28"/>
          <w:u w:val="single"/>
          <w:lang w:val="zh-CN"/>
        </w:rPr>
        <w:t>工会会员根据供应商的优惠金额、质量、服务自主选择的采购量为准，按实结算。</w:t>
      </w:r>
    </w:p>
    <w:p w14:paraId="657346CD">
      <w:pPr>
        <w:widowControl/>
        <w:spacing w:line="440" w:lineRule="exact"/>
        <w:ind w:firstLine="281" w:firstLineChars="100"/>
        <w:jc w:val="left"/>
        <w:rPr>
          <w:rFonts w:hint="eastAsia" w:ascii="宋体" w:hAnsi="宋体" w:eastAsia="宋体" w:cs="宋体"/>
          <w:b/>
          <w:bCs/>
          <w:color w:val="auto"/>
          <w:kern w:val="0"/>
          <w:sz w:val="28"/>
          <w:szCs w:val="28"/>
          <w:u w:val="single"/>
          <w:lang w:val="en-US" w:eastAsia="zh-CN"/>
        </w:rPr>
      </w:pPr>
      <w:r>
        <w:rPr>
          <w:rFonts w:hint="eastAsia" w:ascii="宋体" w:hAnsi="宋体" w:eastAsia="宋体" w:cs="宋体"/>
          <w:b/>
          <w:bCs/>
          <w:color w:val="auto"/>
          <w:kern w:val="0"/>
          <w:sz w:val="28"/>
          <w:szCs w:val="28"/>
          <w:u w:val="single"/>
          <w:lang w:val="zh-CN" w:eastAsia="zh-CN"/>
        </w:rPr>
        <w:t>（</w:t>
      </w:r>
      <w:r>
        <w:rPr>
          <w:rFonts w:hint="eastAsia" w:ascii="宋体" w:hAnsi="宋体" w:eastAsia="宋体" w:cs="宋体"/>
          <w:b/>
          <w:bCs/>
          <w:color w:val="auto"/>
          <w:kern w:val="0"/>
          <w:sz w:val="28"/>
          <w:szCs w:val="28"/>
          <w:u w:val="single"/>
          <w:lang w:val="en-US" w:eastAsia="zh-CN"/>
        </w:rPr>
        <w:t>3</w:t>
      </w:r>
      <w:r>
        <w:rPr>
          <w:rFonts w:hint="eastAsia" w:ascii="宋体" w:hAnsi="宋体" w:eastAsia="宋体" w:cs="宋体"/>
          <w:b/>
          <w:bCs/>
          <w:color w:val="auto"/>
          <w:kern w:val="0"/>
          <w:sz w:val="28"/>
          <w:szCs w:val="28"/>
          <w:u w:val="single"/>
          <w:lang w:val="zh-CN" w:eastAsia="zh-CN"/>
        </w:rPr>
        <w:t>）报价方式：供应商统一报一个上浮率</w:t>
      </w:r>
      <w:r>
        <w:rPr>
          <w:rFonts w:hint="eastAsia" w:ascii="宋体" w:hAnsi="宋体" w:eastAsia="宋体" w:cs="宋体"/>
          <w:b/>
          <w:bCs/>
          <w:color w:val="auto"/>
          <w:kern w:val="0"/>
          <w:sz w:val="28"/>
          <w:szCs w:val="28"/>
          <w:u w:val="single"/>
          <w:lang w:val="en-US" w:eastAsia="zh-CN"/>
        </w:rPr>
        <w:t>(%),提货券面值金额=提货券实付金额*（1+上浮率），上浮率约定为正数，负数的作无效标处理。</w:t>
      </w:r>
    </w:p>
    <w:p w14:paraId="3FE6DBF3">
      <w:pPr>
        <w:widowControl/>
        <w:spacing w:line="440" w:lineRule="exact"/>
        <w:ind w:firstLine="281" w:firstLineChars="100"/>
        <w:jc w:val="left"/>
        <w:rPr>
          <w:rFonts w:hint="eastAsia" w:ascii="宋体" w:hAnsi="宋体" w:eastAsia="宋体" w:cs="宋体"/>
          <w:b/>
          <w:bCs/>
          <w:color w:val="auto"/>
          <w:kern w:val="0"/>
          <w:sz w:val="28"/>
          <w:szCs w:val="28"/>
          <w:u w:val="single"/>
          <w:lang w:val="en-US" w:eastAsia="zh-CN"/>
        </w:rPr>
      </w:pPr>
      <w:r>
        <w:rPr>
          <w:rFonts w:hint="eastAsia" w:ascii="宋体" w:hAnsi="宋体" w:cs="宋体"/>
          <w:b/>
          <w:bCs/>
          <w:color w:val="auto"/>
          <w:kern w:val="0"/>
          <w:sz w:val="28"/>
          <w:szCs w:val="28"/>
          <w:u w:val="single"/>
          <w:lang w:val="zh-CN" w:eastAsia="zh-CN"/>
        </w:rPr>
        <w:t>（</w:t>
      </w:r>
      <w:r>
        <w:rPr>
          <w:rFonts w:hint="eastAsia" w:ascii="宋体" w:hAnsi="宋体" w:cs="宋体"/>
          <w:b/>
          <w:bCs/>
          <w:color w:val="auto"/>
          <w:kern w:val="0"/>
          <w:sz w:val="28"/>
          <w:szCs w:val="28"/>
          <w:u w:val="single"/>
          <w:lang w:val="en-US" w:eastAsia="zh-CN"/>
        </w:rPr>
        <w:t>4</w:t>
      </w:r>
      <w:r>
        <w:rPr>
          <w:rFonts w:hint="eastAsia" w:ascii="宋体" w:hAnsi="宋体" w:cs="宋体"/>
          <w:b/>
          <w:bCs/>
          <w:color w:val="auto"/>
          <w:kern w:val="0"/>
          <w:sz w:val="28"/>
          <w:szCs w:val="28"/>
          <w:u w:val="single"/>
          <w:lang w:val="zh-CN" w:eastAsia="zh-CN"/>
        </w:rPr>
        <w:t>）</w:t>
      </w:r>
      <w:r>
        <w:rPr>
          <w:rFonts w:hint="eastAsia" w:ascii="宋体" w:hAnsi="宋体" w:eastAsia="宋体" w:cs="宋体"/>
          <w:b/>
          <w:bCs/>
          <w:color w:val="auto"/>
          <w:kern w:val="0"/>
          <w:sz w:val="28"/>
          <w:szCs w:val="28"/>
          <w:u w:val="single"/>
          <w:lang w:val="zh-CN" w:eastAsia="zh-CN"/>
        </w:rPr>
        <w:t>提货券面值是指：按提货券实际结算金额对应的、供应商能够提供的按其门店零售价（有会员价的商品享受会员价）计算的商品的挂牌售价合计金额。</w:t>
      </w:r>
    </w:p>
    <w:p w14:paraId="2CAB06F2">
      <w:pPr>
        <w:widowControl/>
        <w:spacing w:line="440" w:lineRule="exact"/>
        <w:ind w:firstLine="281" w:firstLineChars="100"/>
        <w:jc w:val="left"/>
        <w:rPr>
          <w:rFonts w:hint="default" w:ascii="宋体" w:hAnsi="宋体" w:eastAsia="宋体" w:cs="宋体"/>
          <w:b/>
          <w:bCs/>
          <w:color w:val="auto"/>
          <w:kern w:val="0"/>
          <w:sz w:val="28"/>
          <w:szCs w:val="28"/>
          <w:u w:val="single"/>
          <w:lang w:val="en-US" w:eastAsia="zh-CN"/>
        </w:rPr>
      </w:pPr>
      <w:r>
        <w:rPr>
          <w:rFonts w:hint="eastAsia" w:ascii="宋体" w:hAnsi="宋体" w:cs="宋体"/>
          <w:b/>
          <w:bCs/>
          <w:color w:val="auto"/>
          <w:kern w:val="0"/>
          <w:sz w:val="28"/>
          <w:szCs w:val="28"/>
          <w:u w:val="single"/>
          <w:lang w:val="en-US" w:eastAsia="zh-CN"/>
        </w:rPr>
        <w:t>（5）</w:t>
      </w:r>
      <w:r>
        <w:rPr>
          <w:rFonts w:hint="eastAsia" w:ascii="宋体" w:hAnsi="宋体" w:eastAsia="宋体" w:cs="宋体"/>
          <w:b/>
          <w:bCs/>
          <w:color w:val="auto"/>
          <w:kern w:val="0"/>
          <w:sz w:val="28"/>
          <w:szCs w:val="28"/>
          <w:u w:val="single"/>
          <w:lang w:val="en-US" w:eastAsia="zh-CN"/>
        </w:rPr>
        <w:t>举例说明：如供应商报价上浮率为20%，则提货券面值为</w:t>
      </w:r>
      <w:r>
        <w:rPr>
          <w:rFonts w:hint="eastAsia" w:ascii="宋体" w:hAnsi="宋体" w:cs="宋体"/>
          <w:b/>
          <w:bCs/>
          <w:color w:val="auto"/>
          <w:kern w:val="0"/>
          <w:sz w:val="28"/>
          <w:szCs w:val="28"/>
          <w:u w:val="single"/>
          <w:lang w:val="en-US" w:eastAsia="zh-CN"/>
        </w:rPr>
        <w:t>4</w:t>
      </w:r>
      <w:r>
        <w:rPr>
          <w:rFonts w:hint="eastAsia" w:ascii="宋体" w:hAnsi="宋体" w:eastAsia="宋体" w:cs="宋体"/>
          <w:b/>
          <w:bCs/>
          <w:color w:val="auto"/>
          <w:kern w:val="0"/>
          <w:sz w:val="28"/>
          <w:szCs w:val="28"/>
          <w:u w:val="single"/>
          <w:lang w:val="en-US" w:eastAsia="zh-CN"/>
        </w:rPr>
        <w:t>00*（1+20%）=</w:t>
      </w:r>
      <w:r>
        <w:rPr>
          <w:rFonts w:hint="eastAsia" w:ascii="宋体" w:hAnsi="宋体" w:cs="宋体"/>
          <w:b/>
          <w:bCs/>
          <w:color w:val="auto"/>
          <w:kern w:val="0"/>
          <w:sz w:val="28"/>
          <w:szCs w:val="28"/>
          <w:u w:val="single"/>
          <w:lang w:val="en-US" w:eastAsia="zh-CN"/>
        </w:rPr>
        <w:t>48</w:t>
      </w:r>
      <w:r>
        <w:rPr>
          <w:rFonts w:hint="eastAsia" w:ascii="宋体" w:hAnsi="宋体" w:eastAsia="宋体" w:cs="宋体"/>
          <w:b/>
          <w:bCs/>
          <w:color w:val="auto"/>
          <w:kern w:val="0"/>
          <w:sz w:val="28"/>
          <w:szCs w:val="28"/>
          <w:u w:val="single"/>
          <w:lang w:val="en-US" w:eastAsia="zh-CN"/>
        </w:rPr>
        <w:t>0元。</w:t>
      </w:r>
    </w:p>
    <w:p w14:paraId="0E82CA32">
      <w:pPr>
        <w:spacing w:line="460" w:lineRule="exact"/>
        <w:ind w:firstLine="719" w:firstLineChars="257"/>
        <w:rPr>
          <w:rFonts w:hint="eastAsia" w:ascii="宋体" w:hAnsi="宋体" w:eastAsia="宋体" w:cs="宋体"/>
          <w:color w:val="000000"/>
          <w:sz w:val="28"/>
          <w:szCs w:val="28"/>
          <w:lang w:eastAsia="zh-CN"/>
        </w:rPr>
      </w:pPr>
    </w:p>
    <w:p w14:paraId="3410F3F6">
      <w:pPr>
        <w:spacing w:line="460" w:lineRule="exact"/>
        <w:ind w:firstLine="719" w:firstLineChars="257"/>
        <w:rPr>
          <w:rFonts w:hint="eastAsia" w:ascii="宋体" w:hAnsi="宋体" w:cs="宋体"/>
          <w:color w:val="000000"/>
          <w:sz w:val="28"/>
          <w:szCs w:val="28"/>
        </w:rPr>
      </w:pPr>
    </w:p>
    <w:p w14:paraId="4C7D0355">
      <w:pPr>
        <w:snapToGrid w:val="0"/>
        <w:spacing w:line="460" w:lineRule="exact"/>
        <w:ind w:firstLine="560" w:firstLineChars="200"/>
        <w:rPr>
          <w:rFonts w:ascii="宋体" w:hAnsi="宋体" w:cs="宋体"/>
          <w:color w:val="000000"/>
          <w:sz w:val="28"/>
          <w:szCs w:val="28"/>
        </w:rPr>
      </w:pPr>
    </w:p>
    <w:p w14:paraId="6D2F77FD">
      <w:pPr>
        <w:snapToGrid w:val="0"/>
        <w:spacing w:line="460" w:lineRule="exact"/>
        <w:ind w:firstLine="560" w:firstLineChars="200"/>
        <w:jc w:val="right"/>
        <w:rPr>
          <w:rFonts w:ascii="宋体" w:hAnsi="宋体" w:cs="宋体"/>
          <w:sz w:val="28"/>
          <w:szCs w:val="28"/>
        </w:rPr>
      </w:pPr>
    </w:p>
    <w:p w14:paraId="48CF0637">
      <w:pPr>
        <w:snapToGrid w:val="0"/>
        <w:spacing w:line="460" w:lineRule="exact"/>
        <w:ind w:firstLine="560" w:firstLineChars="200"/>
        <w:jc w:val="right"/>
        <w:rPr>
          <w:rFonts w:ascii="宋体" w:hAnsi="宋体" w:cs="宋体"/>
          <w:sz w:val="28"/>
          <w:szCs w:val="28"/>
        </w:rPr>
      </w:pPr>
      <w:r>
        <w:rPr>
          <w:rFonts w:hint="eastAsia" w:ascii="宋体" w:hAnsi="宋体" w:cs="宋体"/>
          <w:sz w:val="28"/>
          <w:szCs w:val="28"/>
        </w:rPr>
        <w:t>供应商名称（盖章）：</w:t>
      </w:r>
    </w:p>
    <w:p w14:paraId="74505336">
      <w:pPr>
        <w:snapToGrid w:val="0"/>
        <w:spacing w:line="460" w:lineRule="exact"/>
        <w:ind w:firstLine="560" w:firstLineChars="200"/>
        <w:jc w:val="right"/>
        <w:rPr>
          <w:rFonts w:ascii="宋体" w:hAnsi="宋体" w:cs="宋体"/>
          <w:sz w:val="28"/>
          <w:szCs w:val="28"/>
        </w:rPr>
      </w:pPr>
      <w:r>
        <w:rPr>
          <w:rFonts w:hint="eastAsia" w:ascii="宋体" w:hAnsi="宋体" w:cs="宋体"/>
          <w:sz w:val="28"/>
          <w:szCs w:val="28"/>
        </w:rPr>
        <w:t>法人或授权委托人（签字或盖章）：</w:t>
      </w:r>
    </w:p>
    <w:p w14:paraId="3C0C223E">
      <w:pPr>
        <w:snapToGrid w:val="0"/>
        <w:spacing w:line="460" w:lineRule="exact"/>
        <w:ind w:firstLine="560" w:firstLineChars="200"/>
        <w:jc w:val="center"/>
        <w:rPr>
          <w:rFonts w:ascii="宋体" w:hAnsi="宋体" w:cs="宋体"/>
          <w:sz w:val="32"/>
          <w:szCs w:val="32"/>
        </w:rPr>
      </w:pPr>
      <w:r>
        <w:rPr>
          <w:rFonts w:hint="eastAsia" w:ascii="宋体" w:hAnsi="宋体" w:cs="宋体"/>
          <w:sz w:val="28"/>
          <w:szCs w:val="28"/>
        </w:rPr>
        <w:t xml:space="preserve">                          日期</w:t>
      </w:r>
      <w:bookmarkStart w:id="85" w:name="_Toc425960678"/>
      <w:bookmarkStart w:id="86" w:name="_Toc312608863"/>
      <w:bookmarkStart w:id="87" w:name="_Toc420058378"/>
      <w:r>
        <w:rPr>
          <w:rFonts w:hint="eastAsia" w:ascii="宋体" w:hAnsi="宋体" w:cs="宋体"/>
          <w:sz w:val="28"/>
          <w:szCs w:val="28"/>
          <w:lang w:eastAsia="zh-CN"/>
        </w:rPr>
        <w:t>：</w:t>
      </w:r>
      <w:bookmarkEnd w:id="85"/>
      <w:bookmarkEnd w:id="86"/>
      <w:bookmarkEnd w:id="87"/>
    </w:p>
    <w:p w14:paraId="55BAB105">
      <w:pPr>
        <w:snapToGrid w:val="0"/>
        <w:spacing w:line="360" w:lineRule="auto"/>
        <w:jc w:val="left"/>
        <w:rPr>
          <w:rFonts w:hint="eastAsia" w:ascii="宋体" w:hAnsi="宋体" w:eastAsia="宋体" w:cs="宋体"/>
          <w:color w:val="auto"/>
          <w:kern w:val="0"/>
          <w:sz w:val="32"/>
          <w:szCs w:val="32"/>
          <w:lang w:eastAsia="zh-CN"/>
        </w:rPr>
      </w:pPr>
      <w:r>
        <w:rPr>
          <w:rFonts w:hint="eastAsia" w:ascii="宋体" w:hAnsi="宋体" w:cs="宋体"/>
          <w:color w:val="auto"/>
          <w:kern w:val="0"/>
          <w:sz w:val="32"/>
          <w:szCs w:val="32"/>
        </w:rPr>
        <w:t>附件</w:t>
      </w:r>
      <w:r>
        <w:rPr>
          <w:rFonts w:hint="eastAsia" w:ascii="宋体" w:hAnsi="宋体" w:cs="宋体"/>
          <w:color w:val="auto"/>
          <w:kern w:val="0"/>
          <w:sz w:val="32"/>
          <w:szCs w:val="32"/>
          <w:lang w:val="en-US" w:eastAsia="zh-CN"/>
        </w:rPr>
        <w:t>7</w:t>
      </w:r>
    </w:p>
    <w:p w14:paraId="25BEEE14">
      <w:pPr>
        <w:spacing w:before="240" w:line="360" w:lineRule="auto"/>
        <w:jc w:val="center"/>
        <w:rPr>
          <w:rFonts w:ascii="宋体" w:hAnsi="宋体" w:cs="宋体"/>
          <w:b/>
          <w:color w:val="auto"/>
          <w:sz w:val="32"/>
          <w:szCs w:val="32"/>
        </w:rPr>
      </w:pPr>
      <w:r>
        <w:rPr>
          <w:rFonts w:hint="eastAsia" w:ascii="宋体" w:hAnsi="宋体" w:cs="宋体"/>
          <w:b/>
          <w:color w:val="auto"/>
          <w:sz w:val="32"/>
          <w:szCs w:val="32"/>
        </w:rPr>
        <w:t>供应商信用承诺书</w:t>
      </w:r>
    </w:p>
    <w:p w14:paraId="3BE8D1A9">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为营造公开、公平、公正的公共资源交易环境，树立诚信守法的供应商形象，本人代表本单位作出以下承诺：</w:t>
      </w:r>
    </w:p>
    <w:p w14:paraId="67D98ED1">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一、本单位对所提交的单位基本信息、单位负责人、项目负责人、技术负责人、从业资质和资格、业绩、财务状况、信誉等所有资料，均合法、真实、准确、有效，无任何伪造、修改、虚假成分；</w:t>
      </w:r>
    </w:p>
    <w:p w14:paraId="6523E4E6">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二、严格依照国家和省、市、县关于政府采购等方面的法律、法规、规章、规范性文件，参加</w:t>
      </w:r>
      <w:r>
        <w:rPr>
          <w:rFonts w:hint="eastAsia" w:ascii="宋体" w:hAnsi="宋体" w:cs="宋体"/>
          <w:color w:val="auto"/>
          <w:kern w:val="0"/>
          <w:sz w:val="24"/>
        </w:rPr>
        <w:t>采购人组织的</w:t>
      </w:r>
      <w:r>
        <w:rPr>
          <w:rFonts w:hint="eastAsia" w:ascii="宋体" w:hAnsi="宋体" w:cs="宋体"/>
          <w:color w:val="auto"/>
          <w:kern w:val="0"/>
          <w:sz w:val="24"/>
          <w:lang w:val="zh-CN"/>
        </w:rPr>
        <w:t>招标投标活动；积极履行社会责任，促进廉政建设；</w:t>
      </w:r>
    </w:p>
    <w:p w14:paraId="75B0914C">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三、严格遵守即时信息公示规定，及时更新公共资源交易中心主体信息库中信息；</w:t>
      </w:r>
    </w:p>
    <w:p w14:paraId="35924717">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四、自我约束、自我管理，守合同、重信用，不参与围标串标、弄虚作假、骗取成交、干扰评标、违约毁约、恶意投诉等行为，主动维护公共资源交易招标投标的良好秩序；</w:t>
      </w:r>
    </w:p>
    <w:p w14:paraId="0F87BC6C">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37907E9B">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六、自觉接受政府部门、行业组织、社会公众、新闻舆论等监督；</w:t>
      </w:r>
    </w:p>
    <w:p w14:paraId="1F73A6C8">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七、上述承诺已向本单位员工作了宣传教育；</w:t>
      </w:r>
    </w:p>
    <w:p w14:paraId="44FBE63A">
      <w:pPr>
        <w:tabs>
          <w:tab w:val="left" w:pos="4860"/>
        </w:tabs>
        <w:spacing w:line="360" w:lineRule="auto"/>
        <w:ind w:right="1560"/>
        <w:jc w:val="left"/>
        <w:rPr>
          <w:rFonts w:ascii="宋体" w:hAnsi="宋体" w:cs="宋体"/>
          <w:b/>
          <w:color w:val="auto"/>
          <w:kern w:val="0"/>
          <w:sz w:val="24"/>
          <w:lang w:val="zh-CN"/>
        </w:rPr>
      </w:pPr>
      <w:r>
        <w:rPr>
          <w:rFonts w:hint="eastAsia" w:ascii="宋体" w:hAnsi="宋体" w:cs="宋体"/>
          <w:b/>
          <w:color w:val="auto"/>
          <w:kern w:val="0"/>
          <w:sz w:val="24"/>
          <w:lang w:val="zh-CN"/>
        </w:rPr>
        <w:t>如有违反上述承诺的不良行为，本单位同意将其予以上网公示。</w:t>
      </w:r>
    </w:p>
    <w:p w14:paraId="77C97685">
      <w:pPr>
        <w:spacing w:line="360" w:lineRule="auto"/>
        <w:ind w:firstLine="3080" w:firstLineChars="1100"/>
        <w:rPr>
          <w:rFonts w:ascii="宋体" w:hAnsi="宋体" w:cs="宋体"/>
          <w:color w:val="auto"/>
          <w:sz w:val="28"/>
          <w:szCs w:val="28"/>
        </w:rPr>
      </w:pPr>
      <w:r>
        <w:rPr>
          <w:rFonts w:hint="eastAsia" w:ascii="宋体" w:hAnsi="宋体" w:cs="宋体"/>
          <w:color w:val="auto"/>
          <w:sz w:val="28"/>
          <w:szCs w:val="28"/>
        </w:rPr>
        <w:t xml:space="preserve">  </w:t>
      </w:r>
    </w:p>
    <w:p w14:paraId="749E1842">
      <w:pPr>
        <w:spacing w:line="360" w:lineRule="auto"/>
        <w:ind w:firstLine="3080" w:firstLineChars="1100"/>
        <w:rPr>
          <w:rFonts w:ascii="宋体" w:hAnsi="宋体" w:cs="宋体"/>
          <w:color w:val="auto"/>
          <w:kern w:val="0"/>
          <w:sz w:val="28"/>
          <w:szCs w:val="28"/>
          <w:u w:val="single"/>
          <w:lang w:val="zh-CN"/>
        </w:rPr>
      </w:pPr>
      <w:r>
        <w:rPr>
          <w:rFonts w:hint="eastAsia" w:ascii="宋体" w:hAnsi="宋体" w:cs="宋体"/>
          <w:color w:val="auto"/>
          <w:kern w:val="0"/>
          <w:sz w:val="28"/>
          <w:szCs w:val="28"/>
          <w:lang w:val="zh-CN"/>
        </w:rPr>
        <w:t>投标供应商全称(盖公章)：</w:t>
      </w:r>
    </w:p>
    <w:p w14:paraId="1DD59489">
      <w:pPr>
        <w:spacing w:line="360" w:lineRule="auto"/>
        <w:ind w:firstLine="3080" w:firstLineChars="1100"/>
        <w:rPr>
          <w:rFonts w:ascii="宋体" w:hAnsi="宋体" w:cs="宋体"/>
          <w:color w:val="auto"/>
          <w:sz w:val="28"/>
          <w:szCs w:val="28"/>
          <w:u w:val="single"/>
          <w:lang w:val="zh-CN"/>
        </w:rPr>
      </w:pPr>
      <w:r>
        <w:rPr>
          <w:rFonts w:hint="eastAsia" w:ascii="宋体" w:hAnsi="宋体" w:cs="宋体"/>
          <w:color w:val="auto"/>
          <w:kern w:val="0"/>
          <w:sz w:val="28"/>
          <w:szCs w:val="28"/>
          <w:lang w:val="zh-CN"/>
        </w:rPr>
        <w:t>法定代表人（签字或盖章）：</w:t>
      </w:r>
    </w:p>
    <w:p w14:paraId="3C16B4A7">
      <w:pPr>
        <w:spacing w:line="360" w:lineRule="auto"/>
        <w:ind w:firstLine="3080" w:firstLineChars="1100"/>
        <w:rPr>
          <w:rFonts w:ascii="宋体" w:hAnsi="宋体" w:cs="宋体"/>
          <w:color w:val="auto"/>
          <w:kern w:val="0"/>
          <w:sz w:val="28"/>
          <w:szCs w:val="28"/>
          <w:lang w:val="zh-CN"/>
        </w:rPr>
      </w:pPr>
      <w:r>
        <w:rPr>
          <w:rFonts w:hint="eastAsia" w:ascii="宋体" w:hAnsi="宋体" w:cs="宋体"/>
          <w:color w:val="auto"/>
          <w:kern w:val="0"/>
          <w:sz w:val="28"/>
          <w:szCs w:val="28"/>
          <w:lang w:val="zh-CN"/>
        </w:rPr>
        <w:t>时间：  年  月   日</w:t>
      </w:r>
    </w:p>
    <w:p w14:paraId="60EEA04C">
      <w:pPr>
        <w:spacing w:line="360" w:lineRule="auto"/>
        <w:rPr>
          <w:rFonts w:ascii="宋体" w:hAnsi="宋体" w:cs="宋体"/>
          <w:color w:val="auto"/>
        </w:rPr>
      </w:pPr>
    </w:p>
    <w:p w14:paraId="33CB008D">
      <w:pPr>
        <w:spacing w:line="360" w:lineRule="auto"/>
        <w:rPr>
          <w:rFonts w:ascii="宋体" w:hAnsi="宋体" w:cs="宋体"/>
          <w:color w:val="auto"/>
        </w:rPr>
      </w:pPr>
    </w:p>
    <w:p w14:paraId="4844F514">
      <w:pPr>
        <w:snapToGrid w:val="0"/>
        <w:spacing w:line="360" w:lineRule="auto"/>
        <w:rPr>
          <w:rFonts w:hint="default" w:ascii="宋体" w:hAnsi="宋体" w:eastAsia="宋体" w:cs="宋体"/>
          <w:color w:val="auto"/>
          <w:sz w:val="32"/>
          <w:szCs w:val="32"/>
          <w:lang w:val="en-US" w:eastAsia="zh-CN"/>
        </w:rPr>
      </w:pPr>
      <w:r>
        <w:rPr>
          <w:rFonts w:hint="eastAsia" w:ascii="宋体" w:hAnsi="宋体" w:cs="宋体"/>
          <w:color w:val="auto"/>
          <w:sz w:val="32"/>
          <w:szCs w:val="32"/>
        </w:rPr>
        <w:br w:type="page"/>
      </w:r>
      <w:r>
        <w:rPr>
          <w:rFonts w:hint="eastAsia" w:ascii="宋体" w:hAnsi="宋体" w:cs="宋体"/>
          <w:color w:val="auto"/>
          <w:sz w:val="32"/>
          <w:szCs w:val="32"/>
        </w:rPr>
        <w:t>附件</w:t>
      </w:r>
      <w:r>
        <w:rPr>
          <w:rFonts w:hint="eastAsia" w:ascii="宋体" w:hAnsi="宋体" w:cs="宋体"/>
          <w:color w:val="auto"/>
          <w:sz w:val="32"/>
          <w:szCs w:val="32"/>
          <w:lang w:val="en-US" w:eastAsia="zh-CN"/>
        </w:rPr>
        <w:t>10</w:t>
      </w:r>
    </w:p>
    <w:p w14:paraId="55E2428C">
      <w:pPr>
        <w:spacing w:line="360" w:lineRule="auto"/>
        <w:jc w:val="center"/>
        <w:rPr>
          <w:rFonts w:ascii="宋体" w:hAnsi="宋体" w:cs="宋体"/>
          <w:bCs/>
          <w:color w:val="auto"/>
          <w:sz w:val="40"/>
          <w:szCs w:val="40"/>
        </w:rPr>
      </w:pPr>
      <w:r>
        <w:rPr>
          <w:rFonts w:hint="eastAsia" w:ascii="宋体" w:hAnsi="宋体" w:cs="宋体"/>
          <w:bCs/>
          <w:color w:val="auto"/>
          <w:sz w:val="40"/>
          <w:szCs w:val="40"/>
        </w:rPr>
        <w:t>质疑函范本</w:t>
      </w:r>
    </w:p>
    <w:p w14:paraId="2B155624">
      <w:pPr>
        <w:adjustRightInd w:val="0"/>
        <w:snapToGrid w:val="0"/>
        <w:spacing w:beforeLines="100" w:line="360" w:lineRule="auto"/>
        <w:rPr>
          <w:rFonts w:ascii="宋体" w:hAnsi="宋体" w:cs="宋体"/>
          <w:bCs/>
          <w:color w:val="auto"/>
          <w:sz w:val="28"/>
          <w:szCs w:val="28"/>
        </w:rPr>
      </w:pPr>
      <w:r>
        <w:rPr>
          <w:rFonts w:hint="eastAsia" w:ascii="宋体" w:hAnsi="宋体" w:cs="宋体"/>
          <w:bCs/>
          <w:color w:val="auto"/>
          <w:sz w:val="28"/>
          <w:szCs w:val="28"/>
        </w:rPr>
        <w:t>一、质疑供应商基本信息</w:t>
      </w:r>
    </w:p>
    <w:p w14:paraId="196E40DA">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质疑供应商：</w:t>
      </w:r>
    </w:p>
    <w:p w14:paraId="534741F5">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地址：邮编：</w:t>
      </w:r>
    </w:p>
    <w:p w14:paraId="61FCC818">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联系人：联系电话：</w:t>
      </w:r>
    </w:p>
    <w:p w14:paraId="072D9737">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授权代表：</w:t>
      </w:r>
    </w:p>
    <w:p w14:paraId="5E7EC2BF">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联系电话：</w:t>
      </w:r>
    </w:p>
    <w:p w14:paraId="6CE87BF4">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地址：邮编：</w:t>
      </w:r>
    </w:p>
    <w:p w14:paraId="0A084D82">
      <w:pPr>
        <w:adjustRightInd w:val="0"/>
        <w:snapToGrid w:val="0"/>
        <w:spacing w:line="360" w:lineRule="auto"/>
        <w:rPr>
          <w:rFonts w:ascii="宋体" w:hAnsi="宋体" w:cs="宋体"/>
          <w:bCs/>
          <w:color w:val="auto"/>
          <w:sz w:val="28"/>
          <w:szCs w:val="28"/>
        </w:rPr>
      </w:pPr>
      <w:r>
        <w:rPr>
          <w:rFonts w:hint="eastAsia" w:ascii="宋体" w:hAnsi="宋体" w:cs="宋体"/>
          <w:bCs/>
          <w:color w:val="auto"/>
          <w:sz w:val="28"/>
          <w:szCs w:val="28"/>
        </w:rPr>
        <w:t>二、质疑项目基本情况</w:t>
      </w:r>
    </w:p>
    <w:p w14:paraId="54EF9747">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质疑项目的名称：</w:t>
      </w:r>
    </w:p>
    <w:p w14:paraId="2F44AF23">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质疑项目的编号：包号：</w:t>
      </w:r>
    </w:p>
    <w:p w14:paraId="49D1F3E9">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采购人名称：</w:t>
      </w:r>
    </w:p>
    <w:p w14:paraId="47CB1FBB">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采购文件获取日期：</w:t>
      </w:r>
    </w:p>
    <w:p w14:paraId="2870D010">
      <w:pPr>
        <w:adjustRightInd w:val="0"/>
        <w:snapToGrid w:val="0"/>
        <w:spacing w:line="360" w:lineRule="auto"/>
        <w:rPr>
          <w:rFonts w:ascii="宋体" w:hAnsi="宋体" w:cs="宋体"/>
          <w:bCs/>
          <w:color w:val="auto"/>
          <w:sz w:val="28"/>
          <w:szCs w:val="28"/>
        </w:rPr>
      </w:pPr>
      <w:r>
        <w:rPr>
          <w:rFonts w:hint="eastAsia" w:ascii="宋体" w:hAnsi="宋体" w:cs="宋体"/>
          <w:bCs/>
          <w:color w:val="auto"/>
          <w:sz w:val="28"/>
          <w:szCs w:val="28"/>
        </w:rPr>
        <w:t>三、质疑事项具体内容</w:t>
      </w:r>
    </w:p>
    <w:p w14:paraId="51005471">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质疑事项1：</w:t>
      </w:r>
    </w:p>
    <w:p w14:paraId="7BC0DA3B">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事实依据：</w:t>
      </w:r>
    </w:p>
    <w:p w14:paraId="5A476D06">
      <w:pPr>
        <w:adjustRightInd w:val="0"/>
        <w:snapToGrid w:val="0"/>
        <w:spacing w:line="360" w:lineRule="auto"/>
        <w:rPr>
          <w:rFonts w:ascii="宋体" w:hAnsi="宋体" w:cs="宋体"/>
          <w:color w:val="auto"/>
          <w:sz w:val="28"/>
          <w:szCs w:val="28"/>
        </w:rPr>
      </w:pPr>
    </w:p>
    <w:p w14:paraId="7A1F7EC1">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法律依据：</w:t>
      </w:r>
    </w:p>
    <w:p w14:paraId="65A93AB4">
      <w:pPr>
        <w:adjustRightInd w:val="0"/>
        <w:snapToGrid w:val="0"/>
        <w:spacing w:line="360" w:lineRule="auto"/>
        <w:rPr>
          <w:rFonts w:ascii="宋体" w:hAnsi="宋体" w:cs="宋体"/>
          <w:color w:val="auto"/>
          <w:sz w:val="28"/>
          <w:szCs w:val="28"/>
          <w:u w:val="dotted"/>
        </w:rPr>
      </w:pPr>
    </w:p>
    <w:p w14:paraId="0CC0F2EE">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质疑事项2</w:t>
      </w:r>
    </w:p>
    <w:p w14:paraId="26539C8E">
      <w:pPr>
        <w:adjustRightInd w:val="0"/>
        <w:snapToGrid w:val="0"/>
        <w:spacing w:line="360" w:lineRule="auto"/>
        <w:rPr>
          <w:rFonts w:ascii="宋体" w:hAnsi="宋体" w:cs="宋体"/>
          <w:color w:val="auto"/>
          <w:sz w:val="28"/>
          <w:szCs w:val="28"/>
        </w:rPr>
      </w:pPr>
      <w:r>
        <w:rPr>
          <w:rFonts w:hint="eastAsia" w:ascii="宋体" w:hAnsi="宋体" w:cs="宋体"/>
          <w:color w:val="auto"/>
          <w:sz w:val="28"/>
          <w:szCs w:val="28"/>
        </w:rPr>
        <w:t>……</w:t>
      </w:r>
    </w:p>
    <w:p w14:paraId="72118FE5">
      <w:pPr>
        <w:adjustRightInd w:val="0"/>
        <w:snapToGrid w:val="0"/>
        <w:spacing w:line="360" w:lineRule="auto"/>
        <w:rPr>
          <w:rFonts w:ascii="宋体" w:hAnsi="宋体" w:cs="宋体"/>
          <w:bCs/>
          <w:color w:val="auto"/>
          <w:sz w:val="28"/>
          <w:szCs w:val="28"/>
        </w:rPr>
      </w:pPr>
      <w:r>
        <w:rPr>
          <w:rFonts w:hint="eastAsia" w:ascii="宋体" w:hAnsi="宋体" w:cs="宋体"/>
          <w:bCs/>
          <w:color w:val="auto"/>
          <w:sz w:val="28"/>
          <w:szCs w:val="28"/>
        </w:rPr>
        <w:t>四、与质疑事项相关的质疑请求</w:t>
      </w:r>
    </w:p>
    <w:p w14:paraId="19582AB6">
      <w:pPr>
        <w:adjustRightInd w:val="0"/>
        <w:snapToGrid w:val="0"/>
        <w:spacing w:line="360" w:lineRule="auto"/>
        <w:rPr>
          <w:rFonts w:ascii="宋体" w:hAnsi="宋体" w:cs="宋体"/>
          <w:color w:val="auto"/>
          <w:sz w:val="28"/>
          <w:szCs w:val="28"/>
          <w:u w:val="dotted"/>
        </w:rPr>
      </w:pPr>
      <w:r>
        <w:rPr>
          <w:rFonts w:hint="eastAsia" w:ascii="宋体" w:hAnsi="宋体" w:cs="宋体"/>
          <w:color w:val="auto"/>
          <w:sz w:val="28"/>
          <w:szCs w:val="28"/>
        </w:rPr>
        <w:t>请求：</w:t>
      </w:r>
    </w:p>
    <w:p w14:paraId="102BE134">
      <w:pPr>
        <w:spacing w:line="360" w:lineRule="auto"/>
        <w:rPr>
          <w:rFonts w:ascii="宋体" w:hAnsi="宋体" w:cs="宋体"/>
          <w:color w:val="auto"/>
          <w:sz w:val="28"/>
          <w:szCs w:val="28"/>
        </w:rPr>
      </w:pPr>
      <w:r>
        <w:rPr>
          <w:rFonts w:hint="eastAsia" w:ascii="宋体" w:hAnsi="宋体" w:cs="宋体"/>
          <w:color w:val="auto"/>
          <w:sz w:val="28"/>
          <w:szCs w:val="28"/>
        </w:rPr>
        <w:t xml:space="preserve">签字(签章)：                   公章：                      </w:t>
      </w:r>
    </w:p>
    <w:p w14:paraId="7FD3CFAF">
      <w:pPr>
        <w:spacing w:line="360" w:lineRule="auto"/>
        <w:rPr>
          <w:rFonts w:ascii="宋体" w:hAnsi="宋体" w:cs="宋体"/>
          <w:color w:val="auto"/>
          <w:sz w:val="28"/>
          <w:szCs w:val="28"/>
        </w:rPr>
      </w:pPr>
      <w:r>
        <w:rPr>
          <w:rFonts w:hint="eastAsia" w:ascii="宋体" w:hAnsi="宋体" w:cs="宋体"/>
          <w:color w:val="auto"/>
          <w:sz w:val="28"/>
          <w:szCs w:val="28"/>
        </w:rPr>
        <w:t xml:space="preserve">日期：    </w:t>
      </w:r>
    </w:p>
    <w:p w14:paraId="01C0EDB9">
      <w:pPr>
        <w:adjustRightInd w:val="0"/>
        <w:snapToGrid w:val="0"/>
        <w:spacing w:line="360" w:lineRule="auto"/>
        <w:rPr>
          <w:rFonts w:ascii="宋体" w:hAnsi="宋体" w:cs="宋体"/>
          <w:color w:val="auto"/>
          <w:sz w:val="28"/>
          <w:szCs w:val="28"/>
        </w:rPr>
      </w:pPr>
    </w:p>
    <w:p w14:paraId="0EFB8FE9">
      <w:pPr>
        <w:spacing w:line="360" w:lineRule="auto"/>
        <w:rPr>
          <w:rFonts w:ascii="宋体" w:hAnsi="宋体" w:cs="宋体"/>
          <w:b/>
          <w:color w:val="auto"/>
          <w:sz w:val="28"/>
          <w:szCs w:val="28"/>
        </w:rPr>
      </w:pPr>
    </w:p>
    <w:p w14:paraId="4B29D9D6">
      <w:pPr>
        <w:spacing w:line="360" w:lineRule="auto"/>
        <w:rPr>
          <w:rFonts w:ascii="宋体" w:hAnsi="宋体" w:cs="宋体"/>
          <w:b/>
          <w:color w:val="auto"/>
          <w:sz w:val="28"/>
          <w:szCs w:val="28"/>
        </w:rPr>
      </w:pPr>
    </w:p>
    <w:p w14:paraId="00ACCE40">
      <w:pPr>
        <w:spacing w:line="360" w:lineRule="auto"/>
        <w:rPr>
          <w:rFonts w:ascii="宋体" w:hAnsi="宋体" w:cs="宋体"/>
          <w:b/>
          <w:color w:val="auto"/>
          <w:sz w:val="28"/>
          <w:szCs w:val="28"/>
        </w:rPr>
      </w:pPr>
      <w:r>
        <w:rPr>
          <w:rFonts w:hint="eastAsia" w:ascii="宋体" w:hAnsi="宋体" w:cs="宋体"/>
          <w:b/>
          <w:color w:val="auto"/>
          <w:sz w:val="28"/>
          <w:szCs w:val="28"/>
        </w:rPr>
        <w:t>质疑函制作说明：</w:t>
      </w:r>
    </w:p>
    <w:p w14:paraId="1C388942">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1.供应商提出质疑时，应提交质疑函和必要的证明材料。</w:t>
      </w:r>
    </w:p>
    <w:p w14:paraId="1B5F05FE">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2.质疑供应商若委托代理人进行质疑的，质疑函应按要求列明“授权代表”的有关内容，并在附件中提交由质疑</w:t>
      </w:r>
      <w:r>
        <w:rPr>
          <w:rFonts w:hint="eastAsia" w:ascii="宋体" w:hAnsi="宋体" w:cs="宋体"/>
          <w:color w:val="auto"/>
          <w:kern w:val="0"/>
          <w:sz w:val="28"/>
          <w:szCs w:val="28"/>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3.质疑供应商若对项目的某一分包进行质疑，质疑函中应列明具体分包号。</w:t>
      </w:r>
    </w:p>
    <w:p w14:paraId="110779D0">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4.质疑函的质疑事项应具体、明确，并有必要的事实依据和法律依据。</w:t>
      </w:r>
    </w:p>
    <w:p w14:paraId="3D96F45D">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5.质疑函的质疑请求应与质疑事项相关。</w:t>
      </w:r>
    </w:p>
    <w:p w14:paraId="6B0F990F">
      <w:pPr>
        <w:widowControl/>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ascii="宋体" w:hAnsi="宋体" w:cs="宋体"/>
          <w:color w:val="auto"/>
          <w:sz w:val="28"/>
          <w:szCs w:val="28"/>
        </w:rPr>
      </w:pPr>
    </w:p>
    <w:sectPr>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6FEDE82-44FB-4274-8AE0-B06D9CF6855A}"/>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19"/>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5"/>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0"/>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2"/>
      <w:lvlText w:val=""/>
      <w:lvlJc w:val="left"/>
      <w:pPr>
        <w:tabs>
          <w:tab w:val="left" w:pos="780"/>
        </w:tabs>
        <w:ind w:left="780" w:hanging="360"/>
      </w:pPr>
      <w:rPr>
        <w:rFonts w:ascii="Wingdings" w:hAnsi="Wingdings"/>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0"/>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4">
    <w:nsid w:val="56898123"/>
    <w:multiLevelType w:val="singleLevel"/>
    <w:tmpl w:val="56898123"/>
    <w:lvl w:ilvl="0" w:tentative="0">
      <w:start w:val="1"/>
      <w:numFmt w:val="decimal"/>
      <w:pStyle w:val="22"/>
      <w:lvlText w:val="%1."/>
      <w:lvlJc w:val="left"/>
      <w:pPr>
        <w:tabs>
          <w:tab w:val="left" w:pos="2040"/>
        </w:tabs>
        <w:ind w:left="204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1C496A"/>
    <w:rsid w:val="02861C5D"/>
    <w:rsid w:val="02864E82"/>
    <w:rsid w:val="028E5BF7"/>
    <w:rsid w:val="029175FA"/>
    <w:rsid w:val="02A46519"/>
    <w:rsid w:val="02C34EEE"/>
    <w:rsid w:val="02F30FA1"/>
    <w:rsid w:val="030663D5"/>
    <w:rsid w:val="0319135E"/>
    <w:rsid w:val="031D75DC"/>
    <w:rsid w:val="034F46D6"/>
    <w:rsid w:val="03784CB1"/>
    <w:rsid w:val="04051239"/>
    <w:rsid w:val="04736AA8"/>
    <w:rsid w:val="04847235"/>
    <w:rsid w:val="04CC6B4B"/>
    <w:rsid w:val="053E2C54"/>
    <w:rsid w:val="0654321E"/>
    <w:rsid w:val="068C1FDE"/>
    <w:rsid w:val="06B0131B"/>
    <w:rsid w:val="06ED1BCA"/>
    <w:rsid w:val="06F91383"/>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F239A"/>
    <w:rsid w:val="0CF757AC"/>
    <w:rsid w:val="0D2C751C"/>
    <w:rsid w:val="0D57008A"/>
    <w:rsid w:val="0D7D135A"/>
    <w:rsid w:val="0D9E4C87"/>
    <w:rsid w:val="0DA56F93"/>
    <w:rsid w:val="0DB52476"/>
    <w:rsid w:val="0DCE1A94"/>
    <w:rsid w:val="0DDC0C86"/>
    <w:rsid w:val="0DDC3FD5"/>
    <w:rsid w:val="0E7E1C83"/>
    <w:rsid w:val="0E7E5E5F"/>
    <w:rsid w:val="0F603F8D"/>
    <w:rsid w:val="0F747D3A"/>
    <w:rsid w:val="1049527D"/>
    <w:rsid w:val="106A2B50"/>
    <w:rsid w:val="10B34976"/>
    <w:rsid w:val="110F725F"/>
    <w:rsid w:val="11163121"/>
    <w:rsid w:val="11285B62"/>
    <w:rsid w:val="11380EA0"/>
    <w:rsid w:val="11B30526"/>
    <w:rsid w:val="12214824"/>
    <w:rsid w:val="12315DC0"/>
    <w:rsid w:val="12362D47"/>
    <w:rsid w:val="12DD0C75"/>
    <w:rsid w:val="12FA67BA"/>
    <w:rsid w:val="13304B67"/>
    <w:rsid w:val="134566BC"/>
    <w:rsid w:val="135774FE"/>
    <w:rsid w:val="13A46379"/>
    <w:rsid w:val="13AD66FE"/>
    <w:rsid w:val="13F310AE"/>
    <w:rsid w:val="13FA243C"/>
    <w:rsid w:val="142011A6"/>
    <w:rsid w:val="144C6CB5"/>
    <w:rsid w:val="14564609"/>
    <w:rsid w:val="14583120"/>
    <w:rsid w:val="15215C70"/>
    <w:rsid w:val="15495F87"/>
    <w:rsid w:val="1574342C"/>
    <w:rsid w:val="15965C16"/>
    <w:rsid w:val="15A444A6"/>
    <w:rsid w:val="161326E2"/>
    <w:rsid w:val="16277A0B"/>
    <w:rsid w:val="162E6FC6"/>
    <w:rsid w:val="16852D6C"/>
    <w:rsid w:val="16884649"/>
    <w:rsid w:val="16C94348"/>
    <w:rsid w:val="17517F11"/>
    <w:rsid w:val="17B24919"/>
    <w:rsid w:val="17B4163D"/>
    <w:rsid w:val="17C9694A"/>
    <w:rsid w:val="17F94FFE"/>
    <w:rsid w:val="1813218C"/>
    <w:rsid w:val="181745F5"/>
    <w:rsid w:val="182F467F"/>
    <w:rsid w:val="185B7983"/>
    <w:rsid w:val="18AF29F3"/>
    <w:rsid w:val="18DC65B5"/>
    <w:rsid w:val="190805F5"/>
    <w:rsid w:val="19371006"/>
    <w:rsid w:val="19660714"/>
    <w:rsid w:val="197C2955"/>
    <w:rsid w:val="19E82C89"/>
    <w:rsid w:val="1A4268EB"/>
    <w:rsid w:val="1A444411"/>
    <w:rsid w:val="1A5279E9"/>
    <w:rsid w:val="1AD43112"/>
    <w:rsid w:val="1B925650"/>
    <w:rsid w:val="1BEB63D8"/>
    <w:rsid w:val="1C78157F"/>
    <w:rsid w:val="1C8B1F64"/>
    <w:rsid w:val="1CD25790"/>
    <w:rsid w:val="1D050C0D"/>
    <w:rsid w:val="1D3544E5"/>
    <w:rsid w:val="1D787557"/>
    <w:rsid w:val="1E036392"/>
    <w:rsid w:val="1E097B16"/>
    <w:rsid w:val="1E53284B"/>
    <w:rsid w:val="1E5F512D"/>
    <w:rsid w:val="1E892E63"/>
    <w:rsid w:val="1EE70F94"/>
    <w:rsid w:val="1F4F3A29"/>
    <w:rsid w:val="1F9B16E8"/>
    <w:rsid w:val="20085EE1"/>
    <w:rsid w:val="20255070"/>
    <w:rsid w:val="202B6819"/>
    <w:rsid w:val="20EE6FC1"/>
    <w:rsid w:val="20EF1D98"/>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AF1021"/>
    <w:rsid w:val="255E9A8F"/>
    <w:rsid w:val="25625F13"/>
    <w:rsid w:val="25761FE8"/>
    <w:rsid w:val="25A55F80"/>
    <w:rsid w:val="261B3EF8"/>
    <w:rsid w:val="26B36D0C"/>
    <w:rsid w:val="26C70FC3"/>
    <w:rsid w:val="271F7DFA"/>
    <w:rsid w:val="272F3A51"/>
    <w:rsid w:val="27333F23"/>
    <w:rsid w:val="27C63A92"/>
    <w:rsid w:val="27E17743"/>
    <w:rsid w:val="27F00097"/>
    <w:rsid w:val="27F8287A"/>
    <w:rsid w:val="280803EC"/>
    <w:rsid w:val="281C69CE"/>
    <w:rsid w:val="282E0237"/>
    <w:rsid w:val="28643197"/>
    <w:rsid w:val="286F16B2"/>
    <w:rsid w:val="28B44E58"/>
    <w:rsid w:val="28C01D17"/>
    <w:rsid w:val="28C661CF"/>
    <w:rsid w:val="29217386"/>
    <w:rsid w:val="29362D86"/>
    <w:rsid w:val="293E0BC6"/>
    <w:rsid w:val="29A11347"/>
    <w:rsid w:val="29D3144C"/>
    <w:rsid w:val="2A27165A"/>
    <w:rsid w:val="2A2F3040"/>
    <w:rsid w:val="2A4E3D69"/>
    <w:rsid w:val="2AE200DD"/>
    <w:rsid w:val="2B5F21E3"/>
    <w:rsid w:val="2B7566BF"/>
    <w:rsid w:val="2B987F6F"/>
    <w:rsid w:val="2BAD5B8F"/>
    <w:rsid w:val="2BAE36BF"/>
    <w:rsid w:val="2BCB3F2A"/>
    <w:rsid w:val="2C102611"/>
    <w:rsid w:val="2C29369E"/>
    <w:rsid w:val="2C35294C"/>
    <w:rsid w:val="2C9B7CA1"/>
    <w:rsid w:val="2CF27CFD"/>
    <w:rsid w:val="2D5914BC"/>
    <w:rsid w:val="2D821071"/>
    <w:rsid w:val="2DC14C40"/>
    <w:rsid w:val="2DCD2FDA"/>
    <w:rsid w:val="2DD81DDD"/>
    <w:rsid w:val="2E057444"/>
    <w:rsid w:val="2E216B3B"/>
    <w:rsid w:val="2E4A46A0"/>
    <w:rsid w:val="2E513149"/>
    <w:rsid w:val="2E7D5CEC"/>
    <w:rsid w:val="2EB07E70"/>
    <w:rsid w:val="2EB23ECC"/>
    <w:rsid w:val="2EF72DA2"/>
    <w:rsid w:val="2EF83FC5"/>
    <w:rsid w:val="2F0267D5"/>
    <w:rsid w:val="2F3515C3"/>
    <w:rsid w:val="2F391C13"/>
    <w:rsid w:val="2F3F38D4"/>
    <w:rsid w:val="2F7970D7"/>
    <w:rsid w:val="2FE64400"/>
    <w:rsid w:val="301339CC"/>
    <w:rsid w:val="3083145F"/>
    <w:rsid w:val="30A7668A"/>
    <w:rsid w:val="30E958BB"/>
    <w:rsid w:val="30F20D3F"/>
    <w:rsid w:val="31320866"/>
    <w:rsid w:val="313B43AB"/>
    <w:rsid w:val="317407C0"/>
    <w:rsid w:val="31AB7E01"/>
    <w:rsid w:val="32207518"/>
    <w:rsid w:val="32A45578"/>
    <w:rsid w:val="32B3311C"/>
    <w:rsid w:val="3312555B"/>
    <w:rsid w:val="331B7D85"/>
    <w:rsid w:val="33274478"/>
    <w:rsid w:val="334502B8"/>
    <w:rsid w:val="3384079C"/>
    <w:rsid w:val="33AA6EA7"/>
    <w:rsid w:val="33DC5692"/>
    <w:rsid w:val="33E54C86"/>
    <w:rsid w:val="342F6C69"/>
    <w:rsid w:val="34A00986"/>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4302E4"/>
    <w:rsid w:val="39535BFE"/>
    <w:rsid w:val="398B7F95"/>
    <w:rsid w:val="39A96F72"/>
    <w:rsid w:val="39B5458C"/>
    <w:rsid w:val="39CE38A0"/>
    <w:rsid w:val="3A1C4963"/>
    <w:rsid w:val="3A5570FB"/>
    <w:rsid w:val="3A563FC1"/>
    <w:rsid w:val="3A97759B"/>
    <w:rsid w:val="3A990BD3"/>
    <w:rsid w:val="3AC86541"/>
    <w:rsid w:val="3AF953E5"/>
    <w:rsid w:val="3B4E2FFF"/>
    <w:rsid w:val="3B6049CB"/>
    <w:rsid w:val="3B8107CA"/>
    <w:rsid w:val="3B9C47C1"/>
    <w:rsid w:val="3BAC29ED"/>
    <w:rsid w:val="3BB367AF"/>
    <w:rsid w:val="3BB40923"/>
    <w:rsid w:val="3BD03227"/>
    <w:rsid w:val="3C024B7D"/>
    <w:rsid w:val="3C4E0CC8"/>
    <w:rsid w:val="3C7F4EBC"/>
    <w:rsid w:val="3C862210"/>
    <w:rsid w:val="3D205A10"/>
    <w:rsid w:val="3D5671AA"/>
    <w:rsid w:val="3D8E2068"/>
    <w:rsid w:val="3DFF4595"/>
    <w:rsid w:val="3E1D7CAF"/>
    <w:rsid w:val="3E7E66A3"/>
    <w:rsid w:val="3EAD286A"/>
    <w:rsid w:val="3F676329"/>
    <w:rsid w:val="3F676452"/>
    <w:rsid w:val="3FE756BB"/>
    <w:rsid w:val="40972C3D"/>
    <w:rsid w:val="40B777E0"/>
    <w:rsid w:val="40C96B6F"/>
    <w:rsid w:val="40E26775"/>
    <w:rsid w:val="40FF1D3F"/>
    <w:rsid w:val="41445C3F"/>
    <w:rsid w:val="41655958"/>
    <w:rsid w:val="418954B3"/>
    <w:rsid w:val="4194717D"/>
    <w:rsid w:val="42661790"/>
    <w:rsid w:val="42AC628E"/>
    <w:rsid w:val="42E163F2"/>
    <w:rsid w:val="43087E22"/>
    <w:rsid w:val="43240916"/>
    <w:rsid w:val="435528D9"/>
    <w:rsid w:val="4357078B"/>
    <w:rsid w:val="4379029A"/>
    <w:rsid w:val="43A46303"/>
    <w:rsid w:val="43A7763B"/>
    <w:rsid w:val="43AC108E"/>
    <w:rsid w:val="43CA2CF3"/>
    <w:rsid w:val="43E42978"/>
    <w:rsid w:val="43F42D41"/>
    <w:rsid w:val="440A1978"/>
    <w:rsid w:val="441962C2"/>
    <w:rsid w:val="4440689F"/>
    <w:rsid w:val="447E0969"/>
    <w:rsid w:val="44D2503A"/>
    <w:rsid w:val="44DA1D47"/>
    <w:rsid w:val="45647867"/>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D4B48F3"/>
    <w:rsid w:val="4DF27B79"/>
    <w:rsid w:val="4E1729CD"/>
    <w:rsid w:val="4E296E9F"/>
    <w:rsid w:val="4EE942B4"/>
    <w:rsid w:val="4F0227BF"/>
    <w:rsid w:val="4F31106F"/>
    <w:rsid w:val="4F55619D"/>
    <w:rsid w:val="4F633558"/>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D50E8"/>
    <w:rsid w:val="523D7A9D"/>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EC13E3"/>
    <w:rsid w:val="55985036"/>
    <w:rsid w:val="55D70E52"/>
    <w:rsid w:val="55E54A69"/>
    <w:rsid w:val="55F00D79"/>
    <w:rsid w:val="560358E7"/>
    <w:rsid w:val="56682C5A"/>
    <w:rsid w:val="56905D0D"/>
    <w:rsid w:val="5737456A"/>
    <w:rsid w:val="573D3418"/>
    <w:rsid w:val="578C3B2F"/>
    <w:rsid w:val="57CE5A99"/>
    <w:rsid w:val="57E1275E"/>
    <w:rsid w:val="57FD3B20"/>
    <w:rsid w:val="583730A7"/>
    <w:rsid w:val="589D4368"/>
    <w:rsid w:val="58CB74D0"/>
    <w:rsid w:val="595F6971"/>
    <w:rsid w:val="597C1F53"/>
    <w:rsid w:val="597F295B"/>
    <w:rsid w:val="59896DA8"/>
    <w:rsid w:val="5A170196"/>
    <w:rsid w:val="5A36306F"/>
    <w:rsid w:val="5A473E48"/>
    <w:rsid w:val="5A6E45B7"/>
    <w:rsid w:val="5A7D0C9E"/>
    <w:rsid w:val="5B0740EA"/>
    <w:rsid w:val="5B247141"/>
    <w:rsid w:val="5B603133"/>
    <w:rsid w:val="5B9837E7"/>
    <w:rsid w:val="5BA734AB"/>
    <w:rsid w:val="5BB168EF"/>
    <w:rsid w:val="5BB40E40"/>
    <w:rsid w:val="5BC30933"/>
    <w:rsid w:val="5BE95C7A"/>
    <w:rsid w:val="5BEF76E9"/>
    <w:rsid w:val="5C0D2A63"/>
    <w:rsid w:val="5C3D2493"/>
    <w:rsid w:val="5C5D0A1B"/>
    <w:rsid w:val="5C5F065B"/>
    <w:rsid w:val="5CB079DC"/>
    <w:rsid w:val="5CBD7200"/>
    <w:rsid w:val="5CC70097"/>
    <w:rsid w:val="5CE337FB"/>
    <w:rsid w:val="5D437F7D"/>
    <w:rsid w:val="5D706898"/>
    <w:rsid w:val="5D7B40D5"/>
    <w:rsid w:val="5DCFAE16"/>
    <w:rsid w:val="5EA21F2F"/>
    <w:rsid w:val="5EA91689"/>
    <w:rsid w:val="5F0822F6"/>
    <w:rsid w:val="5F0A286B"/>
    <w:rsid w:val="5F1662FE"/>
    <w:rsid w:val="5F3A0F0C"/>
    <w:rsid w:val="5F57386C"/>
    <w:rsid w:val="5F803FFB"/>
    <w:rsid w:val="5FB50B08"/>
    <w:rsid w:val="5FDD3055"/>
    <w:rsid w:val="60134695"/>
    <w:rsid w:val="60464B44"/>
    <w:rsid w:val="60625971"/>
    <w:rsid w:val="60BB3DF4"/>
    <w:rsid w:val="60F670B5"/>
    <w:rsid w:val="61FE0917"/>
    <w:rsid w:val="62375736"/>
    <w:rsid w:val="62834BFD"/>
    <w:rsid w:val="62B95263"/>
    <w:rsid w:val="63070B25"/>
    <w:rsid w:val="631521FA"/>
    <w:rsid w:val="63312CBB"/>
    <w:rsid w:val="634C5B54"/>
    <w:rsid w:val="635A4871"/>
    <w:rsid w:val="635F44F0"/>
    <w:rsid w:val="638F5B29"/>
    <w:rsid w:val="639A641D"/>
    <w:rsid w:val="64CE4547"/>
    <w:rsid w:val="65007790"/>
    <w:rsid w:val="65071890"/>
    <w:rsid w:val="65362175"/>
    <w:rsid w:val="655A4F13"/>
    <w:rsid w:val="65624D19"/>
    <w:rsid w:val="65735178"/>
    <w:rsid w:val="657A7089"/>
    <w:rsid w:val="65B6317D"/>
    <w:rsid w:val="66416381"/>
    <w:rsid w:val="6688682D"/>
    <w:rsid w:val="66AB22D9"/>
    <w:rsid w:val="66D41533"/>
    <w:rsid w:val="66DC6D4D"/>
    <w:rsid w:val="66F7340A"/>
    <w:rsid w:val="673D49E3"/>
    <w:rsid w:val="674072DB"/>
    <w:rsid w:val="675532C8"/>
    <w:rsid w:val="679F7DEF"/>
    <w:rsid w:val="67EB657A"/>
    <w:rsid w:val="680633E1"/>
    <w:rsid w:val="68226616"/>
    <w:rsid w:val="6844104D"/>
    <w:rsid w:val="68474112"/>
    <w:rsid w:val="684921C0"/>
    <w:rsid w:val="68576F69"/>
    <w:rsid w:val="68B00491"/>
    <w:rsid w:val="68B735CD"/>
    <w:rsid w:val="68B84DB4"/>
    <w:rsid w:val="69005E96"/>
    <w:rsid w:val="69027022"/>
    <w:rsid w:val="694035C3"/>
    <w:rsid w:val="6A2054D5"/>
    <w:rsid w:val="6A4F42B1"/>
    <w:rsid w:val="6A693B40"/>
    <w:rsid w:val="6AB53B3C"/>
    <w:rsid w:val="6AF74155"/>
    <w:rsid w:val="6AFD34C8"/>
    <w:rsid w:val="6B0B7C86"/>
    <w:rsid w:val="6B80414A"/>
    <w:rsid w:val="6B883D6D"/>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1437DA"/>
    <w:rsid w:val="6E1F0847"/>
    <w:rsid w:val="6E3520A2"/>
    <w:rsid w:val="6E3A43BC"/>
    <w:rsid w:val="6EF6485A"/>
    <w:rsid w:val="6F394D3C"/>
    <w:rsid w:val="6F572DF1"/>
    <w:rsid w:val="6F7264A0"/>
    <w:rsid w:val="6FA843BB"/>
    <w:rsid w:val="6FBC771B"/>
    <w:rsid w:val="6FF4591D"/>
    <w:rsid w:val="70A66401"/>
    <w:rsid w:val="713F6A92"/>
    <w:rsid w:val="71877781"/>
    <w:rsid w:val="71B66B18"/>
    <w:rsid w:val="722C52AF"/>
    <w:rsid w:val="728C5ACB"/>
    <w:rsid w:val="72944086"/>
    <w:rsid w:val="72954F16"/>
    <w:rsid w:val="72D82ABE"/>
    <w:rsid w:val="733B0CDF"/>
    <w:rsid w:val="7350785D"/>
    <w:rsid w:val="7354438F"/>
    <w:rsid w:val="73852C46"/>
    <w:rsid w:val="738702F3"/>
    <w:rsid w:val="73A07A74"/>
    <w:rsid w:val="73C86E78"/>
    <w:rsid w:val="73CB43D1"/>
    <w:rsid w:val="747D391D"/>
    <w:rsid w:val="74CD211B"/>
    <w:rsid w:val="74DD1DA7"/>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633752"/>
    <w:rsid w:val="77646A47"/>
    <w:rsid w:val="778B45A3"/>
    <w:rsid w:val="77E638B0"/>
    <w:rsid w:val="77EF7281"/>
    <w:rsid w:val="786170B2"/>
    <w:rsid w:val="788D4480"/>
    <w:rsid w:val="78A32008"/>
    <w:rsid w:val="78C57F86"/>
    <w:rsid w:val="78D11888"/>
    <w:rsid w:val="78F53F2C"/>
    <w:rsid w:val="796912D5"/>
    <w:rsid w:val="796C36EE"/>
    <w:rsid w:val="79C344AC"/>
    <w:rsid w:val="79DA1E2B"/>
    <w:rsid w:val="79F62C66"/>
    <w:rsid w:val="7A9B4AFD"/>
    <w:rsid w:val="7ADB314B"/>
    <w:rsid w:val="7AE04C06"/>
    <w:rsid w:val="7AFD2666"/>
    <w:rsid w:val="7AFD7B90"/>
    <w:rsid w:val="7AFE6E3A"/>
    <w:rsid w:val="7B2033F0"/>
    <w:rsid w:val="7B2D0AFC"/>
    <w:rsid w:val="7B4A02D1"/>
    <w:rsid w:val="7B4A6DD9"/>
    <w:rsid w:val="7C4A67DB"/>
    <w:rsid w:val="7CA848E7"/>
    <w:rsid w:val="7CDB5685"/>
    <w:rsid w:val="7CE915AD"/>
    <w:rsid w:val="7D0821F2"/>
    <w:rsid w:val="7D3A560F"/>
    <w:rsid w:val="7DCF0593"/>
    <w:rsid w:val="7DD74128"/>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7"/>
    <w:qFormat/>
    <w:uiPriority w:val="0"/>
    <w:pPr>
      <w:keepNext/>
      <w:keepLines/>
      <w:spacing w:before="260" w:after="260" w:line="416" w:lineRule="auto"/>
      <w:outlineLvl w:val="2"/>
    </w:pPr>
    <w:rPr>
      <w:b/>
      <w:bCs/>
      <w:sz w:val="32"/>
      <w:szCs w:val="32"/>
    </w:rPr>
  </w:style>
  <w:style w:type="paragraph" w:styleId="7">
    <w:name w:val="heading 4"/>
    <w:basedOn w:val="1"/>
    <w:next w:val="1"/>
    <w:link w:val="48"/>
    <w:qFormat/>
    <w:uiPriority w:val="0"/>
    <w:pPr>
      <w:keepNext/>
      <w:jc w:val="center"/>
      <w:outlineLvl w:val="3"/>
    </w:pPr>
    <w:rPr>
      <w:rFonts w:eastAsia="新宋体"/>
      <w:sz w:val="3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440" w:lineRule="exact"/>
      <w:ind w:firstLine="420" w:firstLineChars="100"/>
    </w:pPr>
    <w:rPr>
      <w:rFonts w:ascii="宋体" w:hAnsi="Times New Roman" w:eastAsia="宋体"/>
      <w:sz w:val="24"/>
      <w:szCs w:val="28"/>
    </w:rPr>
  </w:style>
  <w:style w:type="paragraph" w:styleId="3">
    <w:name w:val="Body Text"/>
    <w:basedOn w:val="1"/>
    <w:qFormat/>
    <w:uiPriority w:val="0"/>
    <w:pPr>
      <w:spacing w:line="400" w:lineRule="exact"/>
    </w:pPr>
    <w:rPr>
      <w:rFonts w:ascii="楷体_GB2312"/>
      <w:sz w:val="28"/>
    </w:rPr>
  </w:style>
  <w:style w:type="paragraph" w:styleId="8">
    <w:name w:val="Normal Indent"/>
    <w:basedOn w:val="1"/>
    <w:link w:val="49"/>
    <w:qFormat/>
    <w:uiPriority w:val="0"/>
    <w:pPr>
      <w:ind w:firstLine="420"/>
    </w:pPr>
    <w:rPr>
      <w:szCs w:val="20"/>
    </w:rPr>
  </w:style>
  <w:style w:type="paragraph" w:styleId="9">
    <w:name w:val="Document Map"/>
    <w:basedOn w:val="1"/>
    <w:link w:val="50"/>
    <w:semiHidden/>
    <w:qFormat/>
    <w:uiPriority w:val="0"/>
    <w:pPr>
      <w:shd w:val="clear" w:color="auto" w:fill="000080"/>
    </w:p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link w:val="51"/>
    <w:unhideWhenUsed/>
    <w:qFormat/>
    <w:uiPriority w:val="99"/>
    <w:pPr>
      <w:jc w:val="left"/>
    </w:pPr>
  </w:style>
  <w:style w:type="paragraph" w:styleId="12">
    <w:name w:val="Body Text Indent"/>
    <w:basedOn w:val="1"/>
    <w:next w:val="1"/>
    <w:link w:val="52"/>
    <w:qFormat/>
    <w:uiPriority w:val="0"/>
    <w:pPr>
      <w:spacing w:after="120"/>
      <w:ind w:left="420" w:leftChars="200"/>
    </w:pPr>
  </w:style>
  <w:style w:type="paragraph" w:styleId="13">
    <w:name w:val="Block Text"/>
    <w:basedOn w:val="1"/>
    <w:next w:val="3"/>
    <w:qFormat/>
    <w:uiPriority w:val="99"/>
    <w:pPr>
      <w:ind w:left="1440" w:leftChars="700" w:right="700" w:rightChars="700"/>
    </w:pPr>
    <w:rPr>
      <w:color w:val="FF0000"/>
      <w:sz w:val="18"/>
    </w:rPr>
  </w:style>
  <w:style w:type="paragraph" w:styleId="14">
    <w:name w:val="index 4"/>
    <w:basedOn w:val="1"/>
    <w:next w:val="1"/>
    <w:semiHidden/>
    <w:qFormat/>
    <w:uiPriority w:val="0"/>
    <w:pPr>
      <w:ind w:left="1260"/>
    </w:pPr>
  </w:style>
  <w:style w:type="paragraph" w:styleId="15">
    <w:name w:val="Plain Text"/>
    <w:basedOn w:val="1"/>
    <w:qFormat/>
    <w:uiPriority w:val="0"/>
    <w:rPr>
      <w:rFonts w:ascii="宋体" w:hAnsi="Courier New"/>
      <w:szCs w:val="20"/>
    </w:rPr>
  </w:style>
  <w:style w:type="paragraph" w:styleId="16">
    <w:name w:val="Date"/>
    <w:basedOn w:val="1"/>
    <w:next w:val="1"/>
    <w:link w:val="53"/>
    <w:qFormat/>
    <w:uiPriority w:val="0"/>
    <w:pPr>
      <w:ind w:left="100" w:leftChars="2500"/>
    </w:pPr>
  </w:style>
  <w:style w:type="paragraph" w:styleId="17">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8">
    <w:name w:val="Balloon Text"/>
    <w:basedOn w:val="1"/>
    <w:link w:val="54"/>
    <w:semiHidden/>
    <w:qFormat/>
    <w:uiPriority w:val="0"/>
    <w:rPr>
      <w:sz w:val="18"/>
      <w:szCs w:val="18"/>
    </w:rPr>
  </w:style>
  <w:style w:type="paragraph" w:styleId="19">
    <w:name w:val="footer"/>
    <w:basedOn w:val="1"/>
    <w:link w:val="55"/>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2">
    <w:name w:val="List Number 5"/>
    <w:basedOn w:val="1"/>
    <w:unhideWhenUsed/>
    <w:qFormat/>
    <w:uiPriority w:val="99"/>
    <w:pPr>
      <w:numPr>
        <w:ilvl w:val="0"/>
        <w:numId w:val="1"/>
      </w:numPr>
    </w:pPr>
  </w:style>
  <w:style w:type="paragraph" w:styleId="23">
    <w:name w:val="Body Text Indent 3"/>
    <w:basedOn w:val="1"/>
    <w:next w:val="10"/>
    <w:link w:val="59"/>
    <w:qFormat/>
    <w:uiPriority w:val="0"/>
    <w:pPr>
      <w:spacing w:line="520" w:lineRule="exact"/>
      <w:ind w:firstLine="539" w:firstLineChars="184"/>
    </w:pPr>
    <w:rPr>
      <w:rFonts w:ascii="宋体"/>
      <w:b/>
      <w:spacing w:val="6"/>
      <w:sz w:val="28"/>
    </w:r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next w:val="1"/>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60"/>
    <w:unhideWhenUsed/>
    <w:qFormat/>
    <w:uiPriority w:val="99"/>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style>
  <w:style w:type="character" w:styleId="32">
    <w:name w:val="Emphasis"/>
    <w:qFormat/>
    <w:uiPriority w:val="0"/>
    <w:rPr>
      <w:b/>
      <w:bCs/>
    </w:rPr>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style>
  <w:style w:type="character" w:styleId="36">
    <w:name w:val="HTML Variable"/>
    <w:unhideWhenUsed/>
    <w:qFormat/>
    <w:uiPriority w:val="99"/>
  </w:style>
  <w:style w:type="character" w:styleId="37">
    <w:name w:val="Hyperlink"/>
    <w:unhideWhenUsed/>
    <w:qFormat/>
    <w:uiPriority w:val="99"/>
    <w:rPr>
      <w:color w:val="0000FF"/>
      <w:u w:val="non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unhideWhenUsed/>
    <w:qFormat/>
    <w:uiPriority w:val="99"/>
    <w:rPr>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Char"/>
    <w:link w:val="4"/>
    <w:qFormat/>
    <w:uiPriority w:val="0"/>
    <w:rPr>
      <w:b/>
      <w:bCs/>
      <w:kern w:val="44"/>
      <w:sz w:val="44"/>
      <w:szCs w:val="44"/>
    </w:rPr>
  </w:style>
  <w:style w:type="character" w:customStyle="1" w:styleId="46">
    <w:name w:val="标题 2 Char"/>
    <w:link w:val="5"/>
    <w:qFormat/>
    <w:uiPriority w:val="0"/>
    <w:rPr>
      <w:rFonts w:ascii="Arial" w:hAnsi="Arial" w:eastAsia="黑体"/>
      <w:b/>
      <w:bCs/>
      <w:kern w:val="2"/>
      <w:sz w:val="32"/>
      <w:szCs w:val="32"/>
    </w:rPr>
  </w:style>
  <w:style w:type="character" w:customStyle="1" w:styleId="47">
    <w:name w:val="标题 3 Char"/>
    <w:link w:val="6"/>
    <w:qFormat/>
    <w:uiPriority w:val="0"/>
    <w:rPr>
      <w:b/>
      <w:bCs/>
      <w:kern w:val="2"/>
      <w:sz w:val="32"/>
      <w:szCs w:val="32"/>
    </w:rPr>
  </w:style>
  <w:style w:type="character" w:customStyle="1" w:styleId="48">
    <w:name w:val="标题 4 Char"/>
    <w:link w:val="7"/>
    <w:qFormat/>
    <w:uiPriority w:val="0"/>
    <w:rPr>
      <w:rFonts w:eastAsia="新宋体"/>
      <w:kern w:val="2"/>
      <w:sz w:val="30"/>
      <w:szCs w:val="21"/>
    </w:rPr>
  </w:style>
  <w:style w:type="character" w:customStyle="1" w:styleId="49">
    <w:name w:val="正文缩进 Char"/>
    <w:link w:val="8"/>
    <w:qFormat/>
    <w:uiPriority w:val="0"/>
    <w:rPr>
      <w:kern w:val="2"/>
      <w:sz w:val="21"/>
    </w:rPr>
  </w:style>
  <w:style w:type="character" w:customStyle="1" w:styleId="50">
    <w:name w:val="文档结构图 Char"/>
    <w:link w:val="9"/>
    <w:semiHidden/>
    <w:qFormat/>
    <w:uiPriority w:val="0"/>
    <w:rPr>
      <w:kern w:val="2"/>
      <w:sz w:val="21"/>
      <w:szCs w:val="24"/>
      <w:shd w:val="clear" w:color="auto" w:fill="000080"/>
    </w:rPr>
  </w:style>
  <w:style w:type="character" w:customStyle="1" w:styleId="51">
    <w:name w:val="批注文字 Char"/>
    <w:link w:val="11"/>
    <w:qFormat/>
    <w:uiPriority w:val="99"/>
    <w:rPr>
      <w:kern w:val="2"/>
      <w:sz w:val="21"/>
      <w:szCs w:val="24"/>
    </w:rPr>
  </w:style>
  <w:style w:type="character" w:customStyle="1" w:styleId="52">
    <w:name w:val="正文文本缩进 Char"/>
    <w:link w:val="12"/>
    <w:qFormat/>
    <w:uiPriority w:val="0"/>
    <w:rPr>
      <w:kern w:val="2"/>
      <w:sz w:val="21"/>
      <w:szCs w:val="24"/>
    </w:rPr>
  </w:style>
  <w:style w:type="character" w:customStyle="1" w:styleId="53">
    <w:name w:val="日期 Char"/>
    <w:link w:val="16"/>
    <w:qFormat/>
    <w:uiPriority w:val="0"/>
    <w:rPr>
      <w:kern w:val="2"/>
      <w:sz w:val="21"/>
      <w:szCs w:val="24"/>
    </w:rPr>
  </w:style>
  <w:style w:type="character" w:customStyle="1" w:styleId="54">
    <w:name w:val="批注框文本 Char"/>
    <w:link w:val="18"/>
    <w:semiHidden/>
    <w:qFormat/>
    <w:uiPriority w:val="0"/>
    <w:rPr>
      <w:kern w:val="2"/>
      <w:sz w:val="18"/>
      <w:szCs w:val="18"/>
    </w:rPr>
  </w:style>
  <w:style w:type="character" w:customStyle="1" w:styleId="55">
    <w:name w:val="页脚 Char"/>
    <w:link w:val="19"/>
    <w:qFormat/>
    <w:uiPriority w:val="99"/>
    <w:rPr>
      <w:kern w:val="2"/>
      <w:sz w:val="18"/>
      <w:szCs w:val="18"/>
    </w:rPr>
  </w:style>
  <w:style w:type="character" w:customStyle="1" w:styleId="56">
    <w:name w:val="页眉 Char"/>
    <w:link w:val="21"/>
    <w:qFormat/>
    <w:uiPriority w:val="0"/>
    <w:rPr>
      <w:kern w:val="2"/>
      <w:sz w:val="18"/>
      <w:szCs w:val="18"/>
    </w:rPr>
  </w:style>
  <w:style w:type="paragraph" w:customStyle="1" w:styleId="57">
    <w:name w:val="TOC 1"/>
    <w:basedOn w:val="1"/>
    <w:next w:val="1"/>
    <w:qFormat/>
    <w:uiPriority w:val="0"/>
    <w:pPr>
      <w:tabs>
        <w:tab w:val="right" w:leader="dot" w:pos="8296"/>
      </w:tabs>
      <w:spacing w:line="360" w:lineRule="auto"/>
    </w:pPr>
  </w:style>
  <w:style w:type="paragraph" w:customStyle="1" w:styleId="58">
    <w:name w:val="TOC 6"/>
    <w:basedOn w:val="1"/>
    <w:next w:val="1"/>
    <w:qFormat/>
    <w:uiPriority w:val="0"/>
    <w:pPr>
      <w:ind w:left="2100"/>
    </w:pPr>
  </w:style>
  <w:style w:type="character" w:customStyle="1" w:styleId="59">
    <w:name w:val="正文文本缩进 3 Char"/>
    <w:link w:val="23"/>
    <w:qFormat/>
    <w:uiPriority w:val="0"/>
    <w:rPr>
      <w:rFonts w:ascii="宋体"/>
      <w:b/>
      <w:spacing w:val="6"/>
      <w:kern w:val="2"/>
      <w:sz w:val="28"/>
      <w:szCs w:val="24"/>
    </w:rPr>
  </w:style>
  <w:style w:type="character" w:customStyle="1" w:styleId="60">
    <w:name w:val="批注主题 Char"/>
    <w:link w:val="26"/>
    <w:semiHidden/>
    <w:qFormat/>
    <w:uiPriority w:val="99"/>
    <w:rPr>
      <w:b/>
      <w:bCs/>
      <w:kern w:val="2"/>
      <w:sz w:val="21"/>
      <w:szCs w:val="24"/>
    </w:rPr>
  </w:style>
  <w:style w:type="paragraph" w:customStyle="1" w:styleId="61">
    <w:name w:val="正文文本首行缩进"/>
    <w:basedOn w:val="3"/>
    <w:next w:val="58"/>
    <w:qFormat/>
    <w:uiPriority w:val="0"/>
    <w:pPr>
      <w:spacing w:line="360" w:lineRule="auto"/>
      <w:ind w:firstLine="200" w:firstLineChars="200"/>
    </w:pPr>
    <w:rPr>
      <w:rFonts w:ascii="仿宋_GB2312" w:eastAsia="仿宋_GB2312"/>
      <w:kern w:val="0"/>
      <w:sz w:val="30"/>
      <w:szCs w:val="30"/>
    </w:rPr>
  </w:style>
  <w:style w:type="paragraph" w:customStyle="1" w:styleId="62">
    <w:name w:val="正文文本首行缩进 2"/>
    <w:basedOn w:val="12"/>
    <w:next w:val="1"/>
    <w:link w:val="63"/>
    <w:unhideWhenUsed/>
    <w:qFormat/>
    <w:uiPriority w:val="99"/>
    <w:pPr>
      <w:ind w:firstLine="200" w:firstLineChars="200"/>
    </w:pPr>
  </w:style>
  <w:style w:type="character" w:customStyle="1" w:styleId="63">
    <w:name w:val="正文文本首行缩进 2 字符"/>
    <w:link w:val="62"/>
    <w:qFormat/>
    <w:uiPriority w:val="99"/>
  </w:style>
  <w:style w:type="character" w:customStyle="1" w:styleId="64">
    <w:name w:val="访问过的超链接"/>
    <w:unhideWhenUsed/>
    <w:qFormat/>
    <w:uiPriority w:val="99"/>
    <w:rPr>
      <w:color w:val="800080"/>
      <w:u w:val="none"/>
    </w:rPr>
  </w:style>
  <w:style w:type="paragraph" w:customStyle="1" w:styleId="65">
    <w:name w:val="正文缩进1"/>
    <w:basedOn w:val="1"/>
    <w:qFormat/>
    <w:uiPriority w:val="0"/>
    <w:pPr>
      <w:widowControl/>
      <w:ind w:firstLine="420"/>
      <w:jc w:val="left"/>
    </w:pPr>
    <w:rPr>
      <w:kern w:val="0"/>
    </w:rPr>
  </w:style>
  <w:style w:type="paragraph" w:customStyle="1" w:styleId="66">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7">
    <w:name w:val="正文缩进2格 Char"/>
    <w:link w:val="68"/>
    <w:qFormat/>
    <w:locked/>
    <w:uiPriority w:val="0"/>
    <w:rPr>
      <w:rFonts w:ascii="仿宋_GB2312" w:hAnsi="宋体" w:eastAsia="仿宋_GB2312"/>
      <w:kern w:val="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标题 3.1 Char"/>
    <w:link w:val="70"/>
    <w:qFormat/>
    <w:locked/>
    <w:uiPriority w:val="0"/>
    <w:rPr>
      <w:rFonts w:ascii="宋体" w:hAnsi="宋体"/>
      <w:b/>
      <w:bCs/>
      <w:color w:val="000000"/>
      <w:kern w:val="2"/>
      <w:sz w:val="32"/>
      <w:szCs w:val="32"/>
    </w:rPr>
  </w:style>
  <w:style w:type="paragraph" w:customStyle="1" w:styleId="70">
    <w:name w:val="标题 3.1"/>
    <w:basedOn w:val="6"/>
    <w:link w:val="69"/>
    <w:qFormat/>
    <w:uiPriority w:val="0"/>
    <w:pPr>
      <w:tabs>
        <w:tab w:val="left" w:pos="1440"/>
        <w:tab w:val="left" w:pos="1620"/>
      </w:tabs>
      <w:spacing w:line="600" w:lineRule="exact"/>
    </w:pPr>
    <w:rPr>
      <w:rFonts w:ascii="宋体" w:hAnsi="宋体"/>
      <w:color w:val="000000"/>
    </w:rPr>
  </w:style>
  <w:style w:type="paragraph" w:customStyle="1" w:styleId="71">
    <w:name w:val="Char"/>
    <w:basedOn w:val="1"/>
    <w:qFormat/>
    <w:uiPriority w:val="0"/>
    <w:rPr>
      <w:rFonts w:ascii="Tahoma" w:hAnsi="Tahoma"/>
      <w:sz w:val="24"/>
      <w:szCs w:val="20"/>
    </w:rPr>
  </w:style>
  <w:style w:type="paragraph" w:customStyle="1" w:styleId="72">
    <w:name w:val="正文缩进4格"/>
    <w:basedOn w:val="68"/>
    <w:qFormat/>
    <w:uiPriority w:val="0"/>
    <w:pPr>
      <w:ind w:left="2" w:firstLine="538" w:firstLineChars="192"/>
    </w:pPr>
    <w:rPr>
      <w:color w:val="000000"/>
      <w:sz w:val="28"/>
    </w:rPr>
  </w:style>
  <w:style w:type="paragraph" w:customStyle="1" w:styleId="73">
    <w:name w:val="Char Char Char Char"/>
    <w:basedOn w:val="1"/>
    <w:qFormat/>
    <w:uiPriority w:val="0"/>
    <w:rPr>
      <w:rFonts w:ascii="Tahoma" w:hAnsi="Tahoma"/>
      <w:sz w:val="24"/>
      <w:szCs w:val="20"/>
    </w:rPr>
  </w:style>
  <w:style w:type="paragraph" w:customStyle="1" w:styleId="74">
    <w:name w:val="Char1"/>
    <w:basedOn w:val="1"/>
    <w:qFormat/>
    <w:uiPriority w:val="0"/>
    <w:pPr>
      <w:tabs>
        <w:tab w:val="left" w:pos="840"/>
      </w:tabs>
      <w:ind w:left="840" w:hanging="420"/>
    </w:pPr>
    <w:rPr>
      <w:sz w:val="24"/>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Char Char 字元 字元 字元 Char Char Char Char"/>
    <w:basedOn w:val="1"/>
    <w:qFormat/>
    <w:uiPriority w:val="0"/>
    <w:pPr>
      <w:adjustRightInd w:val="0"/>
      <w:spacing w:line="360" w:lineRule="auto"/>
    </w:pPr>
    <w:rPr>
      <w:kern w:val="0"/>
      <w:sz w:val="24"/>
      <w:szCs w:val="20"/>
    </w:rPr>
  </w:style>
  <w:style w:type="paragraph" w:customStyle="1" w:styleId="7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9">
    <w:name w:val="Char2"/>
    <w:basedOn w:val="1"/>
    <w:qFormat/>
    <w:uiPriority w:val="0"/>
    <w:rPr>
      <w:rFonts w:ascii="Tahoma" w:hAnsi="Tahoma"/>
      <w:sz w:val="24"/>
      <w:szCs w:val="20"/>
    </w:rPr>
  </w:style>
  <w:style w:type="paragraph" w:customStyle="1" w:styleId="8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mini-outputtext1"/>
    <w:qFormat/>
    <w:uiPriority w:val="0"/>
  </w:style>
  <w:style w:type="character" w:customStyle="1" w:styleId="84">
    <w:name w:val="font31"/>
    <w:qFormat/>
    <w:uiPriority w:val="0"/>
    <w:rPr>
      <w:rFonts w:hint="eastAsia" w:ascii="宋体" w:hAnsi="宋体" w:eastAsia="宋体" w:cs="宋体"/>
      <w:color w:val="000000"/>
      <w:sz w:val="21"/>
      <w:szCs w:val="21"/>
      <w:u w:val="none"/>
    </w:rPr>
  </w:style>
  <w:style w:type="character" w:customStyle="1" w:styleId="85">
    <w:name w:val="font61"/>
    <w:qFormat/>
    <w:uiPriority w:val="0"/>
    <w:rPr>
      <w:rFonts w:hint="default" w:ascii="Times New Roman" w:hAnsi="Times New Roman" w:cs="Times New Roman"/>
      <w:color w:val="000000"/>
      <w:sz w:val="21"/>
      <w:szCs w:val="21"/>
      <w:u w:val="none"/>
    </w:rPr>
  </w:style>
  <w:style w:type="character" w:customStyle="1" w:styleId="86">
    <w:name w:val="font01"/>
    <w:qFormat/>
    <w:uiPriority w:val="0"/>
    <w:rPr>
      <w:rFonts w:hint="default" w:ascii="等线" w:hAnsi="等线" w:eastAsia="等线" w:cs="等线"/>
      <w:color w:val="000000"/>
      <w:sz w:val="22"/>
      <w:szCs w:val="22"/>
      <w:u w:val="none"/>
    </w:rPr>
  </w:style>
  <w:style w:type="character" w:customStyle="1" w:styleId="87">
    <w:name w:val="font51"/>
    <w:qFormat/>
    <w:uiPriority w:val="0"/>
    <w:rPr>
      <w:rFonts w:hint="default" w:ascii="等线" w:hAnsi="等线" w:eastAsia="等线" w:cs="等线"/>
      <w:b/>
      <w:bCs/>
      <w:color w:val="000000"/>
      <w:sz w:val="22"/>
      <w:szCs w:val="22"/>
      <w:u w:val="none"/>
    </w:rPr>
  </w:style>
  <w:style w:type="paragraph" w:customStyle="1" w:styleId="88">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9">
    <w:name w:val="sh1"/>
    <w:basedOn w:val="25"/>
    <w:qFormat/>
    <w:uiPriority w:val="0"/>
    <w:pPr>
      <w:adjustRightInd w:val="0"/>
      <w:spacing w:before="0"/>
    </w:pPr>
    <w:rPr>
      <w:rFonts w:ascii="Arial" w:hAnsi="Arial"/>
      <w:bCs w:val="0"/>
    </w:rPr>
  </w:style>
  <w:style w:type="paragraph" w:customStyle="1" w:styleId="9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1">
    <w:name w:val="正文1"/>
    <w:basedOn w:val="1"/>
    <w:qFormat/>
    <w:uiPriority w:val="0"/>
    <w:pPr>
      <w:spacing w:line="360" w:lineRule="auto"/>
      <w:ind w:firstLine="361"/>
    </w:pPr>
    <w:rPr>
      <w:rFonts w:ascii="宋体" w:hAnsi="宋体"/>
    </w:rPr>
  </w:style>
  <w:style w:type="paragraph" w:customStyle="1" w:styleId="92">
    <w:name w:val="首行缩进"/>
    <w:basedOn w:val="1"/>
    <w:next w:val="1"/>
    <w:qFormat/>
    <w:uiPriority w:val="0"/>
    <w:pPr>
      <w:ind w:firstLine="480" w:firstLineChars="200"/>
    </w:pPr>
    <w:rPr>
      <w:rFonts w:ascii="Calibri" w:hAnsi="Calibri"/>
      <w:szCs w:val="21"/>
    </w:rPr>
  </w:style>
  <w:style w:type="paragraph" w:customStyle="1" w:styleId="93">
    <w:name w:val="Table Paragraph"/>
    <w:basedOn w:val="1"/>
    <w:qFormat/>
    <w:uiPriority w:val="1"/>
    <w:rPr>
      <w:rFonts w:ascii="宋体" w:hAnsi="宋体" w:cs="宋体"/>
      <w:lang w:val="zh-CN" w:bidi="zh-CN"/>
    </w:rPr>
  </w:style>
  <w:style w:type="paragraph" w:customStyle="1" w:styleId="94">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网格型4"/>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
    <w:name w:val="列表段落"/>
    <w:basedOn w:val="1"/>
    <w:qFormat/>
    <w:uiPriority w:val="34"/>
    <w:pPr>
      <w:ind w:firstLine="420" w:firstLineChars="200"/>
    </w:pPr>
  </w:style>
  <w:style w:type="paragraph" w:customStyle="1" w:styleId="98">
    <w:name w:val="Table Text"/>
    <w:basedOn w:val="1"/>
    <w:semiHidden/>
    <w:qFormat/>
    <w:uiPriority w:val="0"/>
    <w:rPr>
      <w:rFonts w:ascii="宋体" w:hAnsi="宋体" w:cs="宋体"/>
      <w:sz w:val="19"/>
      <w:szCs w:val="19"/>
      <w:lang w:eastAsia="en-US"/>
    </w:rPr>
  </w:style>
  <w:style w:type="paragraph" w:customStyle="1" w:styleId="99">
    <w:name w:val="*正文"/>
    <w:basedOn w:val="1"/>
    <w:qFormat/>
    <w:uiPriority w:val="0"/>
    <w:pPr>
      <w:spacing w:line="360" w:lineRule="auto"/>
    </w:pPr>
    <w:rPr>
      <w:sz w:val="24"/>
    </w:rPr>
  </w:style>
  <w:style w:type="paragraph" w:customStyle="1" w:styleId="100">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1">
    <w:name w:val="列出段落1"/>
    <w:basedOn w:val="1"/>
    <w:qFormat/>
    <w:uiPriority w:val="34"/>
    <w:pPr>
      <w:widowControl/>
      <w:ind w:left="720"/>
      <w:contextualSpacing/>
      <w:jc w:val="left"/>
    </w:pPr>
    <w:rPr>
      <w:kern w:val="0"/>
      <w:sz w:val="24"/>
      <w:lang w:eastAsia="en-US" w:bidi="en-US"/>
    </w:rPr>
  </w:style>
  <w:style w:type="paragraph" w:customStyle="1" w:styleId="102">
    <w:name w:val="样式 正文（缩进） + (中文) 楷体_GB2312"/>
    <w:basedOn w:val="103"/>
    <w:qFormat/>
    <w:uiPriority w:val="0"/>
    <w:pPr>
      <w:ind w:left="-2" w:leftChars="-1" w:firstLine="567" w:firstLineChars="0"/>
      <w:jc w:val="left"/>
    </w:pPr>
    <w:rPr>
      <w:rFonts w:eastAsia="楷体_GB2312"/>
      <w:sz w:val="28"/>
      <w:szCs w:val="28"/>
    </w:rPr>
  </w:style>
  <w:style w:type="paragraph" w:customStyle="1" w:styleId="103">
    <w:name w:val="正文（缩进）"/>
    <w:basedOn w:val="1"/>
    <w:qFormat/>
    <w:uiPriority w:val="0"/>
    <w:pPr>
      <w:spacing w:beforeLines="50" w:afterLines="50" w:line="360" w:lineRule="auto"/>
      <w:ind w:firstLine="480" w:firstLineChars="200"/>
    </w:pPr>
    <w:rPr>
      <w:sz w:val="24"/>
    </w:rPr>
  </w:style>
  <w:style w:type="paragraph" w:customStyle="1" w:styleId="104">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5">
    <w:name w:val="正文表标题"/>
    <w:next w:val="106"/>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7">
    <w:name w:val="二级无"/>
    <w:basedOn w:val="108"/>
    <w:qFormat/>
    <w:uiPriority w:val="0"/>
    <w:pPr>
      <w:spacing w:beforeLines="0" w:afterLines="0"/>
    </w:pPr>
    <w:rPr>
      <w:rFonts w:ascii="宋体" w:eastAsia="宋体"/>
    </w:rPr>
  </w:style>
  <w:style w:type="paragraph" w:customStyle="1" w:styleId="108">
    <w:name w:val="二级条标题"/>
    <w:basedOn w:val="109"/>
    <w:next w:val="106"/>
    <w:qFormat/>
    <w:uiPriority w:val="0"/>
    <w:pPr>
      <w:numPr>
        <w:ilvl w:val="0"/>
        <w:numId w:val="0"/>
      </w:numPr>
      <w:spacing w:before="50" w:after="50"/>
      <w:ind w:left="850"/>
      <w:outlineLvl w:val="3"/>
    </w:pPr>
  </w:style>
  <w:style w:type="paragraph" w:customStyle="1" w:styleId="109">
    <w:name w:val="一级条标题"/>
    <w:next w:val="106"/>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0">
    <w:name w:val="三级无"/>
    <w:basedOn w:val="111"/>
    <w:qFormat/>
    <w:uiPriority w:val="0"/>
    <w:pPr>
      <w:numPr>
        <w:numId w:val="3"/>
      </w:numPr>
      <w:tabs>
        <w:tab w:val="left" w:pos="1984"/>
      </w:tabs>
      <w:spacing w:beforeLines="0" w:afterLines="0"/>
    </w:pPr>
    <w:rPr>
      <w:rFonts w:ascii="宋体" w:eastAsia="宋体"/>
    </w:rPr>
  </w:style>
  <w:style w:type="paragraph" w:customStyle="1" w:styleId="111">
    <w:name w:val="三级条标题"/>
    <w:basedOn w:val="108"/>
    <w:next w:val="106"/>
    <w:qFormat/>
    <w:uiPriority w:val="0"/>
    <w:pPr>
      <w:numPr>
        <w:ilvl w:val="3"/>
      </w:numPr>
      <w:ind w:left="850"/>
      <w:outlineLvl w:val="4"/>
    </w:pPr>
  </w:style>
  <w:style w:type="paragraph" w:customStyle="1" w:styleId="112">
    <w:name w:val="ListBullet2"/>
    <w:basedOn w:val="1"/>
    <w:qFormat/>
    <w:uiPriority w:val="0"/>
    <w:pPr>
      <w:numPr>
        <w:ilvl w:val="0"/>
        <w:numId w:val="5"/>
      </w:numPr>
    </w:pPr>
  </w:style>
  <w:style w:type="paragraph" w:customStyle="1" w:styleId="113">
    <w:name w:val="正文首行缩进1"/>
    <w:basedOn w:val="114"/>
    <w:qFormat/>
    <w:uiPriority w:val="0"/>
    <w:pPr>
      <w:spacing w:line="360" w:lineRule="auto"/>
      <w:ind w:firstLine="200"/>
    </w:pPr>
    <w:rPr>
      <w:rFonts w:ascii="仿宋_GB2312" w:hAnsi="Times New Roman" w:eastAsia="仿宋_GB2312"/>
      <w:sz w:val="30"/>
      <w:szCs w:val="30"/>
    </w:rPr>
  </w:style>
  <w:style w:type="paragraph" w:customStyle="1" w:styleId="114">
    <w:name w:val="正文文本1"/>
    <w:basedOn w:val="1"/>
    <w:next w:val="1"/>
    <w:qFormat/>
    <w:uiPriority w:val="0"/>
    <w:rPr>
      <w:rFonts w:ascii="楷体_GB2312" w:hAnsi="Arial" w:eastAsia="楷体_GB2312"/>
      <w:sz w:val="28"/>
      <w:szCs w:val="28"/>
    </w:rPr>
  </w:style>
  <w:style w:type="paragraph" w:customStyle="1" w:styleId="115">
    <w:name w:val="正文文本11"/>
    <w:basedOn w:val="1"/>
    <w:next w:val="1"/>
    <w:qFormat/>
    <w:uiPriority w:val="0"/>
    <w:rPr>
      <w:rFonts w:ascii="楷体_GB2312" w:hAnsi="Arial" w:eastAsia="楷体_GB2312"/>
      <w:sz w:val="28"/>
      <w:szCs w:val="28"/>
    </w:rPr>
  </w:style>
  <w:style w:type="character" w:customStyle="1" w:styleId="116">
    <w:name w:val="NormalCharacter"/>
    <w:qFormat/>
    <w:uiPriority w:val="0"/>
    <w:rPr>
      <w:rFonts w:ascii="Calibri" w:hAnsi="Calibri" w:eastAsia="宋体" w:cs="Times New Roman"/>
    </w:rPr>
  </w:style>
  <w:style w:type="paragraph" w:customStyle="1" w:styleId="117">
    <w:name w:val="正文首行缩进 21"/>
    <w:basedOn w:val="12"/>
    <w:unhideWhenUsed/>
    <w:qFormat/>
    <w:uiPriority w:val="99"/>
    <w:pPr>
      <w:ind w:firstLine="200"/>
    </w:pPr>
  </w:style>
  <w:style w:type="paragraph" w:styleId="118">
    <w:name w:val="List Paragraph"/>
    <w:basedOn w:val="1"/>
    <w:qFormat/>
    <w:uiPriority w:val="34"/>
    <w:pPr>
      <w:ind w:firstLine="420" w:firstLineChars="200"/>
    </w:pPr>
  </w:style>
  <w:style w:type="paragraph" w:customStyle="1" w:styleId="119">
    <w:name w:val="正文文本缩进 21"/>
    <w:basedOn w:val="1"/>
    <w:qFormat/>
    <w:uiPriority w:val="0"/>
    <w:pPr>
      <w:spacing w:after="120" w:line="480" w:lineRule="auto"/>
      <w:ind w:left="420"/>
    </w:pPr>
  </w:style>
  <w:style w:type="paragraph" w:customStyle="1" w:styleId="120">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1">
    <w:name w:val="样式 小四 加粗"/>
    <w:basedOn w:val="29"/>
    <w:autoRedefine/>
    <w:qFormat/>
    <w:uiPriority w:val="0"/>
    <w:rPr>
      <w:rFonts w:eastAsia="黑体"/>
      <w:b/>
      <w:bCs/>
      <w:sz w:val="24"/>
    </w:rPr>
  </w:style>
  <w:style w:type="paragraph" w:customStyle="1" w:styleId="122">
    <w:name w:val="标题 41"/>
    <w:basedOn w:val="1"/>
    <w:next w:val="1"/>
    <w:qFormat/>
    <w:uiPriority w:val="0"/>
    <w:pPr>
      <w:keepNext/>
      <w:jc w:val="center"/>
      <w:outlineLvl w:val="3"/>
    </w:pPr>
    <w:rPr>
      <w:rFonts w:eastAsia="新宋体"/>
      <w:sz w:val="30"/>
      <w:szCs w:val="21"/>
    </w:rPr>
  </w:style>
  <w:style w:type="paragraph" w:customStyle="1" w:styleId="123">
    <w:name w:val="纯文本2"/>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13367</Words>
  <Characters>14120</Characters>
  <Lines>155</Lines>
  <Paragraphs>43</Paragraphs>
  <TotalTime>0</TotalTime>
  <ScaleCrop>false</ScaleCrop>
  <LinksUpToDate>false</LinksUpToDate>
  <CharactersWithSpaces>14559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jessie</cp:lastModifiedBy>
  <cp:lastPrinted>2024-01-10T02:35:00Z</cp:lastPrinted>
  <dcterms:modified xsi:type="dcterms:W3CDTF">2025-11-28T03:20:28Z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E964C260AA024E2088A0FEF86AF327DC_13</vt:lpwstr>
  </property>
  <property fmtid="{D5CDD505-2E9C-101B-9397-08002B2CF9AE}" pid="4" name="KSOTemplateDocerSaveRecord">
    <vt:lpwstr>eyJoZGlkIjoiMTY2YTExYjU4MWEzY2MzM2I4OTY2NWYxMWY5ZTNlMmIiLCJ1c2VySWQiOiI2Mzc4MTQzODgifQ==</vt:lpwstr>
  </property>
</Properties>
</file>