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540D9">
      <w:pPr>
        <w:pStyle w:val="58"/>
        <w:ind w:left="1984" w:hanging="1984" w:hangingChars="400"/>
        <w:jc w:val="both"/>
        <w:rPr>
          <w:rFonts w:hint="eastAsia" w:ascii="宋体" w:hAnsi="宋体" w:cs="宋体"/>
          <w:b/>
          <w:color w:val="333333"/>
          <w:spacing w:val="7"/>
          <w:sz w:val="48"/>
          <w:szCs w:val="48"/>
          <w:lang w:eastAsia="zh-CN"/>
        </w:rPr>
      </w:pPr>
    </w:p>
    <w:p w14:paraId="211B01BD">
      <w:pPr>
        <w:pStyle w:val="58"/>
        <w:ind w:left="1984" w:hanging="1984" w:hangingChars="400"/>
        <w:jc w:val="both"/>
        <w:rPr>
          <w:rFonts w:hint="eastAsia" w:ascii="宋体" w:hAnsi="宋体" w:cs="宋体"/>
          <w:b/>
          <w:color w:val="333333"/>
          <w:spacing w:val="7"/>
          <w:sz w:val="72"/>
          <w:szCs w:val="72"/>
        </w:rPr>
      </w:pPr>
      <w:r>
        <w:rPr>
          <w:rFonts w:hint="eastAsia" w:ascii="宋体" w:hAnsi="宋体" w:cs="宋体"/>
          <w:b/>
          <w:color w:val="333333"/>
          <w:spacing w:val="7"/>
          <w:sz w:val="48"/>
          <w:szCs w:val="48"/>
          <w:lang w:eastAsia="zh-CN"/>
        </w:rPr>
        <w:t>江苏商贸职业学院钢木书架采购项目(一)</w:t>
      </w:r>
    </w:p>
    <w:p w14:paraId="087754C8">
      <w:pPr>
        <w:pStyle w:val="58"/>
        <w:ind w:firstLine="0"/>
        <w:jc w:val="center"/>
        <w:rPr>
          <w:rFonts w:hint="eastAsia" w:ascii="宋体" w:hAnsi="宋体" w:cs="宋体"/>
          <w:b/>
          <w:color w:val="333333"/>
          <w:spacing w:val="7"/>
          <w:sz w:val="72"/>
          <w:szCs w:val="72"/>
        </w:rPr>
      </w:pPr>
    </w:p>
    <w:p w14:paraId="2283C6E6">
      <w:pPr>
        <w:pStyle w:val="58"/>
        <w:ind w:firstLine="0"/>
        <w:jc w:val="center"/>
        <w:rPr>
          <w:rFonts w:hint="eastAsia" w:ascii="宋体" w:hAnsi="宋体" w:cs="宋体"/>
          <w:b/>
          <w:color w:val="333333"/>
          <w:spacing w:val="7"/>
          <w:sz w:val="72"/>
          <w:szCs w:val="72"/>
        </w:rPr>
      </w:pPr>
    </w:p>
    <w:p w14:paraId="4BEA95ED">
      <w:pPr>
        <w:pStyle w:val="58"/>
        <w:ind w:firstLine="2947" w:firstLineChars="400"/>
        <w:jc w:val="both"/>
        <w:rPr>
          <w:rFonts w:ascii="宋体" w:hAnsi="宋体" w:cs="宋体"/>
          <w:b/>
          <w:color w:val="333333"/>
          <w:spacing w:val="7"/>
          <w:sz w:val="56"/>
          <w:szCs w:val="56"/>
        </w:rPr>
      </w:pPr>
      <w:r>
        <w:rPr>
          <w:rFonts w:hint="eastAsia" w:ascii="宋体" w:hAnsi="宋体" w:cs="宋体"/>
          <w:b/>
          <w:color w:val="333333"/>
          <w:spacing w:val="7"/>
          <w:sz w:val="72"/>
          <w:szCs w:val="72"/>
        </w:rPr>
        <w:t>询价文件</w:t>
      </w:r>
    </w:p>
    <w:p w14:paraId="08D8453C">
      <w:pPr>
        <w:pStyle w:val="58"/>
        <w:ind w:firstLine="0"/>
        <w:jc w:val="center"/>
        <w:rPr>
          <w:rFonts w:ascii="宋体" w:hAnsi="宋体" w:cs="宋体"/>
          <w:b/>
          <w:bCs/>
          <w:color w:val="auto"/>
          <w:spacing w:val="7"/>
          <w:sz w:val="32"/>
          <w:szCs w:val="32"/>
        </w:rPr>
      </w:pPr>
      <w:r>
        <w:rPr>
          <w:rFonts w:hint="eastAsia" w:ascii="宋体" w:hAnsi="宋体" w:cs="宋体"/>
          <w:b/>
          <w:bCs/>
          <w:color w:val="auto"/>
          <w:spacing w:val="7"/>
          <w:sz w:val="32"/>
          <w:szCs w:val="32"/>
        </w:rPr>
        <w:t>项目编号：JSSYCG20260403004</w:t>
      </w:r>
    </w:p>
    <w:p w14:paraId="7D1984B5">
      <w:pPr>
        <w:pStyle w:val="58"/>
        <w:rPr>
          <w:rFonts w:ascii="宋体" w:hAnsi="宋体" w:cs="宋体"/>
          <w:color w:val="333333"/>
          <w:spacing w:val="7"/>
          <w:sz w:val="28"/>
          <w:szCs w:val="28"/>
        </w:rPr>
      </w:pPr>
    </w:p>
    <w:p w14:paraId="037071B2">
      <w:pPr>
        <w:pStyle w:val="58"/>
        <w:rPr>
          <w:rFonts w:ascii="宋体" w:hAnsi="宋体" w:cs="宋体"/>
          <w:b/>
          <w:bCs/>
          <w:color w:val="000000"/>
          <w:sz w:val="36"/>
          <w:szCs w:val="36"/>
        </w:rPr>
      </w:pPr>
    </w:p>
    <w:p w14:paraId="6A45F689">
      <w:pPr>
        <w:pStyle w:val="58"/>
        <w:rPr>
          <w:rFonts w:ascii="宋体" w:hAnsi="宋体" w:cs="宋体"/>
          <w:b/>
          <w:bCs/>
          <w:color w:val="000000"/>
          <w:sz w:val="36"/>
          <w:szCs w:val="36"/>
        </w:rPr>
      </w:pPr>
    </w:p>
    <w:p w14:paraId="5729FD43">
      <w:pPr>
        <w:pStyle w:val="58"/>
        <w:rPr>
          <w:rFonts w:ascii="宋体" w:hAnsi="宋体" w:cs="宋体"/>
          <w:b/>
          <w:bCs/>
          <w:color w:val="000000"/>
          <w:sz w:val="36"/>
          <w:szCs w:val="36"/>
        </w:rPr>
      </w:pPr>
    </w:p>
    <w:p w14:paraId="5B863C43">
      <w:pPr>
        <w:spacing w:line="500" w:lineRule="exact"/>
        <w:jc w:val="both"/>
        <w:rPr>
          <w:rFonts w:ascii="宋体" w:hAnsi="宋体" w:cs="宋体"/>
          <w:b/>
          <w:bCs/>
          <w:spacing w:val="20"/>
          <w:sz w:val="32"/>
          <w:szCs w:val="32"/>
        </w:rPr>
      </w:pPr>
    </w:p>
    <w:p w14:paraId="21C1A8F2">
      <w:pPr>
        <w:spacing w:line="500" w:lineRule="exact"/>
        <w:jc w:val="center"/>
        <w:rPr>
          <w:rFonts w:ascii="宋体" w:hAnsi="宋体" w:cs="宋体"/>
          <w:b/>
          <w:sz w:val="36"/>
          <w:szCs w:val="36"/>
        </w:rPr>
      </w:pPr>
      <w:r>
        <w:rPr>
          <w:rFonts w:hint="eastAsia" w:ascii="宋体" w:hAnsi="宋体" w:cs="宋体"/>
          <w:b/>
          <w:bCs/>
          <w:spacing w:val="20"/>
          <w:sz w:val="32"/>
          <w:szCs w:val="32"/>
        </w:rPr>
        <w:t>江苏商贸职业学院</w:t>
      </w:r>
    </w:p>
    <w:p w14:paraId="67F81023">
      <w:pPr>
        <w:spacing w:line="500" w:lineRule="exact"/>
        <w:jc w:val="center"/>
        <w:rPr>
          <w:rFonts w:ascii="宋体" w:hAnsi="宋体" w:cs="宋体"/>
          <w:b/>
          <w:bCs/>
          <w:spacing w:val="20"/>
          <w:sz w:val="32"/>
          <w:szCs w:val="32"/>
        </w:rPr>
      </w:pPr>
      <w:r>
        <w:rPr>
          <w:rFonts w:hint="eastAsia" w:ascii="宋体" w:hAnsi="宋体" w:cs="宋体"/>
          <w:b/>
          <w:bCs/>
          <w:spacing w:val="20"/>
          <w:sz w:val="32"/>
          <w:szCs w:val="32"/>
        </w:rPr>
        <w:t>二○二</w:t>
      </w:r>
      <w:r>
        <w:rPr>
          <w:rFonts w:hint="eastAsia" w:ascii="宋体" w:hAnsi="宋体" w:cs="宋体"/>
          <w:b/>
          <w:bCs/>
          <w:spacing w:val="20"/>
          <w:sz w:val="32"/>
          <w:szCs w:val="32"/>
          <w:lang w:val="en-US" w:eastAsia="zh-CN"/>
        </w:rPr>
        <w:t>六</w:t>
      </w:r>
      <w:r>
        <w:rPr>
          <w:rFonts w:hint="eastAsia" w:ascii="宋体" w:hAnsi="宋体" w:cs="宋体"/>
          <w:b/>
          <w:bCs/>
          <w:spacing w:val="20"/>
          <w:sz w:val="32"/>
          <w:szCs w:val="32"/>
        </w:rPr>
        <w:t>年</w:t>
      </w:r>
      <w:r>
        <w:rPr>
          <w:rFonts w:hint="eastAsia" w:ascii="宋体" w:hAnsi="宋体" w:cs="宋体"/>
          <w:b/>
          <w:bCs/>
          <w:spacing w:val="20"/>
          <w:sz w:val="32"/>
          <w:szCs w:val="32"/>
          <w:lang w:val="en-US" w:eastAsia="zh-CN"/>
        </w:rPr>
        <w:t>四</w:t>
      </w:r>
      <w:r>
        <w:rPr>
          <w:rFonts w:hint="eastAsia" w:ascii="宋体" w:hAnsi="宋体" w:cs="宋体"/>
          <w:b/>
          <w:bCs/>
          <w:spacing w:val="20"/>
          <w:sz w:val="32"/>
          <w:szCs w:val="32"/>
        </w:rPr>
        <w:t xml:space="preserve">月   </w:t>
      </w:r>
    </w:p>
    <w:p w14:paraId="100A9D45">
      <w:pPr>
        <w:shd w:val="clear" w:color="auto" w:fill="FFFFFF"/>
        <w:ind w:firstLine="503"/>
        <w:jc w:val="center"/>
        <w:rPr>
          <w:rFonts w:ascii="宋体" w:hAnsi="宋体" w:cs="宋体"/>
          <w:b/>
          <w:bCs/>
          <w:color w:val="000000"/>
          <w:sz w:val="36"/>
          <w:szCs w:val="36"/>
        </w:rPr>
        <w:sectPr>
          <w:headerReference r:id="rId4" w:type="default"/>
          <w:footerReference r:id="rId5" w:type="default"/>
          <w:pgSz w:w="11906" w:h="16838"/>
          <w:pgMar w:top="1361" w:right="1361" w:bottom="1361" w:left="1361" w:header="708" w:footer="709" w:gutter="0"/>
          <w:cols w:space="720" w:num="1"/>
          <w:docGrid w:linePitch="360" w:charSpace="0"/>
        </w:sectPr>
      </w:pPr>
    </w:p>
    <w:p w14:paraId="173D16BF">
      <w:pPr>
        <w:shd w:val="clear" w:color="auto" w:fill="FFFFFF"/>
        <w:spacing w:line="360" w:lineRule="auto"/>
        <w:ind w:firstLine="482" w:firstLineChars="200"/>
        <w:jc w:val="center"/>
        <w:rPr>
          <w:rFonts w:hint="eastAsia"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第一部分 询价公告</w:t>
      </w:r>
    </w:p>
    <w:p w14:paraId="1A9EC1F1">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项目概况：</w:t>
      </w:r>
    </w:p>
    <w:p w14:paraId="40F5C6DF">
      <w:pPr>
        <w:shd w:val="clear" w:color="auto" w:fill="FFFFFF"/>
        <w:spacing w:after="0" w:line="360" w:lineRule="auto"/>
        <w:ind w:firstLine="508" w:firstLineChars="200"/>
        <w:rPr>
          <w:rFonts w:hint="eastAsia" w:ascii="宋体" w:hAnsi="宋体" w:cs="宋体"/>
          <w:color w:val="auto"/>
          <w:spacing w:val="7"/>
          <w:sz w:val="24"/>
          <w:szCs w:val="28"/>
        </w:rPr>
      </w:pPr>
      <w:r>
        <w:rPr>
          <w:rFonts w:hint="eastAsia" w:ascii="宋体" w:hAnsi="宋体" w:cs="宋体"/>
          <w:color w:val="333333"/>
          <w:spacing w:val="7"/>
          <w:sz w:val="24"/>
          <w:szCs w:val="28"/>
          <w:lang w:eastAsia="zh-CN"/>
        </w:rPr>
        <w:t>江苏商贸职业学院钢木书架采购项目(一)</w:t>
      </w:r>
      <w:r>
        <w:rPr>
          <w:rFonts w:hint="eastAsia" w:ascii="宋体" w:hAnsi="宋体" w:cs="宋体"/>
          <w:color w:val="333333"/>
          <w:spacing w:val="7"/>
          <w:sz w:val="24"/>
          <w:szCs w:val="28"/>
        </w:rPr>
        <w:t>的潜在供应商应在江苏商贸职业学院网站获取采购</w:t>
      </w:r>
      <w:r>
        <w:rPr>
          <w:rFonts w:hint="eastAsia" w:ascii="宋体" w:hAnsi="宋体" w:cs="宋体"/>
          <w:color w:val="auto"/>
          <w:spacing w:val="7"/>
          <w:sz w:val="24"/>
          <w:szCs w:val="28"/>
        </w:rPr>
        <w:t>文件，并于202</w:t>
      </w:r>
      <w:r>
        <w:rPr>
          <w:rFonts w:hint="eastAsia" w:ascii="宋体" w:hAnsi="宋体" w:cs="宋体"/>
          <w:color w:val="auto"/>
          <w:spacing w:val="7"/>
          <w:sz w:val="24"/>
          <w:szCs w:val="28"/>
          <w:lang w:val="en-US" w:eastAsia="zh-CN"/>
        </w:rPr>
        <w:t>6</w:t>
      </w:r>
      <w:r>
        <w:rPr>
          <w:rFonts w:hint="eastAsia" w:ascii="宋体" w:hAnsi="宋体" w:cs="宋体"/>
          <w:color w:val="auto"/>
          <w:spacing w:val="7"/>
          <w:sz w:val="24"/>
          <w:szCs w:val="28"/>
        </w:rPr>
        <w:t>年</w:t>
      </w:r>
      <w:r>
        <w:rPr>
          <w:rFonts w:hint="eastAsia" w:ascii="宋体" w:hAnsi="宋体" w:cs="宋体"/>
          <w:color w:val="auto"/>
          <w:spacing w:val="7"/>
          <w:sz w:val="24"/>
          <w:szCs w:val="28"/>
          <w:lang w:val="en-US" w:eastAsia="zh-CN"/>
        </w:rPr>
        <w:t>04</w:t>
      </w:r>
      <w:r>
        <w:rPr>
          <w:rFonts w:hint="eastAsia" w:ascii="宋体" w:hAnsi="宋体" w:cs="宋体"/>
          <w:color w:val="auto"/>
          <w:spacing w:val="7"/>
          <w:sz w:val="24"/>
          <w:szCs w:val="28"/>
        </w:rPr>
        <w:t>月</w:t>
      </w:r>
      <w:r>
        <w:rPr>
          <w:rFonts w:hint="eastAsia" w:ascii="宋体" w:hAnsi="宋体" w:cs="宋体"/>
          <w:color w:val="auto"/>
          <w:spacing w:val="7"/>
          <w:sz w:val="24"/>
          <w:szCs w:val="28"/>
          <w:lang w:val="en-US" w:eastAsia="zh-CN"/>
        </w:rPr>
        <w:t>30</w:t>
      </w:r>
      <w:r>
        <w:rPr>
          <w:rFonts w:hint="eastAsia" w:ascii="宋体" w:hAnsi="宋体" w:cs="宋体"/>
          <w:color w:val="auto"/>
          <w:spacing w:val="7"/>
          <w:sz w:val="24"/>
          <w:szCs w:val="28"/>
        </w:rPr>
        <w:t>日09</w:t>
      </w:r>
      <w:r>
        <w:rPr>
          <w:rFonts w:hint="eastAsia" w:ascii="宋体" w:hAnsi="宋体" w:cs="宋体"/>
          <w:color w:val="auto"/>
          <w:spacing w:val="7"/>
          <w:sz w:val="24"/>
          <w:szCs w:val="28"/>
          <w:lang w:val="en-US" w:eastAsia="zh-CN"/>
        </w:rPr>
        <w:t>时</w:t>
      </w:r>
      <w:bookmarkStart w:id="6" w:name="_GoBack"/>
      <w:bookmarkEnd w:id="6"/>
      <w:r>
        <w:rPr>
          <w:rFonts w:hint="eastAsia" w:ascii="宋体" w:hAnsi="宋体" w:cs="宋体"/>
          <w:color w:val="auto"/>
          <w:spacing w:val="7"/>
          <w:sz w:val="24"/>
          <w:szCs w:val="28"/>
        </w:rPr>
        <w:t>（北京时间）前提交响应文件。</w:t>
      </w:r>
    </w:p>
    <w:p w14:paraId="0B71269E">
      <w:pPr>
        <w:shd w:val="clear" w:color="auto" w:fill="FFFFFF"/>
        <w:spacing w:after="0" w:line="360" w:lineRule="auto"/>
        <w:ind w:firstLine="508" w:firstLineChars="200"/>
        <w:rPr>
          <w:rFonts w:hint="eastAsia" w:ascii="宋体" w:hAnsi="宋体" w:cs="宋体"/>
          <w:color w:val="auto"/>
          <w:spacing w:val="7"/>
          <w:sz w:val="24"/>
          <w:szCs w:val="28"/>
        </w:rPr>
      </w:pPr>
      <w:r>
        <w:rPr>
          <w:rFonts w:hint="eastAsia" w:ascii="宋体" w:hAnsi="宋体" w:cs="宋体"/>
          <w:color w:val="auto"/>
          <w:spacing w:val="7"/>
          <w:sz w:val="24"/>
          <w:szCs w:val="28"/>
        </w:rPr>
        <w:t>一、项目基本情况</w:t>
      </w:r>
    </w:p>
    <w:p w14:paraId="7B2CFA0C">
      <w:pPr>
        <w:shd w:val="clear" w:color="auto" w:fill="FFFFFF"/>
        <w:spacing w:after="0" w:line="360" w:lineRule="auto"/>
        <w:ind w:firstLine="508" w:firstLineChars="200"/>
        <w:rPr>
          <w:rFonts w:hint="eastAsia" w:ascii="宋体" w:hAnsi="宋体" w:cs="宋体"/>
          <w:color w:val="auto"/>
          <w:spacing w:val="7"/>
          <w:sz w:val="24"/>
          <w:szCs w:val="28"/>
        </w:rPr>
      </w:pPr>
      <w:r>
        <w:rPr>
          <w:rFonts w:hint="eastAsia" w:ascii="宋体" w:hAnsi="宋体" w:cs="宋体"/>
          <w:color w:val="auto"/>
          <w:spacing w:val="7"/>
          <w:sz w:val="24"/>
          <w:szCs w:val="28"/>
        </w:rPr>
        <w:t>项目编号：JSSYCG20260403004</w:t>
      </w:r>
    </w:p>
    <w:p w14:paraId="77B01FC7">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auto"/>
          <w:spacing w:val="7"/>
          <w:sz w:val="24"/>
          <w:szCs w:val="28"/>
        </w:rPr>
        <w:t>项目名称：</w:t>
      </w:r>
      <w:r>
        <w:rPr>
          <w:rFonts w:hint="eastAsia" w:ascii="宋体" w:hAnsi="宋体" w:cs="宋体"/>
          <w:color w:val="auto"/>
          <w:spacing w:val="7"/>
          <w:sz w:val="24"/>
          <w:szCs w:val="28"/>
          <w:lang w:eastAsia="zh-CN"/>
        </w:rPr>
        <w:t>江苏商贸职业学院钢</w:t>
      </w:r>
      <w:r>
        <w:rPr>
          <w:rFonts w:hint="eastAsia" w:ascii="宋体" w:hAnsi="宋体" w:cs="宋体"/>
          <w:color w:val="333333"/>
          <w:spacing w:val="7"/>
          <w:sz w:val="24"/>
          <w:szCs w:val="28"/>
          <w:lang w:eastAsia="zh-CN"/>
        </w:rPr>
        <w:t>木书架采购项目(一)</w:t>
      </w:r>
    </w:p>
    <w:p w14:paraId="47315A50">
      <w:pPr>
        <w:shd w:val="clear" w:color="auto" w:fill="FFFFFF"/>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预算金额：</w:t>
      </w:r>
      <w:r>
        <w:rPr>
          <w:rFonts w:hint="eastAsia" w:ascii="宋体" w:hAnsi="宋体" w:cs="宋体"/>
          <w:spacing w:val="7"/>
          <w:sz w:val="24"/>
          <w:szCs w:val="28"/>
          <w:lang w:val="en-US" w:eastAsia="zh-CN"/>
        </w:rPr>
        <w:t>80000</w:t>
      </w:r>
      <w:r>
        <w:rPr>
          <w:rFonts w:hint="eastAsia" w:ascii="宋体" w:hAnsi="宋体" w:cs="宋体"/>
          <w:spacing w:val="7"/>
          <w:sz w:val="24"/>
          <w:szCs w:val="28"/>
        </w:rPr>
        <w:t>元</w:t>
      </w:r>
    </w:p>
    <w:p w14:paraId="027E94C9">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spacing w:val="7"/>
          <w:sz w:val="24"/>
          <w:szCs w:val="28"/>
        </w:rPr>
        <w:t>最高限价：</w:t>
      </w:r>
      <w:r>
        <w:rPr>
          <w:rFonts w:hint="eastAsia" w:ascii="宋体" w:hAnsi="宋体" w:cs="宋体"/>
          <w:spacing w:val="7"/>
          <w:sz w:val="24"/>
          <w:szCs w:val="28"/>
          <w:lang w:val="en-US" w:eastAsia="zh-CN"/>
        </w:rPr>
        <w:t>80000</w:t>
      </w:r>
      <w:r>
        <w:rPr>
          <w:rFonts w:hint="eastAsia" w:ascii="宋体" w:hAnsi="宋体" w:cs="宋体"/>
          <w:spacing w:val="7"/>
          <w:sz w:val="24"/>
          <w:szCs w:val="28"/>
        </w:rPr>
        <w:t>元，</w:t>
      </w:r>
      <w:r>
        <w:rPr>
          <w:rFonts w:hint="eastAsia" w:ascii="宋体" w:hAnsi="宋体" w:cs="宋体"/>
          <w:color w:val="333333"/>
          <w:spacing w:val="7"/>
          <w:sz w:val="24"/>
          <w:szCs w:val="28"/>
        </w:rPr>
        <w:t>投标报价高于最高限价的作无效报价处理。</w:t>
      </w:r>
    </w:p>
    <w:p w14:paraId="46F67048">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lang w:val="en-US" w:eastAsia="zh-CN"/>
        </w:rPr>
        <w:t>货物交付</w:t>
      </w:r>
      <w:r>
        <w:rPr>
          <w:rFonts w:hint="eastAsia" w:ascii="宋体" w:hAnsi="宋体" w:cs="宋体"/>
          <w:color w:val="333333"/>
          <w:spacing w:val="7"/>
          <w:sz w:val="24"/>
          <w:szCs w:val="28"/>
        </w:rPr>
        <w:t>期限：合同签订后25天内交货，交货之日起10天内完成安装调试。</w:t>
      </w:r>
    </w:p>
    <w:p w14:paraId="3E7A98DE">
      <w:pPr>
        <w:pStyle w:val="10"/>
        <w:ind w:firstLine="508" w:firstLineChars="200"/>
        <w:rPr>
          <w:rFonts w:hint="eastAsia" w:ascii="宋体" w:hAnsi="宋体" w:eastAsia="宋体" w:cs="宋体"/>
          <w:color w:val="333333"/>
          <w:spacing w:val="7"/>
          <w:sz w:val="24"/>
          <w:szCs w:val="28"/>
          <w:lang w:val="en-US" w:eastAsia="zh-CN" w:bidi="ar-SA"/>
        </w:rPr>
      </w:pPr>
      <w:r>
        <w:rPr>
          <w:rFonts w:hint="eastAsia" w:ascii="宋体" w:hAnsi="宋体" w:eastAsia="宋体" w:cs="宋体"/>
          <w:color w:val="333333"/>
          <w:spacing w:val="7"/>
          <w:sz w:val="24"/>
          <w:szCs w:val="28"/>
          <w:lang w:val="en-US" w:eastAsia="zh-CN" w:bidi="ar-SA"/>
        </w:rPr>
        <w:t>本项目不接受联合体投标。</w:t>
      </w:r>
    </w:p>
    <w:p w14:paraId="7BFD640D">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二、申请人的资格要求：</w:t>
      </w:r>
    </w:p>
    <w:p w14:paraId="1D19CF1F">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1.满足基本要求：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14:paraId="2DD819FC">
      <w:pPr>
        <w:shd w:val="clear" w:color="auto" w:fill="FFFFFF"/>
        <w:spacing w:after="0" w:line="360" w:lineRule="auto"/>
        <w:ind w:firstLine="508" w:firstLineChars="200"/>
        <w:rPr>
          <w:rFonts w:hint="eastAsia" w:ascii="宋体" w:hAnsi="宋体" w:cs="宋体"/>
          <w:color w:val="333333"/>
          <w:spacing w:val="7"/>
          <w:sz w:val="24"/>
          <w:szCs w:val="28"/>
          <w:lang w:val="zh-CN"/>
        </w:rPr>
      </w:pPr>
      <w:r>
        <w:rPr>
          <w:rFonts w:hint="eastAsia" w:ascii="宋体" w:hAnsi="宋体" w:cs="宋体"/>
          <w:color w:val="333333"/>
          <w:spacing w:val="7"/>
          <w:sz w:val="24"/>
          <w:szCs w:val="28"/>
          <w:lang w:val="zh-CN"/>
        </w:rPr>
        <w:t>2</w:t>
      </w:r>
      <w:r>
        <w:rPr>
          <w:rFonts w:hint="eastAsia" w:ascii="宋体" w:hAnsi="宋体" w:cs="宋体"/>
          <w:color w:val="333333"/>
          <w:spacing w:val="7"/>
          <w:sz w:val="24"/>
          <w:szCs w:val="28"/>
        </w:rPr>
        <w:t>.</w:t>
      </w:r>
      <w:r>
        <w:rPr>
          <w:rFonts w:hint="eastAsia" w:ascii="宋体" w:hAnsi="宋体" w:cs="宋体"/>
          <w:color w:val="333333"/>
          <w:spacing w:val="7"/>
          <w:sz w:val="24"/>
          <w:szCs w:val="28"/>
          <w:lang w:val="zh-CN"/>
        </w:rPr>
        <w:t>供应商其它要求：</w:t>
      </w:r>
    </w:p>
    <w:p w14:paraId="649DA946">
      <w:pPr>
        <w:shd w:val="clear" w:color="auto" w:fill="FFFFFF"/>
        <w:spacing w:after="0" w:line="360" w:lineRule="auto"/>
        <w:ind w:firstLine="508" w:firstLineChars="200"/>
        <w:rPr>
          <w:rFonts w:hint="eastAsia" w:ascii="宋体" w:hAnsi="宋体" w:cs="宋体"/>
          <w:color w:val="333333"/>
          <w:spacing w:val="7"/>
          <w:sz w:val="24"/>
          <w:szCs w:val="28"/>
          <w:lang w:val="zh-CN"/>
        </w:rPr>
      </w:pPr>
      <w:r>
        <w:rPr>
          <w:rFonts w:hint="eastAsia" w:ascii="宋体" w:hAnsi="宋体" w:cs="宋体"/>
          <w:color w:val="333333"/>
          <w:spacing w:val="7"/>
          <w:sz w:val="24"/>
          <w:szCs w:val="28"/>
          <w:lang w:val="zh-CN"/>
        </w:rPr>
        <w:t>（1）</w:t>
      </w:r>
      <w:r>
        <w:rPr>
          <w:rFonts w:hint="eastAsia" w:ascii="宋体" w:hAnsi="宋体" w:cs="宋体"/>
          <w:color w:val="333333"/>
          <w:spacing w:val="7"/>
          <w:sz w:val="24"/>
          <w:szCs w:val="28"/>
        </w:rPr>
        <w:t>供应商必须具有有效的营业执照；</w:t>
      </w:r>
    </w:p>
    <w:p w14:paraId="38F076AB">
      <w:pPr>
        <w:shd w:val="clear" w:color="auto" w:fill="FFFFFF"/>
        <w:spacing w:after="0" w:line="360" w:lineRule="auto"/>
        <w:ind w:firstLine="508" w:firstLineChars="200"/>
        <w:rPr>
          <w:rFonts w:hint="eastAsia" w:ascii="宋体" w:hAnsi="宋体" w:cs="宋体"/>
          <w:color w:val="333333"/>
          <w:spacing w:val="7"/>
          <w:sz w:val="24"/>
          <w:szCs w:val="28"/>
          <w:lang w:val="zh-CN"/>
        </w:rPr>
      </w:pPr>
      <w:r>
        <w:rPr>
          <w:rFonts w:hint="eastAsia" w:ascii="宋体" w:hAnsi="宋体" w:cs="宋体"/>
          <w:color w:val="333333"/>
          <w:spacing w:val="7"/>
          <w:sz w:val="24"/>
          <w:szCs w:val="28"/>
          <w:lang w:val="zh-CN"/>
        </w:rPr>
        <w:t>（</w:t>
      </w:r>
      <w:r>
        <w:rPr>
          <w:rFonts w:hint="eastAsia" w:ascii="宋体" w:hAnsi="宋体" w:cs="宋体"/>
          <w:color w:val="333333"/>
          <w:spacing w:val="7"/>
          <w:sz w:val="24"/>
          <w:szCs w:val="28"/>
        </w:rPr>
        <w:t>2）</w:t>
      </w:r>
      <w:r>
        <w:rPr>
          <w:rFonts w:hint="eastAsia" w:ascii="宋体" w:hAnsi="宋体" w:cs="宋体"/>
          <w:color w:val="333333"/>
          <w:spacing w:val="7"/>
          <w:sz w:val="24"/>
          <w:szCs w:val="28"/>
          <w:lang w:val="zh-CN"/>
        </w:rPr>
        <w:t>未被“信用中国”网站列入失信被执行人、重大税收违法案件当事人名单、采购严重失信行为记录名单；</w:t>
      </w:r>
    </w:p>
    <w:p w14:paraId="3B8C2F1F">
      <w:pPr>
        <w:shd w:val="clear" w:color="auto" w:fill="FFFFFF"/>
        <w:spacing w:after="0" w:line="360" w:lineRule="auto"/>
        <w:ind w:firstLine="508" w:firstLineChars="200"/>
        <w:rPr>
          <w:rFonts w:hint="eastAsia" w:ascii="宋体" w:hAnsi="宋体" w:cs="宋体"/>
          <w:color w:val="333333"/>
          <w:spacing w:val="7"/>
          <w:sz w:val="24"/>
          <w:szCs w:val="28"/>
          <w:lang w:val="zh-CN"/>
        </w:rPr>
      </w:pPr>
      <w:r>
        <w:rPr>
          <w:rFonts w:hint="eastAsia" w:ascii="宋体" w:hAnsi="宋体" w:cs="宋体"/>
          <w:color w:val="333333"/>
          <w:spacing w:val="7"/>
          <w:sz w:val="24"/>
          <w:szCs w:val="28"/>
          <w:lang w:val="zh-CN"/>
        </w:rPr>
        <w:t>（</w:t>
      </w:r>
      <w:r>
        <w:rPr>
          <w:rFonts w:hint="eastAsia" w:ascii="宋体" w:hAnsi="宋体" w:cs="宋体"/>
          <w:color w:val="333333"/>
          <w:spacing w:val="7"/>
          <w:sz w:val="24"/>
          <w:szCs w:val="28"/>
        </w:rPr>
        <w:t>3</w:t>
      </w:r>
      <w:r>
        <w:rPr>
          <w:rFonts w:hint="eastAsia" w:ascii="宋体" w:hAnsi="宋体" w:cs="宋体"/>
          <w:color w:val="333333"/>
          <w:spacing w:val="7"/>
          <w:sz w:val="24"/>
          <w:szCs w:val="28"/>
          <w:lang w:val="zh-CN"/>
        </w:rPr>
        <w:t>）法定代表人为同一个人的两个及两个以上法人，母公司、全资子公司及其控股公司，都不得在同一采购项目相同标段中同时投标，一经发现，将视同围标处理。</w:t>
      </w:r>
    </w:p>
    <w:p w14:paraId="246AB8E3">
      <w:pPr>
        <w:shd w:val="clear" w:color="auto" w:fill="FFFFFF"/>
        <w:spacing w:after="0" w:line="360" w:lineRule="auto"/>
        <w:ind w:firstLine="508" w:firstLineChars="200"/>
        <w:rPr>
          <w:rFonts w:hint="eastAsia" w:ascii="宋体" w:hAnsi="宋体" w:cs="宋体"/>
          <w:color w:val="333333"/>
          <w:spacing w:val="7"/>
          <w:sz w:val="24"/>
          <w:szCs w:val="28"/>
          <w:lang w:val="zh-CN"/>
        </w:rPr>
      </w:pPr>
      <w:r>
        <w:rPr>
          <w:rFonts w:hint="eastAsia" w:ascii="宋体" w:hAnsi="宋体" w:cs="宋体"/>
          <w:color w:val="333333"/>
          <w:spacing w:val="7"/>
          <w:sz w:val="24"/>
          <w:szCs w:val="28"/>
        </w:rPr>
        <w:t>3</w:t>
      </w:r>
      <w:r>
        <w:rPr>
          <w:rFonts w:hint="eastAsia" w:ascii="宋体" w:hAnsi="宋体" w:cs="宋体"/>
          <w:color w:val="333333"/>
          <w:spacing w:val="7"/>
          <w:sz w:val="24"/>
          <w:szCs w:val="28"/>
          <w:lang w:val="zh-CN"/>
        </w:rPr>
        <w:t>.本项目的特定资格要求：</w:t>
      </w:r>
      <w:r>
        <w:rPr>
          <w:rFonts w:hint="eastAsia"/>
          <w:sz w:val="24"/>
          <w:lang w:val="en-US" w:eastAsia="zh-CN"/>
        </w:rPr>
        <w:t>无</w:t>
      </w:r>
      <w:r>
        <w:rPr>
          <w:rFonts w:hint="eastAsia" w:ascii="宋体" w:hAnsi="宋体" w:cs="宋体"/>
          <w:color w:val="333333"/>
          <w:spacing w:val="7"/>
          <w:sz w:val="24"/>
          <w:szCs w:val="28"/>
          <w:lang w:val="zh-CN"/>
        </w:rPr>
        <w:t>。</w:t>
      </w:r>
    </w:p>
    <w:p w14:paraId="45D7D6D9">
      <w:pPr>
        <w:shd w:val="clear" w:color="auto" w:fill="FFFFFF"/>
        <w:spacing w:after="0" w:line="360" w:lineRule="auto"/>
        <w:ind w:firstLine="508" w:firstLineChars="200"/>
        <w:outlineLvl w:val="1"/>
        <w:rPr>
          <w:rFonts w:hint="eastAsia" w:ascii="宋体" w:hAnsi="宋体" w:cs="宋体"/>
          <w:color w:val="000000" w:themeColor="text1"/>
          <w:spacing w:val="7"/>
          <w:sz w:val="24"/>
          <w:szCs w:val="28"/>
          <w14:textFill>
            <w14:solidFill>
              <w14:schemeClr w14:val="tx1"/>
            </w14:solidFill>
          </w14:textFill>
        </w:rPr>
      </w:pPr>
      <w:r>
        <w:rPr>
          <w:rFonts w:hint="eastAsia" w:ascii="宋体" w:hAnsi="宋体" w:cs="宋体"/>
          <w:color w:val="333333"/>
          <w:spacing w:val="7"/>
          <w:sz w:val="24"/>
          <w:szCs w:val="28"/>
        </w:rPr>
        <w:t>三、获取采购文件</w:t>
      </w:r>
    </w:p>
    <w:p w14:paraId="51186242">
      <w:pPr>
        <w:shd w:val="clear" w:color="auto" w:fill="FFFFFF"/>
        <w:spacing w:after="0" w:line="360" w:lineRule="auto"/>
        <w:ind w:firstLine="482" w:firstLineChars="200"/>
        <w:rPr>
          <w:rFonts w:hint="eastAsia" w:ascii="宋体" w:hAnsi="宋体" w:cs="宋体"/>
          <w:b/>
          <w:bCs/>
          <w:color w:val="FF0000"/>
          <w:sz w:val="24"/>
          <w:szCs w:val="28"/>
        </w:rPr>
      </w:pPr>
      <w:r>
        <w:rPr>
          <w:rFonts w:hint="eastAsia" w:ascii="宋体" w:hAnsi="宋体" w:cs="宋体"/>
          <w:b/>
          <w:bCs/>
          <w:color w:val="000000" w:themeColor="text1"/>
          <w:sz w:val="24"/>
          <w:szCs w:val="28"/>
          <w14:textFill>
            <w14:solidFill>
              <w14:schemeClr w14:val="tx1"/>
            </w14:solidFill>
          </w14:textFill>
        </w:rPr>
        <w:t>时间：公告发布之日起</w:t>
      </w:r>
      <w:r>
        <w:rPr>
          <w:rFonts w:hint="eastAsia" w:ascii="宋体" w:hAnsi="宋体" w:cs="宋体"/>
          <w:b/>
          <w:bCs/>
          <w:color w:val="auto"/>
          <w:sz w:val="24"/>
          <w:szCs w:val="28"/>
        </w:rPr>
        <w:t>至202</w:t>
      </w:r>
      <w:r>
        <w:rPr>
          <w:rFonts w:hint="eastAsia" w:ascii="宋体" w:hAnsi="宋体" w:cs="宋体"/>
          <w:b/>
          <w:bCs/>
          <w:color w:val="auto"/>
          <w:sz w:val="24"/>
          <w:szCs w:val="28"/>
          <w:lang w:val="en-US" w:eastAsia="zh-CN"/>
        </w:rPr>
        <w:t>6</w:t>
      </w:r>
      <w:r>
        <w:rPr>
          <w:rFonts w:hint="eastAsia" w:ascii="宋体" w:hAnsi="宋体" w:cs="宋体"/>
          <w:b/>
          <w:bCs/>
          <w:color w:val="auto"/>
          <w:sz w:val="24"/>
          <w:szCs w:val="28"/>
        </w:rPr>
        <w:t>年</w:t>
      </w:r>
      <w:r>
        <w:rPr>
          <w:rFonts w:hint="eastAsia" w:ascii="宋体" w:hAnsi="宋体" w:cs="宋体"/>
          <w:b/>
          <w:bCs/>
          <w:color w:val="auto"/>
          <w:sz w:val="24"/>
          <w:szCs w:val="28"/>
          <w:lang w:val="en-US" w:eastAsia="zh-CN"/>
        </w:rPr>
        <w:t>04月29</w:t>
      </w:r>
      <w:r>
        <w:rPr>
          <w:rFonts w:hint="eastAsia" w:ascii="宋体" w:hAnsi="宋体" w:cs="宋体"/>
          <w:b/>
          <w:bCs/>
          <w:color w:val="auto"/>
          <w:sz w:val="24"/>
          <w:szCs w:val="28"/>
        </w:rPr>
        <w:t>日</w:t>
      </w:r>
    </w:p>
    <w:p w14:paraId="0595EEFD">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 xml:space="preserve">地点：江苏商贸职业学院官网  </w:t>
      </w:r>
    </w:p>
    <w:p w14:paraId="416860B6">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方式：自行下载</w:t>
      </w:r>
    </w:p>
    <w:p w14:paraId="260394A5">
      <w:pPr>
        <w:shd w:val="clear" w:color="auto" w:fill="FFFFFF"/>
        <w:spacing w:after="0" w:line="360" w:lineRule="auto"/>
        <w:ind w:firstLine="508" w:firstLineChars="200"/>
        <w:outlineLvl w:val="1"/>
        <w:rPr>
          <w:rFonts w:hint="eastAsia" w:ascii="宋体" w:hAnsi="宋体" w:cs="宋体"/>
          <w:color w:val="auto"/>
          <w:spacing w:val="7"/>
          <w:sz w:val="24"/>
          <w:szCs w:val="28"/>
        </w:rPr>
      </w:pPr>
      <w:r>
        <w:rPr>
          <w:rFonts w:hint="eastAsia" w:ascii="宋体" w:hAnsi="宋体" w:cs="宋体"/>
          <w:color w:val="333333"/>
          <w:spacing w:val="7"/>
          <w:sz w:val="24"/>
          <w:szCs w:val="28"/>
        </w:rPr>
        <w:t>四、响应文件</w:t>
      </w:r>
      <w:r>
        <w:rPr>
          <w:rFonts w:hint="eastAsia" w:ascii="宋体" w:hAnsi="宋体" w:cs="宋体"/>
          <w:color w:val="auto"/>
          <w:spacing w:val="7"/>
          <w:sz w:val="24"/>
          <w:szCs w:val="28"/>
        </w:rPr>
        <w:t>提交</w:t>
      </w:r>
    </w:p>
    <w:p w14:paraId="42CCFF8F">
      <w:pPr>
        <w:shd w:val="clear" w:color="auto" w:fill="FFFFFF"/>
        <w:spacing w:after="0" w:line="360" w:lineRule="auto"/>
        <w:ind w:firstLine="482" w:firstLineChars="200"/>
        <w:rPr>
          <w:rFonts w:hint="eastAsia" w:ascii="宋体" w:hAnsi="宋体" w:cs="宋体"/>
          <w:color w:val="auto"/>
          <w:spacing w:val="7"/>
          <w:sz w:val="24"/>
          <w:szCs w:val="28"/>
          <w:u w:val="single"/>
        </w:rPr>
      </w:pPr>
      <w:r>
        <w:rPr>
          <w:rFonts w:hint="eastAsia" w:ascii="宋体" w:hAnsi="宋体" w:cs="宋体"/>
          <w:b/>
          <w:bCs/>
          <w:color w:val="auto"/>
          <w:sz w:val="24"/>
          <w:szCs w:val="28"/>
        </w:rPr>
        <w:t>截止时间：202</w:t>
      </w:r>
      <w:r>
        <w:rPr>
          <w:rFonts w:hint="eastAsia" w:ascii="宋体" w:hAnsi="宋体" w:cs="宋体"/>
          <w:b/>
          <w:bCs/>
          <w:color w:val="auto"/>
          <w:sz w:val="24"/>
          <w:szCs w:val="28"/>
          <w:lang w:val="en-US" w:eastAsia="zh-CN"/>
        </w:rPr>
        <w:t>6</w:t>
      </w:r>
      <w:r>
        <w:rPr>
          <w:rFonts w:hint="eastAsia" w:ascii="宋体" w:hAnsi="宋体" w:cs="宋体"/>
          <w:b/>
          <w:bCs/>
          <w:color w:val="auto"/>
          <w:sz w:val="24"/>
          <w:szCs w:val="28"/>
        </w:rPr>
        <w:t>年</w:t>
      </w:r>
      <w:r>
        <w:rPr>
          <w:rFonts w:hint="eastAsia" w:ascii="宋体" w:hAnsi="宋体" w:cs="宋体"/>
          <w:b/>
          <w:bCs/>
          <w:color w:val="auto"/>
          <w:sz w:val="24"/>
          <w:szCs w:val="28"/>
          <w:lang w:val="en-US" w:eastAsia="zh-CN"/>
        </w:rPr>
        <w:t>04</w:t>
      </w:r>
      <w:r>
        <w:rPr>
          <w:rFonts w:hint="eastAsia" w:ascii="宋体" w:hAnsi="宋体" w:cs="宋体"/>
          <w:b/>
          <w:bCs/>
          <w:color w:val="auto"/>
          <w:sz w:val="24"/>
          <w:szCs w:val="28"/>
        </w:rPr>
        <w:t>月</w:t>
      </w:r>
      <w:r>
        <w:rPr>
          <w:rFonts w:hint="eastAsia" w:ascii="宋体" w:hAnsi="宋体" w:cs="宋体"/>
          <w:b/>
          <w:bCs/>
          <w:color w:val="auto"/>
          <w:sz w:val="24"/>
          <w:szCs w:val="28"/>
          <w:lang w:val="en-US" w:eastAsia="zh-CN"/>
        </w:rPr>
        <w:t>30</w:t>
      </w:r>
      <w:r>
        <w:rPr>
          <w:rFonts w:hint="eastAsia" w:ascii="宋体" w:hAnsi="宋体" w:cs="宋体"/>
          <w:b/>
          <w:bCs/>
          <w:color w:val="auto"/>
          <w:sz w:val="24"/>
          <w:szCs w:val="28"/>
        </w:rPr>
        <w:t>日09</w:t>
      </w:r>
      <w:r>
        <w:rPr>
          <w:rFonts w:hint="eastAsia" w:ascii="宋体" w:hAnsi="宋体" w:cs="宋体"/>
          <w:b/>
          <w:bCs/>
          <w:color w:val="auto"/>
          <w:sz w:val="24"/>
          <w:szCs w:val="28"/>
          <w:lang w:val="en-US" w:eastAsia="zh-CN"/>
        </w:rPr>
        <w:t>时</w:t>
      </w:r>
      <w:r>
        <w:rPr>
          <w:rFonts w:hint="eastAsia" w:ascii="宋体" w:hAnsi="宋体" w:cs="宋体"/>
          <w:b/>
          <w:bCs/>
          <w:color w:val="auto"/>
          <w:sz w:val="24"/>
          <w:szCs w:val="28"/>
        </w:rPr>
        <w:t>（北京时间）</w:t>
      </w:r>
    </w:p>
    <w:p w14:paraId="77E2C167">
      <w:pPr>
        <w:tabs>
          <w:tab w:val="left" w:pos="360"/>
        </w:tabs>
        <w:spacing w:after="60" w:line="360" w:lineRule="auto"/>
        <w:ind w:firstLine="508" w:firstLineChars="200"/>
        <w:rPr>
          <w:rFonts w:hint="eastAsia" w:ascii="宋体" w:hAnsi="宋体" w:cs="宋体"/>
          <w:kern w:val="2"/>
          <w:sz w:val="24"/>
          <w:szCs w:val="24"/>
        </w:rPr>
      </w:pPr>
      <w:r>
        <w:rPr>
          <w:rFonts w:hint="eastAsia" w:ascii="宋体" w:hAnsi="宋体" w:cs="宋体"/>
          <w:color w:val="333333"/>
          <w:spacing w:val="7"/>
          <w:sz w:val="24"/>
          <w:szCs w:val="28"/>
        </w:rPr>
        <w:t>地点：江苏省南通市江通路48号，江苏商贸职业学院资产管理处（西大门南侧）办公室，如有变动另行通知。</w:t>
      </w:r>
    </w:p>
    <w:p w14:paraId="001F4EF5">
      <w:pPr>
        <w:shd w:val="clear" w:color="auto" w:fill="FFFFFF"/>
        <w:spacing w:after="0" w:line="360" w:lineRule="auto"/>
        <w:ind w:firstLine="508" w:firstLineChars="200"/>
        <w:outlineLvl w:val="1"/>
        <w:rPr>
          <w:rFonts w:hint="eastAsia" w:ascii="宋体" w:hAnsi="宋体" w:cs="宋体"/>
          <w:color w:val="333333"/>
          <w:spacing w:val="7"/>
          <w:sz w:val="24"/>
          <w:szCs w:val="28"/>
        </w:rPr>
      </w:pPr>
      <w:r>
        <w:rPr>
          <w:rFonts w:hint="eastAsia" w:ascii="宋体" w:hAnsi="宋体" w:cs="宋体"/>
          <w:color w:val="333333"/>
          <w:spacing w:val="7"/>
          <w:sz w:val="24"/>
          <w:szCs w:val="28"/>
        </w:rPr>
        <w:t>五、开启</w:t>
      </w:r>
    </w:p>
    <w:p w14:paraId="582DF787">
      <w:pPr>
        <w:shd w:val="clear" w:color="auto" w:fill="FFFFFF"/>
        <w:spacing w:after="0" w:line="360" w:lineRule="auto"/>
        <w:ind w:firstLine="482" w:firstLineChars="200"/>
        <w:rPr>
          <w:rFonts w:hint="eastAsia" w:ascii="宋体" w:hAnsi="宋体" w:cs="宋体"/>
          <w:b/>
          <w:bCs/>
          <w:sz w:val="24"/>
          <w:szCs w:val="28"/>
        </w:rPr>
      </w:pPr>
      <w:r>
        <w:rPr>
          <w:rFonts w:hint="eastAsia" w:ascii="宋体" w:hAnsi="宋体" w:cs="宋体"/>
          <w:b/>
          <w:bCs/>
          <w:sz w:val="24"/>
          <w:szCs w:val="28"/>
        </w:rPr>
        <w:t>时间：202</w:t>
      </w:r>
      <w:r>
        <w:rPr>
          <w:rFonts w:hint="eastAsia" w:ascii="宋体" w:hAnsi="宋体" w:cs="宋体"/>
          <w:b/>
          <w:bCs/>
          <w:sz w:val="24"/>
          <w:szCs w:val="28"/>
          <w:lang w:val="en-US" w:eastAsia="zh-CN"/>
        </w:rPr>
        <w:t>6</w:t>
      </w:r>
      <w:r>
        <w:rPr>
          <w:rFonts w:hint="eastAsia" w:ascii="宋体" w:hAnsi="宋体" w:cs="宋体"/>
          <w:b/>
          <w:bCs/>
          <w:color w:val="auto"/>
          <w:sz w:val="24"/>
          <w:szCs w:val="28"/>
        </w:rPr>
        <w:t>年</w:t>
      </w:r>
      <w:r>
        <w:rPr>
          <w:rFonts w:hint="eastAsia" w:ascii="宋体" w:hAnsi="宋体" w:cs="宋体"/>
          <w:b/>
          <w:bCs/>
          <w:color w:val="auto"/>
          <w:sz w:val="24"/>
          <w:szCs w:val="28"/>
          <w:lang w:val="en-US" w:eastAsia="zh-CN"/>
        </w:rPr>
        <w:t>04</w:t>
      </w:r>
      <w:r>
        <w:rPr>
          <w:rFonts w:hint="eastAsia" w:ascii="宋体" w:hAnsi="宋体" w:cs="宋体"/>
          <w:b/>
          <w:bCs/>
          <w:color w:val="auto"/>
          <w:sz w:val="24"/>
          <w:szCs w:val="28"/>
        </w:rPr>
        <w:t>月</w:t>
      </w:r>
      <w:r>
        <w:rPr>
          <w:rFonts w:hint="eastAsia" w:ascii="宋体" w:hAnsi="宋体" w:cs="宋体"/>
          <w:b/>
          <w:bCs/>
          <w:color w:val="auto"/>
          <w:sz w:val="24"/>
          <w:szCs w:val="28"/>
          <w:lang w:val="en-US" w:eastAsia="zh-CN"/>
        </w:rPr>
        <w:t>30</w:t>
      </w:r>
      <w:r>
        <w:rPr>
          <w:rFonts w:hint="eastAsia" w:ascii="宋体" w:hAnsi="宋体" w:cs="宋体"/>
          <w:b/>
          <w:bCs/>
          <w:color w:val="auto"/>
          <w:sz w:val="24"/>
          <w:szCs w:val="28"/>
        </w:rPr>
        <w:t>日09</w:t>
      </w:r>
      <w:r>
        <w:rPr>
          <w:rFonts w:hint="eastAsia" w:ascii="宋体" w:hAnsi="宋体" w:cs="宋体"/>
          <w:b/>
          <w:bCs/>
          <w:color w:val="auto"/>
          <w:sz w:val="24"/>
          <w:szCs w:val="28"/>
          <w:lang w:val="en-US" w:eastAsia="zh-CN"/>
        </w:rPr>
        <w:t>时</w:t>
      </w:r>
      <w:r>
        <w:rPr>
          <w:rFonts w:hint="eastAsia" w:ascii="宋体" w:hAnsi="宋体" w:cs="宋体"/>
          <w:b/>
          <w:bCs/>
          <w:color w:val="auto"/>
          <w:sz w:val="24"/>
          <w:szCs w:val="28"/>
        </w:rPr>
        <w:t>（北京时间）</w:t>
      </w:r>
    </w:p>
    <w:p w14:paraId="423B453C">
      <w:pPr>
        <w:widowControl w:val="0"/>
        <w:adjustRightInd/>
        <w:snapToGrid/>
        <w:spacing w:after="0" w:line="360" w:lineRule="auto"/>
        <w:ind w:firstLine="480" w:firstLineChars="200"/>
        <w:rPr>
          <w:rFonts w:hint="eastAsia" w:ascii="宋体" w:hAnsi="宋体" w:cs="宋体"/>
          <w:color w:val="333333"/>
          <w:spacing w:val="7"/>
          <w:sz w:val="24"/>
          <w:szCs w:val="28"/>
        </w:rPr>
      </w:pPr>
      <w:r>
        <w:rPr>
          <w:rFonts w:hint="eastAsia" w:ascii="宋体" w:hAnsi="宋体" w:cs="宋体"/>
          <w:sz w:val="24"/>
          <w:szCs w:val="28"/>
        </w:rPr>
        <w:t>地点：</w:t>
      </w:r>
      <w:r>
        <w:rPr>
          <w:rFonts w:hint="eastAsia" w:ascii="宋体" w:hAnsi="宋体" w:cs="宋体"/>
          <w:color w:val="333333"/>
          <w:spacing w:val="7"/>
          <w:sz w:val="24"/>
          <w:szCs w:val="28"/>
        </w:rPr>
        <w:t>江苏商贸职业学院基建会议室，如有变动另行通知。</w:t>
      </w:r>
    </w:p>
    <w:p w14:paraId="4921F66D">
      <w:pPr>
        <w:shd w:val="clear" w:color="auto" w:fill="FFFFFF"/>
        <w:spacing w:after="0" w:line="360" w:lineRule="auto"/>
        <w:ind w:firstLine="508" w:firstLineChars="200"/>
        <w:outlineLvl w:val="1"/>
        <w:rPr>
          <w:rFonts w:hint="eastAsia" w:ascii="宋体" w:hAnsi="宋体" w:cs="宋体"/>
          <w:color w:val="333333"/>
          <w:spacing w:val="7"/>
          <w:sz w:val="24"/>
          <w:szCs w:val="28"/>
        </w:rPr>
      </w:pPr>
      <w:r>
        <w:rPr>
          <w:rFonts w:hint="eastAsia" w:ascii="宋体" w:hAnsi="宋体" w:cs="宋体"/>
          <w:color w:val="333333"/>
          <w:spacing w:val="7"/>
          <w:sz w:val="24"/>
          <w:szCs w:val="28"/>
        </w:rPr>
        <w:t>六、公告期限</w:t>
      </w:r>
    </w:p>
    <w:p w14:paraId="42202903">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自本公告发布之日起</w:t>
      </w:r>
      <w:r>
        <w:rPr>
          <w:rFonts w:hint="eastAsia" w:ascii="宋体" w:hAnsi="宋体" w:cs="宋体"/>
          <w:color w:val="333333"/>
          <w:spacing w:val="7"/>
          <w:sz w:val="24"/>
          <w:szCs w:val="28"/>
          <w:lang w:val="en-US" w:eastAsia="zh-CN"/>
        </w:rPr>
        <w:t>5</w:t>
      </w:r>
      <w:r>
        <w:rPr>
          <w:rFonts w:hint="eastAsia" w:ascii="宋体" w:hAnsi="宋体" w:cs="宋体"/>
          <w:color w:val="333333"/>
          <w:spacing w:val="7"/>
          <w:sz w:val="24"/>
          <w:szCs w:val="28"/>
        </w:rPr>
        <w:t>个工作日。</w:t>
      </w:r>
    </w:p>
    <w:p w14:paraId="48E4A858">
      <w:pPr>
        <w:shd w:val="clear" w:color="auto" w:fill="FFFFFF"/>
        <w:spacing w:after="0" w:line="360" w:lineRule="auto"/>
        <w:ind w:firstLine="508" w:firstLineChars="200"/>
        <w:outlineLvl w:val="1"/>
        <w:rPr>
          <w:rFonts w:hint="eastAsia" w:ascii="宋体" w:hAnsi="宋体" w:cs="宋体"/>
          <w:color w:val="333333"/>
          <w:spacing w:val="7"/>
          <w:sz w:val="24"/>
          <w:szCs w:val="28"/>
        </w:rPr>
      </w:pPr>
      <w:r>
        <w:rPr>
          <w:rFonts w:hint="eastAsia" w:ascii="宋体" w:hAnsi="宋体" w:cs="宋体"/>
          <w:color w:val="333333"/>
          <w:spacing w:val="7"/>
          <w:sz w:val="24"/>
          <w:szCs w:val="28"/>
        </w:rPr>
        <w:t>七、其他补充事宜</w:t>
      </w:r>
    </w:p>
    <w:p w14:paraId="2FADA04A">
      <w:pPr>
        <w:shd w:val="clear" w:color="auto" w:fill="FFFFFF"/>
        <w:spacing w:after="0" w:line="360" w:lineRule="auto"/>
        <w:ind w:firstLine="508" w:firstLineChars="200"/>
        <w:outlineLvl w:val="1"/>
        <w:rPr>
          <w:rFonts w:hint="eastAsia" w:ascii="宋体" w:hAnsi="宋体" w:cs="宋体"/>
          <w:color w:val="333333"/>
          <w:spacing w:val="7"/>
          <w:sz w:val="24"/>
          <w:szCs w:val="28"/>
        </w:rPr>
      </w:pPr>
      <w:r>
        <w:rPr>
          <w:rFonts w:hint="eastAsia" w:ascii="宋体" w:hAnsi="宋体" w:cs="宋体"/>
          <w:color w:val="333333"/>
          <w:spacing w:val="7"/>
          <w:sz w:val="24"/>
          <w:szCs w:val="28"/>
        </w:rPr>
        <w:t>对项目需求部分的询问、质疑请向采购人提出，由采购人负责答复。对采购文件其他有关问题请向代理公司经办人员提出。</w:t>
      </w:r>
    </w:p>
    <w:p w14:paraId="7414170D">
      <w:pPr>
        <w:shd w:val="clear" w:color="auto" w:fill="FFFFFF"/>
        <w:spacing w:after="0" w:line="360" w:lineRule="auto"/>
        <w:ind w:firstLine="482" w:firstLineChars="200"/>
        <w:outlineLvl w:val="1"/>
        <w:rPr>
          <w:rFonts w:hint="eastAsia" w:ascii="宋体" w:hAnsi="宋体" w:cs="宋体"/>
          <w:color w:val="333333"/>
          <w:spacing w:val="7"/>
          <w:sz w:val="24"/>
          <w:szCs w:val="28"/>
        </w:rPr>
      </w:pPr>
      <w:r>
        <w:rPr>
          <w:rFonts w:hint="eastAsia" w:ascii="宋体" w:hAnsi="宋体" w:cs="宋体"/>
          <w:b/>
          <w:bCs/>
          <w:sz w:val="24"/>
          <w:szCs w:val="28"/>
        </w:rPr>
        <w:t>其中：对评审过程中涉及到的密封检查、身份核对、澄清等和程序性事项，供应商如有异议的，必须当场提出。否则，均视为供应商无异议。无论是否成交，供应商事后不得再就前述事项提出任何异议或质疑投诉。</w:t>
      </w:r>
    </w:p>
    <w:p w14:paraId="4F9D8BCB">
      <w:pPr>
        <w:shd w:val="clear" w:color="auto" w:fill="FFFFFF"/>
        <w:spacing w:after="0" w:line="360" w:lineRule="auto"/>
        <w:ind w:firstLine="508" w:firstLineChars="200"/>
        <w:outlineLvl w:val="1"/>
        <w:rPr>
          <w:rFonts w:hint="eastAsia" w:ascii="宋体" w:hAnsi="宋体" w:cs="宋体"/>
          <w:color w:val="333333"/>
          <w:spacing w:val="7"/>
          <w:sz w:val="24"/>
          <w:szCs w:val="28"/>
        </w:rPr>
      </w:pPr>
      <w:r>
        <w:rPr>
          <w:rFonts w:hint="eastAsia" w:ascii="宋体" w:hAnsi="宋体" w:cs="宋体"/>
          <w:color w:val="333333"/>
          <w:spacing w:val="7"/>
          <w:sz w:val="24"/>
          <w:szCs w:val="28"/>
        </w:rPr>
        <w:t>八、凡对本次采购提出询问，请按以下方式联系。</w:t>
      </w:r>
    </w:p>
    <w:p w14:paraId="343407C8">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1、采购人信息</w:t>
      </w:r>
    </w:p>
    <w:p w14:paraId="7A4FFEB8">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单位名称：江苏商贸职业学院</w:t>
      </w:r>
    </w:p>
    <w:p w14:paraId="6A397DD9">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单位地址：江苏省南通市江通路48号</w:t>
      </w:r>
    </w:p>
    <w:p w14:paraId="6756BAED">
      <w:pPr>
        <w:spacing w:after="0" w:line="360" w:lineRule="auto"/>
        <w:ind w:firstLine="480" w:firstLineChars="200"/>
        <w:rPr>
          <w:rFonts w:hint="default" w:ascii="宋体" w:hAnsi="宋体" w:eastAsia="宋体" w:cs="宋体"/>
          <w:color w:val="auto"/>
          <w:spacing w:val="7"/>
          <w:sz w:val="24"/>
          <w:szCs w:val="28"/>
          <w:lang w:val="en-US" w:eastAsia="zh-CN"/>
        </w:rPr>
      </w:pPr>
      <w:r>
        <w:rPr>
          <w:rFonts w:hint="eastAsia" w:ascii="宋体" w:hAnsi="宋体" w:cs="宋体"/>
          <w:color w:val="auto"/>
          <w:sz w:val="24"/>
          <w:lang w:val="en-US" w:eastAsia="zh-CN"/>
        </w:rPr>
        <w:t>冯</w:t>
      </w:r>
      <w:r>
        <w:rPr>
          <w:rFonts w:hint="eastAsia" w:ascii="宋体" w:hAnsi="宋体" w:cs="宋体"/>
          <w:color w:val="auto"/>
          <w:sz w:val="24"/>
        </w:rPr>
        <w:t>老师</w:t>
      </w:r>
      <w:r>
        <w:rPr>
          <w:rFonts w:ascii="宋体" w:hAnsi="宋体" w:cs="宋体"/>
          <w:color w:val="auto"/>
          <w:sz w:val="24"/>
        </w:rPr>
        <w:t>（</w:t>
      </w:r>
      <w:r>
        <w:rPr>
          <w:rFonts w:hint="eastAsia" w:ascii="宋体" w:hAnsi="宋体" w:cs="宋体"/>
          <w:color w:val="auto"/>
          <w:sz w:val="24"/>
          <w:lang w:val="en-US" w:eastAsia="zh-CN"/>
        </w:rPr>
        <w:t>图书信息与大数据管理中心</w:t>
      </w:r>
      <w:r>
        <w:rPr>
          <w:rFonts w:ascii="宋体" w:hAnsi="宋体" w:cs="宋体"/>
          <w:color w:val="auto"/>
          <w:sz w:val="24"/>
        </w:rPr>
        <w:t>）</w:t>
      </w:r>
      <w:r>
        <w:rPr>
          <w:rFonts w:hint="eastAsia" w:ascii="宋体" w:hAnsi="宋体" w:cs="宋体"/>
          <w:color w:val="auto"/>
          <w:sz w:val="24"/>
          <w:lang w:val="en-US" w:eastAsia="zh-CN"/>
        </w:rPr>
        <w:t xml:space="preserve"> </w:t>
      </w:r>
      <w:r>
        <w:rPr>
          <w:rFonts w:ascii="宋体" w:hAnsi="宋体" w:cs="宋体"/>
          <w:color w:val="auto"/>
          <w:sz w:val="24"/>
        </w:rPr>
        <w:t>联系电话</w:t>
      </w:r>
      <w:r>
        <w:rPr>
          <w:rFonts w:hint="eastAsia" w:ascii="宋体" w:hAnsi="宋体" w:cs="宋体"/>
          <w:color w:val="auto"/>
          <w:sz w:val="24"/>
        </w:rPr>
        <w:t>：</w:t>
      </w:r>
      <w:r>
        <w:rPr>
          <w:rFonts w:hint="eastAsia" w:ascii="宋体" w:hAnsi="宋体" w:eastAsia="宋体" w:cs="宋体"/>
          <w:color w:val="auto"/>
          <w:spacing w:val="7"/>
          <w:sz w:val="24"/>
          <w:szCs w:val="28"/>
          <w:lang w:val="en-US" w:eastAsia="zh-CN"/>
        </w:rPr>
        <w:t>0513-8567242</w:t>
      </w:r>
    </w:p>
    <w:p w14:paraId="5C38783B">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 xml:space="preserve">杨老师 （资产管理处）      </w:t>
      </w:r>
      <w:r>
        <w:rPr>
          <w:rFonts w:hint="eastAsia" w:ascii="宋体" w:hAnsi="宋体" w:cs="宋体"/>
          <w:spacing w:val="7"/>
          <w:sz w:val="24"/>
          <w:szCs w:val="28"/>
          <w:lang w:val="en-US" w:eastAsia="zh-CN"/>
        </w:rPr>
        <w:t xml:space="preserve">      </w:t>
      </w:r>
      <w:r>
        <w:rPr>
          <w:rFonts w:hint="eastAsia" w:ascii="宋体" w:hAnsi="宋体" w:cs="宋体"/>
          <w:spacing w:val="7"/>
          <w:sz w:val="24"/>
          <w:szCs w:val="28"/>
        </w:rPr>
        <w:t>联系电话：0513-85679264；</w:t>
      </w:r>
    </w:p>
    <w:p w14:paraId="3BCC9261">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联系邮箱：jssyzcglc@ jsbc.edu.cn</w:t>
      </w:r>
    </w:p>
    <w:p w14:paraId="4B4A4447">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2、监督、投诉联系方式</w:t>
      </w:r>
    </w:p>
    <w:p w14:paraId="0337B609">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电话：0513-85679216，联系邮箱：jssyjjjc@163.com.</w:t>
      </w:r>
    </w:p>
    <w:p w14:paraId="24165FE3">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3、采购代理机构信息</w:t>
      </w:r>
    </w:p>
    <w:p w14:paraId="47D2CEF4">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名称：东方华星建设管理（江苏）有限公司</w:t>
      </w:r>
    </w:p>
    <w:p w14:paraId="60C3A9A6">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地址：南通市崇川区北大街万科壹中心2402室</w:t>
      </w:r>
    </w:p>
    <w:p w14:paraId="47C06813">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经办人联系方式：王江 15922159523</w:t>
      </w:r>
    </w:p>
    <w:p w14:paraId="2C3A3866">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邮箱：dfhxnt@126.com</w:t>
      </w:r>
    </w:p>
    <w:p w14:paraId="2D995773">
      <w:pPr>
        <w:pStyle w:val="77"/>
        <w:adjustRightInd w:val="0"/>
        <w:snapToGrid w:val="0"/>
        <w:spacing w:line="360" w:lineRule="auto"/>
        <w:ind w:firstLine="482"/>
        <w:jc w:val="center"/>
        <w:rPr>
          <w:rFonts w:hint="eastAsia" w:ascii="宋体" w:hAnsi="宋体" w:cs="宋体"/>
          <w:b/>
          <w:bCs/>
          <w:color w:val="auto"/>
          <w:sz w:val="24"/>
          <w:szCs w:val="32"/>
        </w:rPr>
      </w:pPr>
      <w:r>
        <w:rPr>
          <w:rFonts w:hint="eastAsia" w:ascii="宋体" w:hAnsi="宋体" w:cs="宋体"/>
          <w:b/>
          <w:bCs/>
          <w:sz w:val="24"/>
          <w:szCs w:val="32"/>
        </w:rPr>
        <w:br w:type="page"/>
      </w:r>
      <w:r>
        <w:rPr>
          <w:rFonts w:hint="eastAsia" w:ascii="宋体" w:hAnsi="宋体" w:cs="宋体"/>
          <w:b/>
          <w:bCs/>
          <w:color w:val="auto"/>
          <w:sz w:val="24"/>
          <w:szCs w:val="32"/>
        </w:rPr>
        <w:t>第二部分  项目需求</w:t>
      </w:r>
    </w:p>
    <w:p w14:paraId="72F083E4">
      <w:pPr>
        <w:spacing w:after="0" w:line="360" w:lineRule="auto"/>
        <w:ind w:firstLine="480" w:firstLineChars="200"/>
        <w:rPr>
          <w:rFonts w:hint="eastAsia" w:ascii="宋体" w:hAnsi="宋体" w:cs="宋体"/>
          <w:spacing w:val="7"/>
          <w:sz w:val="24"/>
          <w:szCs w:val="28"/>
        </w:rPr>
      </w:pPr>
      <w:r>
        <w:rPr>
          <w:rFonts w:hint="eastAsia" w:ascii="宋体" w:hAnsi="宋体" w:cs="宋体"/>
          <w:sz w:val="24"/>
          <w:szCs w:val="28"/>
        </w:rPr>
        <w:t>采购人江苏商贸职业学院对</w:t>
      </w:r>
      <w:r>
        <w:rPr>
          <w:rFonts w:hint="eastAsia" w:ascii="宋体" w:hAnsi="宋体" w:cs="宋体"/>
          <w:sz w:val="24"/>
          <w:szCs w:val="28"/>
          <w:lang w:eastAsia="zh-CN"/>
        </w:rPr>
        <w:t>江苏商贸职业学院钢木书架采购项目(一)</w:t>
      </w:r>
      <w:r>
        <w:rPr>
          <w:rFonts w:hint="eastAsia" w:ascii="宋体" w:hAnsi="宋体" w:cs="宋体"/>
          <w:sz w:val="24"/>
          <w:szCs w:val="28"/>
        </w:rPr>
        <w:t>进行采购招标。响应供应商需仔细研读采购文件，以充分了解</w:t>
      </w:r>
      <w:r>
        <w:rPr>
          <w:rFonts w:hint="eastAsia" w:ascii="宋体" w:hAnsi="宋体" w:cs="宋体"/>
          <w:sz w:val="24"/>
          <w:szCs w:val="28"/>
          <w:lang w:val="en-US" w:eastAsia="zh-CN"/>
        </w:rPr>
        <w:t>采购</w:t>
      </w:r>
      <w:r>
        <w:rPr>
          <w:rFonts w:hint="eastAsia" w:ascii="宋体" w:hAnsi="宋体" w:cs="宋体"/>
          <w:sz w:val="24"/>
          <w:szCs w:val="28"/>
        </w:rPr>
        <w:t>人</w:t>
      </w:r>
      <w:r>
        <w:rPr>
          <w:rFonts w:hint="eastAsia" w:ascii="宋体" w:hAnsi="宋体" w:cs="宋体"/>
          <w:sz w:val="24"/>
          <w:szCs w:val="28"/>
          <w:lang w:val="en-US" w:eastAsia="zh-CN"/>
        </w:rPr>
        <w:t>的</w:t>
      </w:r>
      <w:r>
        <w:rPr>
          <w:rFonts w:hint="eastAsia" w:ascii="宋体" w:hAnsi="宋体" w:cs="宋体"/>
          <w:sz w:val="24"/>
          <w:szCs w:val="28"/>
        </w:rPr>
        <w:t>采购需要，作出合理的响应。具体内容如下：</w:t>
      </w:r>
    </w:p>
    <w:p w14:paraId="37A6A292">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ascii="宋体" w:hAnsi="宋体" w:cs="宋体"/>
          <w:b/>
          <w:bCs/>
          <w:iCs/>
          <w:sz w:val="24"/>
        </w:rPr>
      </w:pPr>
      <w:r>
        <w:rPr>
          <w:rFonts w:hint="eastAsia" w:ascii="宋体" w:hAnsi="宋体" w:cs="宋体"/>
          <w:b/>
          <w:bCs/>
          <w:iCs/>
          <w:sz w:val="24"/>
        </w:rPr>
        <w:t>一、钢制书架整体要求</w:t>
      </w:r>
    </w:p>
    <w:p w14:paraId="728FAC6E">
      <w:pPr>
        <w:keepNext w:val="0"/>
        <w:keepLines w:val="0"/>
        <w:pageBreakBefore w:val="0"/>
        <w:widowControl/>
        <w:kinsoku/>
        <w:wordWrap/>
        <w:overflowPunct/>
        <w:topLinePunct w:val="0"/>
        <w:autoSpaceDE/>
        <w:autoSpaceDN/>
        <w:bidi w:val="0"/>
        <w:adjustRightInd w:val="0"/>
        <w:snapToGrid w:val="0"/>
        <w:spacing w:before="120" w:after="0" w:line="360" w:lineRule="auto"/>
        <w:ind w:firstLine="480" w:firstLineChars="200"/>
        <w:jc w:val="left"/>
        <w:textAlignment w:val="auto"/>
        <w:rPr>
          <w:rFonts w:ascii="宋体" w:hAnsi="宋体" w:cs="宋体"/>
          <w:kern w:val="0"/>
          <w:sz w:val="24"/>
        </w:rPr>
      </w:pPr>
      <w:r>
        <w:rPr>
          <w:rFonts w:hint="eastAsia" w:ascii="宋体" w:hAnsi="宋体" w:cs="宋体"/>
          <w:kern w:val="0"/>
          <w:sz w:val="24"/>
        </w:rPr>
        <w:t>做工精细，材质优良，整体结实稳固，造型设计美观、实用、舒适，表面光泽、平整、纹理清晰。书架立板节与节之间封闭，表面平整、光滑、无焊接。钢制部分采用无螺丝扣接技术，架体在扣接处采用卡口结构原理进行设计，在无辅助条件下，确保架体牢固不松动。书架颜色与款式由采购方指定。</w:t>
      </w:r>
    </w:p>
    <w:p w14:paraId="17646E00">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ascii="宋体" w:hAnsi="宋体" w:cs="宋体"/>
          <w:b/>
          <w:bCs/>
          <w:iCs/>
          <w:sz w:val="24"/>
        </w:rPr>
      </w:pPr>
      <w:r>
        <w:rPr>
          <w:rFonts w:hint="eastAsia" w:ascii="宋体" w:hAnsi="宋体" w:cs="宋体"/>
          <w:b/>
          <w:bCs/>
          <w:iCs/>
          <w:sz w:val="24"/>
        </w:rPr>
        <w:t>二、钢制书架技术参数要求</w:t>
      </w:r>
    </w:p>
    <w:p w14:paraId="390663E3">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钢书架或钢木书架需求</w:t>
      </w:r>
      <w:r>
        <w:rPr>
          <w:rFonts w:hint="eastAsia" w:ascii="宋体" w:hAnsi="宋体" w:cs="宋体"/>
          <w:kern w:val="0"/>
          <w:sz w:val="24"/>
        </w:rPr>
        <w:t>规格</w:t>
      </w:r>
      <w:r>
        <w:rPr>
          <w:rFonts w:hint="eastAsia" w:ascii="宋体" w:hAnsi="宋体" w:cs="宋体"/>
          <w:kern w:val="0"/>
          <w:sz w:val="24"/>
          <w:lang w:val="en-US" w:eastAsia="zh-CN"/>
        </w:rPr>
        <w:t>配置</w:t>
      </w:r>
      <w:r>
        <w:rPr>
          <w:rFonts w:hint="eastAsia" w:ascii="宋体" w:hAnsi="宋体" w:cs="宋体"/>
          <w:kern w:val="0"/>
          <w:sz w:val="24"/>
          <w:lang w:eastAsia="zh-CN"/>
        </w:rPr>
        <w:t>，</w:t>
      </w:r>
      <w:r>
        <w:rPr>
          <w:rFonts w:hint="eastAsia" w:ascii="宋体" w:hAnsi="宋体" w:cs="宋体"/>
          <w:kern w:val="0"/>
          <w:sz w:val="24"/>
          <w:lang w:val="en-US" w:eastAsia="zh-CN"/>
        </w:rPr>
        <w:t>参见附件：图书书架拟采购分项清单。以节为计量单位</w:t>
      </w:r>
      <w:r>
        <w:rPr>
          <w:rFonts w:hint="eastAsia" w:ascii="宋体" w:hAnsi="宋体" w:cs="宋体"/>
          <w:kern w:val="0"/>
          <w:sz w:val="24"/>
        </w:rPr>
        <w:t>。</w:t>
      </w:r>
    </w:p>
    <w:p w14:paraId="62F1AFB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cs="宋体"/>
          <w:kern w:val="0"/>
          <w:sz w:val="24"/>
          <w:lang w:val="en-US" w:eastAsia="zh-CN"/>
        </w:rPr>
      </w:pPr>
      <w:r>
        <w:rPr>
          <w:rFonts w:hint="eastAsia" w:ascii="宋体" w:hAnsi="宋体" w:cs="宋体"/>
          <w:kern w:val="0"/>
          <w:sz w:val="24"/>
          <w:lang w:val="en-US" w:eastAsia="zh-CN"/>
        </w:rPr>
        <w:t>2.图书书架主要由底拉板、立柱、挂板、搁板、顶板、侧板、挡书板等</w:t>
      </w:r>
      <w:r>
        <w:rPr>
          <w:rFonts w:hint="eastAsia" w:ascii="宋体" w:hAnsi="宋体" w:cs="宋体"/>
          <w:color w:val="auto"/>
          <w:kern w:val="0"/>
          <w:sz w:val="24"/>
          <w:lang w:val="en-US" w:eastAsia="zh-CN"/>
        </w:rPr>
        <w:t>部</w:t>
      </w:r>
      <w:r>
        <w:rPr>
          <w:rFonts w:hint="eastAsia" w:ascii="宋体" w:hAnsi="宋体" w:cs="宋体"/>
          <w:kern w:val="0"/>
          <w:sz w:val="24"/>
          <w:lang w:val="en-US" w:eastAsia="zh-CN"/>
        </w:rPr>
        <w:t>分组成。</w:t>
      </w:r>
      <w:r>
        <w:rPr>
          <w:rFonts w:hint="eastAsia" w:ascii="宋体" w:hAnsi="宋体" w:cs="宋体"/>
          <w:color w:val="auto"/>
          <w:kern w:val="0"/>
          <w:sz w:val="24"/>
          <w:lang w:val="en-US" w:eastAsia="zh-CN"/>
        </w:rPr>
        <w:t>架体总高为200㎝的六层双面书架板面间每层均高≥31cm、架体总高为220㎝的六层双面书架板面间每层均高≥33㎝、架体总高为245cm的七层双面书架板面间每层均高≥30cm。</w:t>
      </w:r>
      <w:r>
        <w:rPr>
          <w:rFonts w:hint="eastAsia" w:ascii="宋体" w:hAnsi="宋体" w:cs="宋体"/>
          <w:kern w:val="0"/>
          <w:sz w:val="24"/>
          <w:lang w:val="en-US" w:eastAsia="zh-CN"/>
        </w:rPr>
        <w:t>每层2面，层距可调节，双面书架每层搁板均匀承重80kg、单面书架每层搁板均匀承重40kg。具体尺寸可根据需要定做。</w:t>
      </w:r>
    </w:p>
    <w:p w14:paraId="5E0EA15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cs="宋体"/>
          <w:kern w:val="0"/>
          <w:sz w:val="24"/>
        </w:rPr>
      </w:pPr>
      <w:r>
        <w:rPr>
          <w:rFonts w:hint="eastAsia" w:ascii="宋体" w:hAnsi="宋体" w:cs="宋体"/>
          <w:kern w:val="0"/>
          <w:sz w:val="24"/>
        </w:rPr>
        <w:t>3.架体主材要求：立柱</w:t>
      </w:r>
      <w:r>
        <w:rPr>
          <w:rFonts w:hint="eastAsia" w:ascii="宋体" w:hAnsi="宋体" w:cs="宋体"/>
          <w:kern w:val="0"/>
          <w:sz w:val="24"/>
          <w:lang w:val="en-US" w:eastAsia="zh-CN"/>
        </w:rPr>
        <w:t>裸板</w:t>
      </w:r>
      <w:r>
        <w:rPr>
          <w:rFonts w:hint="eastAsia" w:ascii="宋体" w:hAnsi="宋体" w:cs="宋体"/>
          <w:kern w:val="0"/>
          <w:sz w:val="24"/>
        </w:rPr>
        <w:t>δ</w:t>
      </w:r>
      <w:r>
        <w:rPr>
          <w:rFonts w:hint="eastAsia" w:ascii="宋体" w:hAnsi="宋体" w:cs="宋体"/>
          <w:kern w:val="0"/>
          <w:sz w:val="24"/>
          <w:lang w:val="en-US" w:eastAsia="zh-CN"/>
        </w:rPr>
        <w:t>≥</w:t>
      </w:r>
      <w:r>
        <w:rPr>
          <w:rFonts w:hint="eastAsia" w:ascii="宋体" w:hAnsi="宋体" w:cs="宋体"/>
          <w:kern w:val="0"/>
          <w:sz w:val="24"/>
        </w:rPr>
        <w:t>1.</w:t>
      </w:r>
      <w:r>
        <w:rPr>
          <w:rFonts w:hint="eastAsia" w:ascii="宋体" w:hAnsi="宋体" w:cs="宋体"/>
          <w:kern w:val="0"/>
          <w:sz w:val="24"/>
          <w:lang w:val="en-US" w:eastAsia="zh-CN"/>
        </w:rPr>
        <w:t>0</w:t>
      </w:r>
      <w:r>
        <w:rPr>
          <w:rFonts w:hint="eastAsia" w:ascii="宋体" w:hAnsi="宋体" w:cs="宋体"/>
          <w:kern w:val="0"/>
          <w:sz w:val="24"/>
        </w:rPr>
        <w:t>mm，底</w:t>
      </w:r>
      <w:r>
        <w:rPr>
          <w:rFonts w:hint="eastAsia" w:ascii="宋体" w:hAnsi="宋体" w:cs="宋体"/>
          <w:kern w:val="0"/>
          <w:sz w:val="24"/>
          <w:lang w:val="en-US" w:eastAsia="zh-CN"/>
        </w:rPr>
        <w:t>拉板裸板≥1.0</w:t>
      </w:r>
      <w:r>
        <w:rPr>
          <w:rFonts w:hint="eastAsia" w:ascii="宋体" w:hAnsi="宋体" w:cs="宋体"/>
          <w:kern w:val="0"/>
          <w:sz w:val="24"/>
        </w:rPr>
        <w:t>mm，</w:t>
      </w:r>
      <w:r>
        <w:rPr>
          <w:rFonts w:hint="eastAsia" w:ascii="宋体" w:hAnsi="宋体" w:cs="宋体"/>
          <w:kern w:val="0"/>
          <w:sz w:val="24"/>
          <w:lang w:val="en-US" w:eastAsia="zh-CN"/>
        </w:rPr>
        <w:t>顶板裸板δ≥</w:t>
      </w:r>
      <w:r>
        <w:rPr>
          <w:rFonts w:hint="eastAsia" w:ascii="宋体" w:hAnsi="宋体" w:cs="宋体"/>
          <w:color w:val="auto"/>
          <w:kern w:val="0"/>
          <w:sz w:val="24"/>
          <w:lang w:val="en-US" w:eastAsia="zh-CN"/>
        </w:rPr>
        <w:t>0.6mm，</w:t>
      </w:r>
      <w:r>
        <w:rPr>
          <w:rFonts w:hint="eastAsia" w:ascii="宋体" w:hAnsi="宋体" w:cs="宋体"/>
          <w:color w:val="auto"/>
          <w:kern w:val="0"/>
          <w:sz w:val="24"/>
        </w:rPr>
        <w:t>搁板</w:t>
      </w:r>
      <w:r>
        <w:rPr>
          <w:rFonts w:hint="eastAsia" w:ascii="宋体" w:hAnsi="宋体" w:cs="宋体"/>
          <w:color w:val="auto"/>
          <w:kern w:val="0"/>
          <w:sz w:val="24"/>
          <w:lang w:val="en-US" w:eastAsia="zh-CN"/>
        </w:rPr>
        <w:t>裸板</w:t>
      </w:r>
      <w:r>
        <w:rPr>
          <w:rFonts w:hint="eastAsia" w:ascii="宋体" w:hAnsi="宋体" w:cs="宋体"/>
          <w:color w:val="auto"/>
          <w:kern w:val="0"/>
          <w:sz w:val="24"/>
        </w:rPr>
        <w:t>δ</w:t>
      </w:r>
      <w:r>
        <w:rPr>
          <w:rFonts w:hint="eastAsia" w:ascii="宋体" w:hAnsi="宋体" w:cs="宋体"/>
          <w:color w:val="auto"/>
          <w:kern w:val="0"/>
          <w:sz w:val="24"/>
          <w:lang w:val="en-US" w:eastAsia="zh-CN"/>
        </w:rPr>
        <w:t>≥0.8</w:t>
      </w:r>
      <w:r>
        <w:rPr>
          <w:rFonts w:hint="eastAsia" w:ascii="宋体" w:hAnsi="宋体" w:cs="宋体"/>
          <w:color w:val="auto"/>
          <w:kern w:val="0"/>
          <w:sz w:val="24"/>
        </w:rPr>
        <w:t>mm，挂板</w:t>
      </w:r>
      <w:r>
        <w:rPr>
          <w:rFonts w:hint="eastAsia" w:ascii="宋体" w:hAnsi="宋体" w:cs="宋体"/>
          <w:color w:val="auto"/>
          <w:kern w:val="0"/>
          <w:sz w:val="24"/>
          <w:lang w:val="en-US" w:eastAsia="zh-CN"/>
        </w:rPr>
        <w:t>裸板</w:t>
      </w:r>
      <w:r>
        <w:rPr>
          <w:rFonts w:hint="eastAsia" w:ascii="宋体" w:hAnsi="宋体" w:cs="宋体"/>
          <w:color w:val="auto"/>
          <w:kern w:val="0"/>
          <w:sz w:val="24"/>
        </w:rPr>
        <w:t>δ</w:t>
      </w:r>
      <w:r>
        <w:rPr>
          <w:rFonts w:hint="eastAsia" w:ascii="宋体" w:hAnsi="宋体" w:cs="宋体"/>
          <w:color w:val="auto"/>
          <w:kern w:val="0"/>
          <w:sz w:val="24"/>
          <w:lang w:val="en-US" w:eastAsia="zh-CN"/>
        </w:rPr>
        <w:t>≥0.8</w:t>
      </w:r>
      <w:r>
        <w:rPr>
          <w:rFonts w:hint="eastAsia" w:ascii="宋体" w:hAnsi="宋体" w:cs="宋体"/>
          <w:color w:val="auto"/>
          <w:kern w:val="0"/>
          <w:sz w:val="24"/>
        </w:rPr>
        <w:t>mm，</w:t>
      </w:r>
      <w:r>
        <w:rPr>
          <w:rFonts w:hint="eastAsia" w:ascii="宋体" w:hAnsi="宋体" w:cs="宋体"/>
          <w:color w:val="auto"/>
          <w:kern w:val="0"/>
          <w:sz w:val="24"/>
          <w:lang w:val="en-US" w:eastAsia="zh-CN"/>
        </w:rPr>
        <w:t>侧</w:t>
      </w:r>
      <w:r>
        <w:rPr>
          <w:rFonts w:hint="eastAsia" w:ascii="宋体" w:hAnsi="宋体" w:cs="宋体"/>
          <w:color w:val="auto"/>
          <w:kern w:val="0"/>
          <w:sz w:val="24"/>
        </w:rPr>
        <w:t>板</w:t>
      </w:r>
      <w:r>
        <w:rPr>
          <w:rFonts w:hint="eastAsia" w:ascii="宋体" w:hAnsi="宋体" w:cs="宋体"/>
          <w:color w:val="auto"/>
          <w:kern w:val="0"/>
          <w:sz w:val="24"/>
          <w:lang w:val="en-US" w:eastAsia="zh-CN"/>
        </w:rPr>
        <w:t>裸板</w:t>
      </w:r>
      <w:r>
        <w:rPr>
          <w:rFonts w:hint="eastAsia" w:ascii="宋体" w:hAnsi="宋体" w:cs="宋体"/>
          <w:color w:val="auto"/>
          <w:kern w:val="0"/>
          <w:sz w:val="24"/>
        </w:rPr>
        <w:t>δ</w:t>
      </w:r>
      <w:r>
        <w:rPr>
          <w:rFonts w:hint="eastAsia" w:ascii="宋体" w:hAnsi="宋体" w:cs="宋体"/>
          <w:color w:val="auto"/>
          <w:kern w:val="0"/>
          <w:sz w:val="24"/>
          <w:lang w:val="en-US" w:eastAsia="zh-CN"/>
        </w:rPr>
        <w:t>≥0.6</w:t>
      </w:r>
      <w:r>
        <w:rPr>
          <w:rFonts w:hint="eastAsia" w:ascii="宋体" w:hAnsi="宋体" w:cs="宋体"/>
          <w:color w:val="auto"/>
          <w:kern w:val="0"/>
          <w:sz w:val="24"/>
        </w:rPr>
        <w:t>mm，</w:t>
      </w:r>
      <w:r>
        <w:rPr>
          <w:rFonts w:hint="eastAsia" w:ascii="宋体" w:hAnsi="宋体" w:cs="宋体"/>
          <w:color w:val="auto"/>
          <w:kern w:val="0"/>
          <w:sz w:val="24"/>
          <w:lang w:val="en-US" w:eastAsia="zh-CN"/>
        </w:rPr>
        <w:t>挡书板裸板</w:t>
      </w:r>
      <w:r>
        <w:rPr>
          <w:rFonts w:hint="eastAsia" w:ascii="宋体" w:hAnsi="宋体" w:cs="宋体"/>
          <w:color w:val="auto"/>
          <w:kern w:val="0"/>
          <w:sz w:val="24"/>
        </w:rPr>
        <w:t>δ</w:t>
      </w:r>
      <w:r>
        <w:rPr>
          <w:rFonts w:hint="eastAsia" w:ascii="宋体" w:hAnsi="宋体" w:cs="宋体"/>
          <w:color w:val="auto"/>
          <w:kern w:val="0"/>
          <w:sz w:val="24"/>
          <w:lang w:val="en-US" w:eastAsia="zh-CN"/>
        </w:rPr>
        <w:t>≥</w:t>
      </w:r>
      <w:r>
        <w:rPr>
          <w:rFonts w:hint="eastAsia" w:ascii="宋体" w:hAnsi="宋体" w:cs="宋体"/>
          <w:color w:val="auto"/>
          <w:kern w:val="0"/>
          <w:sz w:val="24"/>
        </w:rPr>
        <w:t>0.</w:t>
      </w:r>
      <w:r>
        <w:rPr>
          <w:rFonts w:hint="eastAsia" w:ascii="宋体" w:hAnsi="宋体" w:cs="宋体"/>
          <w:color w:val="auto"/>
          <w:kern w:val="0"/>
          <w:sz w:val="24"/>
          <w:lang w:val="en-US" w:eastAsia="zh-CN"/>
        </w:rPr>
        <w:t>6</w:t>
      </w:r>
      <w:r>
        <w:rPr>
          <w:rFonts w:hint="eastAsia" w:ascii="宋体" w:hAnsi="宋体" w:cs="宋体"/>
          <w:color w:val="auto"/>
          <w:kern w:val="0"/>
          <w:sz w:val="24"/>
        </w:rPr>
        <w:t>mm</w:t>
      </w:r>
      <w:r>
        <w:rPr>
          <w:rFonts w:hint="eastAsia" w:ascii="宋体" w:hAnsi="宋体" w:cs="宋体"/>
          <w:kern w:val="0"/>
          <w:sz w:val="24"/>
        </w:rPr>
        <w:t>，层数和</w:t>
      </w:r>
      <w:r>
        <w:rPr>
          <w:rFonts w:hint="eastAsia" w:ascii="宋体" w:hAnsi="宋体" w:cs="宋体"/>
          <w:kern w:val="0"/>
          <w:sz w:val="24"/>
          <w:lang w:val="en-US" w:eastAsia="zh-CN"/>
        </w:rPr>
        <w:t>间距</w:t>
      </w:r>
      <w:r>
        <w:rPr>
          <w:rFonts w:hint="eastAsia" w:ascii="宋体" w:hAnsi="宋体" w:cs="宋体"/>
          <w:kern w:val="0"/>
          <w:sz w:val="24"/>
        </w:rPr>
        <w:t>可自由调整，表面</w:t>
      </w:r>
      <w:r>
        <w:rPr>
          <w:rFonts w:hint="eastAsia" w:ascii="宋体" w:hAnsi="宋体" w:cs="宋体"/>
          <w:kern w:val="0"/>
          <w:sz w:val="24"/>
          <w:lang w:val="en-US" w:eastAsia="zh-CN"/>
        </w:rPr>
        <w:t>烤漆或</w:t>
      </w:r>
      <w:r>
        <w:rPr>
          <w:rFonts w:hint="eastAsia" w:ascii="宋体" w:hAnsi="宋体" w:cs="宋体"/>
          <w:kern w:val="0"/>
          <w:sz w:val="24"/>
        </w:rPr>
        <w:t>静电喷塑。</w:t>
      </w:r>
    </w:p>
    <w:p w14:paraId="17352E4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cs="宋体"/>
          <w:kern w:val="0"/>
          <w:sz w:val="24"/>
        </w:rPr>
      </w:pPr>
      <w:r>
        <w:rPr>
          <w:rFonts w:hint="eastAsia" w:ascii="宋体" w:hAnsi="宋体" w:cs="宋体"/>
          <w:kern w:val="0"/>
          <w:sz w:val="24"/>
        </w:rPr>
        <w:t>4.底</w:t>
      </w:r>
      <w:r>
        <w:rPr>
          <w:rFonts w:hint="eastAsia" w:ascii="宋体" w:hAnsi="宋体" w:cs="宋体"/>
          <w:kern w:val="0"/>
          <w:sz w:val="24"/>
          <w:lang w:val="en-US" w:eastAsia="zh-CN"/>
        </w:rPr>
        <w:t>拉板</w:t>
      </w:r>
      <w:r>
        <w:rPr>
          <w:rFonts w:hint="eastAsia" w:ascii="宋体" w:hAnsi="宋体" w:cs="宋体"/>
          <w:kern w:val="0"/>
          <w:sz w:val="24"/>
        </w:rPr>
        <w:t>：采用</w:t>
      </w:r>
      <w:r>
        <w:rPr>
          <w:rFonts w:hint="eastAsia" w:ascii="宋体" w:hAnsi="宋体" w:cs="宋体"/>
          <w:kern w:val="0"/>
          <w:sz w:val="24"/>
          <w:lang w:val="en-US" w:eastAsia="zh-CN"/>
        </w:rPr>
        <w:t>裸板</w:t>
      </w:r>
      <w:r>
        <w:rPr>
          <w:rFonts w:hint="eastAsia" w:ascii="宋体" w:hAnsi="宋体" w:cs="宋体"/>
          <w:kern w:val="0"/>
          <w:sz w:val="24"/>
        </w:rPr>
        <w:t>厚</w:t>
      </w:r>
      <w:r>
        <w:rPr>
          <w:rFonts w:hint="eastAsia" w:ascii="宋体" w:hAnsi="宋体" w:cs="宋体"/>
          <w:kern w:val="0"/>
          <w:sz w:val="24"/>
          <w:lang w:val="en-US" w:eastAsia="zh-CN"/>
        </w:rPr>
        <w:t>度不低于1.0</w:t>
      </w:r>
      <w:r>
        <w:rPr>
          <w:rFonts w:hint="eastAsia" w:ascii="宋体" w:hAnsi="宋体" w:cs="宋体"/>
          <w:kern w:val="0"/>
          <w:sz w:val="24"/>
        </w:rPr>
        <w:t>mm冷轧钢板，结构牢固稳定。底座高度≥1</w:t>
      </w:r>
      <w:r>
        <w:rPr>
          <w:rFonts w:hint="eastAsia" w:ascii="宋体" w:hAnsi="宋体" w:cs="宋体"/>
          <w:kern w:val="0"/>
          <w:sz w:val="24"/>
          <w:lang w:val="en-US" w:eastAsia="zh-CN"/>
        </w:rPr>
        <w:t>2</w:t>
      </w:r>
      <w:r>
        <w:rPr>
          <w:rFonts w:hint="eastAsia" w:ascii="宋体" w:hAnsi="宋体" w:cs="宋体"/>
          <w:kern w:val="0"/>
          <w:sz w:val="24"/>
        </w:rPr>
        <w:t>0mm。</w:t>
      </w:r>
    </w:p>
    <w:p w14:paraId="34924F1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kern w:val="0"/>
          <w:sz w:val="24"/>
          <w:lang w:eastAsia="zh-CN"/>
        </w:rPr>
      </w:pPr>
      <w:r>
        <w:rPr>
          <w:rFonts w:hint="eastAsia" w:ascii="宋体" w:hAnsi="宋体" w:cs="宋体"/>
          <w:kern w:val="0"/>
          <w:sz w:val="24"/>
        </w:rPr>
        <w:t>5.立柱：雲筋立柱：采用</w:t>
      </w:r>
      <w:r>
        <w:rPr>
          <w:rFonts w:hint="eastAsia" w:ascii="宋体" w:hAnsi="宋体" w:cs="宋体"/>
          <w:kern w:val="0"/>
          <w:sz w:val="24"/>
          <w:lang w:val="en-US" w:eastAsia="zh-CN"/>
        </w:rPr>
        <w:t>裸板≥</w:t>
      </w:r>
      <w:r>
        <w:rPr>
          <w:rFonts w:hint="eastAsia" w:ascii="宋体" w:hAnsi="宋体" w:cs="宋体"/>
          <w:kern w:val="0"/>
          <w:sz w:val="24"/>
        </w:rPr>
        <w:t>1.</w:t>
      </w:r>
      <w:r>
        <w:rPr>
          <w:rFonts w:hint="eastAsia" w:ascii="宋体" w:hAnsi="宋体" w:cs="宋体"/>
          <w:kern w:val="0"/>
          <w:sz w:val="24"/>
          <w:lang w:val="en-US" w:eastAsia="zh-CN"/>
        </w:rPr>
        <w:t>0</w:t>
      </w:r>
      <w:r>
        <w:rPr>
          <w:rFonts w:hint="eastAsia" w:ascii="宋体" w:hAnsi="宋体" w:cs="宋体"/>
          <w:kern w:val="0"/>
          <w:sz w:val="24"/>
        </w:rPr>
        <w:t>mm冷轧钢板，截面尺寸为50x39mm（±2mm），立柱正面压制梯形槽，槽宽35mmx深2mm（±1mm），槽内压制一次成型中式雲纹筋，背面采用R3mm圆弧角过渡，一次挤压成D形封闭口，截面尺寸为8x7mm（±1mm），立柱两侧均匀冲裁挂钩孔，孔距为54mm（±2mm），使搁板层数和间距可按需调整，挂钩孔向内拉伸成腰形凹槽，外形尺寸为38x12mm（±1mm），槽深2mm（±0.2mm）侧面距边8mm（±0.5mm）处均压制两条加强圆筋，筋宽5mm（±0.3mm），深1.5mm（±0.5mm）</w:t>
      </w:r>
      <w:r>
        <w:rPr>
          <w:rFonts w:hint="eastAsia" w:ascii="宋体" w:hAnsi="宋体" w:cs="宋体"/>
          <w:kern w:val="0"/>
          <w:sz w:val="24"/>
          <w:lang w:eastAsia="zh-CN"/>
        </w:rPr>
        <w:t>。</w:t>
      </w:r>
    </w:p>
    <w:p w14:paraId="2CCED2AE">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cs="宋体"/>
          <w:kern w:val="0"/>
          <w:sz w:val="24"/>
        </w:rPr>
      </w:pPr>
      <w:r>
        <w:rPr>
          <w:rFonts w:hint="eastAsia" w:ascii="宋体" w:hAnsi="宋体" w:cs="宋体"/>
          <w:kern w:val="0"/>
          <w:sz w:val="24"/>
        </w:rPr>
        <w:t>6.搁板：采用</w:t>
      </w:r>
      <w:r>
        <w:rPr>
          <w:rFonts w:hint="eastAsia" w:ascii="宋体" w:hAnsi="宋体" w:cs="宋体"/>
          <w:kern w:val="0"/>
          <w:sz w:val="24"/>
          <w:lang w:val="en-US" w:eastAsia="zh-CN"/>
        </w:rPr>
        <w:t>裸板</w:t>
      </w:r>
      <w:r>
        <w:rPr>
          <w:rFonts w:hint="eastAsia" w:ascii="宋体" w:hAnsi="宋体" w:cs="宋体"/>
          <w:kern w:val="0"/>
          <w:sz w:val="24"/>
        </w:rPr>
        <w:t>厚</w:t>
      </w:r>
      <w:r>
        <w:rPr>
          <w:rFonts w:hint="eastAsia" w:ascii="宋体" w:hAnsi="宋体" w:cs="宋体"/>
          <w:kern w:val="0"/>
          <w:sz w:val="24"/>
          <w:lang w:val="en-US" w:eastAsia="zh-CN"/>
        </w:rPr>
        <w:t>度不低于0.8</w:t>
      </w:r>
      <w:r>
        <w:rPr>
          <w:rFonts w:hint="eastAsia" w:ascii="宋体" w:hAnsi="宋体" w:cs="宋体"/>
          <w:kern w:val="0"/>
          <w:sz w:val="24"/>
        </w:rPr>
        <w:t>mm冷轧钢板，搁板防惯性滑落设计，九折弯一体成形工艺，两侧形成15mm（±1mm）宽内封闭式矩形口。搁板正面压制两组圆筋，每组压筋数3条，主筋尺寸5x2.5mm（±0.5mm），辅筋尺寸3.6x1.8mm（±0.2mm），两侧各压制两根加强筋，筋尺寸3x1.5mm（±0.2mm）。搁板内侧厚度23mm（±2mm），外侧面厚度27mm（±2mm）。</w:t>
      </w:r>
    </w:p>
    <w:p w14:paraId="5F8EE3A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cs="宋体"/>
          <w:kern w:val="0"/>
          <w:sz w:val="24"/>
        </w:rPr>
      </w:pPr>
      <w:r>
        <w:rPr>
          <w:rFonts w:hint="eastAsia" w:ascii="宋体" w:hAnsi="宋体" w:cs="宋体"/>
          <w:kern w:val="0"/>
          <w:sz w:val="24"/>
        </w:rPr>
        <w:t>7.挂板：采用</w:t>
      </w:r>
      <w:r>
        <w:rPr>
          <w:rFonts w:hint="eastAsia" w:ascii="宋体" w:hAnsi="宋体" w:cs="宋体"/>
          <w:kern w:val="0"/>
          <w:sz w:val="24"/>
          <w:lang w:val="en-US" w:eastAsia="zh-CN"/>
        </w:rPr>
        <w:t>裸板厚度不低于0.8mm</w:t>
      </w:r>
      <w:r>
        <w:rPr>
          <w:rFonts w:hint="eastAsia" w:ascii="宋体" w:hAnsi="宋体" w:cs="宋体"/>
          <w:kern w:val="0"/>
          <w:sz w:val="24"/>
        </w:rPr>
        <w:t>冷轧钢板一体冲压成型</w:t>
      </w:r>
      <w:r>
        <w:rPr>
          <w:rFonts w:hint="eastAsia" w:ascii="宋体" w:hAnsi="宋体" w:cs="宋体"/>
          <w:kern w:val="0"/>
          <w:sz w:val="24"/>
          <w:lang w:eastAsia="zh-CN"/>
        </w:rPr>
        <w:t>、</w:t>
      </w:r>
      <w:r>
        <w:rPr>
          <w:rFonts w:hint="eastAsia" w:ascii="宋体" w:hAnsi="宋体" w:cs="宋体"/>
          <w:kern w:val="0"/>
          <w:sz w:val="24"/>
          <w:lang w:val="en-US" w:eastAsia="zh-CN"/>
        </w:rPr>
        <w:t>表面平滑</w:t>
      </w:r>
      <w:r>
        <w:rPr>
          <w:rFonts w:hint="eastAsia" w:ascii="宋体" w:hAnsi="宋体" w:cs="宋体"/>
          <w:kern w:val="0"/>
          <w:sz w:val="24"/>
        </w:rPr>
        <w:t>。</w:t>
      </w:r>
    </w:p>
    <w:p w14:paraId="6617210B">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cs="宋体"/>
          <w:kern w:val="0"/>
          <w:sz w:val="24"/>
          <w:lang w:val="en-US" w:eastAsia="zh-CN"/>
        </w:rPr>
      </w:pPr>
      <w:r>
        <w:rPr>
          <w:rFonts w:hint="eastAsia" w:ascii="宋体" w:hAnsi="宋体" w:cs="宋体"/>
          <w:kern w:val="0"/>
          <w:sz w:val="24"/>
        </w:rPr>
        <w:t>8.档</w:t>
      </w:r>
      <w:r>
        <w:rPr>
          <w:rFonts w:hint="eastAsia" w:ascii="宋体" w:hAnsi="宋体" w:cs="宋体"/>
          <w:kern w:val="0"/>
          <w:sz w:val="24"/>
          <w:lang w:val="en-US" w:eastAsia="zh-CN"/>
        </w:rPr>
        <w:t>书</w:t>
      </w:r>
      <w:r>
        <w:rPr>
          <w:rFonts w:hint="eastAsia" w:ascii="宋体" w:hAnsi="宋体" w:cs="宋体"/>
          <w:kern w:val="0"/>
          <w:sz w:val="24"/>
        </w:rPr>
        <w:t>板：档</w:t>
      </w:r>
      <w:r>
        <w:rPr>
          <w:rFonts w:hint="eastAsia" w:ascii="宋体" w:hAnsi="宋体" w:cs="宋体"/>
          <w:kern w:val="0"/>
          <w:sz w:val="24"/>
          <w:lang w:val="en-US" w:eastAsia="zh-CN"/>
        </w:rPr>
        <w:t>书</w:t>
      </w:r>
      <w:r>
        <w:rPr>
          <w:rFonts w:hint="eastAsia" w:ascii="宋体" w:hAnsi="宋体" w:cs="宋体"/>
          <w:kern w:val="0"/>
          <w:sz w:val="24"/>
        </w:rPr>
        <w:t>板采用</w:t>
      </w:r>
      <w:r>
        <w:rPr>
          <w:rFonts w:hint="eastAsia" w:ascii="宋体" w:hAnsi="宋体" w:cs="宋体"/>
          <w:kern w:val="0"/>
          <w:sz w:val="24"/>
          <w:lang w:val="en-US" w:eastAsia="zh-CN"/>
        </w:rPr>
        <w:t>厚度不低于0.6mm</w:t>
      </w:r>
      <w:r>
        <w:rPr>
          <w:rFonts w:hint="eastAsia" w:ascii="宋体" w:hAnsi="宋体" w:cs="宋体"/>
          <w:kern w:val="0"/>
          <w:sz w:val="24"/>
        </w:rPr>
        <w:t>冷轧钢板一体成型，</w:t>
      </w:r>
      <w:r>
        <w:rPr>
          <w:rFonts w:hint="eastAsia" w:ascii="宋体" w:hAnsi="宋体" w:cs="宋体"/>
          <w:kern w:val="0"/>
          <w:sz w:val="24"/>
          <w:lang w:val="en-US" w:eastAsia="zh-CN"/>
        </w:rPr>
        <w:t>板压式两侧卡位</w:t>
      </w:r>
      <w:r>
        <w:rPr>
          <w:rFonts w:hint="eastAsia" w:ascii="宋体" w:hAnsi="宋体" w:cs="宋体"/>
          <w:kern w:val="0"/>
          <w:sz w:val="24"/>
        </w:rPr>
        <w:t>紧密相连</w:t>
      </w:r>
      <w:r>
        <w:rPr>
          <w:rFonts w:hint="eastAsia" w:ascii="宋体" w:hAnsi="宋体" w:cs="宋体"/>
          <w:kern w:val="0"/>
          <w:sz w:val="24"/>
          <w:lang w:eastAsia="zh-CN"/>
        </w:rPr>
        <w:t>、</w:t>
      </w:r>
      <w:r>
        <w:rPr>
          <w:rFonts w:hint="eastAsia" w:ascii="宋体" w:hAnsi="宋体" w:cs="宋体"/>
          <w:kern w:val="0"/>
          <w:sz w:val="24"/>
        </w:rPr>
        <w:t>不易松动脱落。用于分隔双面存放的</w:t>
      </w:r>
      <w:r>
        <w:rPr>
          <w:rFonts w:hint="eastAsia" w:ascii="宋体" w:hAnsi="宋体" w:cs="宋体"/>
          <w:kern w:val="0"/>
          <w:sz w:val="24"/>
          <w:lang w:val="en-US" w:eastAsia="zh-CN"/>
        </w:rPr>
        <w:t>图书</w:t>
      </w:r>
      <w:r>
        <w:rPr>
          <w:rFonts w:hint="eastAsia" w:ascii="宋体" w:hAnsi="宋体" w:cs="宋体"/>
          <w:kern w:val="0"/>
          <w:sz w:val="24"/>
        </w:rPr>
        <w:t>资料，防止混乱</w:t>
      </w:r>
      <w:r>
        <w:rPr>
          <w:rFonts w:hint="eastAsia" w:ascii="宋体" w:hAnsi="宋体" w:cs="宋体"/>
          <w:kern w:val="0"/>
          <w:sz w:val="24"/>
          <w:lang w:val="en-US" w:eastAsia="zh-CN"/>
        </w:rPr>
        <w:t>及图书智能定位时避免信号干扰</w:t>
      </w:r>
      <w:r>
        <w:rPr>
          <w:rFonts w:hint="eastAsia" w:ascii="宋体" w:hAnsi="宋体" w:cs="宋体"/>
          <w:kern w:val="0"/>
          <w:sz w:val="24"/>
        </w:rPr>
        <w:t>。</w:t>
      </w:r>
      <w:r>
        <w:rPr>
          <w:rFonts w:hint="eastAsia" w:ascii="宋体" w:hAnsi="宋体" w:cs="宋体"/>
          <w:kern w:val="0"/>
          <w:sz w:val="24"/>
          <w:lang w:val="en-US" w:eastAsia="zh-CN"/>
        </w:rPr>
        <w:t>宽900mm书架的</w:t>
      </w:r>
      <w:r>
        <w:rPr>
          <w:rFonts w:hint="eastAsia" w:ascii="宋体" w:hAnsi="宋体" w:cs="宋体"/>
          <w:kern w:val="0"/>
          <w:sz w:val="24"/>
        </w:rPr>
        <w:t>档</w:t>
      </w:r>
      <w:r>
        <w:rPr>
          <w:rFonts w:hint="eastAsia" w:ascii="宋体" w:hAnsi="宋体" w:cs="宋体"/>
          <w:kern w:val="0"/>
          <w:sz w:val="24"/>
          <w:lang w:val="en-US" w:eastAsia="zh-CN"/>
        </w:rPr>
        <w:t>书</w:t>
      </w:r>
      <w:r>
        <w:rPr>
          <w:rFonts w:hint="eastAsia" w:ascii="宋体" w:hAnsi="宋体" w:cs="宋体"/>
          <w:kern w:val="0"/>
          <w:sz w:val="24"/>
        </w:rPr>
        <w:t>板</w:t>
      </w:r>
      <w:r>
        <w:rPr>
          <w:rFonts w:hint="eastAsia" w:ascii="宋体" w:hAnsi="宋体" w:cs="宋体"/>
          <w:kern w:val="0"/>
          <w:sz w:val="24"/>
          <w:lang w:eastAsia="zh-CN"/>
        </w:rPr>
        <w:t>：</w:t>
      </w:r>
      <w:r>
        <w:rPr>
          <w:rFonts w:hint="eastAsia" w:ascii="宋体" w:hAnsi="宋体" w:cs="宋体"/>
          <w:kern w:val="0"/>
          <w:sz w:val="24"/>
          <w:lang w:val="en-US" w:eastAsia="zh-CN"/>
        </w:rPr>
        <w:t>长度850mm,垂直高度85mm，底面卡边、凹槽的尺寸分别是12mm、30mm、12mm；宽950mm书架的挡书板：长度900mm,垂直高度85mm，底面卡边、凹槽的尺寸分别是12mm、30mm、12mm。</w:t>
      </w:r>
    </w:p>
    <w:p w14:paraId="405DC64E">
      <w:pPr>
        <w:widowControl/>
        <w:spacing w:line="360" w:lineRule="auto"/>
        <w:jc w:val="left"/>
        <w:rPr>
          <w:rFonts w:hint="eastAsia" w:ascii="宋体" w:hAnsi="宋体" w:cs="宋体"/>
          <w:kern w:val="0"/>
          <w:sz w:val="24"/>
          <w:lang w:val="en-US" w:eastAsia="zh-CN"/>
        </w:rPr>
      </w:pPr>
      <w:r>
        <w:rPr>
          <w:rFonts w:hint="eastAsia" w:ascii="宋体" w:hAnsi="宋体" w:cs="宋体"/>
          <w:sz w:val="20"/>
          <w:szCs w:val="22"/>
        </w:rPr>
        <w:drawing>
          <wp:anchor distT="0" distB="0" distL="114300" distR="114300" simplePos="0" relativeHeight="251661312" behindDoc="0" locked="0" layoutInCell="1" allowOverlap="1">
            <wp:simplePos x="0" y="0"/>
            <wp:positionH relativeFrom="column">
              <wp:posOffset>1280160</wp:posOffset>
            </wp:positionH>
            <wp:positionV relativeFrom="page">
              <wp:posOffset>3612515</wp:posOffset>
            </wp:positionV>
            <wp:extent cx="2759710" cy="1570990"/>
            <wp:effectExtent l="0" t="0" r="2540" b="10160"/>
            <wp:wrapSquare wrapText="bothSides"/>
            <wp:docPr id="3" name="图片 3" descr="微信图片_20260328174210_142_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60328174210_142_26"/>
                    <pic:cNvPicPr>
                      <a:picLocks noChangeAspect="1"/>
                    </pic:cNvPicPr>
                  </pic:nvPicPr>
                  <pic:blipFill>
                    <a:blip r:embed="rId11"/>
                    <a:stretch>
                      <a:fillRect/>
                    </a:stretch>
                  </pic:blipFill>
                  <pic:spPr>
                    <a:xfrm>
                      <a:off x="0" y="0"/>
                      <a:ext cx="2759710" cy="1570990"/>
                    </a:xfrm>
                    <a:prstGeom prst="rect">
                      <a:avLst/>
                    </a:prstGeom>
                  </pic:spPr>
                </pic:pic>
              </a:graphicData>
            </a:graphic>
          </wp:anchor>
        </w:drawing>
      </w:r>
    </w:p>
    <w:p w14:paraId="36139C3C">
      <w:pPr>
        <w:widowControl/>
        <w:spacing w:line="360" w:lineRule="auto"/>
        <w:ind w:firstLine="480" w:firstLineChars="200"/>
        <w:jc w:val="left"/>
        <w:rPr>
          <w:rFonts w:ascii="宋体" w:hAnsi="宋体" w:cs="宋体"/>
          <w:kern w:val="0"/>
          <w:sz w:val="24"/>
        </w:rPr>
      </w:pPr>
    </w:p>
    <w:p w14:paraId="1F347DFB">
      <w:pPr>
        <w:widowControl/>
        <w:spacing w:line="360" w:lineRule="auto"/>
        <w:jc w:val="left"/>
        <w:rPr>
          <w:rFonts w:ascii="宋体" w:hAnsi="宋体" w:cs="宋体"/>
          <w:kern w:val="0"/>
          <w:sz w:val="24"/>
        </w:rPr>
      </w:pPr>
    </w:p>
    <w:p w14:paraId="11E7F7F4">
      <w:pPr>
        <w:widowControl/>
        <w:spacing w:line="360" w:lineRule="auto"/>
        <w:jc w:val="left"/>
        <w:rPr>
          <w:rFonts w:ascii="宋体" w:hAnsi="宋体" w:cs="宋体"/>
          <w:b/>
          <w:bCs/>
          <w:kern w:val="0"/>
          <w:sz w:val="20"/>
          <w:szCs w:val="22"/>
        </w:rPr>
      </w:pPr>
    </w:p>
    <w:p w14:paraId="591044C7">
      <w:pPr>
        <w:keepNext w:val="0"/>
        <w:keepLines w:val="0"/>
        <w:pageBreakBefore w:val="0"/>
        <w:widowControl/>
        <w:kinsoku/>
        <w:wordWrap/>
        <w:overflowPunct/>
        <w:topLinePunct w:val="0"/>
        <w:autoSpaceDE/>
        <w:autoSpaceDN/>
        <w:bidi w:val="0"/>
        <w:adjustRightInd w:val="0"/>
        <w:snapToGrid w:val="0"/>
        <w:spacing w:after="0" w:line="360" w:lineRule="auto"/>
        <w:ind w:firstLine="402" w:firstLineChars="200"/>
        <w:jc w:val="left"/>
        <w:textAlignment w:val="auto"/>
        <w:rPr>
          <w:rFonts w:hint="eastAsia" w:ascii="宋体" w:hAnsi="宋体" w:cs="宋体"/>
          <w:b/>
          <w:bCs/>
          <w:kern w:val="0"/>
          <w:sz w:val="20"/>
          <w:szCs w:val="22"/>
        </w:rPr>
      </w:pPr>
    </w:p>
    <w:p w14:paraId="7AFE81B8">
      <w:pPr>
        <w:keepNext w:val="0"/>
        <w:keepLines w:val="0"/>
        <w:pageBreakBefore w:val="0"/>
        <w:widowControl/>
        <w:kinsoku/>
        <w:wordWrap/>
        <w:overflowPunct/>
        <w:topLinePunct w:val="0"/>
        <w:autoSpaceDE/>
        <w:autoSpaceDN/>
        <w:bidi w:val="0"/>
        <w:adjustRightInd w:val="0"/>
        <w:snapToGrid w:val="0"/>
        <w:spacing w:after="0" w:line="360" w:lineRule="auto"/>
        <w:ind w:firstLine="402" w:firstLineChars="200"/>
        <w:jc w:val="center"/>
        <w:textAlignment w:val="auto"/>
        <w:rPr>
          <w:rFonts w:ascii="宋体" w:hAnsi="宋体" w:cs="宋体"/>
          <w:kern w:val="0"/>
          <w:sz w:val="24"/>
        </w:rPr>
      </w:pPr>
      <w:r>
        <w:rPr>
          <w:rFonts w:hint="eastAsia" w:ascii="宋体" w:hAnsi="宋体" w:cs="宋体"/>
          <w:b/>
          <w:bCs/>
          <w:kern w:val="0"/>
          <w:sz w:val="20"/>
          <w:szCs w:val="22"/>
        </w:rPr>
        <w:t>参考图片1 ：挡书板</w:t>
      </w:r>
    </w:p>
    <w:p w14:paraId="379A38B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ascii="宋体" w:hAnsi="宋体" w:cs="宋体"/>
          <w:kern w:val="0"/>
          <w:sz w:val="24"/>
        </w:rPr>
      </w:pPr>
      <w:r>
        <w:rPr>
          <w:rFonts w:hint="eastAsia" w:ascii="宋体" w:hAnsi="宋体" w:cs="宋体"/>
          <w:kern w:val="0"/>
          <w:sz w:val="24"/>
        </w:rPr>
        <w:t>9.侧板</w:t>
      </w:r>
    </w:p>
    <w:p w14:paraId="73DD0CF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ascii="宋体" w:hAnsi="宋体" w:cs="宋体"/>
          <w:kern w:val="0"/>
          <w:sz w:val="24"/>
        </w:rPr>
      </w:pPr>
      <w:r>
        <w:rPr>
          <w:rFonts w:hint="eastAsia" w:ascii="宋体" w:hAnsi="宋体" w:cs="宋体"/>
          <w:kern w:val="0"/>
          <w:sz w:val="24"/>
        </w:rPr>
        <w:t>9.1钢书架侧板，侧板裸板厚δ≥</w:t>
      </w:r>
      <w:r>
        <w:rPr>
          <w:rFonts w:hint="eastAsia" w:ascii="宋体" w:hAnsi="宋体" w:cs="宋体"/>
          <w:color w:val="auto"/>
          <w:kern w:val="0"/>
          <w:sz w:val="24"/>
        </w:rPr>
        <w:t>0.</w:t>
      </w:r>
      <w:r>
        <w:rPr>
          <w:rFonts w:hint="eastAsia" w:ascii="宋体" w:hAnsi="宋体" w:cs="宋体"/>
          <w:color w:val="auto"/>
          <w:kern w:val="0"/>
          <w:sz w:val="24"/>
          <w:lang w:val="en-US" w:eastAsia="zh-CN"/>
        </w:rPr>
        <w:t>6</w:t>
      </w:r>
      <w:r>
        <w:rPr>
          <w:rFonts w:hint="eastAsia" w:ascii="宋体" w:hAnsi="宋体" w:cs="宋体"/>
          <w:color w:val="auto"/>
          <w:kern w:val="0"/>
          <w:sz w:val="24"/>
        </w:rPr>
        <w:t>mm</w:t>
      </w:r>
      <w:r>
        <w:rPr>
          <w:rFonts w:hint="eastAsia" w:ascii="宋体" w:hAnsi="宋体" w:cs="宋体"/>
          <w:kern w:val="0"/>
          <w:sz w:val="24"/>
        </w:rPr>
        <w:t>。</w:t>
      </w:r>
    </w:p>
    <w:p w14:paraId="58B164A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ascii="宋体" w:hAnsi="宋体" w:cs="宋体"/>
          <w:kern w:val="0"/>
          <w:sz w:val="24"/>
        </w:rPr>
      </w:pPr>
      <w:r>
        <w:rPr>
          <w:rFonts w:hint="eastAsia" w:ascii="宋体" w:hAnsi="宋体" w:cs="宋体"/>
          <w:kern w:val="0"/>
          <w:sz w:val="24"/>
        </w:rPr>
        <w:t>9.2钢木书架侧板，采用橡胶木、榉木等材质做油漆工艺，木侧板厚度≥18mm。侧板上安装有可以插入纸张的亚克力标签框。顶边条、底边条：采用橡胶木、榉木等实木制作，底边条尺寸120mm（±0.5mm），顶边条尺寸35mm（±0.5mm），木条顶面平整。</w:t>
      </w:r>
    </w:p>
    <w:p w14:paraId="63CA178E">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ascii="宋体" w:hAnsi="宋体" w:cs="宋体"/>
          <w:kern w:val="0"/>
          <w:sz w:val="24"/>
        </w:rPr>
      </w:pPr>
      <w:r>
        <w:rPr>
          <w:rFonts w:hint="eastAsia" w:ascii="宋体" w:hAnsi="宋体" w:cs="宋体"/>
          <w:kern w:val="0"/>
          <w:sz w:val="24"/>
        </w:rPr>
        <w:t>9.3钢书架木纹侧板，木纹顶边条、木纹底边条，侧板裸板厚δ≥0.8mm。</w:t>
      </w:r>
    </w:p>
    <w:p w14:paraId="45C56668">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drawing>
          <wp:anchor distT="0" distB="0" distL="114300" distR="114300" simplePos="0" relativeHeight="251662336" behindDoc="0" locked="0" layoutInCell="1" allowOverlap="1">
            <wp:simplePos x="0" y="0"/>
            <wp:positionH relativeFrom="column">
              <wp:posOffset>1394460</wp:posOffset>
            </wp:positionH>
            <wp:positionV relativeFrom="page">
              <wp:posOffset>7472680</wp:posOffset>
            </wp:positionV>
            <wp:extent cx="2460625" cy="1193800"/>
            <wp:effectExtent l="0" t="0" r="15875" b="6350"/>
            <wp:wrapNone/>
            <wp:docPr id="7" name="图片 7" descr="微信图片_20260328173705_141_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60328173705_141_26"/>
                    <pic:cNvPicPr>
                      <a:picLocks noChangeAspect="1"/>
                    </pic:cNvPicPr>
                  </pic:nvPicPr>
                  <pic:blipFill>
                    <a:blip r:embed="rId12"/>
                    <a:stretch>
                      <a:fillRect/>
                    </a:stretch>
                  </pic:blipFill>
                  <pic:spPr>
                    <a:xfrm>
                      <a:off x="0" y="0"/>
                      <a:ext cx="2460625" cy="1193800"/>
                    </a:xfrm>
                    <a:prstGeom prst="rect">
                      <a:avLst/>
                    </a:prstGeom>
                  </pic:spPr>
                </pic:pic>
              </a:graphicData>
            </a:graphic>
          </wp:anchor>
        </w:drawing>
      </w:r>
    </w:p>
    <w:p w14:paraId="4E840479">
      <w:pPr>
        <w:widowControl/>
        <w:spacing w:line="360" w:lineRule="auto"/>
        <w:ind w:firstLine="480" w:firstLineChars="200"/>
        <w:jc w:val="left"/>
        <w:rPr>
          <w:rFonts w:ascii="宋体" w:hAnsi="宋体" w:cs="宋体"/>
          <w:kern w:val="0"/>
          <w:sz w:val="24"/>
        </w:rPr>
      </w:pPr>
    </w:p>
    <w:p w14:paraId="61FE4AA3">
      <w:pPr>
        <w:widowControl/>
        <w:spacing w:line="360" w:lineRule="auto"/>
        <w:ind w:firstLine="480" w:firstLineChars="200"/>
        <w:jc w:val="left"/>
        <w:rPr>
          <w:rFonts w:ascii="宋体" w:hAnsi="宋体" w:cs="宋体"/>
          <w:kern w:val="0"/>
          <w:sz w:val="24"/>
        </w:rPr>
      </w:pPr>
    </w:p>
    <w:p w14:paraId="5D4A166A">
      <w:pPr>
        <w:widowControl/>
        <w:spacing w:line="360" w:lineRule="auto"/>
        <w:ind w:firstLine="2008" w:firstLineChars="1000"/>
        <w:jc w:val="left"/>
        <w:rPr>
          <w:rFonts w:ascii="宋体" w:hAnsi="宋体" w:cs="宋体"/>
          <w:kern w:val="0"/>
          <w:sz w:val="24"/>
        </w:rPr>
      </w:pPr>
      <w:r>
        <w:rPr>
          <w:rFonts w:hint="eastAsia" w:ascii="宋体" w:hAnsi="宋体" w:cs="宋体"/>
          <w:b/>
          <w:bCs/>
          <w:kern w:val="0"/>
          <w:sz w:val="20"/>
          <w:szCs w:val="22"/>
        </w:rPr>
        <w:t>参考图片2（钢木书架颜色根据</w:t>
      </w:r>
      <w:r>
        <w:rPr>
          <w:rFonts w:hint="eastAsia" w:ascii="宋体" w:hAnsi="宋体" w:cs="宋体"/>
          <w:b/>
          <w:bCs/>
          <w:kern w:val="0"/>
          <w:sz w:val="20"/>
          <w:szCs w:val="22"/>
          <w:lang w:val="en-US" w:eastAsia="zh-CN"/>
        </w:rPr>
        <w:t>采购方</w:t>
      </w:r>
      <w:r>
        <w:rPr>
          <w:rFonts w:hint="eastAsia" w:ascii="宋体" w:hAnsi="宋体" w:cs="宋体"/>
          <w:b/>
          <w:bCs/>
          <w:kern w:val="0"/>
          <w:sz w:val="20"/>
          <w:szCs w:val="22"/>
        </w:rPr>
        <w:t>的要求生产）</w:t>
      </w:r>
    </w:p>
    <w:p w14:paraId="3F7E99D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ascii="宋体" w:hAnsi="宋体" w:cs="宋体"/>
          <w:kern w:val="0"/>
          <w:sz w:val="24"/>
        </w:rPr>
      </w:pPr>
      <w:r>
        <w:rPr>
          <w:rFonts w:hint="eastAsia" w:ascii="宋体" w:hAnsi="宋体" w:cs="宋体"/>
          <w:kern w:val="0"/>
          <w:sz w:val="24"/>
        </w:rPr>
        <w:t>10.钢书架顶板，采用裸板厚度不低于</w:t>
      </w:r>
      <w:r>
        <w:rPr>
          <w:rFonts w:hint="eastAsia" w:ascii="宋体" w:hAnsi="宋体" w:cs="宋体"/>
          <w:color w:val="auto"/>
          <w:kern w:val="0"/>
          <w:sz w:val="24"/>
        </w:rPr>
        <w:t>0.</w:t>
      </w:r>
      <w:r>
        <w:rPr>
          <w:rFonts w:hint="eastAsia" w:ascii="宋体" w:hAnsi="宋体" w:cs="宋体"/>
          <w:color w:val="auto"/>
          <w:kern w:val="0"/>
          <w:sz w:val="24"/>
          <w:lang w:val="en-US" w:eastAsia="zh-CN"/>
        </w:rPr>
        <w:t>6</w:t>
      </w:r>
      <w:r>
        <w:rPr>
          <w:rFonts w:hint="eastAsia" w:ascii="宋体" w:hAnsi="宋体" w:cs="宋体"/>
          <w:color w:val="auto"/>
          <w:kern w:val="0"/>
          <w:sz w:val="24"/>
        </w:rPr>
        <w:t>mm冷</w:t>
      </w:r>
      <w:r>
        <w:rPr>
          <w:rFonts w:hint="eastAsia" w:ascii="宋体" w:hAnsi="宋体" w:cs="宋体"/>
          <w:kern w:val="0"/>
          <w:sz w:val="24"/>
        </w:rPr>
        <w:t>轧钢板一体冲压成型、表面平滑。</w:t>
      </w:r>
    </w:p>
    <w:p w14:paraId="6FB6089B">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ascii="宋体" w:hAnsi="宋体" w:cs="宋体"/>
          <w:kern w:val="0"/>
          <w:sz w:val="24"/>
        </w:rPr>
      </w:pPr>
      <w:r>
        <w:rPr>
          <w:rFonts w:hint="eastAsia" w:ascii="宋体" w:hAnsi="宋体" w:cs="宋体"/>
          <w:kern w:val="0"/>
          <w:sz w:val="24"/>
        </w:rPr>
        <w:t>11.工艺要求：</w:t>
      </w:r>
    </w:p>
    <w:p w14:paraId="5E2227A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ascii="宋体" w:hAnsi="宋体" w:cs="宋体"/>
          <w:kern w:val="0"/>
          <w:sz w:val="24"/>
        </w:rPr>
      </w:pPr>
      <w:r>
        <w:rPr>
          <w:rFonts w:hint="eastAsia" w:ascii="宋体" w:hAnsi="宋体" w:cs="宋体"/>
          <w:kern w:val="0"/>
          <w:sz w:val="24"/>
        </w:rPr>
        <w:t>11.1钢质部分经过酸洗、碱洗、磷化表面处理，防锈、防腐蚀能力强，负载能力强。</w:t>
      </w:r>
    </w:p>
    <w:p w14:paraId="4E72618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ascii="宋体" w:hAnsi="宋体" w:cs="宋体"/>
          <w:kern w:val="0"/>
          <w:sz w:val="24"/>
        </w:rPr>
      </w:pPr>
      <w:r>
        <w:rPr>
          <w:rFonts w:hint="eastAsia" w:ascii="宋体" w:hAnsi="宋体" w:cs="宋体"/>
          <w:kern w:val="0"/>
          <w:sz w:val="24"/>
        </w:rPr>
        <w:t>11.2木材表面涂漆，采用环保的油漆工艺，油漆采用五底三面油漆工艺，油漆表面饱满 ，耐热、耐磨、耐腐蚀。</w:t>
      </w:r>
    </w:p>
    <w:p w14:paraId="2D9DA7E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ascii="宋体" w:hAnsi="宋体" w:cs="宋体"/>
          <w:sz w:val="24"/>
        </w:rPr>
      </w:pPr>
      <w:r>
        <w:rPr>
          <w:rFonts w:hint="eastAsia" w:ascii="宋体" w:hAnsi="宋体" w:cs="宋体"/>
          <w:kern w:val="0"/>
          <w:sz w:val="24"/>
        </w:rPr>
        <w:t>11.3插接式设计，不用螺丝，安装快捷。冷轧钢板</w:t>
      </w:r>
      <w:r>
        <w:rPr>
          <w:rFonts w:hint="eastAsia" w:ascii="宋体" w:hAnsi="宋体" w:cs="宋体"/>
          <w:sz w:val="24"/>
        </w:rPr>
        <w:t>压模成型，表面经脱脂、除油、去锈、酸洗、磷化等十三道工序处理等工序处理，喷涂无死角。 国际流行色亚光静电喷粉，高温塑化、抗锈蚀。优质环保原材料，无毒害无气味，光洁平滑，焊接牢固，焊痕光滑、平整。</w:t>
      </w:r>
    </w:p>
    <w:p w14:paraId="445C3EA0">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ascii="宋体" w:hAnsi="宋体" w:cs="宋体"/>
          <w:kern w:val="0"/>
          <w:sz w:val="24"/>
        </w:rPr>
      </w:pPr>
      <w:bookmarkStart w:id="0" w:name="_Toc184800956"/>
      <w:r>
        <w:rPr>
          <w:rFonts w:hint="eastAsia" w:ascii="宋体" w:hAnsi="宋体" w:cs="宋体"/>
          <w:kern w:val="0"/>
          <w:sz w:val="24"/>
        </w:rPr>
        <w:t>12.项目执行标准</w:t>
      </w:r>
      <w:bookmarkEnd w:id="0"/>
    </w:p>
    <w:p w14:paraId="02321B9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ascii="宋体" w:hAnsi="宋体" w:cs="宋体"/>
          <w:kern w:val="0"/>
          <w:sz w:val="24"/>
        </w:rPr>
      </w:pPr>
      <w:bookmarkStart w:id="1" w:name="_Toc12372830"/>
      <w:bookmarkStart w:id="2" w:name="_Toc10989348"/>
      <w:r>
        <w:rPr>
          <w:rFonts w:hint="eastAsia" w:ascii="宋体" w:hAnsi="宋体" w:cs="宋体"/>
          <w:kern w:val="0"/>
          <w:sz w:val="24"/>
        </w:rPr>
        <w:t xml:space="preserve">  GB/T 3325-2017《金属家具通用技术条件》</w:t>
      </w:r>
    </w:p>
    <w:p w14:paraId="4117A224">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jc w:val="left"/>
        <w:textAlignment w:val="auto"/>
        <w:rPr>
          <w:rFonts w:ascii="宋体" w:hAnsi="宋体" w:cs="宋体"/>
          <w:kern w:val="0"/>
          <w:sz w:val="24"/>
        </w:rPr>
      </w:pPr>
      <w:r>
        <w:rPr>
          <w:rFonts w:hint="eastAsia" w:ascii="宋体" w:hAnsi="宋体" w:cs="宋体"/>
          <w:kern w:val="0"/>
          <w:sz w:val="24"/>
        </w:rPr>
        <w:t>QB/T 1951.2-2013《金属家具质量检验及质量评定》</w:t>
      </w:r>
    </w:p>
    <w:p w14:paraId="0D8CD68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ascii="宋体" w:hAnsi="宋体" w:cs="宋体"/>
          <w:kern w:val="0"/>
          <w:sz w:val="24"/>
        </w:rPr>
      </w:pPr>
      <w:r>
        <w:rPr>
          <w:rFonts w:hint="eastAsia" w:ascii="宋体" w:hAnsi="宋体" w:cs="宋体"/>
          <w:kern w:val="0"/>
          <w:sz w:val="24"/>
        </w:rPr>
        <w:t xml:space="preserve">  GB/T 13667.1-2015《钢制书架 第1部分：单、复柱书架》</w:t>
      </w:r>
    </w:p>
    <w:p w14:paraId="164A7719">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ascii="宋体" w:hAnsi="宋体" w:cs="宋体"/>
          <w:kern w:val="0"/>
          <w:sz w:val="24"/>
        </w:rPr>
      </w:pPr>
      <w:r>
        <w:rPr>
          <w:rFonts w:hint="eastAsia" w:ascii="宋体" w:hAnsi="宋体" w:cs="宋体"/>
          <w:kern w:val="0"/>
          <w:sz w:val="24"/>
        </w:rPr>
        <w:t xml:space="preserve">  GB/T 13667.2-2017《钢制书架 第2部分：积层式书架》</w:t>
      </w:r>
    </w:p>
    <w:p w14:paraId="58EAB199">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ascii="宋体" w:hAnsi="宋体" w:cs="宋体"/>
          <w:kern w:val="0"/>
          <w:sz w:val="24"/>
        </w:rPr>
      </w:pPr>
      <w:r>
        <w:rPr>
          <w:rFonts w:hint="eastAsia" w:ascii="宋体" w:hAnsi="宋体" w:cs="宋体"/>
          <w:kern w:val="0"/>
          <w:sz w:val="24"/>
        </w:rPr>
        <w:t xml:space="preserve">  GB/T 11253-2019《碳素结构钢冷轧钢板和钢带》</w:t>
      </w:r>
    </w:p>
    <w:p w14:paraId="4F6D438B">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ascii="宋体" w:hAnsi="宋体" w:cs="宋体"/>
          <w:kern w:val="0"/>
          <w:sz w:val="24"/>
        </w:rPr>
      </w:pPr>
      <w:r>
        <w:rPr>
          <w:rFonts w:hint="eastAsia" w:ascii="宋体" w:hAnsi="宋体" w:cs="宋体"/>
          <w:kern w:val="0"/>
          <w:sz w:val="24"/>
        </w:rPr>
        <w:t xml:space="preserve">  GB/T 13237-2013《优质碳素结构钢冷轧钢板和钢带》</w:t>
      </w:r>
    </w:p>
    <w:p w14:paraId="6A0E686B">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ascii="宋体" w:hAnsi="宋体" w:cs="宋体"/>
          <w:kern w:val="0"/>
          <w:sz w:val="24"/>
        </w:rPr>
      </w:pPr>
      <w:r>
        <w:rPr>
          <w:rFonts w:hint="eastAsia" w:ascii="宋体" w:hAnsi="宋体" w:cs="宋体"/>
          <w:kern w:val="0"/>
          <w:sz w:val="24"/>
        </w:rPr>
        <w:t xml:space="preserve">  GB/T 711-2017《优质碳素结构钢热轧厚钢板和钢带》</w:t>
      </w:r>
    </w:p>
    <w:p w14:paraId="36F87E1E">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ascii="宋体" w:hAnsi="宋体" w:cs="宋体"/>
          <w:kern w:val="0"/>
          <w:sz w:val="24"/>
        </w:rPr>
      </w:pPr>
      <w:r>
        <w:rPr>
          <w:rFonts w:hint="eastAsia" w:ascii="宋体" w:hAnsi="宋体" w:cs="宋体"/>
          <w:kern w:val="0"/>
          <w:sz w:val="24"/>
        </w:rPr>
        <w:t xml:space="preserve">  GB/T 708-2019《冷轧钢板和钢带的尺寸、外形、重量及允许公差》</w:t>
      </w:r>
    </w:p>
    <w:p w14:paraId="3EBEF0C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ascii="宋体" w:hAnsi="宋体" w:cs="宋体"/>
          <w:kern w:val="0"/>
          <w:sz w:val="24"/>
        </w:rPr>
      </w:pPr>
      <w:r>
        <w:rPr>
          <w:rFonts w:hint="eastAsia" w:ascii="宋体" w:hAnsi="宋体" w:cs="宋体"/>
          <w:kern w:val="0"/>
          <w:sz w:val="24"/>
        </w:rPr>
        <w:t xml:space="preserve">  GB/T 709-2019《热轧钢板和钢带的尺寸、外形、重量及允许偏差》</w:t>
      </w:r>
    </w:p>
    <w:p w14:paraId="2E2ECB6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ascii="宋体" w:hAnsi="宋体" w:cs="宋体"/>
          <w:kern w:val="0"/>
          <w:sz w:val="24"/>
        </w:rPr>
      </w:pPr>
      <w:r>
        <w:rPr>
          <w:rFonts w:hint="eastAsia" w:ascii="宋体" w:hAnsi="宋体" w:cs="宋体"/>
          <w:kern w:val="0"/>
          <w:sz w:val="24"/>
        </w:rPr>
        <w:t xml:space="preserve">  GB/T 6807-2001《钢铁工业涂漆前磷化处理技术条件》</w:t>
      </w:r>
    </w:p>
    <w:p w14:paraId="0072583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ascii="宋体" w:hAnsi="宋体" w:cs="宋体"/>
          <w:kern w:val="0"/>
          <w:sz w:val="24"/>
        </w:rPr>
      </w:pPr>
      <w:r>
        <w:rPr>
          <w:rFonts w:hint="eastAsia" w:ascii="宋体" w:hAnsi="宋体" w:cs="宋体"/>
          <w:kern w:val="0"/>
          <w:sz w:val="24"/>
        </w:rPr>
        <w:t xml:space="preserve">  GB/T 3078-2019《优质结构钢冷拉钢材》</w:t>
      </w:r>
    </w:p>
    <w:p w14:paraId="5B5C657B">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ascii="宋体" w:hAnsi="宋体" w:cs="宋体"/>
          <w:kern w:val="0"/>
          <w:sz w:val="24"/>
        </w:rPr>
      </w:pPr>
      <w:r>
        <w:rPr>
          <w:rFonts w:hint="eastAsia" w:ascii="宋体" w:hAnsi="宋体" w:cs="宋体"/>
          <w:kern w:val="0"/>
          <w:sz w:val="24"/>
        </w:rPr>
        <w:t xml:space="preserve">  GB/T 699-2015《优质碳素结构钢》</w:t>
      </w:r>
    </w:p>
    <w:p w14:paraId="0029833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ascii="宋体" w:hAnsi="宋体" w:cs="宋体"/>
          <w:kern w:val="0"/>
          <w:sz w:val="24"/>
        </w:rPr>
      </w:pPr>
      <w:r>
        <w:rPr>
          <w:rFonts w:hint="eastAsia" w:ascii="宋体" w:hAnsi="宋体" w:cs="宋体"/>
          <w:kern w:val="0"/>
          <w:sz w:val="24"/>
        </w:rPr>
        <w:t xml:space="preserve">  GB/T 1804-2000《一般公差的线性和角度和尺寸的公差》</w:t>
      </w:r>
    </w:p>
    <w:p w14:paraId="7AB0B6A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ascii="宋体" w:hAnsi="宋体" w:cs="宋体"/>
          <w:kern w:val="0"/>
          <w:sz w:val="24"/>
        </w:rPr>
      </w:pPr>
      <w:r>
        <w:rPr>
          <w:rFonts w:hint="eastAsia" w:ascii="宋体" w:hAnsi="宋体" w:cs="宋体"/>
          <w:kern w:val="0"/>
          <w:sz w:val="24"/>
        </w:rPr>
        <w:t xml:space="preserve">  GB/T 1800.1-2020《产品几何技术规范（GPS） 线性尺寸公差ISO代号体系 第1部分：公差、偏差和配合的基础》</w:t>
      </w:r>
      <w:bookmarkEnd w:id="1"/>
      <w:bookmarkEnd w:id="2"/>
    </w:p>
    <w:p w14:paraId="2ABE4F1F">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ascii="宋体" w:hAnsi="宋体" w:cs="宋体"/>
          <w:b/>
          <w:bCs/>
          <w:sz w:val="24"/>
        </w:rPr>
      </w:pPr>
      <w:r>
        <w:rPr>
          <w:rFonts w:hint="eastAsia" w:ascii="宋体" w:hAnsi="宋体" w:cs="宋体"/>
          <w:b/>
          <w:bCs/>
          <w:sz w:val="24"/>
        </w:rPr>
        <w:t>三、商务要求</w:t>
      </w:r>
    </w:p>
    <w:p w14:paraId="21D093C7">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jc w:val="left"/>
        <w:textAlignment w:val="auto"/>
        <w:rPr>
          <w:rFonts w:ascii="宋体" w:hAnsi="宋体" w:cs="宋体"/>
          <w:sz w:val="24"/>
        </w:rPr>
      </w:pPr>
      <w:r>
        <w:rPr>
          <w:rFonts w:hint="eastAsia" w:ascii="宋体" w:hAnsi="宋体" w:cs="宋体"/>
          <w:b/>
          <w:bCs/>
          <w:sz w:val="24"/>
        </w:rPr>
        <w:t>（一）交付时间：</w:t>
      </w:r>
      <w:r>
        <w:rPr>
          <w:rFonts w:hint="eastAsia" w:ascii="宋体" w:hAnsi="宋体" w:cs="宋体"/>
          <w:sz w:val="24"/>
        </w:rPr>
        <w:t>合同签订后25天内交货，交货之日起10天内完成安装调试。</w:t>
      </w:r>
    </w:p>
    <w:p w14:paraId="2E9EC096">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ascii="宋体" w:hAnsi="宋体" w:cs="宋体"/>
          <w:sz w:val="24"/>
        </w:rPr>
      </w:pPr>
      <w:r>
        <w:rPr>
          <w:rFonts w:hint="eastAsia" w:ascii="宋体" w:hAnsi="宋体" w:cs="宋体"/>
          <w:b/>
          <w:bCs/>
          <w:sz w:val="24"/>
        </w:rPr>
        <w:t>（二）交付条件：</w:t>
      </w:r>
      <w:r>
        <w:rPr>
          <w:rFonts w:hint="eastAsia" w:ascii="宋体" w:hAnsi="宋体" w:cs="宋体"/>
          <w:sz w:val="24"/>
        </w:rPr>
        <w:t>验收合格后交付。</w:t>
      </w:r>
    </w:p>
    <w:p w14:paraId="776CF405">
      <w:pPr>
        <w:pageBreakBefore w:val="0"/>
        <w:widowControl/>
        <w:kinsoku/>
        <w:wordWrap/>
        <w:overflowPunct/>
        <w:topLinePunct w:val="0"/>
        <w:autoSpaceDE/>
        <w:autoSpaceDN/>
        <w:bidi w:val="0"/>
        <w:adjustRightInd w:val="0"/>
        <w:snapToGrid w:val="0"/>
        <w:spacing w:after="0" w:line="360" w:lineRule="auto"/>
        <w:ind w:left="0" w:firstLine="482" w:firstLineChars="200"/>
        <w:jc w:val="left"/>
        <w:textAlignment w:val="auto"/>
        <w:rPr>
          <w:rFonts w:ascii="宋体" w:hAnsi="宋体" w:cs="宋体"/>
          <w:color w:val="000000" w:themeColor="text1"/>
          <w:sz w:val="24"/>
          <w14:textFill>
            <w14:solidFill>
              <w14:schemeClr w14:val="tx1"/>
            </w14:solidFill>
          </w14:textFill>
        </w:rPr>
      </w:pPr>
      <w:r>
        <w:rPr>
          <w:rFonts w:hint="eastAsia" w:ascii="宋体" w:hAnsi="宋体" w:cs="宋体"/>
          <w:b/>
          <w:bCs/>
          <w:sz w:val="24"/>
        </w:rPr>
        <w:t>（三）付款方式：</w:t>
      </w:r>
      <w:r>
        <w:rPr>
          <w:rFonts w:hint="eastAsia" w:ascii="宋体" w:hAnsi="宋体" w:cs="宋体"/>
          <w:b w:val="0"/>
          <w:bCs w:val="0"/>
          <w:color w:val="000000" w:themeColor="text1"/>
          <w:sz w:val="24"/>
          <w:lang w:val="en-US" w:eastAsia="zh-CN"/>
          <w14:textFill>
            <w14:solidFill>
              <w14:schemeClr w14:val="tx1"/>
            </w14:solidFill>
          </w14:textFill>
        </w:rPr>
        <w:t>成交</w:t>
      </w:r>
      <w:r>
        <w:rPr>
          <w:rFonts w:hint="eastAsia" w:ascii="宋体" w:hAnsi="宋体" w:cs="宋体"/>
          <w:color w:val="000000" w:themeColor="text1"/>
          <w:sz w:val="24"/>
          <w:lang w:val="en-US" w:eastAsia="zh-CN"/>
          <w14:textFill>
            <w14:solidFill>
              <w14:schemeClr w14:val="tx1"/>
            </w14:solidFill>
          </w14:textFill>
        </w:rPr>
        <w:t>人供货齐全、提出书面验收申请、</w:t>
      </w:r>
      <w:r>
        <w:rPr>
          <w:rFonts w:hint="eastAsia" w:ascii="宋体" w:hAnsi="宋体" w:cs="宋体"/>
          <w:color w:val="000000" w:themeColor="text1"/>
          <w:sz w:val="24"/>
          <w14:textFill>
            <w14:solidFill>
              <w14:schemeClr w14:val="tx1"/>
            </w14:solidFill>
          </w14:textFill>
        </w:rPr>
        <w:t>完成全部</w:t>
      </w:r>
      <w:r>
        <w:rPr>
          <w:rFonts w:hint="eastAsia" w:ascii="宋体" w:hAnsi="宋体" w:cs="宋体"/>
          <w:color w:val="000000" w:themeColor="text1"/>
          <w:sz w:val="24"/>
          <w:lang w:val="en-US" w:eastAsia="zh-CN"/>
          <w14:textFill>
            <w14:solidFill>
              <w14:schemeClr w14:val="tx1"/>
            </w14:solidFill>
          </w14:textFill>
        </w:rPr>
        <w:t>货物</w:t>
      </w:r>
      <w:r>
        <w:rPr>
          <w:rFonts w:hint="eastAsia" w:ascii="宋体" w:hAnsi="宋体" w:cs="宋体"/>
          <w:color w:val="000000" w:themeColor="text1"/>
          <w:sz w:val="24"/>
          <w14:textFill>
            <w14:solidFill>
              <w14:schemeClr w14:val="tx1"/>
            </w14:solidFill>
          </w14:textFill>
        </w:rPr>
        <w:t>安装，</w:t>
      </w:r>
      <w:r>
        <w:rPr>
          <w:rFonts w:hint="eastAsia" w:ascii="宋体" w:hAnsi="宋体" w:cs="宋体"/>
          <w:color w:val="000000" w:themeColor="text1"/>
          <w:sz w:val="24"/>
          <w:lang w:val="en-US" w:eastAsia="zh-CN"/>
          <w14:textFill>
            <w14:solidFill>
              <w14:schemeClr w14:val="tx1"/>
            </w14:solidFill>
          </w14:textFill>
        </w:rPr>
        <w:t>采购人验收合格后，采购人</w:t>
      </w:r>
      <w:r>
        <w:rPr>
          <w:rFonts w:hint="eastAsia" w:ascii="宋体" w:hAnsi="宋体" w:cs="宋体"/>
          <w:color w:val="000000" w:themeColor="text1"/>
          <w:sz w:val="24"/>
          <w14:textFill>
            <w14:solidFill>
              <w14:schemeClr w14:val="tx1"/>
            </w14:solidFill>
          </w14:textFill>
        </w:rPr>
        <w:t>通知</w:t>
      </w:r>
      <w:r>
        <w:rPr>
          <w:rFonts w:hint="eastAsia" w:ascii="宋体" w:hAnsi="宋体" w:cs="宋体"/>
          <w:b w:val="0"/>
          <w:bCs w:val="0"/>
          <w:color w:val="000000" w:themeColor="text1"/>
          <w:sz w:val="24"/>
          <w:lang w:val="en-US" w:eastAsia="zh-CN"/>
          <w14:textFill>
            <w14:solidFill>
              <w14:schemeClr w14:val="tx1"/>
            </w14:solidFill>
          </w14:textFill>
        </w:rPr>
        <w:t>成交</w:t>
      </w:r>
      <w:r>
        <w:rPr>
          <w:rFonts w:hint="eastAsia" w:ascii="宋体" w:hAnsi="宋体" w:cs="宋体"/>
          <w:color w:val="000000" w:themeColor="text1"/>
          <w:sz w:val="24"/>
          <w:lang w:val="en-US" w:eastAsia="zh-CN"/>
          <w14:textFill>
            <w14:solidFill>
              <w14:schemeClr w14:val="tx1"/>
            </w14:solidFill>
          </w14:textFill>
        </w:rPr>
        <w:t>人</w:t>
      </w:r>
      <w:r>
        <w:rPr>
          <w:rFonts w:hint="eastAsia" w:ascii="宋体" w:hAnsi="宋体" w:cs="宋体"/>
          <w:color w:val="000000" w:themeColor="text1"/>
          <w:sz w:val="24"/>
          <w14:textFill>
            <w14:solidFill>
              <w14:schemeClr w14:val="tx1"/>
            </w14:solidFill>
          </w14:textFill>
        </w:rPr>
        <w:t>开具正式发票</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在15个工作日内按实结算、</w:t>
      </w:r>
      <w:r>
        <w:rPr>
          <w:rFonts w:hint="eastAsia" w:ascii="宋体" w:hAnsi="宋体" w:cs="宋体"/>
          <w:color w:val="000000" w:themeColor="text1"/>
          <w:sz w:val="24"/>
          <w14:textFill>
            <w14:solidFill>
              <w14:schemeClr w14:val="tx1"/>
            </w14:solidFill>
          </w14:textFill>
        </w:rPr>
        <w:t>付清合同</w:t>
      </w:r>
      <w:r>
        <w:rPr>
          <w:rFonts w:hint="eastAsia" w:ascii="宋体" w:hAnsi="宋体" w:cs="宋体"/>
          <w:color w:val="000000" w:themeColor="text1"/>
          <w:sz w:val="24"/>
          <w:lang w:val="en-US" w:eastAsia="zh-CN"/>
          <w14:textFill>
            <w14:solidFill>
              <w14:schemeClr w14:val="tx1"/>
            </w14:solidFill>
          </w14:textFill>
        </w:rPr>
        <w:t>货款</w:t>
      </w:r>
      <w:r>
        <w:rPr>
          <w:rFonts w:hint="eastAsia" w:ascii="宋体" w:hAnsi="宋体" w:cs="宋体"/>
          <w:color w:val="000000" w:themeColor="text1"/>
          <w:sz w:val="24"/>
          <w14:textFill>
            <w14:solidFill>
              <w14:schemeClr w14:val="tx1"/>
            </w14:solidFill>
          </w14:textFill>
        </w:rPr>
        <w:t>。</w:t>
      </w:r>
    </w:p>
    <w:p w14:paraId="632FDEF8">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ascii="宋体" w:hAnsi="宋体" w:cs="宋体"/>
          <w:sz w:val="24"/>
        </w:rPr>
      </w:pPr>
      <w:r>
        <w:rPr>
          <w:rFonts w:hint="eastAsia" w:ascii="宋体" w:hAnsi="宋体" w:cs="宋体"/>
          <w:b/>
          <w:bCs/>
          <w:sz w:val="24"/>
        </w:rPr>
        <w:t>（四）履约保证金：</w:t>
      </w:r>
    </w:p>
    <w:p w14:paraId="6A48A153">
      <w:pPr>
        <w:keepNext w:val="0"/>
        <w:keepLines w:val="0"/>
        <w:pageBreakBefore w:val="0"/>
        <w:widowControl/>
        <w:kinsoku/>
        <w:wordWrap/>
        <w:overflowPunct/>
        <w:topLinePunct w:val="0"/>
        <w:autoSpaceDE/>
        <w:autoSpaceDN/>
        <w:bidi w:val="0"/>
        <w:spacing w:after="0" w:line="360" w:lineRule="auto"/>
        <w:ind w:firstLine="480" w:firstLineChars="200"/>
        <w:jc w:val="left"/>
        <w:textAlignment w:val="auto"/>
        <w:rPr>
          <w:rFonts w:hint="eastAsia" w:ascii="宋体" w:hAnsi="宋体" w:cs="宋体"/>
          <w:b w:val="0"/>
          <w:bCs w:val="0"/>
          <w:sz w:val="24"/>
        </w:rPr>
      </w:pPr>
      <w:r>
        <w:rPr>
          <w:rFonts w:hint="eastAsia" w:ascii="宋体" w:hAnsi="宋体" w:cs="宋体"/>
          <w:b w:val="0"/>
          <w:bCs w:val="0"/>
          <w:sz w:val="24"/>
        </w:rPr>
        <w:t>1.本项目</w:t>
      </w:r>
      <w:r>
        <w:rPr>
          <w:rFonts w:hint="eastAsia" w:ascii="宋体" w:hAnsi="宋体" w:cs="宋体"/>
          <w:b w:val="0"/>
          <w:bCs w:val="0"/>
          <w:sz w:val="24"/>
          <w:lang w:val="en-US" w:eastAsia="zh-CN"/>
        </w:rPr>
        <w:t>成交</w:t>
      </w:r>
      <w:r>
        <w:rPr>
          <w:rFonts w:hint="eastAsia" w:ascii="宋体" w:hAnsi="宋体" w:cs="宋体"/>
          <w:b w:val="0"/>
          <w:bCs w:val="0"/>
          <w:sz w:val="24"/>
        </w:rPr>
        <w:t>后的履约保证金为</w:t>
      </w:r>
      <w:r>
        <w:rPr>
          <w:rFonts w:hint="eastAsia" w:ascii="宋体" w:hAnsi="宋体" w:cs="宋体"/>
          <w:b w:val="0"/>
          <w:bCs w:val="0"/>
          <w:sz w:val="24"/>
          <w:lang w:val="en-US" w:eastAsia="zh-CN"/>
        </w:rPr>
        <w:t>成交</w:t>
      </w:r>
      <w:r>
        <w:rPr>
          <w:rFonts w:hint="eastAsia" w:ascii="宋体" w:hAnsi="宋体" w:cs="宋体"/>
          <w:b w:val="0"/>
          <w:bCs w:val="0"/>
          <w:sz w:val="24"/>
        </w:rPr>
        <w:t>价的10%，</w:t>
      </w:r>
      <w:r>
        <w:rPr>
          <w:rFonts w:hint="eastAsia" w:ascii="宋体" w:hAnsi="宋体" w:cs="宋体"/>
          <w:b w:val="0"/>
          <w:bCs w:val="0"/>
          <w:sz w:val="24"/>
          <w:lang w:val="en-US" w:eastAsia="zh-CN"/>
        </w:rPr>
        <w:t>成交</w:t>
      </w:r>
      <w:r>
        <w:rPr>
          <w:rFonts w:hint="eastAsia" w:ascii="宋体" w:hAnsi="宋体" w:cs="宋体"/>
          <w:b w:val="0"/>
          <w:bCs w:val="0"/>
          <w:sz w:val="24"/>
        </w:rPr>
        <w:t>人的履约保证金须在</w:t>
      </w:r>
      <w:r>
        <w:rPr>
          <w:rFonts w:hint="eastAsia" w:ascii="宋体" w:hAnsi="宋体" w:cs="宋体"/>
          <w:b w:val="0"/>
          <w:bCs w:val="0"/>
          <w:sz w:val="24"/>
          <w:lang w:val="en-US" w:eastAsia="zh-CN"/>
        </w:rPr>
        <w:t>成交</w:t>
      </w:r>
      <w:r>
        <w:rPr>
          <w:rFonts w:hint="eastAsia" w:ascii="宋体" w:hAnsi="宋体" w:cs="宋体"/>
          <w:b w:val="0"/>
          <w:bCs w:val="0"/>
          <w:sz w:val="24"/>
        </w:rPr>
        <w:t>通知书发出之日起至合同签订前汇入采购单位账户（应当以支票、汇票或者金融机构、担保机构出具的保函等非现金形式提交），</w:t>
      </w:r>
      <w:r>
        <w:rPr>
          <w:rFonts w:hint="eastAsia" w:ascii="宋体" w:hAnsi="宋体" w:cs="宋体"/>
          <w:b w:val="0"/>
          <w:bCs w:val="0"/>
          <w:sz w:val="24"/>
          <w:lang w:val="en-US" w:eastAsia="zh-CN"/>
        </w:rPr>
        <w:t>成交</w:t>
      </w:r>
      <w:r>
        <w:rPr>
          <w:rFonts w:hint="eastAsia" w:ascii="宋体" w:hAnsi="宋体" w:cs="宋体"/>
          <w:b w:val="0"/>
          <w:bCs w:val="0"/>
          <w:sz w:val="24"/>
        </w:rPr>
        <w:t>人凭</w:t>
      </w:r>
      <w:r>
        <w:rPr>
          <w:rFonts w:hint="eastAsia" w:ascii="宋体" w:hAnsi="宋体" w:cs="宋体"/>
          <w:b w:val="0"/>
          <w:bCs w:val="0"/>
          <w:sz w:val="24"/>
          <w:lang w:val="en-US" w:eastAsia="zh-CN"/>
        </w:rPr>
        <w:t>成交</w:t>
      </w:r>
      <w:r>
        <w:rPr>
          <w:rFonts w:hint="eastAsia" w:ascii="宋体" w:hAnsi="宋体" w:cs="宋体"/>
          <w:b w:val="0"/>
          <w:bCs w:val="0"/>
          <w:sz w:val="24"/>
        </w:rPr>
        <w:t>通知书与采购单位签订合同。超期或未有协商，则视为自动放弃中标资格。</w:t>
      </w:r>
    </w:p>
    <w:p w14:paraId="359475D4">
      <w:pPr>
        <w:keepNext w:val="0"/>
        <w:keepLines w:val="0"/>
        <w:pageBreakBefore w:val="0"/>
        <w:widowControl/>
        <w:kinsoku/>
        <w:wordWrap/>
        <w:overflowPunct/>
        <w:topLinePunct w:val="0"/>
        <w:autoSpaceDE/>
        <w:autoSpaceDN/>
        <w:bidi w:val="0"/>
        <w:spacing w:after="0" w:line="360" w:lineRule="auto"/>
        <w:ind w:firstLine="480" w:firstLineChars="200"/>
        <w:jc w:val="left"/>
        <w:textAlignment w:val="auto"/>
        <w:rPr>
          <w:rFonts w:hint="eastAsia" w:ascii="宋体" w:hAnsi="宋体" w:cs="宋体"/>
          <w:b w:val="0"/>
          <w:bCs w:val="0"/>
          <w:sz w:val="24"/>
        </w:rPr>
      </w:pPr>
      <w:r>
        <w:rPr>
          <w:rFonts w:hint="eastAsia" w:ascii="宋体" w:hAnsi="宋体" w:cs="宋体"/>
          <w:b w:val="0"/>
          <w:bCs w:val="0"/>
          <w:sz w:val="24"/>
        </w:rPr>
        <w:t>2.</w:t>
      </w:r>
      <w:r>
        <w:rPr>
          <w:rFonts w:hint="eastAsia" w:ascii="宋体" w:hAnsi="宋体" w:cs="宋体"/>
          <w:b w:val="0"/>
          <w:bCs w:val="0"/>
          <w:sz w:val="24"/>
          <w:lang w:val="en-US" w:eastAsia="zh-CN"/>
        </w:rPr>
        <w:t>成交</w:t>
      </w:r>
      <w:r>
        <w:rPr>
          <w:rFonts w:hint="eastAsia" w:ascii="宋体" w:hAnsi="宋体" w:cs="宋体"/>
          <w:b w:val="0"/>
          <w:bCs w:val="0"/>
          <w:sz w:val="24"/>
        </w:rPr>
        <w:t>人全部履约合同义务，经采购单位验收合格无质量、进度等问题的，</w:t>
      </w:r>
      <w:r>
        <w:rPr>
          <w:rFonts w:hint="eastAsia" w:ascii="宋体" w:hAnsi="宋体" w:cs="宋体"/>
          <w:b w:val="0"/>
          <w:bCs w:val="0"/>
          <w:sz w:val="24"/>
          <w:lang w:val="en-US" w:eastAsia="zh-CN"/>
        </w:rPr>
        <w:t>采购</w:t>
      </w:r>
      <w:r>
        <w:rPr>
          <w:rFonts w:hint="eastAsia" w:ascii="宋体" w:hAnsi="宋体" w:cs="宋体"/>
          <w:b w:val="0"/>
          <w:bCs w:val="0"/>
          <w:sz w:val="24"/>
        </w:rPr>
        <w:t>人在验收合格后一次性无息退还履约保证金；</w:t>
      </w:r>
    </w:p>
    <w:p w14:paraId="42EB0B32">
      <w:pPr>
        <w:keepNext w:val="0"/>
        <w:keepLines w:val="0"/>
        <w:pageBreakBefore w:val="0"/>
        <w:widowControl/>
        <w:kinsoku/>
        <w:wordWrap/>
        <w:overflowPunct/>
        <w:topLinePunct w:val="0"/>
        <w:autoSpaceDE/>
        <w:autoSpaceDN/>
        <w:bidi w:val="0"/>
        <w:spacing w:after="0" w:line="360" w:lineRule="auto"/>
        <w:ind w:firstLine="480" w:firstLineChars="200"/>
        <w:jc w:val="left"/>
        <w:textAlignment w:val="auto"/>
        <w:rPr>
          <w:rFonts w:hint="eastAsia" w:ascii="宋体" w:hAnsi="宋体" w:cs="宋体"/>
          <w:b w:val="0"/>
          <w:bCs w:val="0"/>
          <w:sz w:val="24"/>
        </w:rPr>
      </w:pPr>
      <w:r>
        <w:rPr>
          <w:rFonts w:hint="eastAsia" w:ascii="宋体" w:hAnsi="宋体" w:cs="宋体"/>
          <w:b w:val="0"/>
          <w:bCs w:val="0"/>
          <w:sz w:val="24"/>
        </w:rPr>
        <w:t>3.发生以下情况的，履约保证金不予退还或部分退还：</w:t>
      </w:r>
    </w:p>
    <w:p w14:paraId="3FCF0E23">
      <w:pPr>
        <w:keepNext w:val="0"/>
        <w:keepLines w:val="0"/>
        <w:pageBreakBefore w:val="0"/>
        <w:widowControl/>
        <w:kinsoku/>
        <w:wordWrap/>
        <w:overflowPunct/>
        <w:topLinePunct w:val="0"/>
        <w:autoSpaceDE/>
        <w:autoSpaceDN/>
        <w:bidi w:val="0"/>
        <w:spacing w:after="0" w:line="360" w:lineRule="auto"/>
        <w:ind w:firstLine="480" w:firstLineChars="200"/>
        <w:jc w:val="left"/>
        <w:textAlignment w:val="auto"/>
        <w:rPr>
          <w:rFonts w:hint="eastAsia" w:ascii="宋体" w:hAnsi="宋体" w:cs="宋体"/>
          <w:b w:val="0"/>
          <w:bCs w:val="0"/>
          <w:sz w:val="24"/>
        </w:rPr>
      </w:pPr>
      <w:r>
        <w:rPr>
          <w:rFonts w:hint="eastAsia" w:ascii="宋体" w:hAnsi="宋体" w:cs="宋体"/>
          <w:b w:val="0"/>
          <w:bCs w:val="0"/>
          <w:sz w:val="24"/>
        </w:rPr>
        <w:t>a.签订合同后，</w:t>
      </w:r>
      <w:r>
        <w:rPr>
          <w:rFonts w:hint="eastAsia" w:ascii="宋体" w:hAnsi="宋体" w:cs="宋体"/>
          <w:b w:val="0"/>
          <w:bCs w:val="0"/>
          <w:sz w:val="24"/>
          <w:lang w:val="en-US" w:eastAsia="zh-CN"/>
        </w:rPr>
        <w:t>成交</w:t>
      </w:r>
      <w:r>
        <w:rPr>
          <w:rFonts w:hint="eastAsia" w:ascii="宋体" w:hAnsi="宋体" w:cs="宋体"/>
          <w:b w:val="0"/>
          <w:bCs w:val="0"/>
          <w:sz w:val="24"/>
        </w:rPr>
        <w:t>人不履行合同义务的，采购单位有权全额扣除履约保证金，全额不予退还，同时采购单位亦有权终止合同，</w:t>
      </w:r>
      <w:r>
        <w:rPr>
          <w:rFonts w:hint="eastAsia" w:ascii="宋体" w:hAnsi="宋体" w:cs="宋体"/>
          <w:b w:val="0"/>
          <w:bCs w:val="0"/>
          <w:sz w:val="24"/>
          <w:lang w:val="en-US" w:eastAsia="zh-CN"/>
        </w:rPr>
        <w:t>成交</w:t>
      </w:r>
      <w:r>
        <w:rPr>
          <w:rFonts w:hint="eastAsia" w:ascii="宋体" w:hAnsi="宋体" w:cs="宋体"/>
          <w:b w:val="0"/>
          <w:bCs w:val="0"/>
          <w:sz w:val="24"/>
        </w:rPr>
        <w:t>人还须承担相应的法律赔偿责任。</w:t>
      </w:r>
    </w:p>
    <w:p w14:paraId="06090A83">
      <w:pPr>
        <w:keepNext w:val="0"/>
        <w:keepLines w:val="0"/>
        <w:pageBreakBefore w:val="0"/>
        <w:widowControl/>
        <w:kinsoku/>
        <w:wordWrap/>
        <w:overflowPunct/>
        <w:topLinePunct w:val="0"/>
        <w:autoSpaceDE/>
        <w:autoSpaceDN/>
        <w:bidi w:val="0"/>
        <w:spacing w:after="0" w:line="360" w:lineRule="auto"/>
        <w:ind w:firstLine="480" w:firstLineChars="200"/>
        <w:jc w:val="left"/>
        <w:textAlignment w:val="auto"/>
        <w:rPr>
          <w:rFonts w:hint="eastAsia" w:ascii="宋体" w:hAnsi="宋体" w:cs="宋体"/>
          <w:b w:val="0"/>
          <w:bCs w:val="0"/>
          <w:sz w:val="24"/>
        </w:rPr>
      </w:pPr>
      <w:r>
        <w:rPr>
          <w:rFonts w:hint="eastAsia" w:ascii="宋体" w:hAnsi="宋体" w:cs="宋体"/>
          <w:b w:val="0"/>
          <w:bCs w:val="0"/>
          <w:sz w:val="24"/>
        </w:rPr>
        <w:t>b.</w:t>
      </w:r>
      <w:r>
        <w:rPr>
          <w:rFonts w:hint="eastAsia" w:ascii="宋体" w:hAnsi="宋体" w:cs="宋体"/>
          <w:b w:val="0"/>
          <w:bCs w:val="0"/>
          <w:sz w:val="24"/>
          <w:lang w:val="en-US" w:eastAsia="zh-CN"/>
        </w:rPr>
        <w:t>成交</w:t>
      </w:r>
      <w:r>
        <w:rPr>
          <w:rFonts w:hint="eastAsia" w:ascii="宋体" w:hAnsi="宋体" w:cs="宋体"/>
          <w:b w:val="0"/>
          <w:bCs w:val="0"/>
          <w:sz w:val="24"/>
        </w:rPr>
        <w:t>人在履约过程中发生违约行为，给采购单位造成损失的，采购单位有权在</w:t>
      </w:r>
      <w:r>
        <w:rPr>
          <w:rFonts w:hint="eastAsia" w:ascii="宋体" w:hAnsi="宋体" w:cs="宋体"/>
          <w:b w:val="0"/>
          <w:bCs w:val="0"/>
          <w:sz w:val="24"/>
          <w:lang w:val="en-US" w:eastAsia="zh-CN"/>
        </w:rPr>
        <w:t>成交</w:t>
      </w:r>
      <w:r>
        <w:rPr>
          <w:rFonts w:hint="eastAsia" w:ascii="宋体" w:hAnsi="宋体" w:cs="宋体"/>
          <w:b w:val="0"/>
          <w:bCs w:val="0"/>
          <w:sz w:val="24"/>
        </w:rPr>
        <w:t>人缴纳的履约保证金中予以扣款，以弥补采购单位经济损失，不足的部分</w:t>
      </w:r>
      <w:r>
        <w:rPr>
          <w:rFonts w:hint="eastAsia" w:ascii="宋体" w:hAnsi="宋体" w:cs="宋体"/>
          <w:b w:val="0"/>
          <w:bCs w:val="0"/>
          <w:sz w:val="24"/>
          <w:lang w:val="en-US" w:eastAsia="zh-CN"/>
        </w:rPr>
        <w:t>成交</w:t>
      </w:r>
      <w:r>
        <w:rPr>
          <w:rFonts w:hint="eastAsia" w:ascii="宋体" w:hAnsi="宋体" w:cs="宋体"/>
          <w:b w:val="0"/>
          <w:bCs w:val="0"/>
          <w:sz w:val="24"/>
        </w:rPr>
        <w:t>人另外补齐。</w:t>
      </w:r>
    </w:p>
    <w:p w14:paraId="13C2011F">
      <w:pPr>
        <w:keepNext w:val="0"/>
        <w:keepLines w:val="0"/>
        <w:pageBreakBefore w:val="0"/>
        <w:widowControl/>
        <w:kinsoku/>
        <w:wordWrap/>
        <w:overflowPunct/>
        <w:topLinePunct w:val="0"/>
        <w:autoSpaceDE/>
        <w:autoSpaceDN/>
        <w:bidi w:val="0"/>
        <w:spacing w:after="0" w:line="360" w:lineRule="auto"/>
        <w:ind w:firstLine="482" w:firstLineChars="200"/>
        <w:jc w:val="left"/>
        <w:textAlignment w:val="auto"/>
        <w:rPr>
          <w:rFonts w:ascii="宋体" w:hAnsi="宋体" w:cs="宋体"/>
          <w:b/>
          <w:bCs/>
          <w:sz w:val="24"/>
        </w:rPr>
      </w:pPr>
      <w:r>
        <w:rPr>
          <w:rFonts w:hint="eastAsia" w:ascii="宋体" w:hAnsi="宋体" w:cs="宋体"/>
          <w:b/>
          <w:bCs/>
          <w:sz w:val="24"/>
        </w:rPr>
        <w:t>（五）包装和运输要求：</w:t>
      </w:r>
    </w:p>
    <w:p w14:paraId="4B932137">
      <w:pPr>
        <w:keepNext w:val="0"/>
        <w:keepLines w:val="0"/>
        <w:pageBreakBefore w:val="0"/>
        <w:widowControl/>
        <w:kinsoku/>
        <w:wordWrap/>
        <w:overflowPunct/>
        <w:topLinePunct w:val="0"/>
        <w:autoSpaceDE/>
        <w:autoSpaceDN/>
        <w:bidi w:val="0"/>
        <w:spacing w:after="0" w:line="360" w:lineRule="auto"/>
        <w:ind w:firstLine="480" w:firstLineChars="200"/>
        <w:jc w:val="left"/>
        <w:textAlignment w:val="auto"/>
        <w:rPr>
          <w:rFonts w:ascii="宋体" w:hAnsi="宋体" w:cs="宋体"/>
          <w:sz w:val="24"/>
        </w:rPr>
      </w:pPr>
      <w:r>
        <w:rPr>
          <w:rFonts w:hint="eastAsia" w:ascii="宋体" w:hAnsi="宋体" w:cs="宋体"/>
          <w:sz w:val="24"/>
        </w:rPr>
        <w:t>1.</w:t>
      </w:r>
      <w:r>
        <w:rPr>
          <w:rFonts w:hint="eastAsia" w:ascii="宋体" w:hAnsi="宋体" w:cs="宋体"/>
          <w:sz w:val="24"/>
          <w:lang w:eastAsia="zh-CN"/>
        </w:rPr>
        <w:t>成交人</w:t>
      </w:r>
      <w:r>
        <w:rPr>
          <w:rFonts w:hint="eastAsia" w:ascii="宋体" w:hAnsi="宋体" w:cs="宋体"/>
          <w:sz w:val="24"/>
        </w:rPr>
        <w:t>所提供的货物必须是制造厂家生产的崭新的未开箱的原包装货物。</w:t>
      </w:r>
    </w:p>
    <w:p w14:paraId="1C16BA6E">
      <w:pPr>
        <w:keepNext w:val="0"/>
        <w:keepLines w:val="0"/>
        <w:pageBreakBefore w:val="0"/>
        <w:widowControl/>
        <w:kinsoku/>
        <w:wordWrap/>
        <w:overflowPunct/>
        <w:topLinePunct w:val="0"/>
        <w:autoSpaceDE/>
        <w:autoSpaceDN/>
        <w:bidi w:val="0"/>
        <w:spacing w:after="0" w:line="360" w:lineRule="auto"/>
        <w:ind w:firstLine="480" w:firstLineChars="200"/>
        <w:jc w:val="left"/>
        <w:textAlignment w:val="auto"/>
        <w:rPr>
          <w:rFonts w:ascii="宋体" w:hAnsi="宋体" w:cs="宋体"/>
          <w:sz w:val="24"/>
        </w:rPr>
      </w:pPr>
      <w:r>
        <w:rPr>
          <w:rFonts w:hint="eastAsia" w:ascii="宋体" w:hAnsi="宋体" w:cs="宋体"/>
          <w:sz w:val="24"/>
        </w:rPr>
        <w:t>2.</w:t>
      </w:r>
      <w:r>
        <w:rPr>
          <w:rFonts w:hint="eastAsia" w:ascii="宋体" w:hAnsi="宋体" w:cs="宋体"/>
          <w:sz w:val="24"/>
          <w:lang w:eastAsia="zh-CN"/>
        </w:rPr>
        <w:t>成交人</w:t>
      </w:r>
      <w:r>
        <w:rPr>
          <w:rFonts w:hint="eastAsia" w:ascii="宋体" w:hAnsi="宋体" w:cs="宋体"/>
          <w:sz w:val="24"/>
        </w:rPr>
        <w:t>在制作、运输、安装、布线及调试过程中，应严格按照国家有关的操作规程和施工规范进行作业，确保安装牢固，安全可靠。</w:t>
      </w:r>
    </w:p>
    <w:p w14:paraId="56FA2E68">
      <w:pPr>
        <w:keepNext w:val="0"/>
        <w:keepLines w:val="0"/>
        <w:pageBreakBefore w:val="0"/>
        <w:widowControl/>
        <w:kinsoku/>
        <w:wordWrap/>
        <w:overflowPunct/>
        <w:topLinePunct w:val="0"/>
        <w:autoSpaceDE/>
        <w:autoSpaceDN/>
        <w:bidi w:val="0"/>
        <w:spacing w:after="0" w:line="360" w:lineRule="auto"/>
        <w:ind w:firstLine="480" w:firstLineChars="200"/>
        <w:jc w:val="left"/>
        <w:textAlignment w:val="auto"/>
        <w:rPr>
          <w:rFonts w:ascii="宋体" w:hAnsi="宋体" w:cs="宋体"/>
          <w:sz w:val="24"/>
        </w:rPr>
      </w:pPr>
      <w:r>
        <w:rPr>
          <w:rFonts w:hint="eastAsia" w:ascii="宋体" w:hAnsi="宋体" w:cs="宋体"/>
          <w:sz w:val="24"/>
        </w:rPr>
        <w:t>3.</w:t>
      </w:r>
      <w:r>
        <w:rPr>
          <w:rFonts w:hint="eastAsia" w:ascii="宋体" w:hAnsi="宋体" w:cs="宋体"/>
          <w:sz w:val="24"/>
          <w:lang w:eastAsia="zh-CN"/>
        </w:rPr>
        <w:t>成交人</w:t>
      </w:r>
      <w:r>
        <w:rPr>
          <w:rFonts w:hint="eastAsia" w:ascii="宋体" w:hAnsi="宋体" w:cs="宋体"/>
          <w:sz w:val="24"/>
        </w:rPr>
        <w:t>在制作运输安装过程中，应加强作业现场管理，保持整洁有序，不得破坏环境，否则由</w:t>
      </w:r>
      <w:r>
        <w:rPr>
          <w:rFonts w:hint="eastAsia" w:ascii="宋体" w:hAnsi="宋体" w:cs="宋体"/>
          <w:sz w:val="24"/>
          <w:lang w:eastAsia="zh-CN"/>
        </w:rPr>
        <w:t>成交人</w:t>
      </w:r>
      <w:r>
        <w:rPr>
          <w:rFonts w:hint="eastAsia" w:ascii="宋体" w:hAnsi="宋体" w:cs="宋体"/>
          <w:sz w:val="24"/>
        </w:rPr>
        <w:t>负全责。</w:t>
      </w:r>
    </w:p>
    <w:p w14:paraId="0FC020C7">
      <w:pPr>
        <w:keepNext w:val="0"/>
        <w:keepLines w:val="0"/>
        <w:pageBreakBefore w:val="0"/>
        <w:widowControl/>
        <w:kinsoku/>
        <w:wordWrap/>
        <w:overflowPunct/>
        <w:topLinePunct w:val="0"/>
        <w:autoSpaceDE/>
        <w:autoSpaceDN/>
        <w:bidi w:val="0"/>
        <w:spacing w:after="0" w:line="360" w:lineRule="auto"/>
        <w:ind w:firstLine="480" w:firstLineChars="200"/>
        <w:jc w:val="left"/>
        <w:textAlignment w:val="auto"/>
        <w:rPr>
          <w:rFonts w:ascii="宋体" w:hAnsi="宋体" w:cs="宋体"/>
          <w:b/>
          <w:bCs/>
          <w:sz w:val="24"/>
        </w:rPr>
      </w:pPr>
      <w:r>
        <w:rPr>
          <w:rFonts w:hint="eastAsia" w:ascii="宋体" w:hAnsi="宋体" w:cs="宋体"/>
          <w:sz w:val="24"/>
        </w:rPr>
        <w:t>4.</w:t>
      </w:r>
      <w:r>
        <w:rPr>
          <w:rFonts w:hint="eastAsia" w:ascii="宋体" w:hAnsi="宋体" w:cs="宋体"/>
          <w:sz w:val="24"/>
          <w:lang w:eastAsia="zh-CN"/>
        </w:rPr>
        <w:t>成交人</w:t>
      </w:r>
      <w:r>
        <w:rPr>
          <w:rFonts w:hint="eastAsia" w:ascii="宋体" w:hAnsi="宋体" w:cs="宋体"/>
          <w:sz w:val="24"/>
        </w:rPr>
        <w:t>必须加强制作、运输及安装施工过程中的安全防护，在此过程中，如因</w:t>
      </w:r>
      <w:r>
        <w:rPr>
          <w:rFonts w:hint="eastAsia" w:ascii="宋体" w:hAnsi="宋体" w:cs="宋体"/>
          <w:sz w:val="24"/>
          <w:lang w:eastAsia="zh-CN"/>
        </w:rPr>
        <w:t>成交人</w:t>
      </w:r>
      <w:r>
        <w:rPr>
          <w:rFonts w:hint="eastAsia" w:ascii="宋体" w:hAnsi="宋体" w:cs="宋体"/>
          <w:sz w:val="24"/>
        </w:rPr>
        <w:t>原因导致的双方及第三方的任何人身、设备安全事故及财产损失均由</w:t>
      </w:r>
      <w:r>
        <w:rPr>
          <w:rFonts w:hint="eastAsia" w:ascii="宋体" w:hAnsi="宋体" w:cs="宋体"/>
          <w:sz w:val="24"/>
          <w:lang w:eastAsia="zh-CN"/>
        </w:rPr>
        <w:t>成交人</w:t>
      </w:r>
      <w:r>
        <w:rPr>
          <w:rFonts w:hint="eastAsia" w:ascii="宋体" w:hAnsi="宋体" w:cs="宋体"/>
          <w:sz w:val="24"/>
        </w:rPr>
        <w:t>负全责。</w:t>
      </w:r>
    </w:p>
    <w:p w14:paraId="1B4367A3">
      <w:pPr>
        <w:pStyle w:val="92"/>
        <w:keepNext w:val="0"/>
        <w:keepLines w:val="0"/>
        <w:pageBreakBefore w:val="0"/>
        <w:widowControl/>
        <w:kinsoku/>
        <w:wordWrap/>
        <w:overflowPunct/>
        <w:topLinePunct w:val="0"/>
        <w:autoSpaceDE/>
        <w:autoSpaceDN/>
        <w:bidi w:val="0"/>
        <w:spacing w:line="360" w:lineRule="auto"/>
        <w:ind w:firstLine="482" w:firstLineChars="200"/>
        <w:textAlignment w:val="auto"/>
        <w:rPr>
          <w:rFonts w:hint="default" w:ascii="宋体" w:hAnsi="宋体" w:eastAsia="宋体" w:cs="宋体"/>
          <w:b/>
          <w:bCs/>
          <w:kern w:val="2"/>
          <w:sz w:val="24"/>
          <w:szCs w:val="24"/>
        </w:rPr>
      </w:pPr>
      <w:r>
        <w:rPr>
          <w:rFonts w:ascii="宋体" w:hAnsi="宋体" w:eastAsia="宋体" w:cs="宋体"/>
          <w:b/>
          <w:bCs/>
          <w:kern w:val="2"/>
          <w:sz w:val="24"/>
          <w:szCs w:val="24"/>
        </w:rPr>
        <w:t>（六）验收方法：</w:t>
      </w:r>
    </w:p>
    <w:p w14:paraId="03BDB7CB">
      <w:pPr>
        <w:pStyle w:val="92"/>
        <w:keepNext w:val="0"/>
        <w:keepLines w:val="0"/>
        <w:pageBreakBefore w:val="0"/>
        <w:widowControl/>
        <w:kinsoku/>
        <w:wordWrap/>
        <w:overflowPunct/>
        <w:topLinePunct w:val="0"/>
        <w:autoSpaceDE/>
        <w:autoSpaceDN/>
        <w:bidi w:val="0"/>
        <w:spacing w:line="360" w:lineRule="auto"/>
        <w:ind w:firstLine="600"/>
        <w:textAlignment w:val="auto"/>
        <w:rPr>
          <w:rFonts w:hint="default" w:ascii="宋体" w:hAnsi="宋体" w:eastAsia="宋体" w:cs="宋体"/>
          <w:sz w:val="24"/>
          <w:szCs w:val="24"/>
          <w:u w:val="single"/>
        </w:rPr>
      </w:pPr>
      <w:r>
        <w:rPr>
          <w:rFonts w:hint="eastAsia" w:ascii="宋体" w:hAnsi="宋体" w:eastAsia="宋体" w:cs="宋体"/>
          <w:sz w:val="24"/>
          <w:szCs w:val="24"/>
          <w:lang w:eastAsia="zh-CN"/>
        </w:rPr>
        <w:t>采购单位</w:t>
      </w:r>
      <w:r>
        <w:rPr>
          <w:rFonts w:ascii="宋体" w:hAnsi="宋体" w:eastAsia="宋体" w:cs="宋体"/>
          <w:sz w:val="24"/>
          <w:szCs w:val="24"/>
        </w:rPr>
        <w:t>对照</w:t>
      </w:r>
      <w:r>
        <w:rPr>
          <w:rFonts w:hint="eastAsia" w:ascii="宋体" w:hAnsi="宋体" w:eastAsia="宋体" w:cs="宋体"/>
          <w:sz w:val="24"/>
          <w:szCs w:val="24"/>
          <w:lang w:eastAsia="zh-CN"/>
        </w:rPr>
        <w:t>采购文件</w:t>
      </w:r>
      <w:r>
        <w:rPr>
          <w:rFonts w:ascii="宋体" w:hAnsi="宋体" w:eastAsia="宋体" w:cs="宋体"/>
          <w:sz w:val="24"/>
          <w:szCs w:val="24"/>
        </w:rPr>
        <w:t>技术要求组织相关专家进行现场验收，并根据验收结果结算项目费用。</w:t>
      </w:r>
    </w:p>
    <w:p w14:paraId="530BD8D7">
      <w:pPr>
        <w:keepNext w:val="0"/>
        <w:keepLines w:val="0"/>
        <w:pageBreakBefore w:val="0"/>
        <w:widowControl/>
        <w:kinsoku/>
        <w:wordWrap/>
        <w:overflowPunct/>
        <w:topLinePunct w:val="0"/>
        <w:autoSpaceDE/>
        <w:autoSpaceDN/>
        <w:bidi w:val="0"/>
        <w:spacing w:after="0" w:line="360" w:lineRule="auto"/>
        <w:ind w:firstLine="482" w:firstLineChars="200"/>
        <w:textAlignment w:val="auto"/>
        <w:rPr>
          <w:rFonts w:ascii="宋体" w:hAnsi="宋体" w:cs="宋体"/>
          <w:b/>
          <w:bCs/>
          <w:sz w:val="24"/>
        </w:rPr>
      </w:pPr>
      <w:r>
        <w:rPr>
          <w:rFonts w:hint="eastAsia" w:ascii="宋体" w:hAnsi="宋体" w:cs="宋体"/>
          <w:b/>
          <w:bCs/>
          <w:sz w:val="24"/>
        </w:rPr>
        <w:t>（七）售后服务：</w:t>
      </w:r>
    </w:p>
    <w:p w14:paraId="35B60935">
      <w:pPr>
        <w:keepNext w:val="0"/>
        <w:keepLines w:val="0"/>
        <w:pageBreakBefore w:val="0"/>
        <w:widowControl/>
        <w:kinsoku/>
        <w:wordWrap/>
        <w:overflowPunct/>
        <w:topLinePunct w:val="0"/>
        <w:autoSpaceDE/>
        <w:autoSpaceDN/>
        <w:bidi w:val="0"/>
        <w:spacing w:after="0" w:line="360" w:lineRule="auto"/>
        <w:ind w:firstLine="480" w:firstLineChars="200"/>
        <w:textAlignment w:val="auto"/>
        <w:rPr>
          <w:rFonts w:ascii="宋体" w:hAnsi="宋体" w:cs="宋体"/>
          <w:color w:val="000000"/>
          <w:sz w:val="24"/>
        </w:rPr>
      </w:pPr>
      <w:r>
        <w:rPr>
          <w:rFonts w:hint="eastAsia" w:ascii="宋体" w:hAnsi="宋体" w:cs="宋体"/>
          <w:color w:val="000000"/>
          <w:sz w:val="24"/>
        </w:rPr>
        <w:t>1.从正式验收合格交付使用之日算起，</w:t>
      </w:r>
      <w:r>
        <w:rPr>
          <w:rFonts w:hint="eastAsia" w:ascii="宋体" w:hAnsi="宋体" w:cs="宋体"/>
          <w:color w:val="auto"/>
          <w:sz w:val="24"/>
          <w:lang w:val="en-US" w:eastAsia="zh-CN"/>
        </w:rPr>
        <w:t>产品</w:t>
      </w:r>
      <w:r>
        <w:rPr>
          <w:rFonts w:hint="eastAsia" w:ascii="宋体" w:hAnsi="宋体" w:cs="宋体"/>
          <w:color w:val="auto"/>
          <w:sz w:val="24"/>
        </w:rPr>
        <w:t>免费质保期至少3年，在质保期内</w:t>
      </w:r>
      <w:r>
        <w:rPr>
          <w:rFonts w:hint="eastAsia" w:ascii="宋体" w:hAnsi="宋体" w:cs="宋体"/>
          <w:color w:val="auto"/>
          <w:sz w:val="24"/>
          <w:lang w:val="en-US" w:eastAsia="zh-CN"/>
        </w:rPr>
        <w:t>发</w:t>
      </w:r>
      <w:r>
        <w:rPr>
          <w:rFonts w:hint="eastAsia" w:ascii="宋体" w:hAnsi="宋体" w:cs="宋体"/>
          <w:color w:val="auto"/>
          <w:sz w:val="24"/>
        </w:rPr>
        <w:t>现</w:t>
      </w:r>
      <w:r>
        <w:rPr>
          <w:rFonts w:hint="eastAsia" w:ascii="宋体" w:hAnsi="宋体" w:cs="宋体"/>
          <w:color w:val="auto"/>
          <w:sz w:val="24"/>
          <w:lang w:val="en-US" w:eastAsia="zh-CN"/>
        </w:rPr>
        <w:t>产品内在质量问题</w:t>
      </w:r>
      <w:r>
        <w:rPr>
          <w:rFonts w:hint="eastAsia" w:ascii="宋体" w:hAnsi="宋体" w:cs="宋体"/>
          <w:color w:val="auto"/>
          <w:sz w:val="24"/>
        </w:rPr>
        <w:t>，</w:t>
      </w:r>
      <w:r>
        <w:rPr>
          <w:rFonts w:hint="eastAsia" w:ascii="宋体" w:hAnsi="宋体" w:cs="宋体"/>
          <w:color w:val="auto"/>
          <w:sz w:val="24"/>
          <w:lang w:eastAsia="zh-CN"/>
        </w:rPr>
        <w:t>成交人</w:t>
      </w:r>
      <w:r>
        <w:rPr>
          <w:rFonts w:hint="eastAsia" w:ascii="宋体" w:hAnsi="宋体" w:cs="宋体"/>
          <w:color w:val="auto"/>
          <w:sz w:val="24"/>
        </w:rPr>
        <w:t>应免费提供咨询和维修服务（包</w:t>
      </w:r>
      <w:r>
        <w:rPr>
          <w:rFonts w:hint="eastAsia" w:ascii="宋体" w:hAnsi="宋体" w:cs="宋体"/>
          <w:color w:val="000000"/>
          <w:sz w:val="24"/>
        </w:rPr>
        <w:t>括所需备件费用）。</w:t>
      </w:r>
    </w:p>
    <w:p w14:paraId="7C3E9444">
      <w:pPr>
        <w:keepNext w:val="0"/>
        <w:keepLines w:val="0"/>
        <w:pageBreakBefore w:val="0"/>
        <w:widowControl/>
        <w:kinsoku/>
        <w:wordWrap/>
        <w:overflowPunct/>
        <w:topLinePunct w:val="0"/>
        <w:autoSpaceDE/>
        <w:autoSpaceDN/>
        <w:bidi w:val="0"/>
        <w:spacing w:after="0" w:line="360" w:lineRule="auto"/>
        <w:ind w:firstLine="480" w:firstLineChars="200"/>
        <w:textAlignment w:val="auto"/>
        <w:rPr>
          <w:rFonts w:ascii="宋体" w:hAnsi="宋体" w:cs="宋体"/>
          <w:color w:val="auto"/>
          <w:sz w:val="24"/>
        </w:rPr>
      </w:pPr>
      <w:r>
        <w:rPr>
          <w:rFonts w:hint="eastAsia" w:ascii="宋体" w:hAnsi="宋体" w:cs="宋体"/>
          <w:color w:val="000000"/>
          <w:sz w:val="24"/>
        </w:rPr>
        <w:t>2.在</w:t>
      </w:r>
      <w:r>
        <w:rPr>
          <w:rFonts w:hint="eastAsia" w:ascii="宋体" w:hAnsi="宋体" w:cs="宋体"/>
          <w:color w:val="auto"/>
          <w:sz w:val="24"/>
        </w:rPr>
        <w:t>质保期内产品使用若发生故障，</w:t>
      </w:r>
      <w:r>
        <w:rPr>
          <w:rFonts w:hint="eastAsia" w:ascii="宋体" w:hAnsi="宋体" w:cs="宋体"/>
          <w:color w:val="auto"/>
          <w:sz w:val="24"/>
          <w:lang w:eastAsia="zh-CN"/>
        </w:rPr>
        <w:t>成交人</w:t>
      </w:r>
      <w:r>
        <w:rPr>
          <w:rFonts w:hint="eastAsia" w:ascii="宋体" w:hAnsi="宋体" w:cs="宋体"/>
          <w:color w:val="auto"/>
          <w:sz w:val="24"/>
        </w:rPr>
        <w:t>应在24小时内响应，一周内修复；若一周内无法修复，</w:t>
      </w:r>
      <w:r>
        <w:rPr>
          <w:rFonts w:hint="eastAsia" w:ascii="宋体" w:hAnsi="宋体" w:cs="宋体"/>
          <w:color w:val="auto"/>
          <w:sz w:val="24"/>
          <w:lang w:eastAsia="zh-CN"/>
        </w:rPr>
        <w:t>成交人</w:t>
      </w:r>
      <w:r>
        <w:rPr>
          <w:rFonts w:hint="eastAsia" w:ascii="宋体" w:hAnsi="宋体" w:cs="宋体"/>
          <w:color w:val="auto"/>
          <w:sz w:val="24"/>
        </w:rPr>
        <w:t>应立即提供免费配件更换；若维保点的检测人员不能排除故障时，</w:t>
      </w:r>
      <w:r>
        <w:rPr>
          <w:rFonts w:hint="eastAsia" w:ascii="宋体" w:hAnsi="宋体" w:cs="宋体"/>
          <w:color w:val="auto"/>
          <w:sz w:val="24"/>
          <w:lang w:eastAsia="zh-CN"/>
        </w:rPr>
        <w:t>成交人</w:t>
      </w:r>
      <w:r>
        <w:rPr>
          <w:rFonts w:hint="eastAsia" w:ascii="宋体" w:hAnsi="宋体" w:cs="宋体"/>
          <w:color w:val="auto"/>
          <w:sz w:val="24"/>
        </w:rPr>
        <w:t>应立即通知生产厂家派技术人员到现场解决故障问题，由此发生的费用由</w:t>
      </w:r>
      <w:r>
        <w:rPr>
          <w:rFonts w:hint="eastAsia" w:ascii="宋体" w:hAnsi="宋体" w:cs="宋体"/>
          <w:color w:val="auto"/>
          <w:sz w:val="24"/>
          <w:lang w:eastAsia="zh-CN"/>
        </w:rPr>
        <w:t>成交人</w:t>
      </w:r>
      <w:r>
        <w:rPr>
          <w:rFonts w:hint="eastAsia" w:ascii="宋体" w:hAnsi="宋体" w:cs="宋体"/>
          <w:color w:val="auto"/>
          <w:sz w:val="24"/>
        </w:rPr>
        <w:t>承担；同时应免费提供</w:t>
      </w:r>
      <w:r>
        <w:rPr>
          <w:rFonts w:hint="eastAsia" w:ascii="宋体" w:hAnsi="宋体" w:cs="宋体"/>
          <w:color w:val="auto"/>
          <w:sz w:val="24"/>
          <w:lang w:val="en-US" w:eastAsia="zh-CN"/>
        </w:rPr>
        <w:t>成套产品</w:t>
      </w:r>
      <w:r>
        <w:rPr>
          <w:rFonts w:hint="eastAsia" w:ascii="宋体" w:hAnsi="宋体" w:cs="宋体"/>
          <w:color w:val="auto"/>
          <w:sz w:val="24"/>
        </w:rPr>
        <w:t>所需的零配件及</w:t>
      </w:r>
      <w:r>
        <w:rPr>
          <w:rFonts w:hint="eastAsia" w:ascii="宋体" w:hAnsi="宋体" w:cs="宋体"/>
          <w:color w:val="auto"/>
          <w:sz w:val="24"/>
          <w:lang w:val="en-US" w:eastAsia="zh-CN"/>
        </w:rPr>
        <w:t>辅</w:t>
      </w:r>
      <w:r>
        <w:rPr>
          <w:rFonts w:hint="eastAsia" w:ascii="宋体" w:hAnsi="宋体" w:cs="宋体"/>
          <w:color w:val="auto"/>
          <w:sz w:val="24"/>
        </w:rPr>
        <w:t>件。</w:t>
      </w:r>
    </w:p>
    <w:p w14:paraId="3DAEDB40">
      <w:pPr>
        <w:keepNext w:val="0"/>
        <w:keepLines w:val="0"/>
        <w:pageBreakBefore w:val="0"/>
        <w:widowControl/>
        <w:kinsoku/>
        <w:wordWrap/>
        <w:overflowPunct/>
        <w:topLinePunct w:val="0"/>
        <w:autoSpaceDE/>
        <w:autoSpaceDN/>
        <w:bidi w:val="0"/>
        <w:spacing w:after="0" w:line="360" w:lineRule="auto"/>
        <w:ind w:firstLine="480" w:firstLineChars="200"/>
        <w:textAlignment w:val="auto"/>
        <w:rPr>
          <w:rFonts w:ascii="宋体" w:hAnsi="宋体" w:cs="宋体"/>
          <w:color w:val="000000"/>
          <w:sz w:val="24"/>
        </w:rPr>
      </w:pPr>
      <w:r>
        <w:rPr>
          <w:rFonts w:hint="eastAsia" w:ascii="宋体" w:hAnsi="宋体" w:cs="宋体"/>
          <w:color w:val="000000"/>
          <w:sz w:val="24"/>
        </w:rPr>
        <w:t>3.</w:t>
      </w:r>
      <w:r>
        <w:rPr>
          <w:rFonts w:hint="eastAsia" w:ascii="宋体" w:hAnsi="宋体" w:cs="宋体"/>
          <w:color w:val="000000"/>
          <w:sz w:val="24"/>
          <w:lang w:eastAsia="zh-CN"/>
        </w:rPr>
        <w:t>成交人</w:t>
      </w:r>
      <w:r>
        <w:rPr>
          <w:rFonts w:hint="eastAsia" w:ascii="宋体" w:hAnsi="宋体" w:cs="宋体"/>
          <w:color w:val="000000"/>
          <w:sz w:val="24"/>
        </w:rPr>
        <w:t>和生产厂家</w:t>
      </w:r>
      <w:r>
        <w:rPr>
          <w:rFonts w:hint="eastAsia" w:ascii="宋体" w:hAnsi="宋体" w:cs="宋体"/>
          <w:color w:val="000000" w:themeColor="text1"/>
          <w:sz w:val="24"/>
          <w:lang w:val="en-US" w:eastAsia="zh-CN"/>
          <w14:textFill>
            <w14:solidFill>
              <w14:schemeClr w14:val="tx1"/>
            </w14:solidFill>
          </w14:textFill>
        </w:rPr>
        <w:t>须</w:t>
      </w:r>
      <w:r>
        <w:rPr>
          <w:rFonts w:hint="eastAsia" w:ascii="宋体" w:hAnsi="宋体" w:cs="宋体"/>
          <w:color w:val="000000"/>
          <w:sz w:val="24"/>
        </w:rPr>
        <w:t>对</w:t>
      </w:r>
      <w:r>
        <w:rPr>
          <w:rFonts w:hint="eastAsia" w:ascii="宋体" w:hAnsi="宋体" w:cs="宋体"/>
          <w:color w:val="000000" w:themeColor="text1"/>
          <w:sz w:val="24"/>
          <w:lang w:val="en-US" w:eastAsia="zh-CN"/>
          <w14:textFill>
            <w14:solidFill>
              <w14:schemeClr w14:val="tx1"/>
            </w14:solidFill>
          </w14:textFill>
        </w:rPr>
        <w:t>成套产品</w:t>
      </w:r>
      <w:r>
        <w:rPr>
          <w:rFonts w:hint="eastAsia" w:ascii="宋体" w:hAnsi="宋体" w:cs="宋体"/>
          <w:color w:val="000000" w:themeColor="text1"/>
          <w:sz w:val="24"/>
          <w14:textFill>
            <w14:solidFill>
              <w14:schemeClr w14:val="tx1"/>
            </w14:solidFill>
          </w14:textFill>
        </w:rPr>
        <w:t>进行终身维护；质保期结束后，</w:t>
      </w:r>
      <w:r>
        <w:rPr>
          <w:rFonts w:hint="eastAsia" w:ascii="宋体" w:hAnsi="宋体" w:cs="宋体"/>
          <w:color w:val="000000" w:themeColor="text1"/>
          <w:sz w:val="24"/>
          <w:lang w:eastAsia="zh-CN"/>
          <w14:textFill>
            <w14:solidFill>
              <w14:schemeClr w14:val="tx1"/>
            </w14:solidFill>
          </w14:textFill>
        </w:rPr>
        <w:t>成交人</w:t>
      </w:r>
      <w:r>
        <w:rPr>
          <w:rFonts w:hint="eastAsia" w:ascii="宋体" w:hAnsi="宋体" w:cs="宋体"/>
          <w:color w:val="000000" w:themeColor="text1"/>
          <w:sz w:val="24"/>
          <w14:textFill>
            <w14:solidFill>
              <w14:schemeClr w14:val="tx1"/>
            </w14:solidFill>
          </w14:textFill>
        </w:rPr>
        <w:t>的售后服务机构有责任对</w:t>
      </w:r>
      <w:r>
        <w:rPr>
          <w:rFonts w:hint="eastAsia" w:ascii="宋体" w:hAnsi="宋体" w:cs="宋体"/>
          <w:color w:val="000000" w:themeColor="text1"/>
          <w:sz w:val="24"/>
          <w:lang w:val="en-US" w:eastAsia="zh-CN"/>
          <w14:textFill>
            <w14:solidFill>
              <w14:schemeClr w14:val="tx1"/>
            </w14:solidFill>
          </w14:textFill>
        </w:rPr>
        <w:t>成套产品</w:t>
      </w:r>
      <w:r>
        <w:rPr>
          <w:rFonts w:hint="eastAsia" w:ascii="宋体" w:hAnsi="宋体" w:cs="宋体"/>
          <w:color w:val="000000" w:themeColor="text1"/>
          <w:sz w:val="24"/>
          <w14:textFill>
            <w14:solidFill>
              <w14:schemeClr w14:val="tx1"/>
            </w14:solidFill>
          </w14:textFill>
        </w:rPr>
        <w:t>进行维护并按成本价收取配件费用，以确保</w:t>
      </w:r>
      <w:r>
        <w:rPr>
          <w:rFonts w:hint="eastAsia" w:ascii="宋体" w:hAnsi="宋体" w:cs="宋体"/>
          <w:color w:val="000000" w:themeColor="text1"/>
          <w:sz w:val="24"/>
          <w:lang w:val="en-US" w:eastAsia="zh-CN"/>
          <w14:textFill>
            <w14:solidFill>
              <w14:schemeClr w14:val="tx1"/>
            </w14:solidFill>
          </w14:textFill>
        </w:rPr>
        <w:t>产品</w:t>
      </w:r>
      <w:r>
        <w:rPr>
          <w:rFonts w:hint="eastAsia" w:ascii="宋体" w:hAnsi="宋体" w:cs="宋体"/>
          <w:color w:val="000000"/>
          <w:sz w:val="24"/>
        </w:rPr>
        <w:t>的正常运行。</w:t>
      </w:r>
    </w:p>
    <w:p w14:paraId="4371DA34">
      <w:pPr>
        <w:keepNext w:val="0"/>
        <w:keepLines w:val="0"/>
        <w:pageBreakBefore w:val="0"/>
        <w:widowControl/>
        <w:kinsoku/>
        <w:wordWrap/>
        <w:overflowPunct/>
        <w:topLinePunct w:val="0"/>
        <w:autoSpaceDE/>
        <w:autoSpaceDN/>
        <w:bidi w:val="0"/>
        <w:spacing w:after="0" w:line="360" w:lineRule="auto"/>
        <w:ind w:firstLine="480" w:firstLineChars="200"/>
        <w:textAlignment w:val="auto"/>
        <w:rPr>
          <w:rFonts w:ascii="宋体" w:hAnsi="宋体" w:cs="宋体"/>
          <w:color w:val="000000"/>
          <w:sz w:val="24"/>
        </w:rPr>
      </w:pPr>
      <w:r>
        <w:rPr>
          <w:rFonts w:hint="eastAsia" w:ascii="宋体" w:hAnsi="宋体" w:cs="宋体"/>
          <w:color w:val="000000"/>
          <w:sz w:val="24"/>
        </w:rPr>
        <w:t>4.</w:t>
      </w:r>
      <w:r>
        <w:rPr>
          <w:rFonts w:hint="eastAsia" w:ascii="宋体" w:hAnsi="宋体" w:cs="宋体"/>
          <w:color w:val="000000" w:themeColor="text1"/>
          <w:sz w:val="24"/>
          <w:lang w:val="en-US" w:eastAsia="zh-CN"/>
          <w14:textFill>
            <w14:solidFill>
              <w14:schemeClr w14:val="tx1"/>
            </w14:solidFill>
          </w14:textFill>
        </w:rPr>
        <w:t>供应商</w:t>
      </w:r>
      <w:r>
        <w:rPr>
          <w:rFonts w:hint="eastAsia" w:ascii="宋体" w:hAnsi="宋体" w:cs="宋体"/>
          <w:color w:val="000000" w:themeColor="text1"/>
          <w:sz w:val="24"/>
          <w14:textFill>
            <w14:solidFill>
              <w14:schemeClr w14:val="tx1"/>
            </w14:solidFill>
          </w14:textFill>
        </w:rPr>
        <w:t>须在</w:t>
      </w:r>
      <w:r>
        <w:rPr>
          <w:rFonts w:hint="eastAsia" w:ascii="宋体" w:hAnsi="宋体" w:cs="宋体"/>
          <w:color w:val="000000" w:themeColor="text1"/>
          <w:sz w:val="24"/>
          <w:lang w:val="en-US" w:eastAsia="zh-CN"/>
          <w14:textFill>
            <w14:solidFill>
              <w14:schemeClr w14:val="tx1"/>
            </w14:solidFill>
          </w14:textFill>
        </w:rPr>
        <w:t>成交后提供</w:t>
      </w:r>
      <w:r>
        <w:rPr>
          <w:rFonts w:hint="eastAsia" w:ascii="宋体" w:hAnsi="宋体" w:cs="宋体"/>
          <w:color w:val="000000" w:themeColor="text1"/>
          <w:sz w:val="24"/>
          <w14:textFill>
            <w14:solidFill>
              <w14:schemeClr w14:val="tx1"/>
            </w14:solidFill>
          </w14:textFill>
        </w:rPr>
        <w:t>详细的售后服务方案，内容应涉及：维护机构、人员、地址、电话、维修方式、保修方式、培训计划、</w:t>
      </w:r>
      <w:r>
        <w:rPr>
          <w:rFonts w:hint="eastAsia" w:ascii="宋体" w:hAnsi="宋体" w:cs="宋体"/>
          <w:color w:val="000000" w:themeColor="text1"/>
          <w:sz w:val="24"/>
          <w:lang w:val="en-US" w:eastAsia="zh-CN"/>
          <w14:textFill>
            <w14:solidFill>
              <w14:schemeClr w14:val="tx1"/>
            </w14:solidFill>
          </w14:textFill>
        </w:rPr>
        <w:t>质保期限、</w:t>
      </w:r>
      <w:r>
        <w:rPr>
          <w:rFonts w:hint="eastAsia" w:ascii="宋体" w:hAnsi="宋体" w:cs="宋体"/>
          <w:color w:val="000000"/>
          <w:sz w:val="24"/>
        </w:rPr>
        <w:t>质保期满后的维修保养费用、时间保证、零配件及易损件费用、优惠措施等。</w:t>
      </w:r>
    </w:p>
    <w:p w14:paraId="7D846A14">
      <w:pPr>
        <w:keepNext w:val="0"/>
        <w:keepLines w:val="0"/>
        <w:pageBreakBefore w:val="0"/>
        <w:widowControl/>
        <w:kinsoku/>
        <w:wordWrap/>
        <w:overflowPunct/>
        <w:topLinePunct w:val="0"/>
        <w:autoSpaceDE/>
        <w:autoSpaceDN/>
        <w:bidi w:val="0"/>
        <w:spacing w:after="0" w:line="360" w:lineRule="auto"/>
        <w:ind w:firstLine="482" w:firstLineChars="200"/>
        <w:textAlignment w:val="auto"/>
        <w:rPr>
          <w:rFonts w:ascii="宋体" w:hAnsi="宋体" w:cs="宋体"/>
          <w:sz w:val="24"/>
        </w:rPr>
      </w:pPr>
      <w:r>
        <w:rPr>
          <w:rFonts w:hint="eastAsia" w:ascii="宋体" w:hAnsi="宋体" w:cs="宋体"/>
          <w:b/>
          <w:bCs/>
          <w:sz w:val="24"/>
        </w:rPr>
        <w:t>（八）</w:t>
      </w:r>
      <w:r>
        <w:rPr>
          <w:rFonts w:hint="eastAsia" w:ascii="宋体" w:hAnsi="宋体" w:cs="宋体"/>
          <w:b/>
          <w:bCs/>
          <w:color w:val="000000" w:themeColor="text1"/>
          <w:sz w:val="24"/>
          <w:lang w:val="en-US" w:eastAsia="zh-CN"/>
          <w14:textFill>
            <w14:solidFill>
              <w14:schemeClr w14:val="tx1"/>
            </w14:solidFill>
          </w14:textFill>
        </w:rPr>
        <w:t>质保</w:t>
      </w:r>
      <w:r>
        <w:rPr>
          <w:rFonts w:hint="eastAsia" w:ascii="宋体" w:hAnsi="宋体" w:cs="宋体"/>
          <w:b/>
          <w:bCs/>
          <w:color w:val="000000" w:themeColor="text1"/>
          <w:sz w:val="24"/>
          <w14:textFill>
            <w14:solidFill>
              <w14:schemeClr w14:val="tx1"/>
            </w14:solidFill>
          </w14:textFill>
        </w:rPr>
        <w:t>期限</w:t>
      </w:r>
      <w:r>
        <w:rPr>
          <w:rFonts w:hint="eastAsia" w:ascii="宋体" w:hAnsi="宋体" w:cs="宋体"/>
          <w:b/>
          <w:bCs/>
          <w:sz w:val="24"/>
        </w:rPr>
        <w:t>：</w:t>
      </w:r>
      <w:r>
        <w:rPr>
          <w:rFonts w:hint="eastAsia" w:ascii="宋体" w:hAnsi="宋体" w:cs="宋体"/>
          <w:sz w:val="24"/>
        </w:rPr>
        <w:t>自验收合格之日起至少三年。</w:t>
      </w:r>
    </w:p>
    <w:p w14:paraId="4373F860">
      <w:pPr>
        <w:keepNext w:val="0"/>
        <w:keepLines w:val="0"/>
        <w:pageBreakBefore w:val="0"/>
        <w:widowControl/>
        <w:kinsoku/>
        <w:wordWrap/>
        <w:overflowPunct/>
        <w:topLinePunct w:val="0"/>
        <w:autoSpaceDE/>
        <w:autoSpaceDN/>
        <w:bidi w:val="0"/>
        <w:spacing w:after="0" w:line="360" w:lineRule="auto"/>
        <w:jc w:val="center"/>
        <w:textAlignment w:val="auto"/>
        <w:rPr>
          <w:rFonts w:hint="eastAsia" w:ascii="宋体" w:hAnsi="宋体" w:cs="宋体"/>
          <w:bCs/>
          <w:color w:val="000000" w:themeColor="text1"/>
          <w:sz w:val="32"/>
          <w:szCs w:val="32"/>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附件：图书书架拟采购分项清单</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5130"/>
        <w:gridCol w:w="1140"/>
      </w:tblGrid>
      <w:tr w14:paraId="2371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Align w:val="center"/>
          </w:tcPr>
          <w:p w14:paraId="699597D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kern w:val="2"/>
                <w:sz w:val="18"/>
                <w:szCs w:val="18"/>
                <w:lang w:val="en-US" w:eastAsia="zh-CN"/>
              </w:rPr>
            </w:pPr>
            <w:r>
              <w:rPr>
                <w:rFonts w:hint="eastAsia" w:ascii="宋体" w:hAnsi="宋体" w:eastAsia="宋体" w:cs="宋体"/>
                <w:b/>
                <w:bCs/>
                <w:kern w:val="2"/>
                <w:sz w:val="18"/>
                <w:szCs w:val="18"/>
                <w:lang w:val="en-US" w:eastAsia="zh-CN"/>
              </w:rPr>
              <w:t>名称</w:t>
            </w:r>
          </w:p>
        </w:tc>
        <w:tc>
          <w:tcPr>
            <w:tcW w:w="5130" w:type="dxa"/>
            <w:vAlign w:val="center"/>
          </w:tcPr>
          <w:p w14:paraId="4EE9949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kern w:val="2"/>
                <w:sz w:val="18"/>
                <w:szCs w:val="18"/>
                <w:lang w:val="en-US" w:eastAsia="zh-CN"/>
              </w:rPr>
            </w:pPr>
            <w:r>
              <w:rPr>
                <w:rFonts w:hint="eastAsia" w:ascii="宋体" w:hAnsi="宋体" w:eastAsia="宋体" w:cs="宋体"/>
                <w:b/>
                <w:bCs/>
                <w:kern w:val="2"/>
                <w:sz w:val="18"/>
                <w:szCs w:val="18"/>
                <w:lang w:val="en-US" w:eastAsia="zh-CN"/>
              </w:rPr>
              <w:t>规格配置</w:t>
            </w:r>
          </w:p>
        </w:tc>
        <w:tc>
          <w:tcPr>
            <w:tcW w:w="1140" w:type="dxa"/>
            <w:vAlign w:val="center"/>
          </w:tcPr>
          <w:p w14:paraId="0DACBFD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kern w:val="2"/>
                <w:sz w:val="18"/>
                <w:szCs w:val="18"/>
                <w:lang w:val="en-US" w:eastAsia="zh-CN"/>
              </w:rPr>
            </w:pPr>
            <w:r>
              <w:rPr>
                <w:rFonts w:hint="eastAsia" w:ascii="宋体" w:hAnsi="宋体" w:eastAsia="宋体" w:cs="宋体"/>
                <w:b/>
                <w:bCs/>
                <w:kern w:val="2"/>
                <w:sz w:val="18"/>
                <w:szCs w:val="18"/>
                <w:lang w:val="en-US" w:eastAsia="zh-CN"/>
              </w:rPr>
              <w:t>数量（节）</w:t>
            </w:r>
          </w:p>
        </w:tc>
      </w:tr>
      <w:tr w14:paraId="38A5F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125" w:type="dxa"/>
          </w:tcPr>
          <w:p w14:paraId="0D8FB3F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kern w:val="2"/>
                <w:sz w:val="18"/>
                <w:szCs w:val="18"/>
                <w:lang w:val="en-US" w:eastAsia="zh-CN"/>
              </w:rPr>
            </w:pPr>
            <w:r>
              <w:rPr>
                <w:rFonts w:hint="eastAsia" w:ascii="宋体" w:hAnsi="宋体" w:eastAsia="宋体" w:cs="宋体"/>
                <w:kern w:val="2"/>
                <w:sz w:val="18"/>
                <w:szCs w:val="18"/>
                <w:lang w:val="en-US" w:eastAsia="zh-CN"/>
              </w:rPr>
              <w:t>钢书架</w:t>
            </w:r>
          </w:p>
        </w:tc>
        <w:tc>
          <w:tcPr>
            <w:tcW w:w="5130" w:type="dxa"/>
          </w:tcPr>
          <w:p w14:paraId="7683B6F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kern w:val="2"/>
                <w:sz w:val="18"/>
                <w:szCs w:val="18"/>
                <w:lang w:val="en-US" w:eastAsia="zh-CN"/>
                <w14:textFill>
                  <w14:solidFill>
                    <w14:schemeClr w14:val="tx1"/>
                  </w14:solidFill>
                </w14:textFill>
              </w:rPr>
            </w:pPr>
            <w:r>
              <w:rPr>
                <w:rFonts w:hint="eastAsia" w:ascii="宋体" w:hAnsi="宋体" w:eastAsia="宋体" w:cs="宋体"/>
                <w:color w:val="000000" w:themeColor="text1"/>
                <w:kern w:val="2"/>
                <w:sz w:val="18"/>
                <w:szCs w:val="18"/>
                <w:lang w:val="en-US" w:eastAsia="zh-CN"/>
                <w14:textFill>
                  <w14:solidFill>
                    <w14:schemeClr w14:val="tx1"/>
                  </w14:solidFill>
                </w14:textFill>
              </w:rPr>
              <w:t>颜色：灰白色。3节为1列、</w:t>
            </w:r>
            <w:r>
              <w:rPr>
                <w:rFonts w:hint="eastAsia" w:ascii="宋体" w:hAnsi="宋体" w:eastAsia="宋体" w:cs="宋体"/>
                <w:color w:val="000000" w:themeColor="text1"/>
                <w:kern w:val="2"/>
                <w:sz w:val="18"/>
                <w:szCs w:val="18"/>
                <w14:textFill>
                  <w14:solidFill>
                    <w14:schemeClr w14:val="tx1"/>
                  </w14:solidFill>
                </w14:textFill>
              </w:rPr>
              <w:t>双面6层书架</w:t>
            </w:r>
            <w:r>
              <w:rPr>
                <w:rFonts w:hint="eastAsia" w:ascii="宋体" w:hAnsi="宋体" w:eastAsia="宋体" w:cs="宋体"/>
                <w:color w:val="000000" w:themeColor="text1"/>
                <w:kern w:val="2"/>
                <w:sz w:val="18"/>
                <w:szCs w:val="18"/>
                <w:lang w:eastAsia="zh-CN"/>
                <w14:textFill>
                  <w14:solidFill>
                    <w14:schemeClr w14:val="tx1"/>
                  </w14:solidFill>
                </w14:textFill>
              </w:rPr>
              <w:t>：</w:t>
            </w:r>
            <w:r>
              <w:rPr>
                <w:rFonts w:hint="eastAsia" w:ascii="宋体" w:hAnsi="宋体" w:eastAsia="宋体" w:cs="宋体"/>
                <w:color w:val="000000" w:themeColor="text1"/>
                <w:kern w:val="2"/>
                <w:sz w:val="18"/>
                <w:szCs w:val="18"/>
                <w:lang w:val="en-US" w:eastAsia="zh-CN"/>
                <w14:textFill>
                  <w14:solidFill>
                    <w14:schemeClr w14:val="tx1"/>
                  </w14:solidFill>
                </w14:textFill>
              </w:rPr>
              <w:t>每节长(每节立柱中到中)900mm*450mm*2000mm,每层层高（上板底面与下板顶面间垂直距离）≥31cm；共3列。</w:t>
            </w:r>
          </w:p>
        </w:tc>
        <w:tc>
          <w:tcPr>
            <w:tcW w:w="1140" w:type="dxa"/>
          </w:tcPr>
          <w:p w14:paraId="74CD2EF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2"/>
                <w:sz w:val="18"/>
                <w:szCs w:val="18"/>
                <w:lang w:val="en-US" w:eastAsia="zh-CN"/>
                <w14:textFill>
                  <w14:solidFill>
                    <w14:schemeClr w14:val="tx1"/>
                  </w14:solidFill>
                </w14:textFill>
              </w:rPr>
            </w:pPr>
            <w:r>
              <w:rPr>
                <w:rFonts w:hint="eastAsia" w:ascii="宋体" w:hAnsi="宋体" w:eastAsia="宋体" w:cs="宋体"/>
                <w:color w:val="000000" w:themeColor="text1"/>
                <w:kern w:val="2"/>
                <w:sz w:val="18"/>
                <w:szCs w:val="18"/>
                <w:lang w:val="en-US" w:eastAsia="zh-CN"/>
                <w14:textFill>
                  <w14:solidFill>
                    <w14:schemeClr w14:val="tx1"/>
                  </w14:solidFill>
                </w14:textFill>
              </w:rPr>
              <w:t>9</w:t>
            </w:r>
          </w:p>
        </w:tc>
      </w:tr>
      <w:tr w14:paraId="79D87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125" w:type="dxa"/>
          </w:tcPr>
          <w:p w14:paraId="1082447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kern w:val="2"/>
                <w:sz w:val="18"/>
                <w:szCs w:val="18"/>
              </w:rPr>
            </w:pPr>
            <w:r>
              <w:rPr>
                <w:rFonts w:hint="eastAsia" w:ascii="宋体" w:hAnsi="宋体" w:eastAsia="宋体" w:cs="宋体"/>
                <w:kern w:val="2"/>
                <w:sz w:val="18"/>
                <w:szCs w:val="18"/>
                <w:lang w:val="en-US" w:eastAsia="zh-CN"/>
              </w:rPr>
              <w:t>钢书架</w:t>
            </w:r>
          </w:p>
        </w:tc>
        <w:tc>
          <w:tcPr>
            <w:tcW w:w="5130" w:type="dxa"/>
          </w:tcPr>
          <w:p w14:paraId="24C5C0B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kern w:val="2"/>
                <w:sz w:val="18"/>
                <w:szCs w:val="18"/>
                <w:lang w:val="en-US"/>
                <w14:textFill>
                  <w14:solidFill>
                    <w14:schemeClr w14:val="tx1"/>
                  </w14:solidFill>
                </w14:textFill>
              </w:rPr>
            </w:pPr>
            <w:r>
              <w:rPr>
                <w:rFonts w:hint="eastAsia" w:ascii="宋体" w:hAnsi="宋体" w:eastAsia="宋体" w:cs="宋体"/>
                <w:color w:val="000000" w:themeColor="text1"/>
                <w:kern w:val="2"/>
                <w:sz w:val="18"/>
                <w:szCs w:val="18"/>
                <w:lang w:val="en-US" w:eastAsia="zh-CN"/>
                <w14:textFill>
                  <w14:solidFill>
                    <w14:schemeClr w14:val="tx1"/>
                  </w14:solidFill>
                </w14:textFill>
              </w:rPr>
              <w:t>颜色：灰白色。</w:t>
            </w:r>
            <w:r>
              <w:rPr>
                <w:rFonts w:hint="eastAsia" w:ascii="宋体" w:hAnsi="宋体" w:eastAsia="宋体" w:cs="宋体"/>
                <w:color w:val="000000" w:themeColor="text1"/>
                <w:kern w:val="2"/>
                <w:sz w:val="18"/>
                <w:szCs w:val="18"/>
                <w14:textFill>
                  <w14:solidFill>
                    <w14:schemeClr w14:val="tx1"/>
                  </w14:solidFill>
                </w14:textFill>
              </w:rPr>
              <w:t>6</w:t>
            </w:r>
            <w:r>
              <w:rPr>
                <w:rFonts w:hint="eastAsia" w:ascii="宋体" w:hAnsi="宋体" w:eastAsia="宋体" w:cs="宋体"/>
                <w:color w:val="000000" w:themeColor="text1"/>
                <w:kern w:val="2"/>
                <w:sz w:val="18"/>
                <w:szCs w:val="18"/>
                <w:lang w:val="en-US" w:eastAsia="zh-CN"/>
                <w14:textFill>
                  <w14:solidFill>
                    <w14:schemeClr w14:val="tx1"/>
                  </w14:solidFill>
                </w14:textFill>
              </w:rPr>
              <w:t>节为</w:t>
            </w:r>
            <w:r>
              <w:rPr>
                <w:rFonts w:hint="eastAsia" w:ascii="宋体" w:hAnsi="宋体" w:cs="宋体"/>
                <w:color w:val="000000" w:themeColor="text1"/>
                <w:kern w:val="2"/>
                <w:sz w:val="18"/>
                <w:szCs w:val="18"/>
                <w:lang w:val="en-US" w:eastAsia="zh-CN"/>
                <w14:textFill>
                  <w14:solidFill>
                    <w14:schemeClr w14:val="tx1"/>
                  </w14:solidFill>
                </w14:textFill>
              </w:rPr>
              <w:t>1</w:t>
            </w:r>
            <w:r>
              <w:rPr>
                <w:rFonts w:hint="eastAsia" w:ascii="宋体" w:hAnsi="宋体" w:eastAsia="宋体" w:cs="宋体"/>
                <w:color w:val="000000" w:themeColor="text1"/>
                <w:kern w:val="2"/>
                <w:sz w:val="18"/>
                <w:szCs w:val="18"/>
                <w:lang w:val="en-US" w:eastAsia="zh-CN"/>
                <w14:textFill>
                  <w14:solidFill>
                    <w14:schemeClr w14:val="tx1"/>
                  </w14:solidFill>
                </w14:textFill>
              </w:rPr>
              <w:t>列、</w:t>
            </w:r>
            <w:r>
              <w:rPr>
                <w:rFonts w:hint="eastAsia" w:ascii="宋体" w:hAnsi="宋体" w:eastAsia="宋体" w:cs="宋体"/>
                <w:color w:val="000000" w:themeColor="text1"/>
                <w:kern w:val="2"/>
                <w:sz w:val="18"/>
                <w:szCs w:val="18"/>
                <w14:textFill>
                  <w14:solidFill>
                    <w14:schemeClr w14:val="tx1"/>
                  </w14:solidFill>
                </w14:textFill>
              </w:rPr>
              <w:t>双面6层书架</w:t>
            </w:r>
            <w:r>
              <w:rPr>
                <w:rFonts w:hint="eastAsia" w:ascii="宋体" w:hAnsi="宋体" w:eastAsia="宋体" w:cs="宋体"/>
                <w:color w:val="000000" w:themeColor="text1"/>
                <w:kern w:val="2"/>
                <w:sz w:val="18"/>
                <w:szCs w:val="18"/>
                <w:lang w:eastAsia="zh-CN"/>
                <w14:textFill>
                  <w14:solidFill>
                    <w14:schemeClr w14:val="tx1"/>
                  </w14:solidFill>
                </w14:textFill>
              </w:rPr>
              <w:t>：</w:t>
            </w:r>
            <w:r>
              <w:rPr>
                <w:rFonts w:hint="eastAsia" w:ascii="宋体" w:hAnsi="宋体" w:eastAsia="宋体" w:cs="宋体"/>
                <w:color w:val="000000" w:themeColor="text1"/>
                <w:kern w:val="2"/>
                <w:sz w:val="18"/>
                <w:szCs w:val="18"/>
                <w:lang w:val="en-US" w:eastAsia="zh-CN"/>
                <w14:textFill>
                  <w14:solidFill>
                    <w14:schemeClr w14:val="tx1"/>
                  </w14:solidFill>
                </w14:textFill>
              </w:rPr>
              <w:t>每节长(每节立柱中到中)900mm*500mm*2200mm,每层层高</w:t>
            </w:r>
            <w:r>
              <w:rPr>
                <w:rFonts w:hint="eastAsia" w:ascii="宋体" w:hAnsi="宋体" w:eastAsia="宋体" w:cs="宋体"/>
                <w:b w:val="0"/>
                <w:bCs w:val="0"/>
                <w:i w:val="0"/>
                <w:iCs w:val="0"/>
                <w:color w:val="000000" w:themeColor="text1"/>
                <w:kern w:val="2"/>
                <w:sz w:val="18"/>
                <w:szCs w:val="18"/>
                <w:highlight w:val="none"/>
                <w:vertAlign w:val="baseline"/>
                <w:lang w:val="en-US" w:eastAsia="zh-CN" w:bidi="ar-SA"/>
                <w14:textFill>
                  <w14:solidFill>
                    <w14:schemeClr w14:val="tx1"/>
                  </w14:solidFill>
                </w14:textFill>
              </w:rPr>
              <w:t>（上板底面与下板顶面间垂直距离）</w:t>
            </w:r>
            <w:r>
              <w:rPr>
                <w:rFonts w:hint="eastAsia" w:ascii="宋体" w:hAnsi="宋体" w:eastAsia="宋体" w:cs="宋体"/>
                <w:color w:val="000000" w:themeColor="text1"/>
                <w:kern w:val="2"/>
                <w:sz w:val="18"/>
                <w:szCs w:val="18"/>
                <w:lang w:val="en-US" w:eastAsia="zh-CN"/>
                <w14:textFill>
                  <w14:solidFill>
                    <w14:schemeClr w14:val="tx1"/>
                  </w14:solidFill>
                </w14:textFill>
              </w:rPr>
              <w:t>≥33cm；共10列。</w:t>
            </w:r>
          </w:p>
        </w:tc>
        <w:tc>
          <w:tcPr>
            <w:tcW w:w="1140" w:type="dxa"/>
          </w:tcPr>
          <w:p w14:paraId="7C0C9BD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2"/>
                <w:sz w:val="18"/>
                <w:szCs w:val="18"/>
                <w:lang w:val="en-US" w:eastAsia="zh-CN"/>
                <w14:textFill>
                  <w14:solidFill>
                    <w14:schemeClr w14:val="tx1"/>
                  </w14:solidFill>
                </w14:textFill>
              </w:rPr>
            </w:pPr>
            <w:r>
              <w:rPr>
                <w:rFonts w:hint="eastAsia" w:ascii="宋体" w:hAnsi="宋体" w:eastAsia="宋体" w:cs="宋体"/>
                <w:color w:val="000000" w:themeColor="text1"/>
                <w:kern w:val="2"/>
                <w:sz w:val="18"/>
                <w:szCs w:val="18"/>
                <w:lang w:val="en-US" w:eastAsia="zh-CN"/>
                <w14:textFill>
                  <w14:solidFill>
                    <w14:schemeClr w14:val="tx1"/>
                  </w14:solidFill>
                </w14:textFill>
              </w:rPr>
              <w:t>60</w:t>
            </w:r>
          </w:p>
        </w:tc>
      </w:tr>
      <w:tr w14:paraId="69EBB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1125" w:type="dxa"/>
          </w:tcPr>
          <w:p w14:paraId="3A4015B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kern w:val="2"/>
                <w:sz w:val="18"/>
                <w:szCs w:val="18"/>
              </w:rPr>
            </w:pPr>
            <w:r>
              <w:rPr>
                <w:rFonts w:hint="eastAsia" w:ascii="宋体" w:hAnsi="宋体" w:eastAsia="宋体" w:cs="宋体"/>
                <w:kern w:val="2"/>
                <w:sz w:val="18"/>
                <w:szCs w:val="18"/>
                <w:lang w:val="en-US" w:eastAsia="zh-CN"/>
              </w:rPr>
              <w:t>钢书架</w:t>
            </w:r>
          </w:p>
        </w:tc>
        <w:tc>
          <w:tcPr>
            <w:tcW w:w="5130" w:type="dxa"/>
          </w:tcPr>
          <w:p w14:paraId="75FFBEE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kern w:val="2"/>
                <w:sz w:val="18"/>
                <w:szCs w:val="18"/>
                <w:lang w:val="en-US"/>
                <w14:textFill>
                  <w14:solidFill>
                    <w14:schemeClr w14:val="tx1"/>
                  </w14:solidFill>
                </w14:textFill>
              </w:rPr>
            </w:pPr>
            <w:r>
              <w:rPr>
                <w:rFonts w:hint="eastAsia" w:ascii="宋体" w:hAnsi="宋体" w:eastAsia="宋体" w:cs="宋体"/>
                <w:color w:val="000000" w:themeColor="text1"/>
                <w:kern w:val="2"/>
                <w:sz w:val="18"/>
                <w:szCs w:val="18"/>
                <w:lang w:val="en-US" w:eastAsia="zh-CN"/>
                <w14:textFill>
                  <w14:solidFill>
                    <w14:schemeClr w14:val="tx1"/>
                  </w14:solidFill>
                </w14:textFill>
              </w:rPr>
              <w:t>颜色：灰白色。6节为1列、</w:t>
            </w:r>
            <w:r>
              <w:rPr>
                <w:rFonts w:hint="eastAsia" w:ascii="宋体" w:hAnsi="宋体" w:eastAsia="宋体" w:cs="宋体"/>
                <w:color w:val="000000" w:themeColor="text1"/>
                <w:kern w:val="2"/>
                <w:sz w:val="18"/>
                <w:szCs w:val="18"/>
                <w:lang w:val="en-US"/>
                <w14:textFill>
                  <w14:solidFill>
                    <w14:schemeClr w14:val="tx1"/>
                  </w14:solidFill>
                </w14:textFill>
              </w:rPr>
              <w:t>双面</w:t>
            </w:r>
            <w:r>
              <w:rPr>
                <w:rFonts w:hint="eastAsia" w:ascii="宋体" w:hAnsi="宋体" w:eastAsia="宋体" w:cs="宋体"/>
                <w:color w:val="000000" w:themeColor="text1"/>
                <w:kern w:val="2"/>
                <w:sz w:val="18"/>
                <w:szCs w:val="18"/>
                <w:lang w:val="en-US" w:eastAsia="zh-CN"/>
                <w14:textFill>
                  <w14:solidFill>
                    <w14:schemeClr w14:val="tx1"/>
                  </w14:solidFill>
                </w14:textFill>
              </w:rPr>
              <w:t>7</w:t>
            </w:r>
            <w:r>
              <w:rPr>
                <w:rFonts w:hint="eastAsia" w:ascii="宋体" w:hAnsi="宋体" w:eastAsia="宋体" w:cs="宋体"/>
                <w:color w:val="000000" w:themeColor="text1"/>
                <w:kern w:val="2"/>
                <w:sz w:val="18"/>
                <w:szCs w:val="18"/>
                <w:lang w:val="en-US"/>
                <w14:textFill>
                  <w14:solidFill>
                    <w14:schemeClr w14:val="tx1"/>
                  </w14:solidFill>
                </w14:textFill>
              </w:rPr>
              <w:t>层书架</w:t>
            </w:r>
            <w:r>
              <w:rPr>
                <w:rFonts w:hint="eastAsia" w:ascii="宋体" w:hAnsi="宋体" w:eastAsia="宋体" w:cs="宋体"/>
                <w:color w:val="000000" w:themeColor="text1"/>
                <w:kern w:val="2"/>
                <w:sz w:val="18"/>
                <w:szCs w:val="18"/>
                <w:lang w:val="en-US" w:eastAsia="zh-CN"/>
                <w14:textFill>
                  <w14:solidFill>
                    <w14:schemeClr w14:val="tx1"/>
                  </w14:solidFill>
                </w14:textFill>
              </w:rPr>
              <w:t>：每节长(每节立柱中到中)900mm*500mm*2450mm,每层层高</w:t>
            </w:r>
            <w:r>
              <w:rPr>
                <w:rFonts w:hint="eastAsia" w:ascii="宋体" w:hAnsi="宋体" w:eastAsia="宋体" w:cs="宋体"/>
                <w:b w:val="0"/>
                <w:bCs w:val="0"/>
                <w:i w:val="0"/>
                <w:iCs w:val="0"/>
                <w:color w:val="000000" w:themeColor="text1"/>
                <w:kern w:val="2"/>
                <w:sz w:val="18"/>
                <w:szCs w:val="18"/>
                <w:highlight w:val="none"/>
                <w:vertAlign w:val="baseline"/>
                <w:lang w:val="en-US" w:eastAsia="zh-CN" w:bidi="ar-SA"/>
                <w14:textFill>
                  <w14:solidFill>
                    <w14:schemeClr w14:val="tx1"/>
                  </w14:solidFill>
                </w14:textFill>
              </w:rPr>
              <w:t>（上板底面与下板顶面间垂直距离）</w:t>
            </w:r>
            <w:r>
              <w:rPr>
                <w:rFonts w:hint="eastAsia" w:ascii="宋体" w:hAnsi="宋体" w:eastAsia="宋体" w:cs="宋体"/>
                <w:color w:val="000000" w:themeColor="text1"/>
                <w:kern w:val="2"/>
                <w:sz w:val="18"/>
                <w:szCs w:val="18"/>
                <w:lang w:val="en-US" w:eastAsia="zh-CN"/>
                <w14:textFill>
                  <w14:solidFill>
                    <w14:schemeClr w14:val="tx1"/>
                  </w14:solidFill>
                </w14:textFill>
              </w:rPr>
              <w:t>≥30cm；共</w:t>
            </w:r>
            <w:r>
              <w:rPr>
                <w:rFonts w:hint="eastAsia" w:ascii="宋体" w:hAnsi="宋体" w:cs="宋体"/>
                <w:color w:val="000000" w:themeColor="text1"/>
                <w:kern w:val="2"/>
                <w:sz w:val="18"/>
                <w:szCs w:val="18"/>
                <w:lang w:val="en-US" w:eastAsia="zh-CN"/>
                <w14:textFill>
                  <w14:solidFill>
                    <w14:schemeClr w14:val="tx1"/>
                  </w14:solidFill>
                </w14:textFill>
              </w:rPr>
              <w:t>5</w:t>
            </w:r>
            <w:r>
              <w:rPr>
                <w:rFonts w:hint="eastAsia" w:ascii="宋体" w:hAnsi="宋体" w:eastAsia="宋体" w:cs="宋体"/>
                <w:color w:val="000000" w:themeColor="text1"/>
                <w:kern w:val="2"/>
                <w:sz w:val="18"/>
                <w:szCs w:val="18"/>
                <w:lang w:val="en-US" w:eastAsia="zh-CN"/>
                <w14:textFill>
                  <w14:solidFill>
                    <w14:schemeClr w14:val="tx1"/>
                  </w14:solidFill>
                </w14:textFill>
              </w:rPr>
              <w:t>列。</w:t>
            </w:r>
          </w:p>
        </w:tc>
        <w:tc>
          <w:tcPr>
            <w:tcW w:w="1140" w:type="dxa"/>
          </w:tcPr>
          <w:p w14:paraId="658287E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2"/>
                <w:sz w:val="18"/>
                <w:szCs w:val="18"/>
                <w:lang w:val="en-US" w:eastAsia="zh-CN"/>
                <w14:textFill>
                  <w14:solidFill>
                    <w14:schemeClr w14:val="tx1"/>
                  </w14:solidFill>
                </w14:textFill>
              </w:rPr>
            </w:pPr>
            <w:r>
              <w:rPr>
                <w:rFonts w:hint="eastAsia" w:ascii="宋体" w:hAnsi="宋体" w:eastAsia="宋体" w:cs="宋体"/>
                <w:color w:val="000000" w:themeColor="text1"/>
                <w:kern w:val="2"/>
                <w:sz w:val="18"/>
                <w:szCs w:val="18"/>
                <w:lang w:val="en-US" w:eastAsia="zh-CN"/>
                <w14:textFill>
                  <w14:solidFill>
                    <w14:schemeClr w14:val="tx1"/>
                  </w14:solidFill>
                </w14:textFill>
              </w:rPr>
              <w:t>30</w:t>
            </w:r>
          </w:p>
        </w:tc>
      </w:tr>
      <w:tr w14:paraId="44EA2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125" w:type="dxa"/>
          </w:tcPr>
          <w:p w14:paraId="1128062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kern w:val="2"/>
                <w:sz w:val="18"/>
                <w:szCs w:val="18"/>
              </w:rPr>
            </w:pPr>
            <w:r>
              <w:rPr>
                <w:rFonts w:hint="eastAsia" w:ascii="宋体" w:hAnsi="宋体" w:eastAsia="宋体" w:cs="宋体"/>
                <w:kern w:val="2"/>
                <w:sz w:val="18"/>
                <w:szCs w:val="18"/>
                <w:lang w:val="en-US" w:eastAsia="zh-CN"/>
              </w:rPr>
              <w:t>钢书架</w:t>
            </w:r>
          </w:p>
        </w:tc>
        <w:tc>
          <w:tcPr>
            <w:tcW w:w="5130" w:type="dxa"/>
          </w:tcPr>
          <w:p w14:paraId="3707D48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kern w:val="2"/>
                <w:sz w:val="18"/>
                <w:szCs w:val="18"/>
                <w:lang w:val="en-US"/>
              </w:rPr>
            </w:pPr>
            <w:r>
              <w:rPr>
                <w:rFonts w:hint="eastAsia" w:ascii="宋体" w:hAnsi="宋体" w:eastAsia="宋体" w:cs="宋体"/>
                <w:kern w:val="2"/>
                <w:sz w:val="18"/>
                <w:szCs w:val="18"/>
                <w:lang w:val="en-US" w:eastAsia="zh-CN"/>
              </w:rPr>
              <w:t>颜色：灰白色。5节为1列、</w:t>
            </w:r>
            <w:r>
              <w:rPr>
                <w:rFonts w:hint="eastAsia" w:ascii="宋体" w:hAnsi="宋体" w:eastAsia="宋体" w:cs="宋体"/>
                <w:kern w:val="2"/>
                <w:sz w:val="18"/>
                <w:szCs w:val="18"/>
                <w:lang w:val="en-US"/>
              </w:rPr>
              <w:t>双面</w:t>
            </w:r>
            <w:r>
              <w:rPr>
                <w:rFonts w:hint="eastAsia" w:ascii="宋体" w:hAnsi="宋体" w:eastAsia="宋体" w:cs="宋体"/>
                <w:kern w:val="2"/>
                <w:sz w:val="18"/>
                <w:szCs w:val="18"/>
                <w:lang w:val="en-US" w:eastAsia="zh-CN"/>
              </w:rPr>
              <w:t>7</w:t>
            </w:r>
            <w:r>
              <w:rPr>
                <w:rFonts w:hint="eastAsia" w:ascii="宋体" w:hAnsi="宋体" w:eastAsia="宋体" w:cs="宋体"/>
                <w:kern w:val="2"/>
                <w:sz w:val="18"/>
                <w:szCs w:val="18"/>
                <w:lang w:val="en-US"/>
              </w:rPr>
              <w:t>层书架</w:t>
            </w:r>
            <w:r>
              <w:rPr>
                <w:rFonts w:hint="eastAsia" w:ascii="宋体" w:hAnsi="宋体" w:eastAsia="宋体" w:cs="宋体"/>
                <w:kern w:val="2"/>
                <w:sz w:val="18"/>
                <w:szCs w:val="18"/>
                <w:lang w:val="en-US" w:eastAsia="zh-CN"/>
              </w:rPr>
              <w:t>：每节长(每节立柱中到中)950mm*500mm*2450mm,每层层高≥30cm；共6列。</w:t>
            </w:r>
          </w:p>
        </w:tc>
        <w:tc>
          <w:tcPr>
            <w:tcW w:w="1140" w:type="dxa"/>
          </w:tcPr>
          <w:p w14:paraId="4183A12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18"/>
                <w:szCs w:val="18"/>
                <w:lang w:val="en-US" w:eastAsia="zh-CN"/>
              </w:rPr>
            </w:pPr>
            <w:r>
              <w:rPr>
                <w:rFonts w:hint="eastAsia" w:ascii="宋体" w:hAnsi="宋体" w:eastAsia="宋体" w:cs="宋体"/>
                <w:kern w:val="2"/>
                <w:sz w:val="18"/>
                <w:szCs w:val="18"/>
                <w:lang w:val="en-US" w:eastAsia="zh-CN"/>
              </w:rPr>
              <w:t>30</w:t>
            </w:r>
          </w:p>
        </w:tc>
      </w:tr>
      <w:tr w14:paraId="7F73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125" w:type="dxa"/>
          </w:tcPr>
          <w:p w14:paraId="686EC29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kern w:val="2"/>
                <w:sz w:val="18"/>
                <w:szCs w:val="18"/>
              </w:rPr>
            </w:pPr>
            <w:r>
              <w:rPr>
                <w:rFonts w:hint="eastAsia" w:ascii="宋体" w:hAnsi="宋体" w:eastAsia="宋体" w:cs="宋体"/>
                <w:kern w:val="2"/>
                <w:sz w:val="18"/>
                <w:szCs w:val="18"/>
                <w:lang w:val="en-US" w:eastAsia="zh-CN"/>
              </w:rPr>
              <w:t>钢书架</w:t>
            </w:r>
          </w:p>
        </w:tc>
        <w:tc>
          <w:tcPr>
            <w:tcW w:w="5130" w:type="dxa"/>
          </w:tcPr>
          <w:p w14:paraId="5DE384E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kern w:val="2"/>
                <w:sz w:val="18"/>
                <w:szCs w:val="18"/>
              </w:rPr>
            </w:pPr>
            <w:r>
              <w:rPr>
                <w:rFonts w:hint="eastAsia" w:ascii="宋体" w:hAnsi="宋体" w:eastAsia="宋体" w:cs="宋体"/>
                <w:kern w:val="2"/>
                <w:sz w:val="18"/>
                <w:szCs w:val="18"/>
                <w:lang w:val="en-US" w:eastAsia="zh-CN"/>
              </w:rPr>
              <w:t>颜色：灰白色。4节为1列、</w:t>
            </w:r>
            <w:r>
              <w:rPr>
                <w:rFonts w:hint="eastAsia" w:ascii="宋体" w:hAnsi="宋体" w:eastAsia="宋体" w:cs="宋体"/>
                <w:kern w:val="2"/>
                <w:sz w:val="18"/>
                <w:szCs w:val="18"/>
              </w:rPr>
              <w:t>双面</w:t>
            </w:r>
            <w:r>
              <w:rPr>
                <w:rFonts w:hint="eastAsia" w:ascii="宋体" w:hAnsi="宋体" w:eastAsia="宋体" w:cs="宋体"/>
                <w:kern w:val="2"/>
                <w:sz w:val="18"/>
                <w:szCs w:val="18"/>
                <w:lang w:val="en-US" w:eastAsia="zh-CN"/>
              </w:rPr>
              <w:t>7</w:t>
            </w:r>
            <w:r>
              <w:rPr>
                <w:rFonts w:hint="eastAsia" w:ascii="宋体" w:hAnsi="宋体" w:eastAsia="宋体" w:cs="宋体"/>
                <w:kern w:val="2"/>
                <w:sz w:val="18"/>
                <w:szCs w:val="18"/>
              </w:rPr>
              <w:t>层书架</w:t>
            </w:r>
            <w:r>
              <w:rPr>
                <w:rFonts w:hint="eastAsia" w:ascii="宋体" w:hAnsi="宋体" w:eastAsia="宋体" w:cs="宋体"/>
                <w:kern w:val="2"/>
                <w:sz w:val="18"/>
                <w:szCs w:val="18"/>
                <w:lang w:eastAsia="zh-CN"/>
              </w:rPr>
              <w:t>：</w:t>
            </w:r>
            <w:r>
              <w:rPr>
                <w:rFonts w:hint="eastAsia" w:ascii="宋体" w:hAnsi="宋体" w:eastAsia="宋体" w:cs="宋体"/>
                <w:kern w:val="2"/>
                <w:sz w:val="18"/>
                <w:szCs w:val="18"/>
                <w:lang w:val="en-US" w:eastAsia="zh-CN"/>
              </w:rPr>
              <w:t>每节长(每节立柱中到中)900mm*500mm*2450mm,每层层高≥30cm；共1列。</w:t>
            </w:r>
          </w:p>
        </w:tc>
        <w:tc>
          <w:tcPr>
            <w:tcW w:w="1140" w:type="dxa"/>
          </w:tcPr>
          <w:p w14:paraId="555B35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18"/>
                <w:szCs w:val="18"/>
                <w:lang w:val="en-US" w:eastAsia="zh-CN"/>
              </w:rPr>
            </w:pPr>
            <w:r>
              <w:rPr>
                <w:rFonts w:hint="eastAsia" w:ascii="宋体" w:hAnsi="宋体" w:eastAsia="宋体" w:cs="宋体"/>
                <w:kern w:val="2"/>
                <w:sz w:val="18"/>
                <w:szCs w:val="18"/>
                <w:lang w:val="en-US" w:eastAsia="zh-CN"/>
              </w:rPr>
              <w:t>4</w:t>
            </w:r>
          </w:p>
        </w:tc>
      </w:tr>
      <w:tr w14:paraId="7DF4B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tcPr>
          <w:p w14:paraId="361A4E1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kern w:val="2"/>
                <w:sz w:val="18"/>
                <w:szCs w:val="18"/>
                <w:lang w:val="en-US"/>
              </w:rPr>
            </w:pPr>
            <w:r>
              <w:rPr>
                <w:rFonts w:hint="eastAsia" w:ascii="宋体" w:hAnsi="宋体" w:eastAsia="宋体" w:cs="宋体"/>
                <w:kern w:val="2"/>
                <w:sz w:val="18"/>
                <w:szCs w:val="18"/>
                <w:lang w:val="en-US" w:eastAsia="zh-CN"/>
              </w:rPr>
              <w:t>钢(木)书架</w:t>
            </w:r>
          </w:p>
        </w:tc>
        <w:tc>
          <w:tcPr>
            <w:tcW w:w="5130" w:type="dxa"/>
          </w:tcPr>
          <w:p w14:paraId="5E47D05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kern w:val="2"/>
                <w:sz w:val="18"/>
                <w:szCs w:val="18"/>
                <w:lang w:val="en-US"/>
              </w:rPr>
            </w:pPr>
            <w:r>
              <w:rPr>
                <w:rFonts w:hint="eastAsia" w:ascii="宋体" w:hAnsi="宋体" w:eastAsia="宋体" w:cs="宋体"/>
                <w:kern w:val="2"/>
                <w:sz w:val="18"/>
                <w:szCs w:val="18"/>
                <w:lang w:val="en-US" w:eastAsia="zh-CN"/>
              </w:rPr>
              <w:t>侧面、顶面、底面的颜色：木纹色。7节为1列、</w:t>
            </w:r>
            <w:r>
              <w:rPr>
                <w:rFonts w:hint="eastAsia" w:ascii="宋体" w:hAnsi="宋体" w:eastAsia="宋体" w:cs="宋体"/>
                <w:kern w:val="2"/>
                <w:sz w:val="18"/>
                <w:szCs w:val="18"/>
              </w:rPr>
              <w:t>双面</w:t>
            </w:r>
            <w:r>
              <w:rPr>
                <w:rFonts w:hint="eastAsia" w:ascii="宋体" w:hAnsi="宋体" w:eastAsia="宋体" w:cs="宋体"/>
                <w:kern w:val="2"/>
                <w:sz w:val="18"/>
                <w:szCs w:val="18"/>
                <w:lang w:val="en-US" w:eastAsia="zh-CN"/>
              </w:rPr>
              <w:t>7</w:t>
            </w:r>
            <w:r>
              <w:rPr>
                <w:rFonts w:hint="eastAsia" w:ascii="宋体" w:hAnsi="宋体" w:eastAsia="宋体" w:cs="宋体"/>
                <w:kern w:val="2"/>
                <w:sz w:val="18"/>
                <w:szCs w:val="18"/>
              </w:rPr>
              <w:t>层书架</w:t>
            </w:r>
            <w:r>
              <w:rPr>
                <w:rFonts w:hint="eastAsia" w:ascii="宋体" w:hAnsi="宋体" w:eastAsia="宋体" w:cs="宋体"/>
                <w:kern w:val="2"/>
                <w:sz w:val="18"/>
                <w:szCs w:val="18"/>
                <w:lang w:eastAsia="zh-CN"/>
              </w:rPr>
              <w:t>：</w:t>
            </w:r>
            <w:r>
              <w:rPr>
                <w:rFonts w:hint="eastAsia" w:ascii="宋体" w:hAnsi="宋体" w:eastAsia="宋体" w:cs="宋体"/>
                <w:kern w:val="2"/>
                <w:sz w:val="18"/>
                <w:szCs w:val="18"/>
                <w:lang w:val="en-US" w:eastAsia="zh-CN"/>
              </w:rPr>
              <w:t>每节长(每节立柱中到中)900mm*500mm*2450mm,每层层高≥30cm；共1列。</w:t>
            </w:r>
          </w:p>
        </w:tc>
        <w:tc>
          <w:tcPr>
            <w:tcW w:w="1140" w:type="dxa"/>
          </w:tcPr>
          <w:p w14:paraId="03D4773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18"/>
                <w:szCs w:val="18"/>
                <w:lang w:val="en-US" w:eastAsia="zh-CN"/>
              </w:rPr>
            </w:pPr>
            <w:r>
              <w:rPr>
                <w:rFonts w:hint="eastAsia" w:ascii="宋体" w:hAnsi="宋体" w:eastAsia="宋体" w:cs="宋体"/>
                <w:kern w:val="2"/>
                <w:sz w:val="18"/>
                <w:szCs w:val="18"/>
                <w:lang w:val="en-US" w:eastAsia="zh-CN"/>
              </w:rPr>
              <w:t>7</w:t>
            </w:r>
          </w:p>
        </w:tc>
      </w:tr>
    </w:tbl>
    <w:p w14:paraId="7EE0BC18">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cs="宋体"/>
          <w:b/>
          <w:bCs/>
          <w:color w:val="000000" w:themeColor="text1"/>
          <w:kern w:val="2"/>
          <w:sz w:val="24"/>
          <w:szCs w:val="24"/>
          <w:lang w:val="en-US" w:eastAsia="zh-CN" w:bidi="ar-SA"/>
          <w14:textFill>
            <w14:solidFill>
              <w14:schemeClr w14:val="tx1"/>
            </w14:solidFill>
          </w14:textFill>
        </w:rPr>
      </w:pPr>
    </w:p>
    <w:p w14:paraId="41B53A3C">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ascii="宋体" w:hAnsi="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四、</w:t>
      </w:r>
      <w:r>
        <w:rPr>
          <w:rFonts w:hint="eastAsia" w:ascii="宋体" w:hAnsi="宋体" w:cs="宋体"/>
          <w:b/>
          <w:bCs/>
          <w:color w:val="000000" w:themeColor="text1"/>
          <w:sz w:val="24"/>
          <w14:textFill>
            <w14:solidFill>
              <w14:schemeClr w14:val="tx1"/>
            </w14:solidFill>
          </w14:textFill>
        </w:rPr>
        <w:t>样品</w:t>
      </w:r>
    </w:p>
    <w:p w14:paraId="6885DC67">
      <w:pPr>
        <w:keepNext w:val="0"/>
        <w:keepLines w:val="0"/>
        <w:pageBreakBefore w:val="0"/>
        <w:kinsoku/>
        <w:wordWrap/>
        <w:overflowPunct/>
        <w:topLinePunct w:val="0"/>
        <w:autoSpaceDE/>
        <w:autoSpaceDN/>
        <w:bidi w:val="0"/>
        <w:spacing w:after="0" w:line="360" w:lineRule="auto"/>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sz w:val="24"/>
        </w:rPr>
        <w:t>1.本项目要求提供样品，</w:t>
      </w:r>
      <w:r>
        <w:rPr>
          <w:rFonts w:hint="eastAsia" w:ascii="宋体" w:hAnsi="宋体" w:cs="宋体"/>
          <w:color w:val="000000"/>
          <w:sz w:val="24"/>
          <w:lang w:eastAsia="zh-CN"/>
        </w:rPr>
        <w:t>成交人</w:t>
      </w:r>
      <w:r>
        <w:rPr>
          <w:rFonts w:hint="eastAsia" w:ascii="宋体" w:hAnsi="宋体" w:cs="宋体"/>
          <w:color w:val="000000"/>
          <w:sz w:val="24"/>
        </w:rPr>
        <w:t>的样品由采购人负责保管、封存，并作为履约验收的参考。未</w:t>
      </w:r>
      <w:r>
        <w:rPr>
          <w:rFonts w:hint="eastAsia" w:ascii="宋体" w:hAnsi="宋体" w:cs="宋体"/>
          <w:color w:val="000000"/>
          <w:sz w:val="24"/>
          <w:lang w:eastAsia="zh-CN"/>
        </w:rPr>
        <w:t>成交人</w:t>
      </w:r>
      <w:r>
        <w:rPr>
          <w:rFonts w:hint="eastAsia" w:ascii="宋体" w:hAnsi="宋体" w:cs="宋体"/>
          <w:color w:val="000000"/>
          <w:sz w:val="24"/>
        </w:rPr>
        <w:t>的样品开标结束后及时退还。</w:t>
      </w:r>
    </w:p>
    <w:p w14:paraId="449721E5">
      <w:pPr>
        <w:keepNext w:val="0"/>
        <w:keepLines w:val="0"/>
        <w:pageBreakBefore w:val="0"/>
        <w:kinsoku/>
        <w:wordWrap/>
        <w:overflowPunct/>
        <w:topLinePunct w:val="0"/>
        <w:autoSpaceDE/>
        <w:autoSpaceDN/>
        <w:bidi w:val="0"/>
        <w:spacing w:after="0" w:line="360" w:lineRule="auto"/>
        <w:ind w:firstLine="480" w:firstLineChars="200"/>
        <w:textAlignment w:val="auto"/>
        <w:rPr>
          <w:rFonts w:hint="eastAsia" w:ascii="宋体" w:hAnsi="宋体" w:cs="宋体"/>
          <w:color w:val="000000"/>
          <w:sz w:val="24"/>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eastAsia="zh-CN"/>
          <w14:textFill>
            <w14:solidFill>
              <w14:schemeClr w14:val="tx1"/>
            </w14:solidFill>
          </w14:textFill>
        </w:rPr>
        <w:t>供应商</w:t>
      </w:r>
      <w:r>
        <w:rPr>
          <w:rFonts w:hint="eastAsia" w:ascii="宋体" w:hAnsi="宋体" w:cs="宋体"/>
          <w:color w:val="000000" w:themeColor="text1"/>
          <w:sz w:val="24"/>
          <w14:textFill>
            <w14:solidFill>
              <w14:schemeClr w14:val="tx1"/>
            </w14:solidFill>
          </w14:textFill>
        </w:rPr>
        <w:t>须按</w:t>
      </w:r>
      <w:r>
        <w:rPr>
          <w:rFonts w:hint="eastAsia" w:ascii="宋体" w:hAnsi="宋体" w:cs="宋体"/>
          <w:color w:val="000000" w:themeColor="text1"/>
          <w:sz w:val="24"/>
          <w:lang w:val="en-US" w:eastAsia="zh-CN"/>
          <w14:textFill>
            <w14:solidFill>
              <w14:schemeClr w14:val="tx1"/>
            </w14:solidFill>
          </w14:textFill>
        </w:rPr>
        <w:t>以下</w:t>
      </w:r>
      <w:r>
        <w:rPr>
          <w:rFonts w:hint="eastAsia" w:ascii="宋体" w:hAnsi="宋体" w:cs="宋体"/>
          <w:color w:val="000000" w:themeColor="text1"/>
          <w:sz w:val="24"/>
          <w14:textFill>
            <w14:solidFill>
              <w14:schemeClr w14:val="tx1"/>
            </w14:solidFill>
          </w14:textFill>
        </w:rPr>
        <w:t>书架主材品质参数要求提供挂板、搁板的钢书架构件实样，未提供样品或样品提供不全的视作未实质性响应</w:t>
      </w:r>
      <w:r>
        <w:rPr>
          <w:rFonts w:hint="eastAsia" w:ascii="宋体" w:hAnsi="宋体" w:cs="宋体"/>
          <w:color w:val="000000" w:themeColor="text1"/>
          <w:sz w:val="24"/>
          <w:lang w:eastAsia="zh-CN"/>
          <w14:textFill>
            <w14:solidFill>
              <w14:schemeClr w14:val="tx1"/>
            </w14:solidFill>
          </w14:textFill>
        </w:rPr>
        <w:t>采购文件</w:t>
      </w:r>
      <w:r>
        <w:rPr>
          <w:rFonts w:hint="eastAsia" w:ascii="宋体" w:hAnsi="宋体" w:cs="宋体"/>
          <w:color w:val="000000" w:themeColor="text1"/>
          <w:sz w:val="24"/>
          <w14:textFill>
            <w14:solidFill>
              <w14:schemeClr w14:val="tx1"/>
            </w14:solidFill>
          </w14:textFill>
        </w:rPr>
        <w:t>要求，</w:t>
      </w:r>
      <w:r>
        <w:rPr>
          <w:rFonts w:hint="eastAsia" w:ascii="宋体" w:hAnsi="宋体" w:cs="宋体"/>
          <w:color w:val="000000"/>
          <w:sz w:val="24"/>
        </w:rPr>
        <w:t>按无效投标处理。</w:t>
      </w:r>
    </w:p>
    <w:tbl>
      <w:tblPr>
        <w:tblStyle w:val="26"/>
        <w:tblW w:w="7779" w:type="dxa"/>
        <w:jc w:val="center"/>
        <w:tblLayout w:type="fixed"/>
        <w:tblCellMar>
          <w:top w:w="0" w:type="dxa"/>
          <w:left w:w="10" w:type="dxa"/>
          <w:bottom w:w="0" w:type="dxa"/>
          <w:right w:w="10" w:type="dxa"/>
        </w:tblCellMar>
      </w:tblPr>
      <w:tblGrid>
        <w:gridCol w:w="1880"/>
        <w:gridCol w:w="5899"/>
      </w:tblGrid>
      <w:tr w14:paraId="31BF27BB">
        <w:tblPrEx>
          <w:tblCellMar>
            <w:top w:w="0" w:type="dxa"/>
            <w:left w:w="10" w:type="dxa"/>
            <w:bottom w:w="0" w:type="dxa"/>
            <w:right w:w="10" w:type="dxa"/>
          </w:tblCellMar>
        </w:tblPrEx>
        <w:trPr>
          <w:trHeight w:val="465" w:hRule="atLeast"/>
          <w:jc w:val="center"/>
        </w:trPr>
        <w:tc>
          <w:tcPr>
            <w:tcW w:w="1880" w:type="dxa"/>
            <w:vMerge w:val="restart"/>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4EEBA1F5">
            <w:pPr>
              <w:pStyle w:val="25"/>
              <w:spacing w:line="240" w:lineRule="atLeast"/>
              <w:ind w:left="0" w:leftChars="0" w:firstLine="0" w:firstLineChars="0"/>
              <w:rPr>
                <w:rFonts w:eastAsia="宋体"/>
                <w:sz w:val="21"/>
                <w:szCs w:val="21"/>
              </w:rPr>
            </w:pPr>
            <w:r>
              <w:rPr>
                <w:rFonts w:hint="eastAsia" w:ascii="宋体" w:hAnsi="宋体" w:cs="宋体"/>
                <w:color w:val="000000" w:themeColor="text1"/>
                <w:sz w:val="24"/>
                <w14:textFill>
                  <w14:solidFill>
                    <w14:schemeClr w14:val="tx1"/>
                  </w14:solidFill>
                </w14:textFill>
              </w:rPr>
              <w:t>主材品质参数</w:t>
            </w:r>
          </w:p>
        </w:tc>
        <w:tc>
          <w:tcPr>
            <w:tcW w:w="58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9A147FB">
            <w:pPr>
              <w:pStyle w:val="25"/>
              <w:spacing w:line="240" w:lineRule="auto"/>
              <w:ind w:left="0" w:firstLine="0" w:firstLineChars="0"/>
              <w:rPr>
                <w:rFonts w:hint="eastAsia" w:eastAsia="宋体"/>
                <w:b w:val="0"/>
                <w:bCs w:val="0"/>
                <w:color w:val="000000" w:themeColor="text1"/>
                <w:sz w:val="24"/>
                <w:szCs w:val="24"/>
                <w:lang w:eastAsia="zh-CN"/>
                <w14:textFill>
                  <w14:solidFill>
                    <w14:schemeClr w14:val="tx1"/>
                  </w14:solidFill>
                </w14:textFill>
              </w:rPr>
            </w:pPr>
            <w:r>
              <w:rPr>
                <w:rFonts w:hint="eastAsia" w:eastAsia="宋体"/>
                <w:b w:val="0"/>
                <w:bCs w:val="0"/>
                <w:color w:val="000000" w:themeColor="text1"/>
                <w:sz w:val="24"/>
                <w:szCs w:val="24"/>
                <w14:textFill>
                  <w14:solidFill>
                    <w14:schemeClr w14:val="tx1"/>
                  </w14:solidFill>
                </w14:textFill>
              </w:rPr>
              <w:t>挂板裸板厚度δ</w:t>
            </w:r>
            <w:r>
              <w:rPr>
                <w:rFonts w:hint="eastAsia" w:eastAsia="宋体"/>
                <w:b w:val="0"/>
                <w:bCs w:val="0"/>
                <w:color w:val="000000" w:themeColor="text1"/>
                <w:sz w:val="24"/>
                <w:szCs w:val="24"/>
                <w:lang w:val="en-US" w:eastAsia="zh-CN"/>
                <w14:textFill>
                  <w14:solidFill>
                    <w14:schemeClr w14:val="tx1"/>
                  </w14:solidFill>
                </w14:textFill>
              </w:rPr>
              <w:t>≥</w:t>
            </w:r>
            <w:r>
              <w:rPr>
                <w:rFonts w:hint="eastAsia" w:eastAsia="宋体"/>
                <w:b w:val="0"/>
                <w:bCs w:val="0"/>
                <w:color w:val="000000" w:themeColor="text1"/>
                <w:sz w:val="24"/>
                <w:szCs w:val="24"/>
                <w14:textFill>
                  <w14:solidFill>
                    <w14:schemeClr w14:val="tx1"/>
                  </w14:solidFill>
                </w14:textFill>
              </w:rPr>
              <w:t>0.8mm</w:t>
            </w:r>
            <w:r>
              <w:rPr>
                <w:rFonts w:hint="eastAsia" w:eastAsia="宋体"/>
                <w:b w:val="0"/>
                <w:bCs w:val="0"/>
                <w:color w:val="000000" w:themeColor="text1"/>
                <w:sz w:val="24"/>
                <w:szCs w:val="24"/>
                <w:lang w:eastAsia="zh-CN"/>
                <w14:textFill>
                  <w14:solidFill>
                    <w14:schemeClr w14:val="tx1"/>
                  </w14:solidFill>
                </w14:textFill>
              </w:rPr>
              <w:t>；</w:t>
            </w:r>
          </w:p>
        </w:tc>
      </w:tr>
      <w:tr w14:paraId="31EFA99F">
        <w:tblPrEx>
          <w:tblCellMar>
            <w:top w:w="0" w:type="dxa"/>
            <w:left w:w="10" w:type="dxa"/>
            <w:bottom w:w="0" w:type="dxa"/>
            <w:right w:w="10" w:type="dxa"/>
          </w:tblCellMar>
        </w:tblPrEx>
        <w:trPr>
          <w:trHeight w:val="355" w:hRule="atLeast"/>
          <w:jc w:val="center"/>
        </w:trPr>
        <w:tc>
          <w:tcPr>
            <w:tcW w:w="188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F2E20D">
            <w:pPr>
              <w:pStyle w:val="25"/>
              <w:spacing w:line="240" w:lineRule="atLeast"/>
              <w:ind w:left="420" w:firstLine="420"/>
              <w:rPr>
                <w:rFonts w:eastAsia="宋体"/>
                <w:sz w:val="21"/>
                <w:szCs w:val="21"/>
              </w:rPr>
            </w:pPr>
          </w:p>
        </w:tc>
        <w:tc>
          <w:tcPr>
            <w:tcW w:w="58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B7AC98C">
            <w:pPr>
              <w:pStyle w:val="25"/>
              <w:spacing w:line="240" w:lineRule="auto"/>
              <w:ind w:left="0" w:firstLine="0" w:firstLineChars="0"/>
              <w:rPr>
                <w:rFonts w:eastAsia="宋体"/>
                <w:b w:val="0"/>
                <w:bCs w:val="0"/>
                <w:color w:val="000000" w:themeColor="text1"/>
                <w:sz w:val="24"/>
                <w:szCs w:val="24"/>
                <w14:textFill>
                  <w14:solidFill>
                    <w14:schemeClr w14:val="tx1"/>
                  </w14:solidFill>
                </w14:textFill>
              </w:rPr>
            </w:pPr>
            <w:r>
              <w:rPr>
                <w:rFonts w:hint="eastAsia" w:eastAsia="宋体"/>
                <w:b w:val="0"/>
                <w:bCs w:val="0"/>
                <w:color w:val="000000" w:themeColor="text1"/>
                <w:sz w:val="24"/>
                <w:szCs w:val="24"/>
                <w14:textFill>
                  <w14:solidFill>
                    <w14:schemeClr w14:val="tx1"/>
                  </w14:solidFill>
                </w14:textFill>
              </w:rPr>
              <w:t>搁板裸板厚度δ</w:t>
            </w:r>
            <w:r>
              <w:rPr>
                <w:rFonts w:hint="eastAsia" w:eastAsia="宋体"/>
                <w:b w:val="0"/>
                <w:bCs w:val="0"/>
                <w:color w:val="000000" w:themeColor="text1"/>
                <w:sz w:val="24"/>
                <w:szCs w:val="24"/>
                <w:lang w:val="en-US" w:eastAsia="zh-CN"/>
                <w14:textFill>
                  <w14:solidFill>
                    <w14:schemeClr w14:val="tx1"/>
                  </w14:solidFill>
                </w14:textFill>
              </w:rPr>
              <w:t>≥</w:t>
            </w:r>
            <w:r>
              <w:rPr>
                <w:rFonts w:hint="eastAsia" w:eastAsia="宋体"/>
                <w:b w:val="0"/>
                <w:bCs w:val="0"/>
                <w:color w:val="000000" w:themeColor="text1"/>
                <w:sz w:val="24"/>
                <w:szCs w:val="24"/>
                <w14:textFill>
                  <w14:solidFill>
                    <w14:schemeClr w14:val="tx1"/>
                  </w14:solidFill>
                </w14:textFill>
              </w:rPr>
              <w:t>0.8mm；</w:t>
            </w:r>
          </w:p>
        </w:tc>
      </w:tr>
    </w:tbl>
    <w:p w14:paraId="0AE35C5B">
      <w:pPr>
        <w:keepNext w:val="0"/>
        <w:keepLines w:val="0"/>
        <w:pageBreakBefore w:val="0"/>
        <w:kinsoku/>
        <w:wordWrap/>
        <w:overflowPunct/>
        <w:topLinePunct w:val="0"/>
        <w:autoSpaceDE/>
        <w:autoSpaceDN/>
        <w:bidi w:val="0"/>
        <w:spacing w:after="0" w:line="360" w:lineRule="auto"/>
        <w:ind w:firstLine="480" w:firstLineChars="200"/>
        <w:textAlignment w:val="auto"/>
        <w:rPr>
          <w:rFonts w:ascii="宋体" w:hAnsi="宋体" w:cs="宋体"/>
          <w:color w:val="000000"/>
          <w:sz w:val="24"/>
        </w:rPr>
      </w:pPr>
      <w:r>
        <w:rPr>
          <w:rFonts w:hint="eastAsia" w:ascii="宋体" w:hAnsi="宋体" w:cs="宋体"/>
          <w:color w:val="000000"/>
          <w:sz w:val="24"/>
        </w:rPr>
        <w:t>3.评标现场将会对样品进行破坏性审查。</w:t>
      </w:r>
    </w:p>
    <w:p w14:paraId="4E6FB76A">
      <w:pPr>
        <w:keepNext w:val="0"/>
        <w:keepLines w:val="0"/>
        <w:pageBreakBefore w:val="0"/>
        <w:kinsoku/>
        <w:wordWrap/>
        <w:overflowPunct/>
        <w:topLinePunct w:val="0"/>
        <w:autoSpaceDE/>
        <w:autoSpaceDN/>
        <w:bidi w:val="0"/>
        <w:spacing w:after="0" w:line="360" w:lineRule="auto"/>
        <w:ind w:firstLine="480" w:firstLineChars="200"/>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sz w:val="24"/>
        </w:rPr>
        <w:t>4.样品提交及安装完成时间：请于本项目开标截止时间前（逾时不接受）统一送达并安装完成</w:t>
      </w:r>
      <w:r>
        <w:rPr>
          <w:rFonts w:hint="eastAsia" w:ascii="宋体" w:hAnsi="宋体" w:cs="宋体"/>
          <w:color w:val="000000" w:themeColor="text1"/>
          <w:sz w:val="24"/>
          <w14:textFill>
            <w14:solidFill>
              <w14:schemeClr w14:val="tx1"/>
            </w14:solidFill>
          </w14:textFill>
        </w:rPr>
        <w:t>（安装地址：</w:t>
      </w:r>
      <w:r>
        <w:rPr>
          <w:rFonts w:hint="eastAsia" w:ascii="宋体" w:hAnsi="宋体" w:cs="宋体"/>
          <w:color w:val="000000" w:themeColor="text1"/>
          <w:sz w:val="24"/>
          <w:lang w:val="en-US" w:eastAsia="zh-CN"/>
          <w14:textFill>
            <w14:solidFill>
              <w14:schemeClr w14:val="tx1"/>
            </w14:solidFill>
          </w14:textFill>
        </w:rPr>
        <w:t>图书信息与大数据管理中心内</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sz w:val="24"/>
        </w:rPr>
        <w:t>。未在截止时间前送达并完成样品安装的作无效投标处理。采购人有权对所提供的样品进行破坏性试验。开标结束后，</w:t>
      </w:r>
      <w:r>
        <w:rPr>
          <w:rFonts w:hint="eastAsia" w:ascii="宋体" w:hAnsi="宋体" w:cs="宋体"/>
          <w:color w:val="000000"/>
          <w:sz w:val="24"/>
          <w:lang w:val="en-US" w:eastAsia="zh-CN"/>
        </w:rPr>
        <w:t>响应</w:t>
      </w:r>
      <w:r>
        <w:rPr>
          <w:rFonts w:hint="eastAsia" w:ascii="宋体" w:hAnsi="宋体" w:cs="宋体"/>
          <w:color w:val="000000"/>
          <w:sz w:val="24"/>
        </w:rPr>
        <w:t>供应商（</w:t>
      </w:r>
      <w:r>
        <w:rPr>
          <w:rFonts w:hint="eastAsia" w:ascii="宋体" w:hAnsi="宋体" w:cs="宋体"/>
          <w:color w:val="000000"/>
          <w:sz w:val="24"/>
          <w:lang w:eastAsia="zh-CN"/>
        </w:rPr>
        <w:t>成交</w:t>
      </w:r>
      <w:r>
        <w:rPr>
          <w:rFonts w:hint="eastAsia" w:ascii="宋体" w:hAnsi="宋体" w:cs="宋体"/>
          <w:color w:val="000000"/>
          <w:sz w:val="24"/>
        </w:rPr>
        <w:t>候选人除外）应将样品及时撤离，否则，样品发生任何损坏、损失由</w:t>
      </w:r>
      <w:r>
        <w:rPr>
          <w:rFonts w:hint="eastAsia" w:ascii="宋体" w:hAnsi="宋体" w:cs="宋体"/>
          <w:color w:val="000000"/>
          <w:sz w:val="24"/>
          <w:lang w:eastAsia="zh-CN"/>
        </w:rPr>
        <w:t>供应商</w:t>
      </w:r>
      <w:r>
        <w:rPr>
          <w:rFonts w:hint="eastAsia" w:ascii="宋体" w:hAnsi="宋体" w:cs="宋体"/>
          <w:color w:val="000000"/>
          <w:sz w:val="24"/>
        </w:rPr>
        <w:t>自行承担，所有</w:t>
      </w:r>
      <w:r>
        <w:rPr>
          <w:rFonts w:hint="eastAsia" w:ascii="宋体" w:hAnsi="宋体" w:cs="宋体"/>
          <w:color w:val="000000"/>
          <w:sz w:val="24"/>
          <w:lang w:eastAsia="zh-CN"/>
        </w:rPr>
        <w:t>供应商</w:t>
      </w:r>
      <w:r>
        <w:rPr>
          <w:rFonts w:hint="eastAsia" w:ascii="宋体" w:hAnsi="宋体" w:cs="宋体"/>
          <w:color w:val="000000"/>
          <w:sz w:val="24"/>
        </w:rPr>
        <w:t>自行承担相关样品制作费、运输费、破坏性试验产生的相关费用等。</w:t>
      </w:r>
      <w:r>
        <w:rPr>
          <w:rFonts w:hint="eastAsia" w:ascii="宋体" w:hAnsi="宋体" w:cs="宋体"/>
          <w:color w:val="000000"/>
          <w:sz w:val="24"/>
          <w:lang w:eastAsia="zh-CN"/>
        </w:rPr>
        <w:t>成交人</w:t>
      </w:r>
      <w:r>
        <w:rPr>
          <w:rFonts w:hint="eastAsia" w:ascii="宋体" w:hAnsi="宋体" w:cs="宋体"/>
          <w:color w:val="000000"/>
          <w:sz w:val="24"/>
        </w:rPr>
        <w:t>的样品由采购人封存作为验收时的依据。样品上不得出现</w:t>
      </w:r>
      <w:r>
        <w:rPr>
          <w:rFonts w:hint="eastAsia" w:ascii="宋体" w:hAnsi="宋体" w:cs="宋体"/>
          <w:color w:val="000000"/>
          <w:sz w:val="24"/>
          <w:lang w:eastAsia="zh-CN"/>
        </w:rPr>
        <w:t>供应商</w:t>
      </w:r>
      <w:r>
        <w:rPr>
          <w:rFonts w:hint="eastAsia" w:ascii="宋体" w:hAnsi="宋体" w:cs="宋体"/>
          <w:color w:val="000000"/>
          <w:sz w:val="24"/>
        </w:rPr>
        <w:t>名称、品牌标识和其他可以识别</w:t>
      </w:r>
      <w:r>
        <w:rPr>
          <w:rFonts w:hint="eastAsia" w:ascii="宋体" w:hAnsi="宋体" w:cs="宋体"/>
          <w:color w:val="000000"/>
          <w:sz w:val="24"/>
          <w:lang w:eastAsia="zh-CN"/>
        </w:rPr>
        <w:t>供应商</w:t>
      </w:r>
      <w:r>
        <w:rPr>
          <w:rFonts w:hint="eastAsia" w:ascii="宋体" w:hAnsi="宋体" w:cs="宋体"/>
          <w:color w:val="000000"/>
          <w:sz w:val="24"/>
        </w:rPr>
        <w:t>身份的字符、徽标、人员名称以及其他特殊标记等，否则按无效投标处理。样品照片、图片及可识别样品的相关信息不得放入除价格标以外的投标响应材料中，否则按无效投标处理。样品逾期送达或者未在规定时间送达指定地点的，不予接收样品。</w:t>
      </w:r>
      <w:r>
        <w:rPr>
          <w:rFonts w:hint="eastAsia" w:ascii="宋体" w:hAnsi="宋体" w:cs="宋体"/>
          <w:b/>
          <w:bCs/>
          <w:color w:val="000000" w:themeColor="text1"/>
          <w:sz w:val="24"/>
          <w14:textFill>
            <w14:solidFill>
              <w14:schemeClr w14:val="tx1"/>
            </w14:solidFill>
          </w14:textFill>
        </w:rPr>
        <w:t>联系人：</w:t>
      </w:r>
      <w:r>
        <w:rPr>
          <w:rFonts w:hint="eastAsia" w:ascii="宋体" w:hAnsi="宋体" w:cs="宋体"/>
          <w:b/>
          <w:bCs/>
          <w:color w:val="000000" w:themeColor="text1"/>
          <w:sz w:val="24"/>
          <w:lang w:val="en-US" w:eastAsia="zh-CN"/>
          <w14:textFill>
            <w14:solidFill>
              <w14:schemeClr w14:val="tx1"/>
            </w14:solidFill>
          </w14:textFill>
        </w:rPr>
        <w:t>冯</w:t>
      </w:r>
      <w:r>
        <w:rPr>
          <w:rFonts w:hint="eastAsia" w:ascii="宋体" w:hAnsi="宋体" w:cs="宋体"/>
          <w:b/>
          <w:bCs/>
          <w:color w:val="000000" w:themeColor="text1"/>
          <w:sz w:val="24"/>
          <w14:textFill>
            <w14:solidFill>
              <w14:schemeClr w14:val="tx1"/>
            </w14:solidFill>
          </w14:textFill>
        </w:rPr>
        <w:t>老师，联系电话：</w:t>
      </w:r>
      <w:r>
        <w:rPr>
          <w:rFonts w:hint="eastAsia" w:ascii="宋体" w:hAnsi="宋体" w:cs="宋体"/>
          <w:b/>
          <w:bCs/>
          <w:color w:val="000000" w:themeColor="text1"/>
          <w:sz w:val="24"/>
          <w:lang w:val="en-US" w:eastAsia="zh-CN"/>
          <w14:textFill>
            <w14:solidFill>
              <w14:schemeClr w14:val="tx1"/>
            </w14:solidFill>
          </w14:textFill>
        </w:rPr>
        <w:t>0513-85679242</w:t>
      </w:r>
      <w:r>
        <w:rPr>
          <w:rFonts w:hint="eastAsia" w:ascii="宋体" w:hAnsi="宋体" w:cs="宋体"/>
          <w:b/>
          <w:bCs/>
          <w:color w:val="000000" w:themeColor="text1"/>
          <w:sz w:val="24"/>
          <w14:textFill>
            <w14:solidFill>
              <w14:schemeClr w14:val="tx1"/>
            </w14:solidFill>
          </w14:textFill>
        </w:rPr>
        <w:t>。</w:t>
      </w:r>
    </w:p>
    <w:p w14:paraId="12B39AE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sz w:val="24"/>
          <w:szCs w:val="24"/>
          <w:lang w:eastAsia="zh-CN"/>
        </w:rPr>
      </w:pPr>
    </w:p>
    <w:p w14:paraId="302B979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sz w:val="24"/>
          <w:szCs w:val="24"/>
        </w:rPr>
      </w:pPr>
    </w:p>
    <w:p w14:paraId="3B8FD974">
      <w:pPr>
        <w:rPr>
          <w:rFonts w:hint="eastAsia" w:ascii="宋体" w:hAnsi="宋体" w:cs="宋体"/>
          <w:b/>
          <w:bCs/>
          <w:sz w:val="24"/>
          <w:szCs w:val="24"/>
        </w:rPr>
      </w:pPr>
      <w:r>
        <w:rPr>
          <w:rFonts w:hint="eastAsia" w:ascii="宋体" w:hAnsi="宋体" w:cs="宋体"/>
          <w:b/>
          <w:bCs/>
          <w:sz w:val="24"/>
          <w:szCs w:val="24"/>
        </w:rPr>
        <w:br w:type="page"/>
      </w:r>
    </w:p>
    <w:p w14:paraId="34A39201">
      <w:pPr>
        <w:spacing w:after="0" w:line="360" w:lineRule="auto"/>
        <w:ind w:firstLine="482" w:firstLineChars="200"/>
        <w:jc w:val="center"/>
        <w:rPr>
          <w:rFonts w:hint="eastAsia" w:ascii="宋体" w:hAnsi="宋体" w:cs="宋体"/>
          <w:b/>
          <w:bCs/>
          <w:sz w:val="24"/>
          <w:szCs w:val="24"/>
          <w:lang w:val="zh-CN"/>
        </w:rPr>
      </w:pPr>
      <w:r>
        <w:rPr>
          <w:rFonts w:hint="eastAsia" w:ascii="宋体" w:hAnsi="宋体" w:cs="宋体"/>
          <w:b/>
          <w:bCs/>
          <w:sz w:val="24"/>
          <w:szCs w:val="24"/>
        </w:rPr>
        <w:t xml:space="preserve">第三部分 </w:t>
      </w:r>
      <w:r>
        <w:rPr>
          <w:rFonts w:hint="eastAsia" w:ascii="宋体" w:hAnsi="宋体" w:cs="宋体"/>
          <w:b/>
          <w:bCs/>
          <w:sz w:val="24"/>
          <w:szCs w:val="24"/>
          <w:lang w:val="zh-CN"/>
        </w:rPr>
        <w:t>开标、评标</w:t>
      </w:r>
    </w:p>
    <w:p w14:paraId="000EAB4B">
      <w:pPr>
        <w:spacing w:after="0" w:line="360" w:lineRule="auto"/>
        <w:ind w:firstLine="482" w:firstLineChars="200"/>
        <w:rPr>
          <w:rFonts w:hint="eastAsia" w:ascii="宋体" w:hAnsi="宋体" w:cs="宋体"/>
          <w:b/>
          <w:bCs/>
          <w:sz w:val="24"/>
          <w:szCs w:val="28"/>
          <w:lang w:val="zh-CN"/>
        </w:rPr>
      </w:pPr>
      <w:r>
        <w:rPr>
          <w:rFonts w:hint="eastAsia" w:ascii="宋体" w:hAnsi="宋体" w:cs="宋体"/>
          <w:b/>
          <w:bCs/>
          <w:sz w:val="24"/>
          <w:szCs w:val="28"/>
        </w:rPr>
        <w:t>一、</w:t>
      </w:r>
      <w:r>
        <w:rPr>
          <w:rFonts w:hint="eastAsia" w:ascii="宋体" w:hAnsi="宋体" w:cs="宋体"/>
          <w:b/>
          <w:bCs/>
          <w:sz w:val="24"/>
          <w:szCs w:val="28"/>
          <w:lang w:val="zh-CN"/>
        </w:rPr>
        <w:t>评标流程</w:t>
      </w:r>
    </w:p>
    <w:p w14:paraId="3AE24E8C">
      <w:pPr>
        <w:spacing w:after="0" w:line="360" w:lineRule="auto"/>
        <w:ind w:firstLine="482" w:firstLineChars="200"/>
        <w:rPr>
          <w:rFonts w:hint="eastAsia" w:ascii="宋体" w:hAnsi="宋体" w:cs="宋体"/>
          <w:b/>
          <w:bCs/>
          <w:sz w:val="24"/>
          <w:szCs w:val="28"/>
          <w:lang w:val="zh-CN"/>
        </w:rPr>
      </w:pPr>
      <w:r>
        <w:rPr>
          <w:rFonts w:hint="eastAsia" w:ascii="宋体" w:hAnsi="宋体" w:cs="宋体"/>
          <w:b/>
          <w:bCs/>
          <w:sz w:val="24"/>
          <w:szCs w:val="28"/>
          <w:lang w:val="zh-CN"/>
        </w:rPr>
        <w:t>询价小组将根据询价文件相关标准对供应商的资格进行审查，审查通过方可参与项目的价格评标。符合招标商务条款和技术参数要求的前提下，按供应商</w:t>
      </w:r>
      <w:r>
        <w:rPr>
          <w:rFonts w:hint="eastAsia" w:ascii="宋体" w:hAnsi="宋体" w:cs="宋体"/>
          <w:b/>
          <w:bCs/>
          <w:sz w:val="24"/>
          <w:szCs w:val="28"/>
        </w:rPr>
        <w:t>评审价</w:t>
      </w:r>
      <w:r>
        <w:rPr>
          <w:rFonts w:hint="eastAsia" w:ascii="宋体" w:hAnsi="宋体" w:cs="宋体"/>
          <w:b/>
          <w:bCs/>
          <w:sz w:val="24"/>
          <w:szCs w:val="28"/>
          <w:lang w:val="zh-CN"/>
        </w:rPr>
        <w:t>由低到高排序，推荐前三名为成交候选人，排名第一的为第一成交候选人，即为本项目的供应商，其投标价为本项目成交价,评审价如有相同者，抽签确定成交供应商。</w:t>
      </w:r>
    </w:p>
    <w:p w14:paraId="421A72C7">
      <w:pPr>
        <w:spacing w:after="0" w:line="360" w:lineRule="auto"/>
        <w:ind w:firstLine="482" w:firstLineChars="200"/>
        <w:rPr>
          <w:rFonts w:hint="eastAsia" w:ascii="宋体" w:hAnsi="宋体" w:cs="宋体"/>
          <w:b/>
          <w:bCs/>
          <w:sz w:val="24"/>
          <w:szCs w:val="28"/>
        </w:rPr>
      </w:pPr>
      <w:r>
        <w:rPr>
          <w:rFonts w:hint="eastAsia" w:ascii="宋体" w:hAnsi="宋体" w:cs="宋体"/>
          <w:b/>
          <w:bCs/>
          <w:sz w:val="24"/>
          <w:szCs w:val="28"/>
        </w:rPr>
        <w:t>二、询价评审方法</w:t>
      </w:r>
    </w:p>
    <w:p w14:paraId="11D37659">
      <w:pPr>
        <w:spacing w:after="0" w:line="360" w:lineRule="auto"/>
        <w:ind w:firstLine="480" w:firstLineChars="200"/>
        <w:rPr>
          <w:rFonts w:hint="eastAsia" w:ascii="宋体" w:hAnsi="宋体" w:cs="宋体"/>
          <w:sz w:val="24"/>
          <w:szCs w:val="28"/>
        </w:rPr>
      </w:pPr>
      <w:r>
        <w:rPr>
          <w:rFonts w:hint="eastAsia" w:ascii="宋体" w:hAnsi="宋体" w:cs="宋体"/>
          <w:sz w:val="24"/>
          <w:szCs w:val="28"/>
        </w:rPr>
        <w:t>2.1询价小组严格按照询价文件的规定要求、条件标准，对询价响应供应商所提供的完整计划标的物采购的</w:t>
      </w:r>
      <w:r>
        <w:rPr>
          <w:rFonts w:hint="eastAsia" w:ascii="宋体" w:hAnsi="宋体" w:cs="宋体"/>
          <w:sz w:val="24"/>
          <w:szCs w:val="28"/>
          <w:lang w:val="en-US" w:eastAsia="zh-CN"/>
        </w:rPr>
        <w:t>货物或</w:t>
      </w:r>
      <w:r>
        <w:rPr>
          <w:rFonts w:hint="eastAsia" w:ascii="宋体" w:hAnsi="宋体" w:cs="宋体"/>
          <w:sz w:val="24"/>
          <w:szCs w:val="28"/>
        </w:rPr>
        <w:t>服务是否符合采购需求，对其质量和服务等实质性响应内容进行比较评价。</w:t>
      </w:r>
    </w:p>
    <w:p w14:paraId="4EDAE9A5">
      <w:pPr>
        <w:spacing w:after="0" w:line="360" w:lineRule="auto"/>
        <w:ind w:firstLine="480" w:firstLineChars="200"/>
        <w:rPr>
          <w:rFonts w:hint="eastAsia" w:ascii="宋体" w:hAnsi="宋体" w:cs="宋体"/>
          <w:sz w:val="24"/>
          <w:szCs w:val="28"/>
        </w:rPr>
      </w:pPr>
      <w:r>
        <w:rPr>
          <w:rFonts w:hint="eastAsia" w:ascii="宋体" w:hAnsi="宋体" w:cs="宋体"/>
          <w:sz w:val="24"/>
          <w:szCs w:val="28"/>
        </w:rPr>
        <w:t>2.2判定符合采购需求、质量和服务相等的询价响应供应商后，针对其报价进行最终判定。</w:t>
      </w:r>
    </w:p>
    <w:p w14:paraId="28EF53AA">
      <w:pPr>
        <w:spacing w:after="0" w:line="360" w:lineRule="auto"/>
        <w:ind w:firstLine="480" w:firstLineChars="200"/>
        <w:rPr>
          <w:rFonts w:hint="eastAsia" w:ascii="宋体" w:hAnsi="宋体" w:cs="宋体"/>
          <w:sz w:val="24"/>
          <w:szCs w:val="28"/>
        </w:rPr>
      </w:pPr>
      <w:r>
        <w:rPr>
          <w:rFonts w:hint="eastAsia" w:ascii="宋体" w:hAnsi="宋体" w:cs="宋体"/>
          <w:sz w:val="24"/>
          <w:szCs w:val="28"/>
        </w:rPr>
        <w:t xml:space="preserve">2.3价格评审 </w:t>
      </w:r>
    </w:p>
    <w:p w14:paraId="4F0BF938">
      <w:pPr>
        <w:spacing w:after="0" w:line="360" w:lineRule="auto"/>
        <w:ind w:firstLine="480" w:firstLineChars="200"/>
        <w:rPr>
          <w:rFonts w:hint="eastAsia" w:ascii="宋体" w:hAnsi="宋体" w:cs="宋体"/>
          <w:sz w:val="24"/>
          <w:szCs w:val="28"/>
        </w:rPr>
      </w:pPr>
      <w:r>
        <w:rPr>
          <w:rFonts w:hint="eastAsia" w:ascii="宋体" w:hAnsi="宋体" w:cs="宋体"/>
          <w:sz w:val="24"/>
          <w:szCs w:val="28"/>
        </w:rPr>
        <w:t>（1）价格评审内容包括分析项目需求各</w:t>
      </w:r>
      <w:r>
        <w:rPr>
          <w:rFonts w:hint="eastAsia" w:ascii="宋体" w:hAnsi="宋体" w:cs="宋体"/>
          <w:sz w:val="24"/>
          <w:szCs w:val="28"/>
          <w:lang w:eastAsia="zh-CN"/>
        </w:rPr>
        <w:t>货物</w:t>
      </w:r>
      <w:r>
        <w:rPr>
          <w:rFonts w:hint="eastAsia" w:ascii="宋体" w:hAnsi="宋体" w:cs="宋体"/>
          <w:sz w:val="24"/>
          <w:szCs w:val="28"/>
        </w:rPr>
        <w:t>单价是否合理，价格所含范围是否完整，有无重大错漏项。如果询价响应供应商的响应</w:t>
      </w:r>
      <w:r>
        <w:rPr>
          <w:rFonts w:hint="eastAsia" w:ascii="宋体" w:hAnsi="宋体" w:cs="宋体"/>
          <w:sz w:val="24"/>
          <w:szCs w:val="28"/>
          <w:lang w:eastAsia="zh-CN"/>
        </w:rPr>
        <w:t>货物</w:t>
      </w:r>
      <w:r>
        <w:rPr>
          <w:rFonts w:hint="eastAsia" w:ascii="宋体" w:hAnsi="宋体" w:cs="宋体"/>
          <w:sz w:val="24"/>
          <w:szCs w:val="28"/>
        </w:rPr>
        <w:t>清单中有漏项并构成未实质性响应询价文件要求的，按无效询价处理。</w:t>
      </w:r>
    </w:p>
    <w:p w14:paraId="66EB6BA3">
      <w:pPr>
        <w:spacing w:after="0" w:line="360" w:lineRule="auto"/>
        <w:ind w:firstLine="482" w:firstLineChars="200"/>
        <w:rPr>
          <w:rFonts w:hint="eastAsia" w:ascii="宋体" w:hAnsi="宋体" w:cs="宋体"/>
          <w:b/>
          <w:bCs/>
          <w:sz w:val="24"/>
          <w:szCs w:val="24"/>
          <w:u w:val="single"/>
        </w:rPr>
      </w:pPr>
      <w:r>
        <w:rPr>
          <w:rFonts w:hint="eastAsia" w:ascii="宋体" w:hAnsi="宋体" w:cs="宋体"/>
          <w:b/>
          <w:bCs/>
          <w:sz w:val="24"/>
          <w:szCs w:val="24"/>
          <w:u w:val="single"/>
        </w:rPr>
        <w:t>（2）响应报价低于采购项目预算50%的，即响应报价＜采购项目预算×50%或者响应报价低于采购项目最高限价45%的，即响应报价＜采购项目最高限价×45%或者询价小组认为询价响应供应商报价过低，有可能影响</w:t>
      </w:r>
      <w:r>
        <w:rPr>
          <w:rFonts w:hint="eastAsia" w:ascii="宋体" w:hAnsi="宋体" w:cs="宋体"/>
          <w:b/>
          <w:bCs/>
          <w:sz w:val="24"/>
          <w:szCs w:val="24"/>
          <w:u w:val="single"/>
          <w:lang w:val="en-US" w:eastAsia="zh-CN"/>
        </w:rPr>
        <w:t>产品</w:t>
      </w:r>
      <w:r>
        <w:rPr>
          <w:rFonts w:hint="eastAsia" w:ascii="宋体" w:hAnsi="宋体" w:cs="宋体"/>
          <w:b/>
          <w:bCs/>
          <w:sz w:val="24"/>
          <w:szCs w:val="24"/>
          <w:u w:val="single"/>
        </w:rPr>
        <w:t>或服务的质量或者不能诚信履约的，应当要求其“在评审现场”合理的时间内提供“书面”说明，必要时提交“相关证明”材料；被要求的询价响应供应商不能证明其“报价合理性”的，询价小组应当将其作为无效询价处理。</w:t>
      </w:r>
    </w:p>
    <w:p w14:paraId="5BB9D04B">
      <w:pPr>
        <w:spacing w:after="0" w:line="360" w:lineRule="auto"/>
        <w:ind w:firstLine="480" w:firstLineChars="200"/>
        <w:rPr>
          <w:rFonts w:hint="eastAsia" w:ascii="宋体" w:hAnsi="宋体" w:cs="宋体"/>
          <w:sz w:val="24"/>
          <w:szCs w:val="28"/>
        </w:rPr>
      </w:pPr>
      <w:r>
        <w:rPr>
          <w:rFonts w:hint="eastAsia" w:ascii="宋体" w:hAnsi="宋体" w:cs="宋体"/>
          <w:sz w:val="24"/>
          <w:szCs w:val="28"/>
        </w:rPr>
        <w:t>2.4本项目在全部满足询价文件实质性要求前提下，依据“符合采购需求、质量和服务相等且报价最低的原则”，</w:t>
      </w:r>
      <w:r>
        <w:rPr>
          <w:rFonts w:hint="eastAsia" w:ascii="宋体" w:hAnsi="宋体" w:cs="宋体"/>
          <w:sz w:val="24"/>
          <w:szCs w:val="28"/>
          <w:lang w:val="en-US" w:eastAsia="zh-CN"/>
        </w:rPr>
        <w:t>由</w:t>
      </w:r>
      <w:r>
        <w:rPr>
          <w:rFonts w:hint="eastAsia" w:ascii="宋体" w:hAnsi="宋体" w:cs="宋体"/>
          <w:sz w:val="24"/>
          <w:szCs w:val="28"/>
        </w:rPr>
        <w:t>询价小组确定成交人，并编写评审报告。</w:t>
      </w:r>
    </w:p>
    <w:p w14:paraId="030BDF3D">
      <w:pPr>
        <w:spacing w:after="0" w:line="360" w:lineRule="auto"/>
        <w:ind w:firstLine="480" w:firstLineChars="200"/>
        <w:rPr>
          <w:rFonts w:hint="eastAsia" w:ascii="宋体" w:hAnsi="宋体" w:cs="宋体"/>
          <w:sz w:val="24"/>
          <w:szCs w:val="28"/>
        </w:rPr>
      </w:pPr>
      <w:r>
        <w:rPr>
          <w:rFonts w:hint="eastAsia" w:ascii="宋体" w:hAnsi="宋体" w:cs="宋体"/>
          <w:sz w:val="24"/>
          <w:szCs w:val="28"/>
        </w:rPr>
        <w:t>2.5评审时的特殊情况处理：</w:t>
      </w:r>
    </w:p>
    <w:p w14:paraId="520E7331">
      <w:pPr>
        <w:spacing w:after="0" w:line="360" w:lineRule="auto"/>
        <w:ind w:firstLine="480" w:firstLineChars="200"/>
        <w:rPr>
          <w:rFonts w:hint="eastAsia" w:ascii="宋体" w:hAnsi="宋体" w:cs="宋体"/>
          <w:sz w:val="24"/>
          <w:szCs w:val="28"/>
        </w:rPr>
      </w:pPr>
      <w:r>
        <w:rPr>
          <w:rFonts w:hint="eastAsia" w:ascii="宋体" w:hAnsi="宋体" w:cs="宋体"/>
          <w:sz w:val="24"/>
          <w:szCs w:val="28"/>
        </w:rPr>
        <w:t>报价由低到高的顺序排列；报价相同的并列；排序并列第一的，则采取现场抽签的方式确定（供应商的抽签顺序分别为各供应商递交询价响应文件签到顺序号）。</w:t>
      </w:r>
    </w:p>
    <w:p w14:paraId="468548AE">
      <w:pPr>
        <w:spacing w:after="0" w:line="360" w:lineRule="auto"/>
        <w:ind w:firstLine="480" w:firstLineChars="200"/>
        <w:rPr>
          <w:rFonts w:hint="eastAsia" w:ascii="宋体" w:hAnsi="宋体" w:cs="宋体"/>
          <w:sz w:val="24"/>
          <w:szCs w:val="28"/>
        </w:rPr>
      </w:pPr>
      <w:r>
        <w:rPr>
          <w:rFonts w:hint="eastAsia" w:ascii="宋体" w:hAnsi="宋体" w:cs="宋体"/>
          <w:sz w:val="24"/>
          <w:szCs w:val="28"/>
        </w:rPr>
        <w:t>2.6询价小组对询价响应文件的判定，只依据询价响应文件内容本身，不依靠询价采购活动开始后的任何外来证明</w:t>
      </w:r>
      <w:bookmarkStart w:id="3" w:name="_Hlk67508224"/>
      <w:r>
        <w:rPr>
          <w:rFonts w:hint="eastAsia" w:ascii="宋体" w:hAnsi="宋体" w:cs="宋体"/>
          <w:sz w:val="24"/>
          <w:szCs w:val="28"/>
        </w:rPr>
        <w:t>【本章第</w:t>
      </w:r>
      <w:r>
        <w:rPr>
          <w:rFonts w:hint="eastAsia" w:ascii="宋体" w:hAnsi="宋体" w:cs="宋体"/>
          <w:sz w:val="24"/>
          <w:szCs w:val="28"/>
          <w:lang w:val="en-US" w:eastAsia="zh-CN"/>
        </w:rPr>
        <w:t>二</w:t>
      </w:r>
      <w:r>
        <w:rPr>
          <w:rFonts w:hint="eastAsia" w:ascii="宋体" w:hAnsi="宋体" w:cs="宋体"/>
          <w:sz w:val="24"/>
          <w:szCs w:val="28"/>
        </w:rPr>
        <w:t>条第2.3点第（2）款除外】</w:t>
      </w:r>
      <w:bookmarkEnd w:id="3"/>
      <w:r>
        <w:rPr>
          <w:rFonts w:hint="eastAsia" w:ascii="宋体" w:hAnsi="宋体" w:cs="宋体"/>
          <w:sz w:val="24"/>
          <w:szCs w:val="28"/>
        </w:rPr>
        <w:t>。</w:t>
      </w:r>
    </w:p>
    <w:p w14:paraId="22DFC813">
      <w:pPr>
        <w:spacing w:after="0" w:line="360" w:lineRule="auto"/>
        <w:ind w:firstLine="480" w:firstLineChars="200"/>
        <w:rPr>
          <w:rFonts w:hint="eastAsia" w:ascii="宋体" w:hAnsi="宋体" w:cs="宋体"/>
          <w:sz w:val="24"/>
          <w:szCs w:val="28"/>
        </w:rPr>
      </w:pPr>
      <w:r>
        <w:rPr>
          <w:rFonts w:hint="eastAsia" w:ascii="宋体" w:hAnsi="宋体" w:cs="宋体"/>
          <w:sz w:val="24"/>
          <w:szCs w:val="28"/>
        </w:rPr>
        <w:t>2.7询价活动开始后，询价小组对询价文件的细则若有争议，由询价小组成员集体讨论确定。询价小组成员对需要共同认定的事项存有争议，应当按照少数服从多数的原则做出结论。持不同意见的询价小组成员应当在评审报告上签署不同意见及理由，否则视为同意评审报告。</w:t>
      </w:r>
    </w:p>
    <w:p w14:paraId="77FB0A1D">
      <w:pPr>
        <w:spacing w:after="0" w:line="360" w:lineRule="auto"/>
        <w:ind w:firstLine="480" w:firstLineChars="200"/>
        <w:rPr>
          <w:rFonts w:hint="eastAsia" w:ascii="宋体" w:hAnsi="宋体" w:cs="宋体"/>
          <w:b/>
          <w:bCs/>
          <w:sz w:val="24"/>
          <w:szCs w:val="28"/>
        </w:rPr>
      </w:pPr>
      <w:r>
        <w:rPr>
          <w:rFonts w:hint="eastAsia" w:ascii="宋体" w:hAnsi="宋体" w:cs="宋体"/>
          <w:sz w:val="24"/>
          <w:szCs w:val="28"/>
        </w:rPr>
        <w:t>2.8询价小组对评审未尽情况有最终解释权，且对落标的询价响应供应商不做落标原因的解释。</w:t>
      </w:r>
    </w:p>
    <w:p w14:paraId="6DF8BDBA">
      <w:pPr>
        <w:spacing w:after="0" w:line="360" w:lineRule="auto"/>
        <w:ind w:firstLine="482" w:firstLineChars="200"/>
        <w:jc w:val="both"/>
        <w:rPr>
          <w:rFonts w:hint="eastAsia" w:ascii="宋体" w:hAnsi="宋体" w:cs="宋体"/>
          <w:b/>
          <w:bCs/>
          <w:sz w:val="24"/>
          <w:szCs w:val="28"/>
          <w:lang w:val="zh-CN"/>
        </w:rPr>
      </w:pPr>
      <w:r>
        <w:rPr>
          <w:rFonts w:hint="eastAsia" w:ascii="宋体" w:hAnsi="宋体" w:cs="宋体"/>
          <w:b/>
          <w:bCs/>
          <w:sz w:val="24"/>
          <w:szCs w:val="28"/>
        </w:rPr>
        <w:t>三、</w:t>
      </w:r>
      <w:r>
        <w:rPr>
          <w:rFonts w:hint="eastAsia" w:ascii="宋体" w:hAnsi="宋体" w:cs="宋体"/>
          <w:b/>
          <w:bCs/>
          <w:sz w:val="24"/>
          <w:szCs w:val="28"/>
          <w:lang w:val="zh-CN"/>
        </w:rPr>
        <w:t>询价小组负责具体评标事务。</w:t>
      </w:r>
    </w:p>
    <w:p w14:paraId="6FBE646F">
      <w:pPr>
        <w:spacing w:after="0" w:line="360" w:lineRule="auto"/>
        <w:ind w:firstLine="482" w:firstLineChars="200"/>
        <w:jc w:val="both"/>
        <w:rPr>
          <w:rFonts w:hint="eastAsia" w:ascii="宋体" w:hAnsi="宋体" w:cs="宋体"/>
          <w:b/>
          <w:bCs/>
          <w:sz w:val="24"/>
          <w:szCs w:val="28"/>
          <w:highlight w:val="none"/>
          <w:lang w:val="zh-CN"/>
        </w:rPr>
      </w:pPr>
      <w:r>
        <w:rPr>
          <w:rFonts w:hint="eastAsia" w:ascii="宋体" w:hAnsi="宋体" w:cs="宋体"/>
          <w:b/>
          <w:bCs/>
          <w:sz w:val="24"/>
          <w:szCs w:val="28"/>
          <w:highlight w:val="none"/>
          <w:lang w:val="en-US" w:eastAsia="zh-CN"/>
        </w:rPr>
        <w:t>四</w:t>
      </w:r>
      <w:r>
        <w:rPr>
          <w:rFonts w:hint="eastAsia" w:ascii="宋体" w:hAnsi="宋体" w:cs="宋体"/>
          <w:b/>
          <w:bCs/>
          <w:sz w:val="24"/>
          <w:szCs w:val="28"/>
          <w:highlight w:val="none"/>
        </w:rPr>
        <w:t>、</w:t>
      </w:r>
      <w:r>
        <w:rPr>
          <w:rFonts w:hint="eastAsia" w:ascii="宋体" w:hAnsi="宋体" w:cs="宋体"/>
          <w:b/>
          <w:bCs/>
          <w:sz w:val="24"/>
          <w:szCs w:val="28"/>
          <w:highlight w:val="none"/>
          <w:lang w:val="zh-CN"/>
        </w:rPr>
        <w:t>投标费用</w:t>
      </w:r>
    </w:p>
    <w:p w14:paraId="4FC452D9">
      <w:pPr>
        <w:spacing w:after="0" w:line="360" w:lineRule="auto"/>
        <w:ind w:firstLine="480" w:firstLineChars="200"/>
        <w:rPr>
          <w:rFonts w:hint="eastAsia" w:ascii="宋体" w:hAnsi="宋体" w:cs="宋体"/>
          <w:sz w:val="24"/>
          <w:szCs w:val="28"/>
          <w:lang w:val="zh-CN"/>
        </w:rPr>
      </w:pPr>
      <w:r>
        <w:rPr>
          <w:rFonts w:hint="eastAsia" w:ascii="宋体" w:hAnsi="宋体" w:cs="宋体"/>
          <w:sz w:val="24"/>
          <w:szCs w:val="28"/>
          <w:lang w:val="zh-CN"/>
        </w:rPr>
        <w:t>1</w:t>
      </w:r>
      <w:r>
        <w:rPr>
          <w:rFonts w:hint="eastAsia" w:ascii="宋体" w:hAnsi="宋体" w:cs="宋体"/>
          <w:sz w:val="24"/>
          <w:szCs w:val="28"/>
        </w:rPr>
        <w:t>.</w:t>
      </w:r>
      <w:r>
        <w:rPr>
          <w:rFonts w:hint="eastAsia" w:ascii="宋体" w:hAnsi="宋体" w:cs="宋体"/>
          <w:sz w:val="24"/>
          <w:szCs w:val="28"/>
          <w:lang w:val="zh-CN"/>
        </w:rPr>
        <w:t>无论询价过程和结果如何，参加询价的响应人自行承担与本次项目询价有关的全部费用。</w:t>
      </w:r>
    </w:p>
    <w:p w14:paraId="79320A46">
      <w:pPr>
        <w:shd w:val="clear" w:color="auto" w:fill="FFFFFF"/>
        <w:spacing w:after="0" w:line="360" w:lineRule="auto"/>
        <w:ind w:firstLine="480" w:firstLineChars="200"/>
        <w:rPr>
          <w:rFonts w:hint="eastAsia" w:ascii="宋体" w:hAnsi="宋体" w:cs="宋体"/>
          <w:sz w:val="24"/>
          <w:szCs w:val="28"/>
          <w:shd w:val="clear" w:color="auto" w:fill="FFFFFF"/>
        </w:rPr>
      </w:pPr>
      <w:r>
        <w:rPr>
          <w:rFonts w:hint="eastAsia" w:ascii="宋体" w:hAnsi="宋体" w:cs="宋体"/>
          <w:sz w:val="24"/>
          <w:szCs w:val="28"/>
          <w:shd w:val="clear" w:color="auto" w:fill="FFFFFF"/>
        </w:rPr>
        <w:t>2.本项目招标代理费收取标准以成交价为基准，乘以招标代理收费费率，由成交供应商支付，响应供应商综合考虑在报价内（不单列）。</w:t>
      </w:r>
    </w:p>
    <w:tbl>
      <w:tblPr>
        <w:tblStyle w:val="26"/>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4390"/>
        <w:gridCol w:w="3083"/>
      </w:tblGrid>
      <w:tr w14:paraId="2A0D9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88" w:type="pct"/>
            <w:vMerge w:val="restart"/>
            <w:tcBorders>
              <w:top w:val="single" w:color="auto" w:sz="4" w:space="0"/>
              <w:left w:val="single" w:color="auto" w:sz="4" w:space="0"/>
              <w:right w:val="single" w:color="auto" w:sz="4" w:space="0"/>
            </w:tcBorders>
            <w:vAlign w:val="center"/>
          </w:tcPr>
          <w:p w14:paraId="3AB0D9F6">
            <w:pPr>
              <w:spacing w:line="240" w:lineRule="auto"/>
              <w:ind w:firstLine="482" w:firstLineChars="200"/>
              <w:jc w:val="center"/>
              <w:rPr>
                <w:rFonts w:hint="eastAsia" w:ascii="宋体" w:hAnsi="宋体" w:cs="宋体"/>
                <w:b/>
                <w:bCs/>
                <w:sz w:val="24"/>
              </w:rPr>
            </w:pPr>
            <w:r>
              <w:rPr>
                <w:rFonts w:hint="eastAsia" w:ascii="宋体" w:hAnsi="宋体" w:cs="宋体"/>
                <w:b/>
                <w:bCs/>
                <w:sz w:val="24"/>
              </w:rPr>
              <w:t>序号</w:t>
            </w:r>
          </w:p>
        </w:tc>
        <w:tc>
          <w:tcPr>
            <w:tcW w:w="2533" w:type="pct"/>
            <w:vMerge w:val="restart"/>
            <w:tcBorders>
              <w:top w:val="single" w:color="auto" w:sz="4" w:space="0"/>
              <w:left w:val="single" w:color="auto" w:sz="4" w:space="0"/>
              <w:right w:val="single" w:color="auto" w:sz="4" w:space="0"/>
            </w:tcBorders>
            <w:vAlign w:val="center"/>
          </w:tcPr>
          <w:p w14:paraId="07C46AD9">
            <w:pPr>
              <w:spacing w:line="240" w:lineRule="auto"/>
              <w:ind w:firstLine="482" w:firstLineChars="200"/>
              <w:jc w:val="center"/>
              <w:rPr>
                <w:rFonts w:hint="eastAsia" w:ascii="宋体" w:hAnsi="宋体" w:cs="宋体"/>
                <w:b/>
                <w:bCs/>
                <w:sz w:val="24"/>
              </w:rPr>
            </w:pPr>
            <w:r>
              <w:rPr>
                <w:rFonts w:hint="eastAsia" w:ascii="宋体" w:hAnsi="宋体" w:cs="宋体"/>
                <w:b/>
                <w:bCs/>
                <w:sz w:val="24"/>
              </w:rPr>
              <w:t>服务费类型（按成交金额）</w:t>
            </w:r>
          </w:p>
        </w:tc>
        <w:tc>
          <w:tcPr>
            <w:tcW w:w="1779" w:type="pct"/>
            <w:vMerge w:val="restart"/>
            <w:tcBorders>
              <w:top w:val="single" w:color="auto" w:sz="4" w:space="0"/>
              <w:left w:val="single" w:color="auto" w:sz="4" w:space="0"/>
              <w:right w:val="single" w:color="auto" w:sz="4" w:space="0"/>
            </w:tcBorders>
            <w:vAlign w:val="center"/>
          </w:tcPr>
          <w:p w14:paraId="2DE84566">
            <w:pPr>
              <w:spacing w:line="240" w:lineRule="auto"/>
              <w:ind w:firstLine="482" w:firstLineChars="200"/>
              <w:jc w:val="center"/>
              <w:rPr>
                <w:rFonts w:hint="eastAsia" w:ascii="宋体" w:hAnsi="宋体" w:cs="宋体"/>
                <w:b/>
                <w:bCs/>
                <w:sz w:val="24"/>
              </w:rPr>
            </w:pPr>
            <w:r>
              <w:rPr>
                <w:rFonts w:hint="eastAsia" w:ascii="宋体" w:hAnsi="宋体" w:cs="宋体"/>
                <w:b/>
                <w:bCs/>
                <w:sz w:val="24"/>
              </w:rPr>
              <w:t xml:space="preserve">收费标准 </w:t>
            </w:r>
          </w:p>
        </w:tc>
      </w:tr>
      <w:tr w14:paraId="7E44D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8" w:type="pct"/>
            <w:vMerge w:val="continue"/>
            <w:tcBorders>
              <w:left w:val="single" w:color="auto" w:sz="4" w:space="0"/>
              <w:bottom w:val="single" w:color="auto" w:sz="4" w:space="0"/>
              <w:right w:val="single" w:color="auto" w:sz="4" w:space="0"/>
            </w:tcBorders>
            <w:vAlign w:val="center"/>
          </w:tcPr>
          <w:p w14:paraId="69070B4C">
            <w:pPr>
              <w:spacing w:line="360" w:lineRule="auto"/>
              <w:ind w:firstLine="480" w:firstLineChars="200"/>
              <w:jc w:val="center"/>
              <w:rPr>
                <w:rFonts w:hint="eastAsia" w:ascii="宋体" w:hAnsi="宋体" w:cs="宋体"/>
                <w:sz w:val="24"/>
              </w:rPr>
            </w:pPr>
          </w:p>
        </w:tc>
        <w:tc>
          <w:tcPr>
            <w:tcW w:w="2533" w:type="pct"/>
            <w:vMerge w:val="continue"/>
            <w:tcBorders>
              <w:left w:val="single" w:color="auto" w:sz="4" w:space="0"/>
              <w:bottom w:val="single" w:color="auto" w:sz="4" w:space="0"/>
              <w:right w:val="single" w:color="auto" w:sz="4" w:space="0"/>
            </w:tcBorders>
            <w:vAlign w:val="center"/>
          </w:tcPr>
          <w:p w14:paraId="3D5FC4DB">
            <w:pPr>
              <w:spacing w:line="360" w:lineRule="auto"/>
              <w:ind w:firstLine="480" w:firstLineChars="200"/>
              <w:jc w:val="center"/>
              <w:rPr>
                <w:rFonts w:hint="eastAsia" w:ascii="宋体" w:hAnsi="宋体" w:cs="宋体"/>
                <w:sz w:val="24"/>
              </w:rPr>
            </w:pPr>
          </w:p>
        </w:tc>
        <w:tc>
          <w:tcPr>
            <w:tcW w:w="1779" w:type="pct"/>
            <w:vMerge w:val="continue"/>
            <w:tcBorders>
              <w:left w:val="single" w:color="auto" w:sz="4" w:space="0"/>
              <w:bottom w:val="single" w:color="auto" w:sz="4" w:space="0"/>
              <w:right w:val="single" w:color="auto" w:sz="4" w:space="0"/>
            </w:tcBorders>
            <w:vAlign w:val="center"/>
          </w:tcPr>
          <w:p w14:paraId="2B04E2C8">
            <w:pPr>
              <w:spacing w:line="360" w:lineRule="auto"/>
              <w:ind w:firstLine="480" w:firstLineChars="200"/>
              <w:jc w:val="center"/>
              <w:rPr>
                <w:rFonts w:hint="eastAsia" w:ascii="宋体" w:hAnsi="宋体" w:cs="宋体"/>
                <w:sz w:val="24"/>
              </w:rPr>
            </w:pPr>
          </w:p>
        </w:tc>
      </w:tr>
      <w:tr w14:paraId="39BD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8" w:type="pct"/>
            <w:tcBorders>
              <w:top w:val="single" w:color="auto" w:sz="4" w:space="0"/>
              <w:left w:val="single" w:color="auto" w:sz="4" w:space="0"/>
              <w:bottom w:val="single" w:color="auto" w:sz="4" w:space="0"/>
              <w:right w:val="single" w:color="auto" w:sz="4" w:space="0"/>
            </w:tcBorders>
            <w:vAlign w:val="center"/>
          </w:tcPr>
          <w:p w14:paraId="70D5A870">
            <w:pPr>
              <w:spacing w:line="240" w:lineRule="auto"/>
              <w:ind w:firstLine="480" w:firstLineChars="200"/>
              <w:jc w:val="center"/>
              <w:rPr>
                <w:rFonts w:hint="eastAsia" w:ascii="宋体" w:hAnsi="宋体" w:cs="宋体"/>
                <w:sz w:val="24"/>
              </w:rPr>
            </w:pPr>
            <w:r>
              <w:rPr>
                <w:rFonts w:hint="eastAsia" w:ascii="宋体" w:hAnsi="宋体" w:cs="宋体"/>
                <w:sz w:val="24"/>
              </w:rPr>
              <w:t>1</w:t>
            </w:r>
          </w:p>
        </w:tc>
        <w:tc>
          <w:tcPr>
            <w:tcW w:w="2533" w:type="pct"/>
            <w:tcBorders>
              <w:top w:val="single" w:color="auto" w:sz="4" w:space="0"/>
              <w:left w:val="single" w:color="auto" w:sz="4" w:space="0"/>
              <w:bottom w:val="single" w:color="auto" w:sz="4" w:space="0"/>
              <w:right w:val="single" w:color="auto" w:sz="4" w:space="0"/>
            </w:tcBorders>
            <w:vAlign w:val="center"/>
          </w:tcPr>
          <w:p w14:paraId="23DF2594">
            <w:pPr>
              <w:spacing w:line="240" w:lineRule="auto"/>
              <w:ind w:firstLine="480" w:firstLineChars="200"/>
              <w:jc w:val="center"/>
              <w:rPr>
                <w:rFonts w:hint="eastAsia" w:ascii="宋体" w:hAnsi="宋体" w:cs="宋体"/>
                <w:sz w:val="24"/>
              </w:rPr>
            </w:pPr>
            <w:r>
              <w:rPr>
                <w:rFonts w:hint="eastAsia" w:ascii="宋体" w:hAnsi="宋体" w:cs="宋体"/>
                <w:sz w:val="24"/>
              </w:rPr>
              <w:t>货物、服务和工程招标代理、咨询服务费(5万元-50万元）含5万</w:t>
            </w:r>
          </w:p>
        </w:tc>
        <w:tc>
          <w:tcPr>
            <w:tcW w:w="1779" w:type="pct"/>
            <w:tcBorders>
              <w:top w:val="single" w:color="auto" w:sz="4" w:space="0"/>
              <w:left w:val="single" w:color="auto" w:sz="4" w:space="0"/>
              <w:bottom w:val="single" w:color="auto" w:sz="4" w:space="0"/>
              <w:right w:val="single" w:color="auto" w:sz="4" w:space="0"/>
            </w:tcBorders>
            <w:vAlign w:val="center"/>
          </w:tcPr>
          <w:p w14:paraId="2BC7AEA9">
            <w:pPr>
              <w:spacing w:line="240" w:lineRule="auto"/>
              <w:ind w:firstLine="480" w:firstLineChars="200"/>
              <w:jc w:val="center"/>
              <w:rPr>
                <w:rFonts w:hint="eastAsia" w:ascii="宋体" w:hAnsi="宋体" w:cs="宋体"/>
                <w:sz w:val="24"/>
              </w:rPr>
            </w:pPr>
            <w:r>
              <w:rPr>
                <w:rFonts w:hint="eastAsia" w:ascii="宋体" w:hAnsi="宋体" w:cs="宋体"/>
                <w:sz w:val="24"/>
              </w:rPr>
              <w:t>2000.00元</w:t>
            </w:r>
          </w:p>
        </w:tc>
      </w:tr>
      <w:tr w14:paraId="52D8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8" w:type="pct"/>
            <w:tcBorders>
              <w:top w:val="single" w:color="auto" w:sz="4" w:space="0"/>
              <w:left w:val="single" w:color="auto" w:sz="4" w:space="0"/>
              <w:bottom w:val="single" w:color="auto" w:sz="4" w:space="0"/>
              <w:right w:val="single" w:color="auto" w:sz="4" w:space="0"/>
            </w:tcBorders>
            <w:vAlign w:val="center"/>
          </w:tcPr>
          <w:p w14:paraId="4B785E57">
            <w:pPr>
              <w:spacing w:line="240" w:lineRule="auto"/>
              <w:ind w:firstLine="480" w:firstLineChars="200"/>
              <w:jc w:val="center"/>
              <w:rPr>
                <w:rFonts w:hint="eastAsia" w:ascii="宋体" w:hAnsi="宋体" w:cs="宋体"/>
                <w:sz w:val="24"/>
              </w:rPr>
            </w:pPr>
            <w:r>
              <w:rPr>
                <w:rFonts w:hint="eastAsia" w:ascii="宋体" w:hAnsi="宋体" w:cs="宋体"/>
                <w:sz w:val="24"/>
              </w:rPr>
              <w:t>2</w:t>
            </w:r>
          </w:p>
        </w:tc>
        <w:tc>
          <w:tcPr>
            <w:tcW w:w="2533" w:type="pct"/>
            <w:tcBorders>
              <w:top w:val="single" w:color="auto" w:sz="4" w:space="0"/>
              <w:left w:val="single" w:color="auto" w:sz="4" w:space="0"/>
              <w:bottom w:val="single" w:color="auto" w:sz="4" w:space="0"/>
              <w:right w:val="single" w:color="auto" w:sz="4" w:space="0"/>
            </w:tcBorders>
            <w:vAlign w:val="center"/>
          </w:tcPr>
          <w:p w14:paraId="4C9ABB86">
            <w:pPr>
              <w:spacing w:line="240" w:lineRule="auto"/>
              <w:ind w:firstLine="480" w:firstLineChars="200"/>
              <w:jc w:val="center"/>
              <w:rPr>
                <w:rFonts w:hint="eastAsia" w:ascii="宋体" w:hAnsi="宋体" w:cs="宋体"/>
                <w:sz w:val="24"/>
              </w:rPr>
            </w:pPr>
            <w:r>
              <w:rPr>
                <w:rFonts w:hint="eastAsia" w:ascii="宋体" w:hAnsi="宋体" w:cs="宋体"/>
                <w:sz w:val="24"/>
              </w:rPr>
              <w:t>货物、服务和工程招标代理、咨询服务（2万元-5万元）含2万</w:t>
            </w:r>
          </w:p>
        </w:tc>
        <w:tc>
          <w:tcPr>
            <w:tcW w:w="1779" w:type="pct"/>
            <w:tcBorders>
              <w:top w:val="single" w:color="auto" w:sz="4" w:space="0"/>
              <w:left w:val="single" w:color="auto" w:sz="4" w:space="0"/>
              <w:bottom w:val="single" w:color="auto" w:sz="4" w:space="0"/>
              <w:right w:val="single" w:color="auto" w:sz="4" w:space="0"/>
            </w:tcBorders>
            <w:vAlign w:val="center"/>
          </w:tcPr>
          <w:p w14:paraId="545BB23E">
            <w:pPr>
              <w:spacing w:line="240" w:lineRule="auto"/>
              <w:ind w:firstLine="480" w:firstLineChars="200"/>
              <w:jc w:val="center"/>
              <w:rPr>
                <w:rFonts w:hint="eastAsia" w:ascii="宋体" w:hAnsi="宋体" w:cs="宋体"/>
                <w:sz w:val="24"/>
              </w:rPr>
            </w:pPr>
            <w:r>
              <w:rPr>
                <w:rFonts w:hint="eastAsia" w:ascii="宋体" w:hAnsi="宋体" w:cs="宋体"/>
                <w:sz w:val="24"/>
              </w:rPr>
              <w:t>1500.00元</w:t>
            </w:r>
          </w:p>
        </w:tc>
      </w:tr>
    </w:tbl>
    <w:p w14:paraId="044962AC">
      <w:pPr>
        <w:spacing w:after="0" w:line="360" w:lineRule="auto"/>
        <w:ind w:firstLine="480" w:firstLineChars="200"/>
        <w:rPr>
          <w:rFonts w:hint="eastAsia" w:ascii="宋体" w:hAnsi="宋体" w:cs="宋体"/>
          <w:sz w:val="24"/>
          <w:szCs w:val="28"/>
          <w:lang w:val="zh-CN"/>
        </w:rPr>
      </w:pPr>
      <w:r>
        <w:rPr>
          <w:rFonts w:hint="eastAsia" w:ascii="宋体" w:hAnsi="宋体" w:cs="宋体"/>
          <w:sz w:val="24"/>
          <w:szCs w:val="28"/>
        </w:rPr>
        <w:t>3.</w:t>
      </w:r>
      <w:r>
        <w:rPr>
          <w:rFonts w:hint="eastAsia" w:ascii="宋体" w:hAnsi="宋体" w:cs="宋体"/>
          <w:sz w:val="24"/>
          <w:szCs w:val="28"/>
          <w:lang w:val="zh-CN"/>
        </w:rPr>
        <w:t>询价文件未列明，而响应供应商认为必需的费用也需列入报价。</w:t>
      </w:r>
    </w:p>
    <w:p w14:paraId="4E2BAC48">
      <w:pPr>
        <w:spacing w:after="0" w:line="360" w:lineRule="auto"/>
        <w:ind w:firstLine="480" w:firstLineChars="200"/>
        <w:rPr>
          <w:rFonts w:hint="eastAsia" w:ascii="宋体" w:hAnsi="宋体" w:cs="宋体"/>
          <w:sz w:val="24"/>
          <w:szCs w:val="28"/>
          <w:lang w:val="zh-CN"/>
        </w:rPr>
      </w:pPr>
      <w:r>
        <w:rPr>
          <w:rFonts w:hint="eastAsia" w:ascii="宋体" w:hAnsi="宋体" w:cs="宋体"/>
          <w:sz w:val="24"/>
          <w:szCs w:val="28"/>
          <w:lang w:val="zh-CN"/>
        </w:rPr>
        <w:t>代理费由成交供应商在开标现场定标后支付给代理机构，如因成交供应商原因导致本项目流标或改变成交结果或其被取消成交资格的，代理费不予退还。</w:t>
      </w:r>
    </w:p>
    <w:p w14:paraId="553F0F73">
      <w:pPr>
        <w:spacing w:after="0" w:line="360" w:lineRule="auto"/>
        <w:ind w:firstLine="482" w:firstLineChars="200"/>
        <w:jc w:val="both"/>
        <w:rPr>
          <w:rFonts w:hint="eastAsia" w:ascii="宋体" w:hAnsi="宋体" w:cs="宋体"/>
          <w:b/>
          <w:bCs/>
          <w:sz w:val="24"/>
          <w:szCs w:val="28"/>
          <w:lang w:val="zh-CN"/>
        </w:rPr>
      </w:pPr>
      <w:r>
        <w:rPr>
          <w:rFonts w:hint="eastAsia" w:ascii="宋体" w:hAnsi="宋体" w:cs="宋体"/>
          <w:b/>
          <w:bCs/>
          <w:sz w:val="24"/>
          <w:szCs w:val="28"/>
          <w:lang w:val="en-US" w:eastAsia="zh-CN"/>
        </w:rPr>
        <w:t>五</w:t>
      </w:r>
      <w:r>
        <w:rPr>
          <w:rFonts w:hint="eastAsia" w:ascii="宋体" w:hAnsi="宋体" w:cs="宋体"/>
          <w:b/>
          <w:bCs/>
          <w:sz w:val="24"/>
          <w:szCs w:val="28"/>
        </w:rPr>
        <w:t>、</w:t>
      </w:r>
      <w:r>
        <w:rPr>
          <w:rFonts w:hint="eastAsia" w:ascii="宋体" w:hAnsi="宋体" w:cs="宋体"/>
          <w:b/>
          <w:bCs/>
          <w:sz w:val="24"/>
          <w:szCs w:val="28"/>
          <w:lang w:val="zh-CN"/>
        </w:rPr>
        <w:t>询价响应文件的编写及装订</w:t>
      </w:r>
    </w:p>
    <w:p w14:paraId="7EC4B840">
      <w:pPr>
        <w:spacing w:after="0" w:line="360" w:lineRule="auto"/>
        <w:ind w:firstLine="480" w:firstLineChars="200"/>
        <w:jc w:val="both"/>
        <w:rPr>
          <w:rFonts w:hint="eastAsia" w:ascii="宋体" w:hAnsi="宋体" w:cs="宋体"/>
          <w:sz w:val="24"/>
          <w:szCs w:val="28"/>
        </w:rPr>
      </w:pPr>
      <w:r>
        <w:rPr>
          <w:rFonts w:hint="eastAsia" w:ascii="宋体" w:hAnsi="宋体" w:cs="宋体"/>
          <w:sz w:val="24"/>
          <w:szCs w:val="28"/>
          <w:lang w:val="zh-CN"/>
        </w:rPr>
        <w:t>（一）询价响应文件应包括“</w:t>
      </w:r>
      <w:r>
        <w:rPr>
          <w:rFonts w:hint="eastAsia" w:ascii="宋体" w:hAnsi="宋体" w:cs="宋体"/>
          <w:sz w:val="24"/>
          <w:szCs w:val="28"/>
        </w:rPr>
        <w:t>A资格审查文件”、“B商务报价文件”和</w:t>
      </w:r>
      <w:r>
        <w:rPr>
          <w:rFonts w:ascii="宋体" w:hAnsi="宋体" w:cs="宋体"/>
          <w:sz w:val="24"/>
          <w:szCs w:val="28"/>
        </w:rPr>
        <w:t>”</w:t>
      </w:r>
      <w:r>
        <w:rPr>
          <w:rFonts w:hint="eastAsia" w:ascii="宋体" w:hAnsi="宋体" w:cs="宋体"/>
          <w:sz w:val="24"/>
          <w:szCs w:val="28"/>
        </w:rPr>
        <w:t>C电子响应文件</w:t>
      </w:r>
      <w:r>
        <w:rPr>
          <w:rFonts w:ascii="宋体" w:hAnsi="宋体" w:cs="宋体"/>
          <w:sz w:val="24"/>
          <w:szCs w:val="28"/>
        </w:rPr>
        <w:t>”</w:t>
      </w:r>
      <w:r>
        <w:rPr>
          <w:rFonts w:hint="eastAsia" w:ascii="宋体" w:hAnsi="宋体" w:cs="宋体"/>
          <w:sz w:val="24"/>
          <w:szCs w:val="28"/>
        </w:rPr>
        <w:t>，具体要求如下：</w:t>
      </w:r>
    </w:p>
    <w:p w14:paraId="19699A20">
      <w:pPr>
        <w:spacing w:after="0" w:line="360" w:lineRule="auto"/>
        <w:ind w:firstLine="482" w:firstLineChars="200"/>
        <w:jc w:val="both"/>
        <w:rPr>
          <w:rFonts w:hint="eastAsia" w:ascii="宋体" w:hAnsi="宋体" w:cs="宋体"/>
          <w:b/>
          <w:bCs/>
          <w:sz w:val="24"/>
          <w:szCs w:val="28"/>
          <w:lang w:val="zh-CN"/>
        </w:rPr>
      </w:pPr>
      <w:r>
        <w:rPr>
          <w:rFonts w:hint="eastAsia" w:ascii="宋体" w:hAnsi="宋体" w:cs="宋体"/>
          <w:b/>
          <w:bCs/>
          <w:sz w:val="24"/>
          <w:szCs w:val="28"/>
          <w:lang w:val="zh-CN"/>
        </w:rPr>
        <w:t>A、资格审查文件</w:t>
      </w:r>
    </w:p>
    <w:p w14:paraId="10D0841F">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（1）提供营业执照复印件加盖公章；</w:t>
      </w:r>
    </w:p>
    <w:p w14:paraId="7C0C5240">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rPr>
        <w:t>（2）符合本项目采购人资格要求的承诺函</w:t>
      </w:r>
      <w:r>
        <w:rPr>
          <w:rFonts w:hint="eastAsia" w:ascii="宋体" w:hAnsi="宋体" w:cs="宋体"/>
          <w:sz w:val="24"/>
          <w:szCs w:val="28"/>
          <w:lang w:val="zh-CN"/>
        </w:rPr>
        <w:t>（</w:t>
      </w:r>
      <w:r>
        <w:rPr>
          <w:rFonts w:hint="eastAsia" w:ascii="宋体" w:hAnsi="宋体" w:cs="宋体"/>
          <w:color w:val="000000"/>
          <w:sz w:val="24"/>
          <w:szCs w:val="28"/>
        </w:rPr>
        <w:t>格式参见附件</w:t>
      </w:r>
      <w:r>
        <w:rPr>
          <w:rFonts w:hint="eastAsia" w:ascii="宋体" w:hAnsi="宋体" w:cs="宋体"/>
          <w:sz w:val="24"/>
          <w:szCs w:val="28"/>
          <w:lang w:val="zh-CN"/>
        </w:rPr>
        <w:t>）；</w:t>
      </w:r>
    </w:p>
    <w:p w14:paraId="44A7281F">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w:t>
      </w:r>
      <w:r>
        <w:rPr>
          <w:rFonts w:hint="eastAsia" w:ascii="宋体" w:hAnsi="宋体" w:cs="宋体"/>
          <w:sz w:val="24"/>
          <w:szCs w:val="28"/>
        </w:rPr>
        <w:t>3</w:t>
      </w:r>
      <w:r>
        <w:rPr>
          <w:rFonts w:hint="eastAsia" w:ascii="宋体" w:hAnsi="宋体" w:cs="宋体"/>
          <w:sz w:val="24"/>
          <w:szCs w:val="28"/>
          <w:lang w:val="zh-CN"/>
        </w:rPr>
        <w:t>）如法定代表人参加投标，则提供法定代表人身份证明书（格式见附件）；如授权委托人参加投标，则提供法定代表人授权委托书（格式见附件）；</w:t>
      </w:r>
    </w:p>
    <w:p w14:paraId="194D0D5D">
      <w:pPr>
        <w:spacing w:after="0" w:line="360" w:lineRule="auto"/>
        <w:ind w:firstLine="480" w:firstLineChars="200"/>
        <w:jc w:val="both"/>
        <w:rPr>
          <w:rFonts w:hint="eastAsia" w:ascii="宋体" w:hAnsi="宋体" w:cs="宋体"/>
          <w:color w:val="000000"/>
          <w:sz w:val="24"/>
          <w:szCs w:val="28"/>
          <w:lang w:val="zh-CN"/>
        </w:rPr>
      </w:pPr>
      <w:r>
        <w:rPr>
          <w:rFonts w:hint="eastAsia" w:ascii="宋体" w:hAnsi="宋体" w:cs="宋体"/>
          <w:sz w:val="24"/>
          <w:szCs w:val="28"/>
        </w:rPr>
        <w:t>（4）</w:t>
      </w:r>
      <w:r>
        <w:rPr>
          <w:rFonts w:hint="eastAsia" w:ascii="宋体" w:hAnsi="宋体" w:cs="宋体"/>
          <w:color w:val="000000"/>
          <w:sz w:val="24"/>
          <w:szCs w:val="28"/>
          <w:lang w:val="zh-CN"/>
        </w:rPr>
        <w:t>未被“信用中国”网站列入失信被执行人、重大税收违法案件当事人名单、采购严重失信行为记录名单，</w:t>
      </w:r>
      <w:r>
        <w:rPr>
          <w:rFonts w:hint="eastAsia" w:ascii="宋体" w:hAnsi="宋体" w:cs="宋体"/>
          <w:color w:val="000000"/>
          <w:sz w:val="24"/>
          <w:szCs w:val="28"/>
        </w:rPr>
        <w:t>提供</w:t>
      </w:r>
      <w:r>
        <w:rPr>
          <w:rFonts w:hint="eastAsia" w:ascii="宋体" w:hAnsi="宋体" w:cs="宋体"/>
          <w:color w:val="000000"/>
          <w:sz w:val="24"/>
          <w:szCs w:val="28"/>
          <w:lang w:val="en-US" w:eastAsia="zh-CN"/>
        </w:rPr>
        <w:t>无重大记录声明</w:t>
      </w:r>
      <w:r>
        <w:rPr>
          <w:rFonts w:hint="eastAsia" w:ascii="宋体" w:hAnsi="宋体" w:cs="宋体"/>
          <w:sz w:val="24"/>
          <w:szCs w:val="28"/>
          <w:lang w:val="zh-CN"/>
        </w:rPr>
        <w:t>（格式见附件）</w:t>
      </w:r>
      <w:r>
        <w:rPr>
          <w:rFonts w:hint="eastAsia" w:ascii="宋体" w:hAnsi="宋体" w:cs="宋体"/>
          <w:color w:val="000000"/>
          <w:sz w:val="24"/>
          <w:szCs w:val="28"/>
          <w:lang w:val="zh-CN"/>
        </w:rPr>
        <w:t>；</w:t>
      </w:r>
    </w:p>
    <w:p w14:paraId="22F0FBF2">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（5）</w:t>
      </w:r>
      <w:r>
        <w:rPr>
          <w:rFonts w:hint="eastAsia" w:ascii="宋体" w:hAnsi="宋体" w:cs="宋体"/>
          <w:sz w:val="24"/>
          <w:szCs w:val="28"/>
        </w:rPr>
        <w:t>对询价文件要求的商务条款和技术参数的响应情况</w:t>
      </w:r>
      <w:r>
        <w:rPr>
          <w:rFonts w:hint="eastAsia" w:ascii="宋体" w:hAnsi="宋体" w:cs="宋体"/>
          <w:sz w:val="24"/>
          <w:szCs w:val="28"/>
          <w:lang w:val="zh-CN"/>
        </w:rPr>
        <w:t>（格式参见附件）；</w:t>
      </w:r>
    </w:p>
    <w:p w14:paraId="203BF805">
      <w:pPr>
        <w:pStyle w:val="10"/>
        <w:spacing w:after="0" w:line="360" w:lineRule="auto"/>
        <w:ind w:firstLine="480" w:firstLineChars="200"/>
        <w:rPr>
          <w:sz w:val="24"/>
        </w:rPr>
      </w:pPr>
      <w:r>
        <w:rPr>
          <w:rFonts w:hint="eastAsia" w:ascii="宋体" w:hAnsi="宋体" w:cs="宋体"/>
          <w:sz w:val="24"/>
          <w:szCs w:val="28"/>
        </w:rPr>
        <w:t>（</w:t>
      </w:r>
      <w:r>
        <w:rPr>
          <w:rFonts w:hint="eastAsia" w:ascii="宋体" w:hAnsi="宋体" w:cs="宋体"/>
          <w:sz w:val="24"/>
          <w:szCs w:val="28"/>
          <w:lang w:val="en-US" w:eastAsia="zh-CN"/>
        </w:rPr>
        <w:t>6</w:t>
      </w:r>
      <w:r>
        <w:rPr>
          <w:rFonts w:hint="eastAsia" w:ascii="宋体" w:hAnsi="宋体" w:cs="宋体"/>
          <w:sz w:val="24"/>
          <w:szCs w:val="28"/>
        </w:rPr>
        <w:t>）询价文件中要求提供的其他材料。</w:t>
      </w:r>
    </w:p>
    <w:p w14:paraId="0D6DF1C4">
      <w:pPr>
        <w:spacing w:after="0" w:line="360" w:lineRule="auto"/>
        <w:ind w:firstLine="482" w:firstLineChars="200"/>
        <w:jc w:val="both"/>
        <w:rPr>
          <w:rFonts w:hint="eastAsia" w:ascii="宋体" w:hAnsi="宋体" w:cs="宋体"/>
          <w:b/>
          <w:bCs/>
          <w:sz w:val="24"/>
          <w:szCs w:val="28"/>
          <w:lang w:val="zh-CN"/>
        </w:rPr>
      </w:pPr>
      <w:r>
        <w:rPr>
          <w:rFonts w:hint="eastAsia" w:ascii="宋体" w:hAnsi="宋体" w:cs="宋体"/>
          <w:b/>
          <w:bCs/>
          <w:sz w:val="24"/>
          <w:szCs w:val="28"/>
          <w:lang w:val="zh-CN"/>
        </w:rPr>
        <w:t>B、商务报价响应文件</w:t>
      </w:r>
    </w:p>
    <w:p w14:paraId="10ED353D">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cs="宋体"/>
          <w:sz w:val="24"/>
          <w:szCs w:val="28"/>
          <w:lang w:val="zh-CN"/>
        </w:rPr>
      </w:pPr>
      <w:r>
        <w:rPr>
          <w:rFonts w:hint="eastAsia" w:ascii="宋体" w:hAnsi="宋体" w:cs="宋体"/>
          <w:sz w:val="24"/>
          <w:szCs w:val="28"/>
          <w:lang w:val="zh-CN"/>
        </w:rPr>
        <w:t>商务报价应包括询价文件所确定的全部范围及相应说明的全部内容，包含</w:t>
      </w:r>
      <w:r>
        <w:rPr>
          <w:rFonts w:hint="eastAsia" w:ascii="宋体" w:hAnsi="宋体" w:cs="宋体"/>
          <w:sz w:val="24"/>
        </w:rPr>
        <w:t>所有</w:t>
      </w:r>
      <w:r>
        <w:rPr>
          <w:rFonts w:hint="eastAsia" w:ascii="宋体" w:hAnsi="宋体" w:cs="宋体"/>
          <w:color w:val="000000"/>
          <w:sz w:val="24"/>
          <w:lang w:eastAsia="zh-CN"/>
        </w:rPr>
        <w:t xml:space="preserve">货物 </w:t>
      </w:r>
      <w:r>
        <w:rPr>
          <w:rFonts w:hint="eastAsia" w:ascii="宋体" w:hAnsi="宋体" w:cs="宋体"/>
          <w:color w:val="000000"/>
          <w:sz w:val="24"/>
        </w:rPr>
        <w:t>的</w:t>
      </w:r>
      <w:r>
        <w:rPr>
          <w:rFonts w:hint="eastAsia" w:ascii="宋体" w:hAnsi="宋体" w:cs="宋体"/>
          <w:color w:val="000000"/>
          <w:sz w:val="24"/>
          <w:lang w:val="zh-CN"/>
        </w:rPr>
        <w:t>货物成本、劳务费、管理费、材料费、设备费、机械费、包装费、运输费、装卸费（含上下力资费）、二次搬运费、安装费、成品保护费、服务费、售后服务费、检测试验费、利润和税金、质保期内的维护保养费</w:t>
      </w:r>
      <w:r>
        <w:rPr>
          <w:rFonts w:hint="eastAsia" w:ascii="宋体" w:hAnsi="宋体" w:cs="宋体"/>
          <w:color w:val="000000"/>
          <w:sz w:val="24"/>
        </w:rPr>
        <w:t>等工作所发生的全部费用以及企业利润、税金和政策性文件规定及合同包含的所有风险、责任等各项应有费用。即</w:t>
      </w:r>
      <w:r>
        <w:rPr>
          <w:rFonts w:hint="eastAsia" w:ascii="宋体" w:hAnsi="宋体" w:cs="宋体"/>
          <w:color w:val="000000"/>
          <w:sz w:val="24"/>
          <w:lang w:val="en-US" w:eastAsia="zh-CN"/>
        </w:rPr>
        <w:t>采购</w:t>
      </w:r>
      <w:r>
        <w:rPr>
          <w:rFonts w:hint="eastAsia" w:ascii="宋体" w:hAnsi="宋体" w:cs="宋体"/>
          <w:color w:val="000000"/>
          <w:sz w:val="24"/>
        </w:rPr>
        <w:t>项目交付使用前的所有费用以及交付时和交付使用后的免保期内的费用。</w:t>
      </w:r>
      <w:r>
        <w:rPr>
          <w:rFonts w:hint="eastAsia" w:ascii="宋体" w:hAnsi="宋体" w:cs="宋体"/>
          <w:sz w:val="24"/>
          <w:szCs w:val="28"/>
          <w:lang w:val="zh-CN"/>
        </w:rPr>
        <w:t>且该价格不因市场价格因素及政策性调整的变化而调整。</w:t>
      </w:r>
    </w:p>
    <w:p w14:paraId="64B23B70">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1.</w:t>
      </w:r>
      <w:r>
        <w:rPr>
          <w:rFonts w:hint="eastAsia" w:ascii="宋体" w:hAnsi="宋体" w:cs="宋体"/>
          <w:sz w:val="24"/>
          <w:szCs w:val="28"/>
        </w:rPr>
        <w:t>报价总表</w:t>
      </w:r>
      <w:r>
        <w:rPr>
          <w:rFonts w:hint="eastAsia" w:ascii="宋体" w:hAnsi="宋体" w:cs="宋体"/>
          <w:sz w:val="24"/>
          <w:szCs w:val="28"/>
          <w:lang w:val="zh-CN"/>
        </w:rPr>
        <w:t>（格式参见附件）；</w:t>
      </w:r>
    </w:p>
    <w:p w14:paraId="6EEBCA03">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2.</w:t>
      </w:r>
      <w:r>
        <w:rPr>
          <w:rFonts w:hint="eastAsia" w:ascii="宋体" w:hAnsi="宋体" w:cs="宋体"/>
          <w:sz w:val="24"/>
          <w:szCs w:val="28"/>
        </w:rPr>
        <w:t>分项报价</w:t>
      </w:r>
      <w:r>
        <w:rPr>
          <w:rFonts w:hint="eastAsia" w:ascii="宋体" w:hAnsi="宋体" w:cs="宋体"/>
          <w:sz w:val="24"/>
          <w:szCs w:val="28"/>
          <w:lang w:val="zh-CN"/>
        </w:rPr>
        <w:t>表（格式参见附件）。</w:t>
      </w:r>
    </w:p>
    <w:p w14:paraId="0D1ED948">
      <w:pPr>
        <w:spacing w:after="0" w:line="360" w:lineRule="auto"/>
        <w:ind w:firstLine="482" w:firstLineChars="200"/>
        <w:jc w:val="both"/>
        <w:rPr>
          <w:rFonts w:hint="eastAsia" w:ascii="宋体" w:hAnsi="宋体" w:cs="宋体"/>
          <w:b/>
          <w:bCs/>
          <w:sz w:val="24"/>
          <w:szCs w:val="28"/>
          <w:lang w:val="zh-CN"/>
        </w:rPr>
      </w:pPr>
      <w:r>
        <w:rPr>
          <w:rFonts w:hint="eastAsia" w:ascii="宋体" w:hAnsi="宋体" w:cs="宋体"/>
          <w:b/>
          <w:bCs/>
          <w:sz w:val="24"/>
          <w:szCs w:val="28"/>
          <w:lang w:val="zh-CN"/>
        </w:rPr>
        <w:t>▲C、电子响应文件</w:t>
      </w:r>
    </w:p>
    <w:p w14:paraId="29F388C4">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电子响应文件一份，电子响应文件的内容为资格审查文件、商务报价响应文件的打印盖章后的响应文件的扫描件（资格审查文件、价格文件需分别逐页连续扫描为两个独立的PDF文件，</w:t>
      </w:r>
      <w:r>
        <w:rPr>
          <w:rFonts w:hint="eastAsia" w:ascii="宋体" w:hAnsi="宋体" w:cs="宋体"/>
          <w:sz w:val="24"/>
          <w:szCs w:val="24"/>
        </w:rPr>
        <w:t>存储于一个U盘中即可</w:t>
      </w:r>
      <w:r>
        <w:rPr>
          <w:rFonts w:hint="eastAsia" w:ascii="宋体" w:hAnsi="宋体" w:cs="宋体"/>
          <w:sz w:val="24"/>
          <w:szCs w:val="28"/>
          <w:lang w:val="zh-CN"/>
        </w:rPr>
        <w:t>），</w:t>
      </w:r>
      <w:r>
        <w:rPr>
          <w:rFonts w:hint="eastAsia" w:ascii="宋体" w:hAnsi="宋体" w:cs="宋体"/>
          <w:sz w:val="24"/>
          <w:szCs w:val="24"/>
        </w:rPr>
        <w:t>采用U盘方式单独密封提交</w:t>
      </w:r>
      <w:r>
        <w:rPr>
          <w:rFonts w:hint="eastAsia" w:ascii="宋体" w:hAnsi="宋体" w:cs="宋体"/>
          <w:sz w:val="24"/>
          <w:szCs w:val="28"/>
          <w:lang w:val="zh-CN"/>
        </w:rPr>
        <w:t>。</w:t>
      </w:r>
    </w:p>
    <w:p w14:paraId="3186E410">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（二）询价响应文件的编制及装订</w:t>
      </w:r>
    </w:p>
    <w:p w14:paraId="3346D4EC">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1</w:t>
      </w:r>
      <w:r>
        <w:rPr>
          <w:rFonts w:hint="eastAsia" w:ascii="宋体" w:hAnsi="宋体" w:cs="宋体"/>
          <w:sz w:val="24"/>
          <w:szCs w:val="28"/>
        </w:rPr>
        <w:t>.纸质</w:t>
      </w:r>
      <w:r>
        <w:rPr>
          <w:rFonts w:hint="eastAsia" w:ascii="宋体" w:hAnsi="宋体" w:cs="宋体"/>
          <w:sz w:val="24"/>
          <w:szCs w:val="28"/>
          <w:lang w:val="zh-CN"/>
        </w:rPr>
        <w:t>询价响应文件由：①资格审查文件、②商务报价响应文件共两部分组成。</w:t>
      </w:r>
    </w:p>
    <w:p w14:paraId="1E1992C3">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2</w:t>
      </w:r>
      <w:r>
        <w:rPr>
          <w:rFonts w:hint="eastAsia" w:ascii="宋体" w:hAnsi="宋体" w:cs="宋体"/>
          <w:sz w:val="24"/>
          <w:szCs w:val="28"/>
        </w:rPr>
        <w:t>.</w:t>
      </w:r>
      <w:r>
        <w:rPr>
          <w:rFonts w:hint="eastAsia" w:ascii="宋体" w:hAnsi="宋体" w:cs="宋体"/>
          <w:sz w:val="24"/>
          <w:szCs w:val="28"/>
          <w:lang w:val="zh-CN"/>
        </w:rPr>
        <w:t>供应商按询价文件要求编写响应文件，并牢固装订成册。询价响应文件均需采用A4纸（图纸等除外）装订成册。询价响应文件不得行间插字、涂改、增删，如修改错漏处，须经询价响应文件签署人签字并加盖公章。</w:t>
      </w:r>
    </w:p>
    <w:p w14:paraId="32D1B8E6">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3</w:t>
      </w:r>
      <w:r>
        <w:rPr>
          <w:rFonts w:hint="eastAsia" w:ascii="宋体" w:hAnsi="宋体" w:cs="宋体"/>
          <w:sz w:val="24"/>
          <w:szCs w:val="28"/>
        </w:rPr>
        <w:t>.纸质</w:t>
      </w:r>
      <w:r>
        <w:rPr>
          <w:rFonts w:hint="eastAsia" w:ascii="宋体" w:hAnsi="宋体" w:cs="宋体"/>
          <w:sz w:val="24"/>
          <w:szCs w:val="28"/>
          <w:lang w:val="zh-CN"/>
        </w:rPr>
        <w:t>询价响应文件的 “资格审查文件”、 “商务报价响应文件”各自装订成册。特别提示：“商务报价响应文件”必须单独装订和封装，不得出现在“资格审查文件”中。</w:t>
      </w:r>
    </w:p>
    <w:p w14:paraId="660EF222">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（三）询价响应文件的份数、签署</w:t>
      </w:r>
    </w:p>
    <w:p w14:paraId="3EF51EA0">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1</w:t>
      </w:r>
      <w:r>
        <w:rPr>
          <w:rFonts w:hint="eastAsia" w:ascii="宋体" w:hAnsi="宋体" w:cs="宋体"/>
          <w:sz w:val="24"/>
          <w:szCs w:val="28"/>
        </w:rPr>
        <w:t>.</w:t>
      </w:r>
      <w:r>
        <w:rPr>
          <w:rFonts w:hint="eastAsia" w:ascii="宋体" w:hAnsi="宋体" w:cs="宋体"/>
          <w:sz w:val="24"/>
          <w:szCs w:val="28"/>
          <w:lang w:val="zh-CN"/>
        </w:rPr>
        <w:t>供应商应准备</w:t>
      </w:r>
      <w:r>
        <w:rPr>
          <w:rFonts w:hint="eastAsia" w:ascii="宋体" w:hAnsi="宋体" w:cs="宋体"/>
          <w:b/>
          <w:bCs/>
          <w:sz w:val="24"/>
          <w:szCs w:val="28"/>
          <w:u w:val="single"/>
          <w:lang w:val="zh-CN"/>
        </w:rPr>
        <w:t xml:space="preserve"> </w:t>
      </w:r>
      <w:r>
        <w:rPr>
          <w:rFonts w:hint="eastAsia" w:ascii="宋体" w:hAnsi="宋体" w:cs="宋体"/>
          <w:b/>
          <w:bCs/>
          <w:sz w:val="24"/>
          <w:szCs w:val="28"/>
          <w:u w:val="single"/>
        </w:rPr>
        <w:t>肆</w:t>
      </w:r>
      <w:r>
        <w:rPr>
          <w:rFonts w:hint="eastAsia" w:ascii="宋体" w:hAnsi="宋体" w:cs="宋体"/>
          <w:b/>
          <w:bCs/>
          <w:sz w:val="24"/>
          <w:szCs w:val="28"/>
          <w:u w:val="single"/>
          <w:lang w:val="zh-CN"/>
        </w:rPr>
        <w:t xml:space="preserve"> </w:t>
      </w:r>
      <w:r>
        <w:rPr>
          <w:rFonts w:hint="eastAsia" w:ascii="宋体" w:hAnsi="宋体" w:cs="宋体"/>
          <w:sz w:val="24"/>
          <w:szCs w:val="28"/>
          <w:lang w:val="zh-CN"/>
        </w:rPr>
        <w:t>份完整的询价响应文件，其中正本</w:t>
      </w:r>
      <w:r>
        <w:rPr>
          <w:rFonts w:hint="eastAsia" w:ascii="宋体" w:hAnsi="宋体" w:cs="宋体"/>
          <w:b/>
          <w:bCs/>
          <w:sz w:val="24"/>
          <w:szCs w:val="28"/>
          <w:u w:val="single"/>
          <w:lang w:val="zh-CN"/>
        </w:rPr>
        <w:t xml:space="preserve"> 壹 </w:t>
      </w:r>
      <w:r>
        <w:rPr>
          <w:rFonts w:hint="eastAsia" w:ascii="宋体" w:hAnsi="宋体" w:cs="宋体"/>
          <w:sz w:val="24"/>
          <w:szCs w:val="28"/>
          <w:lang w:val="zh-CN"/>
        </w:rPr>
        <w:t xml:space="preserve">份，副本 </w:t>
      </w:r>
      <w:r>
        <w:rPr>
          <w:rFonts w:hint="eastAsia" w:ascii="宋体" w:hAnsi="宋体" w:cs="宋体"/>
          <w:b/>
          <w:bCs/>
          <w:sz w:val="24"/>
          <w:szCs w:val="28"/>
          <w:u w:val="single"/>
        </w:rPr>
        <w:t>叁</w:t>
      </w:r>
      <w:r>
        <w:rPr>
          <w:rFonts w:hint="eastAsia" w:ascii="宋体" w:hAnsi="宋体" w:cs="宋体"/>
          <w:b/>
          <w:bCs/>
          <w:sz w:val="24"/>
          <w:szCs w:val="28"/>
          <w:u w:val="single"/>
          <w:lang w:val="zh-CN"/>
        </w:rPr>
        <w:t xml:space="preserve"> </w:t>
      </w:r>
      <w:r>
        <w:rPr>
          <w:rFonts w:hint="eastAsia" w:ascii="宋体" w:hAnsi="宋体" w:cs="宋体"/>
          <w:sz w:val="24"/>
          <w:szCs w:val="28"/>
          <w:lang w:val="zh-CN"/>
        </w:rPr>
        <w:t>份，并标明“正本”或“副本”字样，</w:t>
      </w:r>
      <w:r>
        <w:rPr>
          <w:rFonts w:hint="eastAsia" w:ascii="宋体" w:hAnsi="宋体" w:cs="宋体"/>
          <w:sz w:val="24"/>
          <w:szCs w:val="28"/>
        </w:rPr>
        <w:t>响应文件</w:t>
      </w:r>
      <w:r>
        <w:rPr>
          <w:rFonts w:hint="eastAsia" w:ascii="宋体" w:hAnsi="宋体" w:cs="宋体"/>
          <w:sz w:val="24"/>
          <w:szCs w:val="28"/>
          <w:lang w:val="zh-CN"/>
        </w:rPr>
        <w:t>封面明确标注响应供应商全称、项目名称、日期</w:t>
      </w:r>
      <w:r>
        <w:rPr>
          <w:rFonts w:hint="eastAsia" w:ascii="宋体" w:hAnsi="宋体" w:cs="宋体"/>
          <w:sz w:val="24"/>
          <w:szCs w:val="28"/>
        </w:rPr>
        <w:t>等关键信息</w:t>
      </w:r>
      <w:r>
        <w:rPr>
          <w:rFonts w:hint="eastAsia" w:ascii="宋体" w:hAnsi="宋体" w:cs="宋体"/>
          <w:sz w:val="24"/>
          <w:szCs w:val="28"/>
          <w:lang w:val="zh-CN"/>
        </w:rPr>
        <w:t>。</w:t>
      </w:r>
    </w:p>
    <w:p w14:paraId="3C7D7D09">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2</w:t>
      </w:r>
      <w:r>
        <w:rPr>
          <w:rFonts w:hint="eastAsia" w:ascii="宋体" w:hAnsi="宋体" w:cs="宋体"/>
          <w:sz w:val="24"/>
          <w:szCs w:val="28"/>
        </w:rPr>
        <w:t>.</w:t>
      </w:r>
      <w:r>
        <w:rPr>
          <w:rFonts w:hint="eastAsia" w:ascii="宋体" w:hAnsi="宋体" w:cs="宋体"/>
          <w:sz w:val="24"/>
          <w:szCs w:val="28"/>
          <w:lang w:val="zh-CN"/>
        </w:rPr>
        <w:t>“资格审查文件”、“商务报价响应文件”应分别密封，并在封袋上标明“资格审查文件”、“商务报价响应文件”以及项目名称。</w:t>
      </w:r>
    </w:p>
    <w:p w14:paraId="42DE30FB">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rPr>
        <w:t>3.</w:t>
      </w:r>
      <w:r>
        <w:rPr>
          <w:rFonts w:hint="eastAsia" w:ascii="宋体" w:hAnsi="宋体" w:cs="宋体"/>
          <w:sz w:val="24"/>
          <w:szCs w:val="28"/>
          <w:lang w:val="zh-CN"/>
        </w:rPr>
        <w:t>询价响应文件正本须按询价文件要求由法定代表人或被授权人签字或盖章并加盖单位印章。副本可复印，但须加盖单位印章。</w:t>
      </w:r>
    </w:p>
    <w:p w14:paraId="57E13A58">
      <w:pPr>
        <w:spacing w:after="0" w:line="360" w:lineRule="auto"/>
        <w:ind w:firstLine="482" w:firstLineChars="200"/>
        <w:jc w:val="both"/>
        <w:rPr>
          <w:rFonts w:hint="eastAsia" w:ascii="宋体" w:hAnsi="宋体" w:cs="宋体"/>
          <w:sz w:val="24"/>
          <w:szCs w:val="28"/>
          <w:lang w:val="zh-CN"/>
        </w:rPr>
      </w:pPr>
      <w:r>
        <w:rPr>
          <w:rFonts w:hint="eastAsia" w:ascii="宋体" w:hAnsi="宋体" w:cs="宋体"/>
          <w:b/>
          <w:sz w:val="24"/>
          <w:szCs w:val="28"/>
        </w:rPr>
        <w:t>凡是响应文件中涉及响应供应商资信认证、人员证书、业绩荣誉等复印件，和要求法定代表人或授权委托人签字，和以供应商名称</w:t>
      </w:r>
      <w:r>
        <w:rPr>
          <w:rFonts w:hint="eastAsia" w:ascii="宋体" w:hAnsi="宋体" w:cs="宋体"/>
          <w:b/>
          <w:sz w:val="24"/>
          <w:szCs w:val="28"/>
          <w:lang w:val="en-US" w:eastAsia="zh-CN"/>
        </w:rPr>
        <w:t xml:space="preserve"> </w:t>
      </w:r>
      <w:r>
        <w:rPr>
          <w:rFonts w:hint="eastAsia" w:ascii="宋体" w:hAnsi="宋体" w:cs="宋体"/>
          <w:b/>
          <w:sz w:val="24"/>
          <w:szCs w:val="28"/>
        </w:rPr>
        <w:t>落款并注明需要盖章的，均需相应盖章（鲜章）或签字。否则视为未按照采购文件要求盖章或签字。</w:t>
      </w:r>
    </w:p>
    <w:p w14:paraId="3F7C895B">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▲本项目要求提供电子响应文件一份，电子响应文件的内容为资格审查文件、商务报价响应文件打印盖章后的响应文件的扫描件（资格审查文件、商务报价响应文件需分别逐页连续扫描为</w:t>
      </w:r>
      <w:r>
        <w:rPr>
          <w:rFonts w:hint="eastAsia" w:ascii="宋体" w:hAnsi="宋体" w:cs="宋体"/>
          <w:sz w:val="24"/>
          <w:szCs w:val="28"/>
        </w:rPr>
        <w:t>两</w:t>
      </w:r>
      <w:r>
        <w:rPr>
          <w:rFonts w:hint="eastAsia" w:ascii="宋体" w:hAnsi="宋体" w:cs="宋体"/>
          <w:sz w:val="24"/>
          <w:szCs w:val="28"/>
          <w:lang w:val="zh-CN"/>
        </w:rPr>
        <w:t>个独立的PDF文件，</w:t>
      </w:r>
      <w:r>
        <w:rPr>
          <w:rFonts w:hint="eastAsia" w:ascii="宋体" w:hAnsi="宋体" w:cs="宋体"/>
          <w:sz w:val="24"/>
          <w:szCs w:val="24"/>
        </w:rPr>
        <w:t>存储于一个U盘中即可</w:t>
      </w:r>
      <w:r>
        <w:rPr>
          <w:rFonts w:hint="eastAsia" w:ascii="宋体" w:hAnsi="宋体" w:cs="宋体"/>
          <w:sz w:val="24"/>
          <w:szCs w:val="28"/>
          <w:lang w:val="zh-CN"/>
        </w:rPr>
        <w:t>），</w:t>
      </w:r>
      <w:r>
        <w:rPr>
          <w:rFonts w:hint="eastAsia" w:ascii="宋体" w:hAnsi="宋体" w:cs="宋体"/>
          <w:sz w:val="24"/>
          <w:szCs w:val="28"/>
        </w:rPr>
        <w:t>可以采取</w:t>
      </w:r>
      <w:r>
        <w:rPr>
          <w:rFonts w:hint="eastAsia" w:ascii="宋体" w:hAnsi="宋体" w:cs="宋体"/>
          <w:sz w:val="24"/>
          <w:szCs w:val="28"/>
          <w:lang w:val="zh-CN"/>
        </w:rPr>
        <w:t>U盘</w:t>
      </w:r>
      <w:r>
        <w:rPr>
          <w:rFonts w:hint="eastAsia" w:ascii="宋体" w:hAnsi="宋体" w:cs="宋体"/>
          <w:sz w:val="24"/>
          <w:szCs w:val="28"/>
        </w:rPr>
        <w:t>方式</w:t>
      </w:r>
      <w:r>
        <w:rPr>
          <w:rFonts w:hint="eastAsia" w:ascii="宋体" w:hAnsi="宋体" w:cs="宋体"/>
          <w:sz w:val="24"/>
          <w:szCs w:val="28"/>
          <w:lang w:val="zh-CN"/>
        </w:rPr>
        <w:t>提交，需单独密封提交。</w:t>
      </w:r>
    </w:p>
    <w:p w14:paraId="76F95E3F">
      <w:pPr>
        <w:pStyle w:val="10"/>
        <w:spacing w:after="0" w:line="360" w:lineRule="auto"/>
        <w:ind w:firstLine="482" w:firstLineChars="200"/>
        <w:rPr>
          <w:sz w:val="24"/>
          <w:u w:val="double"/>
          <w:lang w:val="zh-CN"/>
        </w:rPr>
      </w:pPr>
      <w:r>
        <w:rPr>
          <w:rFonts w:hint="eastAsia" w:ascii="宋体" w:hAnsi="宋体" w:cs="宋体"/>
          <w:b/>
          <w:bCs/>
          <w:kern w:val="2"/>
          <w:sz w:val="24"/>
          <w:szCs w:val="24"/>
          <w:u w:val="double"/>
        </w:rPr>
        <w:t>特别提醒：未提供电子询价文件的，则视为无效投标。</w:t>
      </w:r>
    </w:p>
    <w:p w14:paraId="423D2575">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（四）询价响应文件的密封及标记</w:t>
      </w:r>
    </w:p>
    <w:p w14:paraId="12AD62E4">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密封后应标明响应文件项目名称、供应商名称，边缝处加盖单位骑缝章或骑缝签字。</w:t>
      </w:r>
    </w:p>
    <w:p w14:paraId="001E3913">
      <w:pPr>
        <w:spacing w:after="0" w:line="360" w:lineRule="auto"/>
        <w:ind w:firstLine="482" w:firstLineChars="200"/>
        <w:jc w:val="both"/>
        <w:rPr>
          <w:rFonts w:hint="eastAsia" w:ascii="宋体" w:hAnsi="宋体" w:cs="宋体"/>
          <w:b/>
          <w:bCs/>
          <w:sz w:val="24"/>
          <w:szCs w:val="28"/>
          <w:lang w:val="zh-CN"/>
        </w:rPr>
      </w:pPr>
      <w:r>
        <w:rPr>
          <w:rFonts w:hint="eastAsia" w:ascii="宋体" w:hAnsi="宋体" w:cs="宋体"/>
          <w:b/>
          <w:bCs/>
          <w:sz w:val="24"/>
          <w:szCs w:val="28"/>
          <w:lang w:val="en-US" w:eastAsia="zh-CN"/>
        </w:rPr>
        <w:t>六</w:t>
      </w:r>
      <w:r>
        <w:rPr>
          <w:rFonts w:hint="eastAsia" w:ascii="宋体" w:hAnsi="宋体" w:cs="宋体"/>
          <w:b/>
          <w:bCs/>
          <w:sz w:val="24"/>
          <w:szCs w:val="28"/>
        </w:rPr>
        <w:t>、</w:t>
      </w:r>
      <w:r>
        <w:rPr>
          <w:rFonts w:hint="eastAsia" w:ascii="宋体" w:hAnsi="宋体" w:cs="宋体"/>
          <w:b/>
          <w:bCs/>
          <w:sz w:val="24"/>
          <w:szCs w:val="28"/>
          <w:lang w:val="zh-CN"/>
        </w:rPr>
        <w:t>出现下列情形之一的，作无效投标处理：</w:t>
      </w:r>
    </w:p>
    <w:p w14:paraId="1E00BEAD">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rPr>
        <w:t>1.</w:t>
      </w:r>
      <w:r>
        <w:rPr>
          <w:rFonts w:hint="eastAsia" w:ascii="宋体" w:hAnsi="宋体" w:cs="宋体"/>
          <w:sz w:val="24"/>
          <w:szCs w:val="28"/>
          <w:lang w:val="zh-CN"/>
        </w:rPr>
        <w:t>响应文件未按询价文件要求签署、盖章的；</w:t>
      </w:r>
    </w:p>
    <w:p w14:paraId="68E1E5CE">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rPr>
        <w:t>2.</w:t>
      </w:r>
      <w:r>
        <w:rPr>
          <w:rFonts w:hint="eastAsia" w:ascii="宋体" w:hAnsi="宋体" w:cs="宋体"/>
          <w:sz w:val="24"/>
          <w:szCs w:val="28"/>
          <w:lang w:val="zh-CN"/>
        </w:rPr>
        <w:t>不具备询价文件中规定的资格要求的；</w:t>
      </w:r>
    </w:p>
    <w:p w14:paraId="41CB115B">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4</w:t>
      </w:r>
      <w:r>
        <w:rPr>
          <w:rFonts w:hint="eastAsia" w:ascii="宋体" w:hAnsi="宋体" w:cs="宋体"/>
          <w:sz w:val="24"/>
          <w:szCs w:val="28"/>
        </w:rPr>
        <w:t>.</w:t>
      </w:r>
      <w:r>
        <w:rPr>
          <w:rFonts w:hint="eastAsia" w:ascii="宋体" w:hAnsi="宋体" w:cs="宋体"/>
          <w:sz w:val="24"/>
          <w:szCs w:val="28"/>
          <w:lang w:val="zh-CN"/>
        </w:rPr>
        <w:t>报价超过询价文件中规定的预算金额或者最高限价的；</w:t>
      </w:r>
    </w:p>
    <w:p w14:paraId="54F70473">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5</w:t>
      </w:r>
      <w:r>
        <w:rPr>
          <w:rFonts w:hint="eastAsia" w:ascii="宋体" w:hAnsi="宋体" w:cs="宋体"/>
          <w:sz w:val="24"/>
          <w:szCs w:val="28"/>
        </w:rPr>
        <w:t>.</w:t>
      </w:r>
      <w:r>
        <w:rPr>
          <w:rFonts w:hint="eastAsia" w:ascii="宋体" w:hAnsi="宋体" w:cs="宋体"/>
          <w:sz w:val="24"/>
          <w:szCs w:val="28"/>
          <w:lang w:val="zh-CN"/>
        </w:rPr>
        <w:t>询价响应文件资格审查文件部分出现商务报价的内容；</w:t>
      </w:r>
    </w:p>
    <w:p w14:paraId="1FFF6036">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6</w:t>
      </w:r>
      <w:r>
        <w:rPr>
          <w:rFonts w:hint="eastAsia" w:ascii="宋体" w:hAnsi="宋体" w:cs="宋体"/>
          <w:sz w:val="24"/>
          <w:szCs w:val="28"/>
        </w:rPr>
        <w:t>.</w:t>
      </w:r>
      <w:r>
        <w:rPr>
          <w:rFonts w:hint="eastAsia" w:ascii="宋体" w:hAnsi="宋体" w:cs="宋体"/>
          <w:sz w:val="24"/>
          <w:szCs w:val="28"/>
          <w:lang w:val="zh-CN"/>
        </w:rPr>
        <w:t>响应文件含有采购人不能接受的附加条件的；</w:t>
      </w:r>
    </w:p>
    <w:p w14:paraId="29FECD76">
      <w:pPr>
        <w:spacing w:after="0" w:line="360" w:lineRule="auto"/>
        <w:ind w:firstLine="482" w:firstLineChars="200"/>
        <w:jc w:val="both"/>
        <w:rPr>
          <w:rFonts w:hint="eastAsia" w:ascii="宋体" w:hAnsi="宋体" w:cs="宋体"/>
          <w:b/>
          <w:bCs/>
          <w:sz w:val="24"/>
          <w:szCs w:val="28"/>
        </w:rPr>
      </w:pPr>
      <w:r>
        <w:rPr>
          <w:rFonts w:hint="eastAsia" w:ascii="宋体" w:hAnsi="宋体" w:cs="宋体"/>
          <w:b/>
          <w:bCs/>
          <w:sz w:val="24"/>
          <w:szCs w:val="28"/>
        </w:rPr>
        <w:t>7.未提供电子档询价文件；</w:t>
      </w:r>
    </w:p>
    <w:p w14:paraId="4E7DE08D">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rPr>
        <w:t>8.</w:t>
      </w:r>
      <w:r>
        <w:rPr>
          <w:rFonts w:hint="eastAsia" w:ascii="宋体" w:hAnsi="宋体" w:cs="宋体"/>
          <w:sz w:val="24"/>
          <w:szCs w:val="28"/>
          <w:lang w:val="zh-CN"/>
        </w:rPr>
        <w:t>法律、法规和询价文件规定的其他无效情形。</w:t>
      </w:r>
    </w:p>
    <w:p w14:paraId="00C8D0F4">
      <w:pPr>
        <w:spacing w:after="0" w:line="360" w:lineRule="auto"/>
        <w:ind w:firstLine="482" w:firstLineChars="200"/>
        <w:jc w:val="both"/>
        <w:rPr>
          <w:rFonts w:hint="eastAsia" w:ascii="宋体" w:hAnsi="宋体" w:cs="宋体"/>
          <w:b/>
          <w:bCs/>
          <w:sz w:val="24"/>
          <w:szCs w:val="28"/>
          <w:lang w:val="zh-CN"/>
        </w:rPr>
      </w:pPr>
      <w:r>
        <w:rPr>
          <w:rFonts w:hint="eastAsia" w:ascii="宋体" w:hAnsi="宋体" w:cs="宋体"/>
          <w:b/>
          <w:bCs/>
          <w:sz w:val="24"/>
          <w:szCs w:val="28"/>
          <w:lang w:val="en-US" w:eastAsia="zh-CN"/>
        </w:rPr>
        <w:t>七</w:t>
      </w:r>
      <w:r>
        <w:rPr>
          <w:rFonts w:hint="eastAsia" w:ascii="宋体" w:hAnsi="宋体" w:cs="宋体"/>
          <w:b/>
          <w:bCs/>
          <w:sz w:val="24"/>
          <w:szCs w:val="28"/>
          <w:lang w:val="zh-CN"/>
        </w:rPr>
        <w:t>、有下列情形之一的，视为响应供应商串通投标，其投标无效：</w:t>
      </w:r>
    </w:p>
    <w:p w14:paraId="5E72E857">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1</w:t>
      </w:r>
      <w:r>
        <w:rPr>
          <w:rFonts w:hint="eastAsia" w:ascii="宋体" w:hAnsi="宋体" w:cs="宋体"/>
          <w:sz w:val="24"/>
          <w:szCs w:val="28"/>
        </w:rPr>
        <w:t>.</w:t>
      </w:r>
      <w:r>
        <w:rPr>
          <w:rFonts w:hint="eastAsia" w:ascii="宋体" w:hAnsi="宋体" w:cs="宋体"/>
          <w:sz w:val="24"/>
          <w:szCs w:val="28"/>
          <w:lang w:val="zh-CN"/>
        </w:rPr>
        <w:t>不同响应供应商的响应文件由同一单位或者个人编制；</w:t>
      </w:r>
    </w:p>
    <w:p w14:paraId="655EE9E6">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2</w:t>
      </w:r>
      <w:r>
        <w:rPr>
          <w:rFonts w:hint="eastAsia" w:ascii="宋体" w:hAnsi="宋体" w:cs="宋体"/>
          <w:sz w:val="24"/>
          <w:szCs w:val="28"/>
        </w:rPr>
        <w:t>.</w:t>
      </w:r>
      <w:r>
        <w:rPr>
          <w:rFonts w:hint="eastAsia" w:ascii="宋体" w:hAnsi="宋体" w:cs="宋体"/>
          <w:sz w:val="24"/>
          <w:szCs w:val="28"/>
          <w:lang w:val="zh-CN"/>
        </w:rPr>
        <w:t>不同响应供应商委托同一单位或者个人办理投标事宜；</w:t>
      </w:r>
    </w:p>
    <w:p w14:paraId="116BF324">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3</w:t>
      </w:r>
      <w:r>
        <w:rPr>
          <w:rFonts w:hint="eastAsia" w:ascii="宋体" w:hAnsi="宋体" w:cs="宋体"/>
          <w:sz w:val="24"/>
          <w:szCs w:val="28"/>
        </w:rPr>
        <w:t>.</w:t>
      </w:r>
      <w:r>
        <w:rPr>
          <w:rFonts w:hint="eastAsia" w:ascii="宋体" w:hAnsi="宋体" w:cs="宋体"/>
          <w:sz w:val="24"/>
          <w:szCs w:val="28"/>
          <w:lang w:val="zh-CN"/>
        </w:rPr>
        <w:t>不同响应供应商的响应文件载明的项目管理成员或者联系人员为同一人；</w:t>
      </w:r>
    </w:p>
    <w:p w14:paraId="65ACA734">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4</w:t>
      </w:r>
      <w:r>
        <w:rPr>
          <w:rFonts w:hint="eastAsia" w:ascii="宋体" w:hAnsi="宋体" w:cs="宋体"/>
          <w:sz w:val="24"/>
          <w:szCs w:val="28"/>
        </w:rPr>
        <w:t>.</w:t>
      </w:r>
      <w:r>
        <w:rPr>
          <w:rFonts w:hint="eastAsia" w:ascii="宋体" w:hAnsi="宋体" w:cs="宋体"/>
          <w:sz w:val="24"/>
          <w:szCs w:val="28"/>
          <w:lang w:val="zh-CN"/>
        </w:rPr>
        <w:t>不同响应供应商的响应文件异常一致或者投标报价呈规律性差异；</w:t>
      </w:r>
    </w:p>
    <w:p w14:paraId="14B98836">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5</w:t>
      </w:r>
      <w:r>
        <w:rPr>
          <w:rFonts w:hint="eastAsia" w:ascii="宋体" w:hAnsi="宋体" w:cs="宋体"/>
          <w:sz w:val="24"/>
          <w:szCs w:val="28"/>
        </w:rPr>
        <w:t>.</w:t>
      </w:r>
      <w:r>
        <w:rPr>
          <w:rFonts w:hint="eastAsia" w:ascii="宋体" w:hAnsi="宋体" w:cs="宋体"/>
          <w:sz w:val="24"/>
          <w:szCs w:val="28"/>
          <w:lang w:val="zh-CN"/>
        </w:rPr>
        <w:t>不同响应供应商的响应文件相互混装。</w:t>
      </w:r>
    </w:p>
    <w:p w14:paraId="5993A3CA">
      <w:pPr>
        <w:spacing w:after="0" w:line="360" w:lineRule="auto"/>
        <w:ind w:firstLine="482" w:firstLineChars="200"/>
        <w:jc w:val="both"/>
        <w:rPr>
          <w:rFonts w:hint="eastAsia" w:ascii="宋体" w:hAnsi="宋体" w:cs="宋体"/>
          <w:b/>
          <w:bCs/>
          <w:sz w:val="24"/>
          <w:szCs w:val="28"/>
          <w:lang w:val="zh-CN"/>
        </w:rPr>
      </w:pPr>
      <w:r>
        <w:rPr>
          <w:rFonts w:hint="eastAsia" w:ascii="宋体" w:hAnsi="宋体" w:cs="宋体"/>
          <w:b/>
          <w:bCs/>
          <w:sz w:val="24"/>
          <w:szCs w:val="28"/>
          <w:lang w:val="en-US" w:eastAsia="zh-CN"/>
        </w:rPr>
        <w:t>八</w:t>
      </w:r>
      <w:r>
        <w:rPr>
          <w:rFonts w:hint="eastAsia" w:ascii="宋体" w:hAnsi="宋体" w:cs="宋体"/>
          <w:b/>
          <w:bCs/>
          <w:sz w:val="24"/>
          <w:szCs w:val="28"/>
          <w:lang w:val="zh-CN"/>
        </w:rPr>
        <w:t>、变更为其他方式采购的情形处理</w:t>
      </w:r>
    </w:p>
    <w:p w14:paraId="289CBCE7">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投标截止后供应商不足3家或者通过资格审查或符合性审查的供应商不足3家的，除采购任务取消情形外，按照以下方式处理：</w:t>
      </w:r>
    </w:p>
    <w:p w14:paraId="13373978">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1</w:t>
      </w:r>
      <w:r>
        <w:rPr>
          <w:rFonts w:hint="eastAsia" w:ascii="宋体" w:hAnsi="宋体" w:cs="宋体"/>
          <w:sz w:val="24"/>
          <w:szCs w:val="28"/>
        </w:rPr>
        <w:t>.</w:t>
      </w:r>
      <w:r>
        <w:rPr>
          <w:rFonts w:hint="eastAsia" w:ascii="宋体" w:hAnsi="宋体" w:cs="宋体"/>
          <w:sz w:val="24"/>
          <w:szCs w:val="28"/>
          <w:lang w:val="zh-CN"/>
        </w:rPr>
        <w:t>询价文件存在不合理条款或者招标程序不符合规定的，采购人、采购代理机构改正后依法重新</w:t>
      </w:r>
      <w:r>
        <w:rPr>
          <w:rFonts w:hint="eastAsia" w:ascii="宋体" w:hAnsi="宋体" w:cs="宋体"/>
          <w:sz w:val="24"/>
          <w:szCs w:val="28"/>
        </w:rPr>
        <w:t>采购</w:t>
      </w:r>
      <w:r>
        <w:rPr>
          <w:rFonts w:hint="eastAsia" w:ascii="宋体" w:hAnsi="宋体" w:cs="宋体"/>
          <w:sz w:val="24"/>
          <w:szCs w:val="28"/>
          <w:lang w:val="zh-CN"/>
        </w:rPr>
        <w:t>；</w:t>
      </w:r>
    </w:p>
    <w:p w14:paraId="3DB4F86C">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2</w:t>
      </w:r>
      <w:r>
        <w:rPr>
          <w:rFonts w:hint="eastAsia" w:ascii="宋体" w:hAnsi="宋体" w:cs="宋体"/>
          <w:sz w:val="24"/>
          <w:szCs w:val="28"/>
        </w:rPr>
        <w:t>.</w:t>
      </w:r>
      <w:r>
        <w:rPr>
          <w:rFonts w:hint="eastAsia" w:ascii="宋体" w:hAnsi="宋体" w:cs="宋体"/>
          <w:sz w:val="24"/>
          <w:szCs w:val="28"/>
          <w:lang w:val="zh-CN"/>
        </w:rPr>
        <w:t>询价文件没有不合理条款、</w:t>
      </w:r>
      <w:r>
        <w:rPr>
          <w:rFonts w:hint="eastAsia" w:ascii="宋体" w:hAnsi="宋体" w:cs="宋体"/>
          <w:sz w:val="24"/>
          <w:szCs w:val="28"/>
        </w:rPr>
        <w:t>采购</w:t>
      </w:r>
      <w:r>
        <w:rPr>
          <w:rFonts w:hint="eastAsia" w:ascii="宋体" w:hAnsi="宋体" w:cs="宋体"/>
          <w:sz w:val="24"/>
          <w:szCs w:val="28"/>
          <w:lang w:val="zh-CN"/>
        </w:rPr>
        <w:t>程序符合规定，需要采用其他采购</w:t>
      </w:r>
      <w:r>
        <w:rPr>
          <w:rFonts w:hint="eastAsia" w:ascii="宋体" w:hAnsi="宋体" w:cs="宋体"/>
          <w:sz w:val="24"/>
          <w:szCs w:val="28"/>
          <w:lang w:val="en-US" w:eastAsia="zh-CN"/>
        </w:rPr>
        <w:t>方</w:t>
      </w:r>
      <w:r>
        <w:rPr>
          <w:rFonts w:hint="eastAsia" w:ascii="宋体" w:hAnsi="宋体" w:cs="宋体"/>
          <w:sz w:val="24"/>
          <w:szCs w:val="28"/>
          <w:lang w:val="zh-CN"/>
        </w:rPr>
        <w:t>式采购的，采购人应当</w:t>
      </w:r>
      <w:r>
        <w:rPr>
          <w:rFonts w:hint="eastAsia" w:ascii="宋体" w:hAnsi="宋体" w:cs="宋体"/>
          <w:sz w:val="24"/>
          <w:szCs w:val="28"/>
        </w:rPr>
        <w:t>报相关</w:t>
      </w:r>
      <w:r>
        <w:rPr>
          <w:rFonts w:hint="eastAsia" w:ascii="宋体" w:hAnsi="宋体" w:cs="宋体"/>
          <w:sz w:val="24"/>
          <w:szCs w:val="28"/>
          <w:lang w:val="zh-CN"/>
        </w:rPr>
        <w:t>部门批准。</w:t>
      </w:r>
    </w:p>
    <w:p w14:paraId="1010A0C1">
      <w:pPr>
        <w:spacing w:after="0" w:line="360" w:lineRule="auto"/>
        <w:ind w:firstLine="482" w:firstLineChars="200"/>
        <w:jc w:val="both"/>
        <w:rPr>
          <w:rFonts w:hint="eastAsia" w:ascii="宋体" w:hAnsi="宋体" w:cs="宋体"/>
          <w:b/>
          <w:bCs/>
          <w:sz w:val="24"/>
          <w:szCs w:val="28"/>
          <w:lang w:val="zh-CN"/>
        </w:rPr>
      </w:pPr>
      <w:r>
        <w:rPr>
          <w:rFonts w:hint="eastAsia" w:ascii="宋体" w:hAnsi="宋体" w:cs="宋体"/>
          <w:b/>
          <w:bCs/>
          <w:sz w:val="24"/>
          <w:szCs w:val="28"/>
          <w:lang w:val="en-US" w:eastAsia="zh-CN"/>
        </w:rPr>
        <w:t>九</w:t>
      </w:r>
      <w:r>
        <w:rPr>
          <w:rFonts w:hint="eastAsia" w:ascii="宋体" w:hAnsi="宋体" w:cs="宋体"/>
          <w:b/>
          <w:bCs/>
          <w:sz w:val="24"/>
          <w:szCs w:val="28"/>
          <w:lang w:val="zh-CN"/>
        </w:rPr>
        <w:t>、出现下列情形之一的，作废标处理：</w:t>
      </w:r>
    </w:p>
    <w:p w14:paraId="23BEFE7C">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1</w:t>
      </w:r>
      <w:r>
        <w:rPr>
          <w:rFonts w:hint="eastAsia" w:ascii="宋体" w:hAnsi="宋体" w:cs="宋体"/>
          <w:sz w:val="24"/>
          <w:szCs w:val="28"/>
        </w:rPr>
        <w:t>.</w:t>
      </w:r>
      <w:r>
        <w:rPr>
          <w:rFonts w:hint="eastAsia" w:ascii="宋体" w:hAnsi="宋体" w:cs="宋体"/>
          <w:sz w:val="24"/>
          <w:szCs w:val="28"/>
          <w:lang w:val="zh-CN"/>
        </w:rPr>
        <w:t>出现影响采购公正的违法违规行为的；</w:t>
      </w:r>
    </w:p>
    <w:p w14:paraId="4CF57B8E">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2</w:t>
      </w:r>
      <w:r>
        <w:rPr>
          <w:rFonts w:hint="eastAsia" w:ascii="宋体" w:hAnsi="宋体" w:cs="宋体"/>
          <w:sz w:val="24"/>
          <w:szCs w:val="28"/>
        </w:rPr>
        <w:t>.</w:t>
      </w:r>
      <w:r>
        <w:rPr>
          <w:rFonts w:hint="eastAsia" w:ascii="宋体" w:hAnsi="宋体" w:cs="宋体"/>
          <w:sz w:val="24"/>
          <w:szCs w:val="28"/>
          <w:lang w:val="zh-CN"/>
        </w:rPr>
        <w:t>所有响应供应商报价超出采购控制价的；</w:t>
      </w:r>
    </w:p>
    <w:p w14:paraId="3703772A">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3</w:t>
      </w:r>
      <w:r>
        <w:rPr>
          <w:rFonts w:hint="eastAsia" w:ascii="宋体" w:hAnsi="宋体" w:cs="宋体"/>
          <w:sz w:val="24"/>
          <w:szCs w:val="28"/>
        </w:rPr>
        <w:t>.</w:t>
      </w:r>
      <w:r>
        <w:rPr>
          <w:rFonts w:hint="eastAsia" w:ascii="宋体" w:hAnsi="宋体" w:cs="宋体"/>
          <w:sz w:val="24"/>
          <w:szCs w:val="28"/>
          <w:lang w:val="zh-CN"/>
        </w:rPr>
        <w:t>因重大变故，采购任务被取消的；</w:t>
      </w:r>
    </w:p>
    <w:p w14:paraId="511DB0E2">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4</w:t>
      </w:r>
      <w:r>
        <w:rPr>
          <w:rFonts w:hint="eastAsia" w:ascii="宋体" w:hAnsi="宋体" w:cs="宋体"/>
          <w:sz w:val="24"/>
          <w:szCs w:val="28"/>
        </w:rPr>
        <w:t>.</w:t>
      </w:r>
      <w:r>
        <w:rPr>
          <w:rFonts w:hint="eastAsia" w:ascii="宋体" w:hAnsi="宋体" w:cs="宋体"/>
          <w:sz w:val="24"/>
          <w:szCs w:val="28"/>
          <w:lang w:val="zh-CN"/>
        </w:rPr>
        <w:t>询价小组依据法律法规可以认定为废标的其他情况。</w:t>
      </w:r>
    </w:p>
    <w:p w14:paraId="294F9C9F">
      <w:pPr>
        <w:spacing w:after="0" w:line="360" w:lineRule="auto"/>
        <w:ind w:firstLine="482" w:firstLineChars="200"/>
        <w:jc w:val="both"/>
        <w:rPr>
          <w:rFonts w:hint="eastAsia" w:ascii="宋体" w:hAnsi="宋体" w:cs="宋体"/>
          <w:b/>
          <w:bCs/>
          <w:sz w:val="24"/>
          <w:szCs w:val="28"/>
          <w:lang w:val="zh-CN"/>
        </w:rPr>
      </w:pPr>
      <w:r>
        <w:rPr>
          <w:rFonts w:hint="eastAsia" w:ascii="宋体" w:hAnsi="宋体" w:cs="宋体"/>
          <w:b/>
          <w:bCs/>
          <w:sz w:val="24"/>
          <w:szCs w:val="28"/>
        </w:rPr>
        <w:t>十</w:t>
      </w:r>
      <w:r>
        <w:rPr>
          <w:rFonts w:hint="eastAsia" w:ascii="宋体" w:hAnsi="宋体" w:cs="宋体"/>
          <w:b/>
          <w:bCs/>
          <w:sz w:val="24"/>
          <w:szCs w:val="28"/>
          <w:lang w:val="zh-CN"/>
        </w:rPr>
        <w:t>、成交通知</w:t>
      </w:r>
    </w:p>
    <w:p w14:paraId="049937BD">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1</w:t>
      </w:r>
      <w:r>
        <w:rPr>
          <w:rFonts w:hint="eastAsia" w:ascii="宋体" w:hAnsi="宋体" w:cs="宋体"/>
          <w:sz w:val="24"/>
          <w:szCs w:val="28"/>
        </w:rPr>
        <w:t>.</w:t>
      </w:r>
      <w:r>
        <w:rPr>
          <w:rFonts w:hint="eastAsia" w:ascii="宋体" w:hAnsi="宋体" w:cs="宋体"/>
          <w:sz w:val="24"/>
          <w:szCs w:val="28"/>
          <w:lang w:val="zh-CN"/>
        </w:rPr>
        <w:t>采购人自成交人确定之日起2个工作日内在</w:t>
      </w:r>
      <w:r>
        <w:rPr>
          <w:rFonts w:hint="eastAsia" w:ascii="宋体" w:hAnsi="宋体" w:cs="宋体"/>
          <w:sz w:val="24"/>
          <w:szCs w:val="28"/>
        </w:rPr>
        <w:t>江苏商贸职业学院网站</w:t>
      </w:r>
      <w:r>
        <w:rPr>
          <w:rFonts w:hint="eastAsia" w:ascii="宋体" w:hAnsi="宋体" w:cs="宋体"/>
          <w:sz w:val="24"/>
          <w:szCs w:val="28"/>
          <w:lang w:val="zh-CN"/>
        </w:rPr>
        <w:t>上公告成交结果。</w:t>
      </w:r>
    </w:p>
    <w:p w14:paraId="791A31E7">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2</w:t>
      </w:r>
      <w:r>
        <w:rPr>
          <w:rFonts w:hint="eastAsia" w:ascii="宋体" w:hAnsi="宋体" w:cs="宋体"/>
          <w:sz w:val="24"/>
          <w:szCs w:val="28"/>
        </w:rPr>
        <w:t>.</w:t>
      </w:r>
      <w:r>
        <w:rPr>
          <w:rFonts w:hint="eastAsia" w:ascii="宋体" w:hAnsi="宋体" w:cs="宋体"/>
          <w:sz w:val="24"/>
          <w:szCs w:val="28"/>
          <w:lang w:val="zh-CN"/>
        </w:rPr>
        <w:t>成交公告期限为1个工作日，期限结束后向成交人发出《成交通知书》。</w:t>
      </w:r>
    </w:p>
    <w:p w14:paraId="792EEA1E">
      <w:pPr>
        <w:spacing w:after="0" w:line="360" w:lineRule="auto"/>
        <w:ind w:firstLine="480" w:firstLineChars="200"/>
        <w:jc w:val="both"/>
        <w:rPr>
          <w:rFonts w:hint="eastAsia" w:ascii="宋体" w:hAnsi="宋体" w:cs="宋体"/>
          <w:b/>
          <w:bCs/>
          <w:sz w:val="24"/>
          <w:szCs w:val="28"/>
        </w:rPr>
      </w:pPr>
      <w:r>
        <w:rPr>
          <w:rFonts w:hint="eastAsia" w:ascii="宋体" w:hAnsi="宋体" w:cs="宋体"/>
          <w:sz w:val="24"/>
          <w:szCs w:val="28"/>
          <w:lang w:val="zh-CN"/>
        </w:rPr>
        <w:t>3</w:t>
      </w:r>
      <w:r>
        <w:rPr>
          <w:rFonts w:hint="eastAsia" w:ascii="宋体" w:hAnsi="宋体" w:cs="宋体"/>
          <w:sz w:val="24"/>
          <w:szCs w:val="28"/>
        </w:rPr>
        <w:t>.</w:t>
      </w:r>
      <w:r>
        <w:rPr>
          <w:rFonts w:hint="eastAsia" w:ascii="宋体" w:hAnsi="宋体" w:cs="宋体"/>
          <w:sz w:val="24"/>
          <w:szCs w:val="28"/>
          <w:lang w:val="zh-CN"/>
        </w:rPr>
        <w:t>《成交通知书》一经发出，即具有法律效力。采购人、成交人依法承担法律责任。</w:t>
      </w:r>
    </w:p>
    <w:p w14:paraId="66C7E9EE">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4.当成交供应商无正当理由放弃成交，被查实存在影响成交结果的违法行为等情形，采购人有权按照相关法律法规的规定对其采取惩戒措施，包含但不限于列入采购失信人黑名单等措施。</w:t>
      </w:r>
    </w:p>
    <w:p w14:paraId="3D0EA2CE">
      <w:pPr>
        <w:spacing w:after="0" w:line="360" w:lineRule="auto"/>
        <w:ind w:firstLine="480" w:firstLineChars="200"/>
        <w:rPr>
          <w:rFonts w:hint="eastAsia" w:ascii="宋体" w:hAnsi="宋体" w:cs="宋体"/>
          <w:sz w:val="24"/>
          <w:szCs w:val="28"/>
        </w:rPr>
      </w:pPr>
      <w:r>
        <w:rPr>
          <w:rFonts w:hint="eastAsia" w:ascii="宋体" w:hAnsi="宋体" w:cs="宋体"/>
          <w:sz w:val="24"/>
          <w:szCs w:val="28"/>
        </w:rPr>
        <w:t>5.当成交供应商放弃成交、因不可抗力不能履行合同，或者被查实存在影响成交结果的违法行为等情形，不符合成交条件的，采购人可以按照询价小组提出的成交候选人名单排序依次确定其他成交候选人为成交人，也可以重新采购。</w:t>
      </w:r>
    </w:p>
    <w:p w14:paraId="2352B5C7">
      <w:pPr>
        <w:pStyle w:val="17"/>
        <w:spacing w:after="0" w:line="360" w:lineRule="auto"/>
        <w:ind w:left="0" w:leftChars="0" w:firstLine="482" w:firstLineChars="200"/>
        <w:rPr>
          <w:rFonts w:hint="eastAsia" w:ascii="宋体" w:hAnsi="宋体" w:cs="宋体"/>
          <w:b/>
          <w:bCs/>
          <w:sz w:val="24"/>
          <w:szCs w:val="24"/>
        </w:rPr>
      </w:pPr>
      <w:r>
        <w:rPr>
          <w:rFonts w:hint="eastAsia" w:ascii="宋体" w:hAnsi="宋体" w:cs="宋体"/>
          <w:b/>
          <w:bCs/>
          <w:sz w:val="24"/>
          <w:szCs w:val="24"/>
        </w:rPr>
        <w:t>十</w:t>
      </w:r>
      <w:r>
        <w:rPr>
          <w:rFonts w:hint="eastAsia" w:ascii="宋体" w:hAnsi="宋体" w:cs="宋体"/>
          <w:b/>
          <w:bCs/>
          <w:sz w:val="24"/>
          <w:szCs w:val="24"/>
          <w:lang w:val="en-US" w:eastAsia="zh-CN"/>
        </w:rPr>
        <w:t>一</w:t>
      </w:r>
      <w:r>
        <w:rPr>
          <w:rFonts w:hint="eastAsia" w:ascii="宋体" w:hAnsi="宋体" w:cs="宋体"/>
          <w:b/>
          <w:bCs/>
          <w:sz w:val="24"/>
          <w:szCs w:val="24"/>
        </w:rPr>
        <w:t>、授予合同</w:t>
      </w:r>
    </w:p>
    <w:p w14:paraId="6B9FE4E6">
      <w:pPr>
        <w:tabs>
          <w:tab w:val="left" w:pos="360"/>
        </w:tabs>
        <w:spacing w:after="0" w:line="360" w:lineRule="auto"/>
        <w:ind w:firstLine="480" w:firstLineChars="200"/>
        <w:rPr>
          <w:rFonts w:hint="eastAsia" w:ascii="宋体" w:hAnsi="宋体" w:cs="宋体"/>
          <w:sz w:val="24"/>
        </w:rPr>
      </w:pPr>
      <w:r>
        <w:rPr>
          <w:rFonts w:hint="eastAsia" w:ascii="宋体" w:hAnsi="宋体" w:cs="宋体"/>
          <w:sz w:val="24"/>
        </w:rPr>
        <w:t>1.签订合同</w:t>
      </w:r>
    </w:p>
    <w:p w14:paraId="1CF88665">
      <w:pPr>
        <w:tabs>
          <w:tab w:val="left" w:pos="360"/>
        </w:tabs>
        <w:spacing w:after="0" w:line="360" w:lineRule="auto"/>
        <w:ind w:firstLine="480" w:firstLineChars="200"/>
        <w:rPr>
          <w:rFonts w:hint="eastAsia" w:ascii="宋体" w:hAnsi="宋体" w:cs="宋体"/>
          <w:sz w:val="24"/>
        </w:rPr>
      </w:pPr>
      <w:r>
        <w:rPr>
          <w:rFonts w:hint="eastAsia" w:ascii="宋体" w:hAnsi="宋体" w:cs="宋体"/>
          <w:sz w:val="24"/>
        </w:rPr>
        <w:t xml:space="preserve">1.l成交人在《成交通知书》发出30日内必须按照采购文件确定的事项签订采购合同。采购人不得向成交人提出不合理的要求作为签订合同的条件，不得与成交人私下订立背离采购文件实质性内容的协议。  </w:t>
      </w:r>
    </w:p>
    <w:p w14:paraId="469A8265">
      <w:pPr>
        <w:tabs>
          <w:tab w:val="left" w:pos="360"/>
        </w:tabs>
        <w:spacing w:after="0"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采购人按合同约定积极配合成交人履约，成交人履约到位后，请以书面形式向采购人提出验收申请，采购人接到申请后原则上在5个工作日内及时组织相关专业技术人员，必要时邀请质检等部门共同参与验收，并出具验收报告。验收合格后，采购人凭收到货物或服务的验收凭证、验收合格文件等材料，且收到成交人提供发票的原则上15个工作日内支付相应款项。</w:t>
      </w:r>
    </w:p>
    <w:p w14:paraId="0070642D">
      <w:pPr>
        <w:tabs>
          <w:tab w:val="left" w:pos="360"/>
        </w:tabs>
        <w:spacing w:after="0" w:line="360" w:lineRule="auto"/>
        <w:ind w:firstLine="480" w:firstLineChars="200"/>
        <w:rPr>
          <w:rFonts w:hint="eastAsia" w:ascii="宋体" w:hAnsi="宋体" w:cs="宋体"/>
          <w:sz w:val="24"/>
        </w:rPr>
      </w:pPr>
      <w:r>
        <w:rPr>
          <w:rFonts w:hint="eastAsia" w:ascii="宋体" w:hAnsi="宋体" w:cs="宋体"/>
          <w:sz w:val="24"/>
        </w:rPr>
        <w:t>1.3采购人故意推迟项目验收时间的，与成交人串通或要求成交人降低服务标准的，在履行合同中采取更改条款、弄虚作假等手段的，要求成交人出具虚假发票或任意更改销售发票的，谋取不正当利益的，承担相应的法律责任。</w:t>
      </w:r>
    </w:p>
    <w:p w14:paraId="5A5EEA26">
      <w:pPr>
        <w:tabs>
          <w:tab w:val="left" w:pos="360"/>
        </w:tabs>
        <w:spacing w:after="0" w:line="360" w:lineRule="auto"/>
        <w:ind w:firstLine="480" w:firstLineChars="200"/>
        <w:rPr>
          <w:rFonts w:hint="eastAsia" w:ascii="宋体" w:hAnsi="宋体" w:cs="宋体"/>
          <w:sz w:val="24"/>
        </w:rPr>
      </w:pPr>
      <w:r>
        <w:rPr>
          <w:rFonts w:hint="eastAsia" w:ascii="宋体" w:hAnsi="宋体" w:cs="宋体"/>
          <w:sz w:val="24"/>
        </w:rPr>
        <w:t>1.4成交人出现违约情形，应当及时纠正或补偿；造成损失的，按合同约定追究违约责任；发现有假冒、伪劣、走私</w:t>
      </w:r>
      <w:r>
        <w:rPr>
          <w:rFonts w:hint="eastAsia" w:ascii="宋体" w:hAnsi="宋体" w:cs="宋体"/>
          <w:sz w:val="24"/>
          <w:lang w:eastAsia="zh-CN"/>
        </w:rPr>
        <w:t xml:space="preserve">货物 </w:t>
      </w:r>
      <w:r>
        <w:rPr>
          <w:rFonts w:hint="eastAsia" w:ascii="宋体" w:hAnsi="宋体" w:cs="宋体"/>
          <w:sz w:val="24"/>
        </w:rPr>
        <w:t>、商业贿赂等违法情形的，应由采购人移交工商、质监、公安等行政执法部门依法查处。</w:t>
      </w:r>
    </w:p>
    <w:p w14:paraId="2F0B3D8A">
      <w:pPr>
        <w:spacing w:after="0" w:line="360" w:lineRule="auto"/>
        <w:ind w:firstLine="484" w:firstLineChars="202"/>
        <w:rPr>
          <w:rFonts w:hint="eastAsia" w:ascii="宋体" w:hAnsi="宋体" w:cs="宋体"/>
          <w:sz w:val="24"/>
        </w:rPr>
      </w:pPr>
      <w:r>
        <w:rPr>
          <w:rFonts w:hint="eastAsia" w:ascii="宋体" w:hAnsi="宋体" w:cs="宋体"/>
          <w:sz w:val="24"/>
        </w:rPr>
        <w:t xml:space="preserve">1.5按采购合同约定支付的货款进行支付。 </w:t>
      </w:r>
    </w:p>
    <w:p w14:paraId="2DB7FC9F">
      <w:pPr>
        <w:spacing w:after="0" w:line="360" w:lineRule="auto"/>
        <w:ind w:firstLine="482" w:firstLineChars="200"/>
        <w:outlineLvl w:val="0"/>
        <w:rPr>
          <w:rFonts w:hint="eastAsia" w:ascii="宋体" w:hAnsi="宋体" w:cs="宋体"/>
          <w:b/>
          <w:sz w:val="24"/>
        </w:rPr>
      </w:pPr>
      <w:r>
        <w:rPr>
          <w:rFonts w:hint="eastAsia" w:ascii="宋体" w:hAnsi="宋体" w:cs="宋体"/>
          <w:b/>
          <w:bCs/>
          <w:sz w:val="24"/>
        </w:rPr>
        <w:t xml:space="preserve"> 十</w:t>
      </w:r>
      <w:r>
        <w:rPr>
          <w:rFonts w:hint="eastAsia" w:ascii="宋体" w:hAnsi="宋体" w:cs="宋体"/>
          <w:b/>
          <w:bCs/>
          <w:sz w:val="24"/>
          <w:lang w:val="en-US" w:eastAsia="zh-CN"/>
        </w:rPr>
        <w:t>二</w:t>
      </w:r>
      <w:r>
        <w:rPr>
          <w:rFonts w:hint="eastAsia" w:ascii="宋体" w:hAnsi="宋体" w:cs="宋体"/>
          <w:b/>
          <w:bCs/>
          <w:sz w:val="24"/>
        </w:rPr>
        <w:t>、</w:t>
      </w:r>
      <w:r>
        <w:rPr>
          <w:rFonts w:hint="eastAsia" w:ascii="宋体" w:hAnsi="宋体" w:cs="宋体"/>
          <w:b/>
          <w:sz w:val="24"/>
        </w:rPr>
        <w:t>其他</w:t>
      </w:r>
    </w:p>
    <w:p w14:paraId="04A3B97F">
      <w:pPr>
        <w:spacing w:after="0" w:line="360" w:lineRule="auto"/>
        <w:ind w:firstLine="480" w:firstLineChars="200"/>
        <w:contextualSpacing/>
        <w:rPr>
          <w:rFonts w:hint="eastAsia" w:ascii="宋体" w:hAnsi="宋体" w:cs="宋体"/>
          <w:b/>
          <w:sz w:val="24"/>
        </w:rPr>
      </w:pPr>
      <w:r>
        <w:rPr>
          <w:rFonts w:hint="eastAsia" w:ascii="宋体" w:hAnsi="宋体" w:cs="宋体"/>
          <w:sz w:val="24"/>
        </w:rPr>
        <w:t>1.供应商下载询价文件后，应仔细检查询价文件的所有内容，如有内容或页码残缺、资格要求和技术参数含有倾向性或排他性等表述的，</w:t>
      </w:r>
      <w:r>
        <w:rPr>
          <w:rFonts w:hint="eastAsia" w:ascii="宋体" w:hAnsi="宋体" w:cs="宋体"/>
          <w:b/>
          <w:sz w:val="24"/>
        </w:rPr>
        <w:t>请在</w:t>
      </w:r>
      <w:r>
        <w:rPr>
          <w:rFonts w:hint="eastAsia" w:ascii="宋体" w:hAnsi="宋体" w:cs="宋体"/>
          <w:b/>
          <w:bCs/>
          <w:sz w:val="24"/>
        </w:rPr>
        <w:t>询价文件发布后2日内</w:t>
      </w:r>
      <w:r>
        <w:rPr>
          <w:rFonts w:hint="eastAsia" w:ascii="宋体" w:hAnsi="宋体" w:cs="宋体"/>
          <w:b/>
          <w:sz w:val="24"/>
        </w:rPr>
        <w:t>，以书面形式提出询问或疑问，</w:t>
      </w:r>
      <w:r>
        <w:rPr>
          <w:rFonts w:hint="eastAsia" w:ascii="宋体" w:hAnsi="宋体" w:cs="宋体"/>
          <w:sz w:val="24"/>
        </w:rPr>
        <w:t>未在规定时间内提出询问或疑问的，视同供应商理解并接受本询价文件所有内容，并由此引起的损失自负。供应商不得在响应结束后针对询价文件所有内容提出质疑事项。</w:t>
      </w:r>
      <w:r>
        <w:rPr>
          <w:rFonts w:hint="eastAsia" w:ascii="宋体" w:hAnsi="宋体" w:cs="宋体"/>
          <w:b/>
          <w:sz w:val="24"/>
        </w:rPr>
        <w:t>非书面形式的不作为日后质疑提出的依据。</w:t>
      </w:r>
    </w:p>
    <w:p w14:paraId="0B9D5A83">
      <w:pPr>
        <w:spacing w:after="0" w:line="360" w:lineRule="auto"/>
        <w:ind w:firstLine="480" w:firstLineChars="200"/>
        <w:rPr>
          <w:rFonts w:hint="eastAsia" w:ascii="宋体" w:hAnsi="宋体" w:cs="宋体"/>
          <w:sz w:val="24"/>
        </w:rPr>
      </w:pPr>
      <w:r>
        <w:rPr>
          <w:rFonts w:hint="eastAsia" w:ascii="宋体" w:hAnsi="宋体" w:cs="宋体"/>
          <w:sz w:val="24"/>
        </w:rPr>
        <w:t>2.供应商应认真审阅询价文件中所有的事项、格式、条款和规范要求等，如果供应商没有按照询价文件要求提交响应文件，或者响应文件没有对询价文件做出实质性响应，其响应将被拒绝，应由供应商自行承担。</w:t>
      </w:r>
    </w:p>
    <w:p w14:paraId="1C4926B1">
      <w:pPr>
        <w:spacing w:after="0" w:line="360" w:lineRule="auto"/>
        <w:ind w:firstLine="480" w:firstLineChars="200"/>
        <w:rPr>
          <w:rFonts w:hint="eastAsia" w:ascii="宋体" w:hAnsi="宋体" w:cs="宋体"/>
          <w:sz w:val="24"/>
        </w:rPr>
      </w:pPr>
      <w:r>
        <w:rPr>
          <w:rFonts w:hint="eastAsia" w:ascii="宋体" w:hAnsi="宋体" w:cs="宋体"/>
          <w:sz w:val="24"/>
        </w:rPr>
        <w:t>3.采购单位可以对已发出的询价文件进行必要的澄清或者修改，澄清或者修改的内容作为询价文件的组成部分。澄清或者修改的内容可能影响响应文件编制的，采购单位应当在提交首次响应文件截止之日3个日前，以网上发布形式通知所有接收询价文件的供应服务商，且以在</w:t>
      </w:r>
      <w:r>
        <w:rPr>
          <w:rFonts w:hint="eastAsia" w:ascii="宋体"/>
          <w:sz w:val="24"/>
        </w:rPr>
        <w:t>“江苏商贸职业学院校园网（</w:t>
      </w:r>
      <w:r>
        <w:rPr>
          <w:rFonts w:ascii="宋体"/>
          <w:sz w:val="24"/>
        </w:rPr>
        <w:t>http://www.jsbc.edu.cn/</w:t>
      </w:r>
      <w:r>
        <w:rPr>
          <w:rFonts w:hint="eastAsia" w:ascii="宋体"/>
          <w:sz w:val="24"/>
        </w:rPr>
        <w:t>）</w:t>
      </w:r>
      <w:r>
        <w:rPr>
          <w:rFonts w:hint="eastAsia" w:ascii="宋体" w:hAnsi="宋体" w:cs="宋体"/>
          <w:sz w:val="24"/>
        </w:rPr>
        <w:t xml:space="preserve">发布的信息为准，不足3日的，应当顺延提交首次响应文件截止之日。 </w:t>
      </w:r>
    </w:p>
    <w:p w14:paraId="6457B658">
      <w:pPr>
        <w:spacing w:after="0" w:line="360" w:lineRule="auto"/>
        <w:ind w:firstLine="480" w:firstLineChars="200"/>
        <w:rPr>
          <w:rFonts w:hint="eastAsia" w:ascii="宋体" w:hAnsi="宋体" w:cs="宋体"/>
          <w:sz w:val="24"/>
        </w:rPr>
      </w:pPr>
      <w:r>
        <w:rPr>
          <w:rFonts w:hint="eastAsia" w:ascii="宋体" w:hAnsi="宋体" w:cs="宋体"/>
          <w:sz w:val="24"/>
        </w:rPr>
        <w:t>4.供应商由于对文件的任何推论和误解以及采购单位、采购单位对有关问题的口头解释所造成的后果，均由供应商自负。</w:t>
      </w:r>
    </w:p>
    <w:p w14:paraId="0F79175F">
      <w:pPr>
        <w:spacing w:after="0" w:line="360" w:lineRule="auto"/>
        <w:ind w:firstLine="480" w:firstLineChars="200"/>
        <w:outlineLvl w:val="1"/>
        <w:rPr>
          <w:rFonts w:hint="eastAsia" w:ascii="宋体" w:hAnsi="宋体" w:cs="宋体"/>
          <w:sz w:val="24"/>
        </w:rPr>
      </w:pPr>
      <w:r>
        <w:rPr>
          <w:rFonts w:hint="eastAsia" w:ascii="宋体" w:hAnsi="宋体" w:cs="宋体"/>
          <w:sz w:val="24"/>
        </w:rPr>
        <w:t>5.采购单位可视情组织答疑会。如有答疑且对询价文件内容有修改，采购人将按照本须知有关规定，以补充通知（公告）的方式发出。</w:t>
      </w:r>
    </w:p>
    <w:p w14:paraId="0A360D08">
      <w:pPr>
        <w:spacing w:after="0" w:line="360" w:lineRule="auto"/>
        <w:ind w:firstLine="482" w:firstLineChars="200"/>
        <w:outlineLvl w:val="1"/>
        <w:rPr>
          <w:rFonts w:hint="eastAsia" w:ascii="宋体" w:hAnsi="宋体" w:cs="宋体"/>
          <w:b/>
          <w:bCs/>
          <w:sz w:val="24"/>
        </w:rPr>
      </w:pPr>
      <w:r>
        <w:rPr>
          <w:rFonts w:hint="eastAsia" w:ascii="宋体" w:hAnsi="宋体" w:cs="宋体"/>
          <w:b/>
          <w:bCs/>
          <w:sz w:val="24"/>
        </w:rPr>
        <w:t>十</w:t>
      </w:r>
      <w:r>
        <w:rPr>
          <w:rFonts w:hint="eastAsia" w:ascii="宋体" w:hAnsi="宋体" w:cs="宋体"/>
          <w:b/>
          <w:bCs/>
          <w:sz w:val="24"/>
          <w:lang w:val="en-US" w:eastAsia="zh-CN"/>
        </w:rPr>
        <w:t>三</w:t>
      </w:r>
      <w:r>
        <w:rPr>
          <w:rFonts w:hint="eastAsia" w:ascii="宋体" w:hAnsi="宋体" w:cs="宋体"/>
          <w:b/>
          <w:bCs/>
          <w:sz w:val="24"/>
        </w:rPr>
        <w:t>、未尽事宜</w:t>
      </w:r>
    </w:p>
    <w:p w14:paraId="6ABCBDC4">
      <w:pPr>
        <w:pStyle w:val="16"/>
        <w:tabs>
          <w:tab w:val="left" w:pos="1050"/>
          <w:tab w:val="right" w:leader="dot" w:pos="9402"/>
        </w:tabs>
        <w:spacing w:line="360" w:lineRule="auto"/>
        <w:jc w:val="both"/>
        <w:outlineLvl w:val="0"/>
        <w:rPr>
          <w:rFonts w:hint="eastAsia" w:ascii="宋体" w:hAnsi="宋体" w:cs="宋体"/>
          <w:b/>
          <w:bCs/>
          <w:i w:val="0"/>
          <w:iCs/>
          <w:sz w:val="24"/>
          <w:szCs w:val="28"/>
        </w:rPr>
      </w:pPr>
      <w:r>
        <w:rPr>
          <w:rFonts w:hint="eastAsia" w:ascii="宋体" w:hAnsi="宋体" w:cs="宋体"/>
          <w:i w:val="0"/>
          <w:sz w:val="24"/>
          <w:szCs w:val="22"/>
        </w:rPr>
        <w:t>参照江苏商贸职业学院采购与招标管理内控制度规定执行。</w:t>
      </w:r>
      <w:r>
        <w:rPr>
          <w:rFonts w:hint="eastAsia" w:ascii="宋体" w:hAnsi="宋体" w:cs="宋体"/>
          <w:b/>
          <w:bCs/>
          <w:i w:val="0"/>
          <w:iCs/>
          <w:sz w:val="24"/>
          <w:szCs w:val="28"/>
        </w:rPr>
        <w:br w:type="page"/>
      </w:r>
    </w:p>
    <w:p w14:paraId="445251B4">
      <w:pPr>
        <w:pStyle w:val="16"/>
        <w:keepNext w:val="0"/>
        <w:keepLines w:val="0"/>
        <w:pageBreakBefore w:val="0"/>
        <w:widowControl/>
        <w:numPr>
          <w:ilvl w:val="0"/>
          <w:numId w:val="2"/>
        </w:numPr>
        <w:tabs>
          <w:tab w:val="left" w:pos="1050"/>
          <w:tab w:val="right" w:leader="dot" w:pos="9402"/>
        </w:tabs>
        <w:kinsoku/>
        <w:wordWrap/>
        <w:overflowPunct/>
        <w:topLinePunct w:val="0"/>
        <w:autoSpaceDE/>
        <w:autoSpaceDN/>
        <w:bidi w:val="0"/>
        <w:adjustRightInd w:val="0"/>
        <w:snapToGrid w:val="0"/>
        <w:spacing w:after="0" w:line="360" w:lineRule="auto"/>
        <w:ind w:left="0" w:firstLine="3373" w:firstLineChars="1400"/>
        <w:jc w:val="both"/>
        <w:textAlignment w:val="auto"/>
        <w:outlineLvl w:val="0"/>
        <w:rPr>
          <w:rFonts w:hint="eastAsia" w:ascii="宋体" w:hAnsi="宋体" w:cs="宋体"/>
          <w:b/>
          <w:bCs/>
          <w:i w:val="0"/>
          <w:sz w:val="24"/>
          <w:szCs w:val="24"/>
        </w:rPr>
      </w:pPr>
      <w:r>
        <w:rPr>
          <w:rFonts w:hint="eastAsia" w:ascii="宋体" w:hAnsi="宋体" w:cs="宋体"/>
          <w:b/>
          <w:bCs/>
          <w:sz w:val="24"/>
          <w:szCs w:val="24"/>
        </w:rPr>
        <w:t xml:space="preserve">  </w:t>
      </w:r>
      <w:r>
        <w:rPr>
          <w:rFonts w:hint="eastAsia" w:ascii="宋体" w:hAnsi="宋体" w:cs="宋体"/>
          <w:b/>
          <w:bCs/>
          <w:i w:val="0"/>
          <w:sz w:val="24"/>
          <w:szCs w:val="24"/>
        </w:rPr>
        <w:t>合同主要条款</w:t>
      </w:r>
    </w:p>
    <w:p w14:paraId="39BBB1AE">
      <w:pPr>
        <w:numPr>
          <w:ilvl w:val="0"/>
          <w:numId w:val="0"/>
        </w:numPr>
        <w:jc w:val="center"/>
        <w:rPr>
          <w:rFonts w:hint="eastAsia"/>
        </w:rPr>
      </w:pPr>
      <w:r>
        <w:rPr>
          <w:rFonts w:hint="eastAsia" w:ascii="宋体" w:hAnsi="宋体" w:cs="仿宋"/>
          <w:sz w:val="24"/>
        </w:rPr>
        <w:t>（下述为通用合同模板，最终以实际合同为准）</w:t>
      </w:r>
    </w:p>
    <w:p w14:paraId="21DE8832">
      <w:pPr>
        <w:pageBreakBefore w:val="0"/>
        <w:widowControl/>
        <w:kinsoku/>
        <w:wordWrap/>
        <w:overflowPunct/>
        <w:topLinePunct w:val="0"/>
        <w:autoSpaceDE/>
        <w:autoSpaceDN/>
        <w:bidi w:val="0"/>
        <w:adjustRightInd w:val="0"/>
        <w:snapToGrid w:val="0"/>
        <w:spacing w:after="0" w:line="360" w:lineRule="auto"/>
        <w:ind w:left="0" w:firstLine="482" w:firstLineChars="200"/>
        <w:jc w:val="center"/>
        <w:textAlignment w:val="auto"/>
        <w:rPr>
          <w:rFonts w:ascii="宋体" w:hAnsi="宋体" w:cs="宋体"/>
          <w:b/>
          <w:bCs/>
          <w:sz w:val="24"/>
        </w:rPr>
      </w:pPr>
      <w:r>
        <w:rPr>
          <w:rFonts w:hint="eastAsia" w:ascii="宋体" w:hAnsi="宋体" w:cs="宋体"/>
          <w:b/>
          <w:bCs/>
          <w:sz w:val="24"/>
        </w:rPr>
        <w:t>江苏商贸职业学院钢木书架采购项目(一)采购合同</w:t>
      </w:r>
    </w:p>
    <w:p w14:paraId="0E464286">
      <w:pPr>
        <w:pageBreakBefore w:val="0"/>
        <w:widowControl/>
        <w:kinsoku/>
        <w:wordWrap/>
        <w:overflowPunct/>
        <w:topLinePunct w:val="0"/>
        <w:autoSpaceDE/>
        <w:autoSpaceDN/>
        <w:bidi w:val="0"/>
        <w:adjustRightInd w:val="0"/>
        <w:snapToGrid w:val="0"/>
        <w:spacing w:after="0" w:line="360" w:lineRule="auto"/>
        <w:ind w:left="0" w:firstLine="480" w:firstLineChars="200"/>
        <w:jc w:val="center"/>
        <w:textAlignment w:val="auto"/>
        <w:rPr>
          <w:rFonts w:ascii="宋体" w:hAnsi="宋体" w:cs="宋体"/>
          <w:sz w:val="24"/>
        </w:rPr>
      </w:pPr>
      <w:r>
        <w:rPr>
          <w:rFonts w:hint="eastAsia" w:ascii="宋体" w:hAnsi="宋体" w:cs="宋体"/>
          <w:sz w:val="24"/>
        </w:rPr>
        <w:t xml:space="preserve">                         合同编号：</w:t>
      </w:r>
    </w:p>
    <w:p w14:paraId="6EAC8BB8">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sz w:val="24"/>
        </w:rPr>
      </w:pPr>
      <w:r>
        <w:rPr>
          <w:rFonts w:hint="eastAsia" w:ascii="宋体" w:hAnsi="宋体" w:cs="宋体"/>
          <w:sz w:val="24"/>
        </w:rPr>
        <w:t xml:space="preserve">甲方：  江苏商贸职业学院           </w:t>
      </w:r>
    </w:p>
    <w:p w14:paraId="28551B8C">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sz w:val="24"/>
        </w:rPr>
      </w:pPr>
      <w:r>
        <w:rPr>
          <w:rFonts w:hint="eastAsia" w:ascii="宋体" w:hAnsi="宋体" w:cs="宋体"/>
          <w:sz w:val="24"/>
        </w:rPr>
        <w:t xml:space="preserve">乙方：                            </w:t>
      </w:r>
    </w:p>
    <w:p w14:paraId="03F3D99F">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sz w:val="24"/>
        </w:rPr>
      </w:pPr>
      <w:r>
        <w:rPr>
          <w:rFonts w:hint="eastAsia" w:ascii="宋体" w:hAnsi="宋体" w:cs="宋体"/>
          <w:sz w:val="24"/>
        </w:rPr>
        <w:t>合同履约时间：   20  年 月  日至 20  年 月  日</w:t>
      </w:r>
    </w:p>
    <w:p w14:paraId="67B27D9A">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sz w:val="24"/>
        </w:rPr>
      </w:pPr>
      <w:r>
        <w:rPr>
          <w:rFonts w:hint="eastAsia" w:ascii="宋体" w:hAnsi="宋体" w:cs="宋体"/>
          <w:sz w:val="24"/>
        </w:rPr>
        <w:t xml:space="preserve">合同签订地点：   江苏省南通市江通路48号  </w:t>
      </w:r>
    </w:p>
    <w:p w14:paraId="23B88551">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sz w:val="24"/>
        </w:rPr>
      </w:pPr>
      <w:r>
        <w:rPr>
          <w:rFonts w:hint="eastAsia" w:ascii="宋体" w:hAnsi="宋体" w:cs="宋体"/>
          <w:sz w:val="24"/>
        </w:rPr>
        <w:t>根据《民法典》及</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)的采购评标结果、采购文件、</w:t>
      </w:r>
      <w:r>
        <w:rPr>
          <w:rFonts w:hint="eastAsia" w:ascii="宋体" w:hAnsi="宋体" w:cs="宋体"/>
          <w:sz w:val="24"/>
          <w:lang w:eastAsia="zh-CN"/>
        </w:rPr>
        <w:t>成交</w:t>
      </w:r>
      <w:r>
        <w:rPr>
          <w:rFonts w:hint="eastAsia" w:ascii="宋体" w:hAnsi="宋体" w:cs="宋体"/>
          <w:sz w:val="24"/>
        </w:rPr>
        <w:t>通知书及</w:t>
      </w:r>
      <w:r>
        <w:rPr>
          <w:rFonts w:hint="eastAsia" w:ascii="宋体" w:hAnsi="宋体" w:cs="宋体"/>
          <w:sz w:val="24"/>
          <w:lang w:eastAsia="zh-CN"/>
        </w:rPr>
        <w:t>成交</w:t>
      </w:r>
      <w:r>
        <w:rPr>
          <w:rFonts w:hint="eastAsia" w:ascii="宋体" w:hAnsi="宋体" w:cs="宋体"/>
          <w:sz w:val="24"/>
        </w:rPr>
        <w:t>人的</w:t>
      </w:r>
      <w:r>
        <w:rPr>
          <w:rFonts w:hint="eastAsia" w:ascii="宋体" w:hAnsi="宋体" w:cs="宋体"/>
          <w:sz w:val="24"/>
          <w:lang w:eastAsia="zh-CN"/>
        </w:rPr>
        <w:t>响应文件</w:t>
      </w:r>
      <w:r>
        <w:rPr>
          <w:rFonts w:hint="eastAsia" w:ascii="宋体" w:hAnsi="宋体" w:cs="宋体"/>
          <w:sz w:val="24"/>
        </w:rPr>
        <w:t>，乙方作为甲方的图书钢制书架供货方。为明确双方的权利、义务，现就图书书架采购的有关事项达成如下协议，以资共同遵守。</w:t>
      </w:r>
    </w:p>
    <w:p w14:paraId="56F9EA53">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sz w:val="24"/>
        </w:rPr>
      </w:pPr>
      <w:r>
        <w:rPr>
          <w:rFonts w:hint="eastAsia" w:ascii="宋体" w:hAnsi="宋体" w:cs="宋体"/>
          <w:sz w:val="24"/>
        </w:rPr>
        <w:t>一、</w:t>
      </w:r>
      <w:r>
        <w:rPr>
          <w:rFonts w:hint="eastAsia" w:ascii="宋体" w:hAnsi="宋体" w:cs="宋体"/>
          <w:b/>
          <w:bCs/>
          <w:sz w:val="24"/>
        </w:rPr>
        <w:t>合同标的</w:t>
      </w:r>
    </w:p>
    <w:tbl>
      <w:tblPr>
        <w:tblStyle w:val="27"/>
        <w:tblW w:w="494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856"/>
        <w:gridCol w:w="2651"/>
        <w:gridCol w:w="1508"/>
        <w:gridCol w:w="1437"/>
        <w:gridCol w:w="2054"/>
      </w:tblGrid>
      <w:tr w14:paraId="276EE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424" w:type="pct"/>
            <w:vAlign w:val="center"/>
          </w:tcPr>
          <w:p w14:paraId="3BDC79AA">
            <w:pPr>
              <w:pageBreakBefore w:val="0"/>
              <w:widowControl/>
              <w:kinsoku/>
              <w:wordWrap/>
              <w:overflowPunct/>
              <w:topLinePunct w:val="0"/>
              <w:autoSpaceDE/>
              <w:autoSpaceDN/>
              <w:bidi w:val="0"/>
              <w:adjustRightInd w:val="0"/>
              <w:snapToGrid w:val="0"/>
              <w:spacing w:after="0" w:line="360" w:lineRule="auto"/>
              <w:textAlignment w:val="auto"/>
              <w:rPr>
                <w:rFonts w:ascii="宋体" w:hAnsi="宋体" w:cs="宋体"/>
                <w:kern w:val="2"/>
                <w:sz w:val="24"/>
              </w:rPr>
            </w:pPr>
            <w:r>
              <w:rPr>
                <w:rFonts w:hint="eastAsia" w:ascii="宋体" w:hAnsi="宋体" w:cs="宋体"/>
                <w:kern w:val="2"/>
                <w:sz w:val="24"/>
              </w:rPr>
              <w:t>批次</w:t>
            </w:r>
          </w:p>
        </w:tc>
        <w:tc>
          <w:tcPr>
            <w:tcW w:w="460" w:type="pct"/>
            <w:vAlign w:val="center"/>
          </w:tcPr>
          <w:p w14:paraId="0816F08A">
            <w:pPr>
              <w:pageBreakBefore w:val="0"/>
              <w:widowControl/>
              <w:kinsoku/>
              <w:wordWrap/>
              <w:overflowPunct/>
              <w:topLinePunct w:val="0"/>
              <w:autoSpaceDE/>
              <w:autoSpaceDN/>
              <w:bidi w:val="0"/>
              <w:adjustRightInd w:val="0"/>
              <w:snapToGrid w:val="0"/>
              <w:spacing w:after="0" w:line="360" w:lineRule="auto"/>
              <w:jc w:val="left"/>
              <w:textAlignment w:val="auto"/>
              <w:rPr>
                <w:rFonts w:ascii="宋体" w:hAnsi="宋体" w:cs="宋体"/>
                <w:kern w:val="2"/>
                <w:sz w:val="24"/>
              </w:rPr>
            </w:pPr>
            <w:r>
              <w:rPr>
                <w:rFonts w:hint="eastAsia" w:ascii="宋体" w:hAnsi="宋体" w:cs="宋体"/>
                <w:kern w:val="2"/>
                <w:sz w:val="24"/>
              </w:rPr>
              <w:t>名称</w:t>
            </w:r>
          </w:p>
        </w:tc>
        <w:tc>
          <w:tcPr>
            <w:tcW w:w="1425" w:type="pct"/>
            <w:vAlign w:val="center"/>
          </w:tcPr>
          <w:p w14:paraId="576BD6D5">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kern w:val="2"/>
                <w:sz w:val="24"/>
              </w:rPr>
            </w:pPr>
            <w:r>
              <w:rPr>
                <w:rFonts w:hint="eastAsia" w:ascii="宋体" w:hAnsi="宋体" w:cs="宋体"/>
                <w:kern w:val="2"/>
                <w:sz w:val="24"/>
              </w:rPr>
              <w:t>规格配置</w:t>
            </w:r>
          </w:p>
        </w:tc>
        <w:tc>
          <w:tcPr>
            <w:tcW w:w="811" w:type="pct"/>
            <w:vAlign w:val="center"/>
          </w:tcPr>
          <w:p w14:paraId="58795655">
            <w:pPr>
              <w:pageBreakBefore w:val="0"/>
              <w:widowControl/>
              <w:kinsoku/>
              <w:wordWrap/>
              <w:overflowPunct/>
              <w:topLinePunct w:val="0"/>
              <w:autoSpaceDE/>
              <w:autoSpaceDN/>
              <w:bidi w:val="0"/>
              <w:adjustRightInd w:val="0"/>
              <w:snapToGrid w:val="0"/>
              <w:spacing w:after="0" w:line="360" w:lineRule="auto"/>
              <w:jc w:val="left"/>
              <w:textAlignment w:val="auto"/>
              <w:rPr>
                <w:rFonts w:ascii="宋体" w:hAnsi="宋体" w:cs="宋体"/>
                <w:kern w:val="2"/>
                <w:sz w:val="24"/>
              </w:rPr>
            </w:pPr>
            <w:r>
              <w:rPr>
                <w:rFonts w:hint="eastAsia" w:ascii="宋体" w:hAnsi="宋体" w:cs="宋体"/>
                <w:kern w:val="2"/>
                <w:sz w:val="24"/>
              </w:rPr>
              <w:t>数量（节）</w:t>
            </w:r>
          </w:p>
        </w:tc>
        <w:tc>
          <w:tcPr>
            <w:tcW w:w="773" w:type="pct"/>
            <w:vAlign w:val="center"/>
          </w:tcPr>
          <w:p w14:paraId="603EF6DF">
            <w:pPr>
              <w:pageBreakBefore w:val="0"/>
              <w:widowControl/>
              <w:kinsoku/>
              <w:wordWrap/>
              <w:overflowPunct/>
              <w:topLinePunct w:val="0"/>
              <w:autoSpaceDE/>
              <w:autoSpaceDN/>
              <w:bidi w:val="0"/>
              <w:adjustRightInd w:val="0"/>
              <w:snapToGrid w:val="0"/>
              <w:spacing w:after="0" w:line="360" w:lineRule="auto"/>
              <w:jc w:val="left"/>
              <w:textAlignment w:val="auto"/>
              <w:rPr>
                <w:rFonts w:ascii="宋体" w:hAnsi="宋体" w:cs="宋体"/>
                <w:kern w:val="2"/>
                <w:sz w:val="24"/>
              </w:rPr>
            </w:pPr>
            <w:r>
              <w:rPr>
                <w:rFonts w:hint="eastAsia" w:ascii="宋体" w:hAnsi="宋体" w:cs="宋体"/>
                <w:kern w:val="2"/>
                <w:sz w:val="24"/>
              </w:rPr>
              <w:t>均价</w:t>
            </w:r>
          </w:p>
          <w:p w14:paraId="4D277EB6">
            <w:pPr>
              <w:pageBreakBefore w:val="0"/>
              <w:widowControl/>
              <w:kinsoku/>
              <w:wordWrap/>
              <w:overflowPunct/>
              <w:topLinePunct w:val="0"/>
              <w:autoSpaceDE/>
              <w:autoSpaceDN/>
              <w:bidi w:val="0"/>
              <w:adjustRightInd w:val="0"/>
              <w:snapToGrid w:val="0"/>
              <w:spacing w:after="0" w:line="360" w:lineRule="auto"/>
              <w:jc w:val="left"/>
              <w:textAlignment w:val="auto"/>
              <w:rPr>
                <w:rFonts w:ascii="宋体" w:hAnsi="宋体" w:cs="宋体"/>
                <w:kern w:val="2"/>
                <w:sz w:val="24"/>
              </w:rPr>
            </w:pPr>
            <w:r>
              <w:rPr>
                <w:rFonts w:hint="eastAsia" w:ascii="宋体" w:hAnsi="宋体" w:cs="宋体"/>
                <w:kern w:val="2"/>
                <w:sz w:val="24"/>
              </w:rPr>
              <w:t>(万元/节)</w:t>
            </w:r>
          </w:p>
        </w:tc>
        <w:tc>
          <w:tcPr>
            <w:tcW w:w="1105" w:type="pct"/>
            <w:vAlign w:val="center"/>
          </w:tcPr>
          <w:p w14:paraId="0F20BF25">
            <w:pPr>
              <w:pageBreakBefore w:val="0"/>
              <w:widowControl/>
              <w:kinsoku/>
              <w:wordWrap/>
              <w:overflowPunct/>
              <w:topLinePunct w:val="0"/>
              <w:autoSpaceDE/>
              <w:autoSpaceDN/>
              <w:bidi w:val="0"/>
              <w:adjustRightInd w:val="0"/>
              <w:snapToGrid w:val="0"/>
              <w:spacing w:after="0" w:line="360" w:lineRule="auto"/>
              <w:jc w:val="left"/>
              <w:textAlignment w:val="auto"/>
              <w:rPr>
                <w:rFonts w:ascii="宋体" w:hAnsi="宋体" w:cs="宋体"/>
                <w:kern w:val="2"/>
                <w:sz w:val="24"/>
              </w:rPr>
            </w:pPr>
            <w:r>
              <w:rPr>
                <w:rFonts w:hint="eastAsia" w:ascii="宋体" w:hAnsi="宋体" w:cs="宋体"/>
                <w:kern w:val="2"/>
                <w:sz w:val="24"/>
              </w:rPr>
              <w:t>合同价款(万元)</w:t>
            </w:r>
          </w:p>
        </w:tc>
      </w:tr>
      <w:tr w14:paraId="4D700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24" w:type="pct"/>
            <w:vMerge w:val="restart"/>
            <w:vAlign w:val="center"/>
          </w:tcPr>
          <w:p w14:paraId="27A440BF">
            <w:pPr>
              <w:pageBreakBefore w:val="0"/>
              <w:widowControl/>
              <w:kinsoku/>
              <w:wordWrap/>
              <w:overflowPunct/>
              <w:topLinePunct w:val="0"/>
              <w:autoSpaceDE/>
              <w:autoSpaceDN/>
              <w:bidi w:val="0"/>
              <w:adjustRightInd w:val="0"/>
              <w:snapToGrid w:val="0"/>
              <w:spacing w:after="0" w:line="360" w:lineRule="auto"/>
              <w:jc w:val="left"/>
              <w:textAlignment w:val="auto"/>
              <w:rPr>
                <w:rFonts w:ascii="宋体" w:hAnsi="宋体" w:cs="宋体"/>
                <w:kern w:val="2"/>
                <w:sz w:val="24"/>
              </w:rPr>
            </w:pPr>
            <w:r>
              <w:rPr>
                <w:rFonts w:hint="eastAsia" w:ascii="宋体" w:hAnsi="宋体" w:cs="宋体"/>
                <w:kern w:val="2"/>
                <w:sz w:val="24"/>
              </w:rPr>
              <w:t>第一批</w:t>
            </w:r>
          </w:p>
        </w:tc>
        <w:tc>
          <w:tcPr>
            <w:tcW w:w="460" w:type="pct"/>
          </w:tcPr>
          <w:p w14:paraId="24035D4A">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kern w:val="2"/>
                <w:sz w:val="24"/>
              </w:rPr>
            </w:pPr>
          </w:p>
        </w:tc>
        <w:tc>
          <w:tcPr>
            <w:tcW w:w="1425" w:type="pct"/>
          </w:tcPr>
          <w:p w14:paraId="41A03121">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kern w:val="2"/>
                <w:sz w:val="24"/>
              </w:rPr>
            </w:pPr>
          </w:p>
        </w:tc>
        <w:tc>
          <w:tcPr>
            <w:tcW w:w="811" w:type="pct"/>
          </w:tcPr>
          <w:p w14:paraId="5E1EC9E5">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kern w:val="2"/>
                <w:sz w:val="24"/>
              </w:rPr>
            </w:pPr>
          </w:p>
        </w:tc>
        <w:tc>
          <w:tcPr>
            <w:tcW w:w="773" w:type="pct"/>
          </w:tcPr>
          <w:p w14:paraId="2BBB0BDA">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kern w:val="2"/>
                <w:sz w:val="24"/>
              </w:rPr>
            </w:pPr>
          </w:p>
        </w:tc>
        <w:tc>
          <w:tcPr>
            <w:tcW w:w="1105" w:type="pct"/>
          </w:tcPr>
          <w:p w14:paraId="6712D636">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kern w:val="2"/>
                <w:sz w:val="24"/>
              </w:rPr>
            </w:pPr>
          </w:p>
        </w:tc>
      </w:tr>
      <w:tr w14:paraId="4AF01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24" w:type="pct"/>
            <w:vMerge w:val="continue"/>
          </w:tcPr>
          <w:p w14:paraId="14B6B3E5">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kern w:val="2"/>
                <w:sz w:val="24"/>
              </w:rPr>
            </w:pPr>
          </w:p>
        </w:tc>
        <w:tc>
          <w:tcPr>
            <w:tcW w:w="460" w:type="pct"/>
          </w:tcPr>
          <w:p w14:paraId="58FEBFC6">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kern w:val="2"/>
                <w:sz w:val="24"/>
              </w:rPr>
            </w:pPr>
          </w:p>
        </w:tc>
        <w:tc>
          <w:tcPr>
            <w:tcW w:w="1425" w:type="pct"/>
          </w:tcPr>
          <w:p w14:paraId="4A1A7C14">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kern w:val="2"/>
                <w:sz w:val="24"/>
              </w:rPr>
            </w:pPr>
          </w:p>
        </w:tc>
        <w:tc>
          <w:tcPr>
            <w:tcW w:w="811" w:type="pct"/>
          </w:tcPr>
          <w:p w14:paraId="24A0ABEF">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kern w:val="2"/>
                <w:sz w:val="24"/>
              </w:rPr>
            </w:pPr>
          </w:p>
        </w:tc>
        <w:tc>
          <w:tcPr>
            <w:tcW w:w="773" w:type="pct"/>
          </w:tcPr>
          <w:p w14:paraId="1DEC9944">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kern w:val="2"/>
                <w:sz w:val="24"/>
              </w:rPr>
            </w:pPr>
          </w:p>
        </w:tc>
        <w:tc>
          <w:tcPr>
            <w:tcW w:w="1105" w:type="pct"/>
          </w:tcPr>
          <w:p w14:paraId="3CB09ACD">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kern w:val="2"/>
                <w:sz w:val="24"/>
              </w:rPr>
            </w:pPr>
          </w:p>
        </w:tc>
      </w:tr>
      <w:tr w14:paraId="41008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24" w:type="pct"/>
            <w:vMerge w:val="continue"/>
          </w:tcPr>
          <w:p w14:paraId="133A30FE">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kern w:val="2"/>
                <w:sz w:val="24"/>
              </w:rPr>
            </w:pPr>
          </w:p>
        </w:tc>
        <w:tc>
          <w:tcPr>
            <w:tcW w:w="460" w:type="pct"/>
          </w:tcPr>
          <w:p w14:paraId="7542F0A6">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kern w:val="2"/>
                <w:sz w:val="24"/>
              </w:rPr>
            </w:pPr>
          </w:p>
        </w:tc>
        <w:tc>
          <w:tcPr>
            <w:tcW w:w="1425" w:type="pct"/>
          </w:tcPr>
          <w:p w14:paraId="1A118B64">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kern w:val="2"/>
                <w:sz w:val="24"/>
              </w:rPr>
            </w:pPr>
          </w:p>
        </w:tc>
        <w:tc>
          <w:tcPr>
            <w:tcW w:w="811" w:type="pct"/>
          </w:tcPr>
          <w:p w14:paraId="67007EED">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kern w:val="2"/>
                <w:sz w:val="24"/>
              </w:rPr>
            </w:pPr>
          </w:p>
        </w:tc>
        <w:tc>
          <w:tcPr>
            <w:tcW w:w="773" w:type="pct"/>
          </w:tcPr>
          <w:p w14:paraId="29DB49CB">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kern w:val="2"/>
                <w:sz w:val="24"/>
              </w:rPr>
            </w:pPr>
          </w:p>
        </w:tc>
        <w:tc>
          <w:tcPr>
            <w:tcW w:w="1105" w:type="pct"/>
          </w:tcPr>
          <w:p w14:paraId="4B080CBF">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kern w:val="2"/>
                <w:sz w:val="24"/>
              </w:rPr>
            </w:pPr>
          </w:p>
        </w:tc>
      </w:tr>
      <w:tr w14:paraId="2ACAE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24" w:type="pct"/>
            <w:vMerge w:val="continue"/>
          </w:tcPr>
          <w:p w14:paraId="2126A845">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kern w:val="2"/>
                <w:sz w:val="24"/>
              </w:rPr>
            </w:pPr>
          </w:p>
        </w:tc>
        <w:tc>
          <w:tcPr>
            <w:tcW w:w="460" w:type="pct"/>
          </w:tcPr>
          <w:p w14:paraId="36B711E4">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kern w:val="2"/>
                <w:sz w:val="24"/>
              </w:rPr>
            </w:pPr>
          </w:p>
        </w:tc>
        <w:tc>
          <w:tcPr>
            <w:tcW w:w="1425" w:type="pct"/>
          </w:tcPr>
          <w:p w14:paraId="67356B60">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kern w:val="2"/>
                <w:sz w:val="24"/>
              </w:rPr>
            </w:pPr>
          </w:p>
        </w:tc>
        <w:tc>
          <w:tcPr>
            <w:tcW w:w="811" w:type="pct"/>
          </w:tcPr>
          <w:p w14:paraId="6FE7C7A0">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kern w:val="2"/>
                <w:sz w:val="24"/>
              </w:rPr>
            </w:pPr>
          </w:p>
        </w:tc>
        <w:tc>
          <w:tcPr>
            <w:tcW w:w="773" w:type="pct"/>
          </w:tcPr>
          <w:p w14:paraId="585E7A04">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kern w:val="2"/>
                <w:sz w:val="24"/>
              </w:rPr>
            </w:pPr>
          </w:p>
        </w:tc>
        <w:tc>
          <w:tcPr>
            <w:tcW w:w="1105" w:type="pct"/>
          </w:tcPr>
          <w:p w14:paraId="3AB322B2">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kern w:val="2"/>
                <w:sz w:val="24"/>
              </w:rPr>
            </w:pPr>
          </w:p>
        </w:tc>
      </w:tr>
      <w:tr w14:paraId="15DDD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24" w:type="pct"/>
            <w:vMerge w:val="continue"/>
          </w:tcPr>
          <w:p w14:paraId="0BD37800">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kern w:val="2"/>
                <w:sz w:val="24"/>
              </w:rPr>
            </w:pPr>
          </w:p>
        </w:tc>
        <w:tc>
          <w:tcPr>
            <w:tcW w:w="460" w:type="pct"/>
          </w:tcPr>
          <w:p w14:paraId="3F381372">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kern w:val="2"/>
                <w:sz w:val="24"/>
              </w:rPr>
            </w:pPr>
          </w:p>
        </w:tc>
        <w:tc>
          <w:tcPr>
            <w:tcW w:w="1425" w:type="pct"/>
          </w:tcPr>
          <w:p w14:paraId="363A1BC6">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kern w:val="2"/>
                <w:sz w:val="24"/>
              </w:rPr>
            </w:pPr>
          </w:p>
        </w:tc>
        <w:tc>
          <w:tcPr>
            <w:tcW w:w="811" w:type="pct"/>
          </w:tcPr>
          <w:p w14:paraId="2778F639">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kern w:val="2"/>
                <w:sz w:val="24"/>
              </w:rPr>
            </w:pPr>
          </w:p>
        </w:tc>
        <w:tc>
          <w:tcPr>
            <w:tcW w:w="773" w:type="pct"/>
          </w:tcPr>
          <w:p w14:paraId="3C9DDD8C">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kern w:val="2"/>
                <w:sz w:val="24"/>
              </w:rPr>
            </w:pPr>
          </w:p>
        </w:tc>
        <w:tc>
          <w:tcPr>
            <w:tcW w:w="1105" w:type="pct"/>
          </w:tcPr>
          <w:p w14:paraId="53818344">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kern w:val="2"/>
                <w:sz w:val="24"/>
              </w:rPr>
            </w:pPr>
          </w:p>
        </w:tc>
      </w:tr>
      <w:tr w14:paraId="775F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424" w:type="pct"/>
            <w:vMerge w:val="continue"/>
          </w:tcPr>
          <w:p w14:paraId="46C966EF">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kern w:val="2"/>
                <w:sz w:val="24"/>
              </w:rPr>
            </w:pPr>
          </w:p>
        </w:tc>
        <w:tc>
          <w:tcPr>
            <w:tcW w:w="460" w:type="pct"/>
          </w:tcPr>
          <w:p w14:paraId="79448A47">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kern w:val="2"/>
                <w:sz w:val="24"/>
              </w:rPr>
            </w:pPr>
          </w:p>
        </w:tc>
        <w:tc>
          <w:tcPr>
            <w:tcW w:w="1425" w:type="pct"/>
          </w:tcPr>
          <w:p w14:paraId="5C9E04C3">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kern w:val="2"/>
                <w:sz w:val="24"/>
              </w:rPr>
            </w:pPr>
          </w:p>
        </w:tc>
        <w:tc>
          <w:tcPr>
            <w:tcW w:w="811" w:type="pct"/>
          </w:tcPr>
          <w:p w14:paraId="589BAD92">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kern w:val="2"/>
                <w:sz w:val="24"/>
              </w:rPr>
            </w:pPr>
          </w:p>
        </w:tc>
        <w:tc>
          <w:tcPr>
            <w:tcW w:w="773" w:type="pct"/>
          </w:tcPr>
          <w:p w14:paraId="1FFF7DF9">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kern w:val="2"/>
                <w:sz w:val="24"/>
              </w:rPr>
            </w:pPr>
          </w:p>
        </w:tc>
        <w:tc>
          <w:tcPr>
            <w:tcW w:w="1105" w:type="pct"/>
          </w:tcPr>
          <w:p w14:paraId="791F938D">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kern w:val="2"/>
                <w:sz w:val="24"/>
              </w:rPr>
            </w:pPr>
          </w:p>
        </w:tc>
      </w:tr>
    </w:tbl>
    <w:p w14:paraId="351C502B">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sz w:val="24"/>
        </w:rPr>
      </w:pPr>
      <w:r>
        <w:rPr>
          <w:rFonts w:hint="eastAsia" w:ascii="宋体" w:hAnsi="宋体" w:cs="宋体"/>
          <w:sz w:val="24"/>
        </w:rPr>
        <w:t>注：以甲方图书书架拟采购批次清单中需求规格配置、数量，及乙方各批次</w:t>
      </w:r>
      <w:r>
        <w:rPr>
          <w:rFonts w:hint="eastAsia" w:ascii="宋体" w:hAnsi="宋体" w:cs="宋体"/>
          <w:sz w:val="24"/>
          <w:lang w:eastAsia="zh-CN"/>
        </w:rPr>
        <w:t>成交</w:t>
      </w:r>
      <w:r>
        <w:rPr>
          <w:rFonts w:hint="eastAsia" w:ascii="宋体" w:hAnsi="宋体" w:cs="宋体"/>
          <w:sz w:val="24"/>
        </w:rPr>
        <w:t>价为依据填写。</w:t>
      </w:r>
    </w:p>
    <w:p w14:paraId="0D191CBD">
      <w:pPr>
        <w:pageBreakBefore w:val="0"/>
        <w:widowControl/>
        <w:kinsoku/>
        <w:wordWrap/>
        <w:overflowPunct/>
        <w:topLinePunct w:val="0"/>
        <w:autoSpaceDE/>
        <w:autoSpaceDN/>
        <w:bidi w:val="0"/>
        <w:adjustRightInd w:val="0"/>
        <w:snapToGrid w:val="0"/>
        <w:spacing w:after="0" w:line="360" w:lineRule="auto"/>
        <w:ind w:left="0" w:firstLine="482" w:firstLineChars="200"/>
        <w:jc w:val="left"/>
        <w:textAlignment w:val="auto"/>
        <w:rPr>
          <w:rFonts w:ascii="宋体" w:hAnsi="宋体" w:cs="宋体"/>
          <w:sz w:val="24"/>
        </w:rPr>
      </w:pPr>
      <w:r>
        <w:rPr>
          <w:rFonts w:hint="eastAsia" w:ascii="宋体" w:hAnsi="宋体" w:cs="宋体"/>
          <w:b/>
          <w:bCs/>
          <w:sz w:val="24"/>
        </w:rPr>
        <w:t>二、合同总价款与履约保证金</w:t>
      </w:r>
    </w:p>
    <w:p w14:paraId="2C542F5E">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sz w:val="24"/>
        </w:rPr>
      </w:pPr>
      <w:r>
        <w:rPr>
          <w:rFonts w:hint="eastAsia" w:ascii="宋体" w:hAnsi="宋体" w:cs="宋体"/>
          <w:sz w:val="24"/>
        </w:rPr>
        <w:t>合同总价款，包括合同约定货物的制造、投运、安装、税费等全部费用，共计人民币(大写)：</w:t>
      </w:r>
      <w:r>
        <w:rPr>
          <w:rFonts w:hint="eastAsia" w:ascii="宋体" w:hAnsi="宋体" w:cs="宋体"/>
          <w:sz w:val="24"/>
          <w:u w:val="single"/>
        </w:rPr>
        <w:t xml:space="preserve">                      </w:t>
      </w:r>
      <w:r>
        <w:rPr>
          <w:rFonts w:hint="eastAsia" w:ascii="宋体" w:hAnsi="宋体" w:cs="宋体"/>
          <w:sz w:val="24"/>
        </w:rPr>
        <w:t>整。</w:t>
      </w:r>
    </w:p>
    <w:p w14:paraId="42B2FA51">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sz w:val="24"/>
        </w:rPr>
      </w:pPr>
      <w:r>
        <w:rPr>
          <w:rFonts w:hint="eastAsia" w:ascii="宋体" w:hAnsi="宋体" w:cs="宋体"/>
          <w:sz w:val="24"/>
        </w:rPr>
        <w:t>履约保证金：乙方按</w:t>
      </w:r>
      <w:r>
        <w:rPr>
          <w:rFonts w:hint="eastAsia" w:ascii="宋体" w:hAnsi="宋体" w:cs="宋体"/>
          <w:sz w:val="24"/>
          <w:lang w:eastAsia="zh-CN"/>
        </w:rPr>
        <w:t>成交</w:t>
      </w:r>
      <w:r>
        <w:rPr>
          <w:rFonts w:hint="eastAsia" w:ascii="宋体" w:hAnsi="宋体" w:cs="宋体"/>
          <w:sz w:val="24"/>
        </w:rPr>
        <w:t>金额的10%向甲方缴纳本项目的履约保证金，计入民币(大写)</w:t>
      </w:r>
      <w:r>
        <w:rPr>
          <w:rFonts w:hint="eastAsia" w:ascii="宋体" w:hAnsi="宋体" w:cs="宋体"/>
          <w:sz w:val="24"/>
          <w:u w:val="single"/>
        </w:rPr>
        <w:t xml:space="preserve">             </w:t>
      </w:r>
      <w:r>
        <w:rPr>
          <w:rFonts w:hint="eastAsia" w:ascii="宋体" w:hAnsi="宋体" w:cs="宋体"/>
          <w:sz w:val="24"/>
        </w:rPr>
        <w:t>整。</w:t>
      </w:r>
    </w:p>
    <w:p w14:paraId="50567635">
      <w:pPr>
        <w:pageBreakBefore w:val="0"/>
        <w:widowControl/>
        <w:kinsoku/>
        <w:wordWrap/>
        <w:overflowPunct/>
        <w:topLinePunct w:val="0"/>
        <w:autoSpaceDE/>
        <w:autoSpaceDN/>
        <w:bidi w:val="0"/>
        <w:adjustRightInd w:val="0"/>
        <w:snapToGrid w:val="0"/>
        <w:spacing w:after="0" w:line="360" w:lineRule="auto"/>
        <w:ind w:left="0" w:firstLine="482" w:firstLineChars="200"/>
        <w:jc w:val="left"/>
        <w:textAlignment w:val="auto"/>
        <w:rPr>
          <w:rFonts w:ascii="宋体" w:hAnsi="宋体" w:cs="宋体"/>
          <w:sz w:val="24"/>
        </w:rPr>
      </w:pPr>
      <w:r>
        <w:rPr>
          <w:rFonts w:hint="eastAsia" w:ascii="宋体" w:hAnsi="宋体" w:cs="宋体"/>
          <w:b/>
          <w:bCs/>
          <w:sz w:val="24"/>
        </w:rPr>
        <w:t>三、付款与结算事宜</w:t>
      </w:r>
    </w:p>
    <w:p w14:paraId="730B1E38">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乙方</w:t>
      </w:r>
      <w:r>
        <w:rPr>
          <w:rFonts w:hint="eastAsia" w:ascii="宋体" w:hAnsi="宋体" w:cs="宋体"/>
          <w:color w:val="auto"/>
          <w:sz w:val="24"/>
        </w:rPr>
        <w:t>交付货物</w:t>
      </w:r>
      <w:r>
        <w:rPr>
          <w:rFonts w:hint="eastAsia" w:ascii="宋体" w:hAnsi="宋体" w:cs="宋体"/>
          <w:color w:val="auto"/>
          <w:sz w:val="24"/>
          <w:lang w:val="en-US" w:eastAsia="zh-CN"/>
        </w:rPr>
        <w:t>齐全、提交书面验收申请、经</w:t>
      </w:r>
      <w:r>
        <w:rPr>
          <w:rFonts w:hint="eastAsia" w:ascii="宋体" w:hAnsi="宋体" w:cs="宋体"/>
          <w:color w:val="auto"/>
          <w:sz w:val="24"/>
        </w:rPr>
        <w:t>学校验收合格，且</w:t>
      </w:r>
      <w:r>
        <w:rPr>
          <w:rFonts w:hint="eastAsia" w:ascii="宋体" w:hAnsi="宋体" w:cs="宋体"/>
          <w:color w:val="auto"/>
          <w:sz w:val="24"/>
          <w:lang w:val="en-US" w:eastAsia="zh-CN"/>
        </w:rPr>
        <w:t>乙方</w:t>
      </w:r>
      <w:r>
        <w:rPr>
          <w:rFonts w:hint="eastAsia" w:ascii="宋体" w:hAnsi="宋体" w:cs="宋体"/>
          <w:color w:val="auto"/>
          <w:sz w:val="24"/>
        </w:rPr>
        <w:t>完成全部</w:t>
      </w:r>
      <w:r>
        <w:rPr>
          <w:rFonts w:hint="eastAsia" w:ascii="宋体" w:hAnsi="宋体" w:cs="宋体"/>
          <w:color w:val="auto"/>
          <w:sz w:val="24"/>
          <w:lang w:val="en-US" w:eastAsia="zh-CN"/>
        </w:rPr>
        <w:t>货物</w:t>
      </w:r>
      <w:r>
        <w:rPr>
          <w:rFonts w:hint="eastAsia" w:ascii="宋体" w:hAnsi="宋体" w:cs="宋体"/>
          <w:color w:val="auto"/>
          <w:sz w:val="24"/>
        </w:rPr>
        <w:t>安装</w:t>
      </w:r>
      <w:r>
        <w:rPr>
          <w:rFonts w:hint="eastAsia" w:ascii="宋体" w:hAnsi="宋体" w:cs="宋体"/>
          <w:color w:val="auto"/>
          <w:sz w:val="24"/>
          <w:lang w:val="en-US" w:eastAsia="zh-CN"/>
        </w:rPr>
        <w:t>后</w:t>
      </w:r>
      <w:r>
        <w:rPr>
          <w:rFonts w:hint="eastAsia" w:ascii="宋体" w:hAnsi="宋体" w:cs="宋体"/>
          <w:color w:val="auto"/>
          <w:sz w:val="24"/>
        </w:rPr>
        <w:t>，甲方通知乙方开具正式发票，</w:t>
      </w:r>
      <w:r>
        <w:rPr>
          <w:rFonts w:hint="eastAsia" w:ascii="宋体" w:hAnsi="宋体" w:cs="宋体"/>
          <w:color w:val="auto"/>
          <w:sz w:val="24"/>
          <w:lang w:val="en-US" w:eastAsia="zh-CN"/>
        </w:rPr>
        <w:t>在15个工作日内</w:t>
      </w:r>
      <w:r>
        <w:rPr>
          <w:rFonts w:hint="eastAsia" w:ascii="宋体" w:hAnsi="宋体" w:cs="宋体"/>
          <w:color w:val="auto"/>
          <w:sz w:val="24"/>
        </w:rPr>
        <w:t>甲方</w:t>
      </w:r>
      <w:r>
        <w:rPr>
          <w:rFonts w:hint="eastAsia" w:ascii="宋体" w:hAnsi="宋体" w:cs="宋体"/>
          <w:color w:val="auto"/>
          <w:sz w:val="24"/>
          <w:lang w:val="en-US" w:eastAsia="zh-CN"/>
        </w:rPr>
        <w:t>按实结算、</w:t>
      </w:r>
      <w:r>
        <w:rPr>
          <w:rFonts w:hint="eastAsia" w:ascii="宋体" w:hAnsi="宋体" w:cs="宋体"/>
          <w:color w:val="auto"/>
          <w:sz w:val="24"/>
        </w:rPr>
        <w:t>付清合同</w:t>
      </w:r>
      <w:r>
        <w:rPr>
          <w:rFonts w:hint="eastAsia" w:ascii="宋体" w:hAnsi="宋体" w:cs="宋体"/>
          <w:color w:val="auto"/>
          <w:sz w:val="24"/>
          <w:lang w:val="en-US" w:eastAsia="zh-CN"/>
        </w:rPr>
        <w:t>货款</w:t>
      </w:r>
      <w:r>
        <w:rPr>
          <w:rFonts w:hint="eastAsia" w:ascii="宋体" w:hAnsi="宋体" w:cs="宋体"/>
          <w:color w:val="auto"/>
          <w:sz w:val="24"/>
        </w:rPr>
        <w:t>。</w:t>
      </w:r>
    </w:p>
    <w:p w14:paraId="6BF27FB0">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sz w:val="24"/>
        </w:rPr>
      </w:pPr>
      <w:r>
        <w:rPr>
          <w:rFonts w:hint="eastAsia" w:ascii="宋体" w:hAnsi="宋体" w:cs="宋体"/>
          <w:color w:val="auto"/>
          <w:sz w:val="24"/>
          <w:lang w:val="en-US" w:eastAsia="zh-CN"/>
        </w:rPr>
        <w:t>2</w:t>
      </w:r>
      <w:r>
        <w:rPr>
          <w:rFonts w:hint="eastAsia" w:ascii="宋体" w:hAnsi="宋体" w:cs="宋体"/>
          <w:color w:val="auto"/>
          <w:sz w:val="24"/>
        </w:rPr>
        <w:t>.</w:t>
      </w:r>
      <w:r>
        <w:rPr>
          <w:rFonts w:hint="eastAsia" w:ascii="宋体" w:hAnsi="宋体" w:cs="宋体"/>
          <w:sz w:val="24"/>
        </w:rPr>
        <w:t>履约保证金，</w:t>
      </w:r>
      <w:r>
        <w:rPr>
          <w:rFonts w:hint="eastAsia" w:ascii="宋体" w:hAnsi="宋体" w:cs="宋体"/>
          <w:color w:val="auto"/>
          <w:sz w:val="24"/>
        </w:rPr>
        <w:t>乙方按合同要求履行完毕，</w:t>
      </w:r>
      <w:r>
        <w:rPr>
          <w:rFonts w:hint="eastAsia" w:ascii="宋体" w:hAnsi="宋体" w:cs="宋体"/>
          <w:sz w:val="24"/>
        </w:rPr>
        <w:t>无任何违约问题，甲方凭乙方提交的申请，一次性无息退还履约保证金</w:t>
      </w:r>
      <w:r>
        <w:rPr>
          <w:rFonts w:hint="eastAsia" w:ascii="宋体" w:hAnsi="宋体" w:cs="宋体"/>
          <w:color w:val="auto"/>
          <w:sz w:val="24"/>
          <w:lang w:eastAsia="zh-CN"/>
        </w:rPr>
        <w:t>。</w:t>
      </w:r>
    </w:p>
    <w:p w14:paraId="560202D2">
      <w:pPr>
        <w:pageBreakBefore w:val="0"/>
        <w:widowControl/>
        <w:kinsoku/>
        <w:wordWrap/>
        <w:overflowPunct/>
        <w:topLinePunct w:val="0"/>
        <w:autoSpaceDE/>
        <w:autoSpaceDN/>
        <w:bidi w:val="0"/>
        <w:adjustRightInd w:val="0"/>
        <w:snapToGrid w:val="0"/>
        <w:spacing w:after="0" w:line="360" w:lineRule="auto"/>
        <w:ind w:left="0" w:firstLine="482" w:firstLineChars="200"/>
        <w:jc w:val="left"/>
        <w:textAlignment w:val="auto"/>
        <w:rPr>
          <w:rFonts w:ascii="宋体" w:hAnsi="宋体" w:cs="宋体"/>
          <w:b/>
          <w:bCs/>
          <w:sz w:val="24"/>
        </w:rPr>
      </w:pPr>
      <w:r>
        <w:rPr>
          <w:rFonts w:hint="eastAsia" w:ascii="宋体" w:hAnsi="宋体" w:cs="宋体"/>
          <w:b/>
          <w:bCs/>
          <w:sz w:val="24"/>
        </w:rPr>
        <w:t>四、架体主材要求</w:t>
      </w:r>
    </w:p>
    <w:p w14:paraId="0ADA4CDF">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sz w:val="24"/>
        </w:rPr>
      </w:pPr>
      <w:r>
        <w:rPr>
          <w:rFonts w:hint="eastAsia" w:ascii="宋体" w:hAnsi="宋体" w:cs="宋体"/>
          <w:sz w:val="24"/>
        </w:rPr>
        <w:t>立柱裸板δ=</w:t>
      </w:r>
      <w:r>
        <w:rPr>
          <w:rFonts w:hint="eastAsia" w:ascii="宋体" w:hAnsi="宋体" w:cs="宋体"/>
          <w:sz w:val="24"/>
          <w:u w:val="single"/>
        </w:rPr>
        <w:t xml:space="preserve">   </w:t>
      </w:r>
      <w:r>
        <w:rPr>
          <w:rFonts w:hint="eastAsia" w:ascii="宋体" w:hAnsi="宋体" w:cs="宋体"/>
          <w:sz w:val="24"/>
        </w:rPr>
        <w:t>mm，底座裸板δ=</w:t>
      </w:r>
      <w:r>
        <w:rPr>
          <w:rFonts w:hint="eastAsia" w:ascii="宋体" w:hAnsi="宋体" w:cs="宋体"/>
          <w:sz w:val="24"/>
          <w:u w:val="single"/>
        </w:rPr>
        <w:t xml:space="preserve">   </w:t>
      </w:r>
      <w:r>
        <w:rPr>
          <w:rFonts w:hint="eastAsia" w:ascii="宋体" w:hAnsi="宋体" w:cs="宋体"/>
          <w:sz w:val="24"/>
        </w:rPr>
        <w:t>mm，顶板裸板δ=</w:t>
      </w:r>
      <w:r>
        <w:rPr>
          <w:rFonts w:hint="eastAsia" w:ascii="宋体" w:hAnsi="宋体" w:cs="宋体"/>
          <w:sz w:val="24"/>
          <w:u w:val="single"/>
        </w:rPr>
        <w:t xml:space="preserve">   </w:t>
      </w:r>
      <w:r>
        <w:rPr>
          <w:rFonts w:hint="eastAsia" w:ascii="宋体" w:hAnsi="宋体" w:cs="宋体"/>
          <w:sz w:val="24"/>
        </w:rPr>
        <w:t>mm，搁板裸板δ=</w:t>
      </w:r>
      <w:r>
        <w:rPr>
          <w:rFonts w:hint="eastAsia" w:ascii="宋体" w:hAnsi="宋体" w:cs="宋体"/>
          <w:sz w:val="24"/>
          <w:u w:val="single"/>
        </w:rPr>
        <w:t xml:space="preserve">   </w:t>
      </w:r>
      <w:r>
        <w:rPr>
          <w:rFonts w:hint="eastAsia" w:ascii="宋体" w:hAnsi="宋体" w:cs="宋体"/>
          <w:sz w:val="24"/>
        </w:rPr>
        <w:t>mm，挂板裸板δ=</w:t>
      </w:r>
      <w:r>
        <w:rPr>
          <w:rFonts w:hint="eastAsia" w:ascii="宋体" w:hAnsi="宋体" w:cs="宋体"/>
          <w:sz w:val="24"/>
          <w:u w:val="single"/>
        </w:rPr>
        <w:t xml:space="preserve">   </w:t>
      </w:r>
      <w:r>
        <w:rPr>
          <w:rFonts w:hint="eastAsia" w:ascii="宋体" w:hAnsi="宋体" w:cs="宋体"/>
          <w:sz w:val="24"/>
        </w:rPr>
        <w:t>mm，侧板裸板δ=</w:t>
      </w:r>
      <w:r>
        <w:rPr>
          <w:rFonts w:hint="eastAsia" w:ascii="宋体" w:hAnsi="宋体" w:cs="宋体"/>
          <w:sz w:val="24"/>
          <w:u w:val="single"/>
        </w:rPr>
        <w:t xml:space="preserve">   </w:t>
      </w:r>
      <w:r>
        <w:rPr>
          <w:rFonts w:hint="eastAsia" w:ascii="宋体" w:hAnsi="宋体" w:cs="宋体"/>
          <w:sz w:val="24"/>
        </w:rPr>
        <w:t>mm，挡书板裸板δ=</w:t>
      </w:r>
      <w:r>
        <w:rPr>
          <w:rFonts w:hint="eastAsia" w:ascii="宋体" w:hAnsi="宋体" w:cs="宋体"/>
          <w:sz w:val="24"/>
          <w:u w:val="single"/>
        </w:rPr>
        <w:t xml:space="preserve">   </w:t>
      </w:r>
      <w:r>
        <w:rPr>
          <w:rFonts w:hint="eastAsia" w:ascii="宋体" w:hAnsi="宋体" w:cs="宋体"/>
          <w:sz w:val="24"/>
        </w:rPr>
        <w:t>mm。</w:t>
      </w:r>
    </w:p>
    <w:p w14:paraId="2D850827">
      <w:pPr>
        <w:pageBreakBefore w:val="0"/>
        <w:widowControl/>
        <w:kinsoku/>
        <w:wordWrap/>
        <w:overflowPunct/>
        <w:topLinePunct w:val="0"/>
        <w:autoSpaceDE/>
        <w:autoSpaceDN/>
        <w:bidi w:val="0"/>
        <w:adjustRightInd w:val="0"/>
        <w:snapToGrid w:val="0"/>
        <w:spacing w:after="0" w:line="360" w:lineRule="auto"/>
        <w:ind w:left="0" w:firstLine="482" w:firstLineChars="200"/>
        <w:jc w:val="left"/>
        <w:textAlignment w:val="auto"/>
        <w:rPr>
          <w:rFonts w:ascii="宋体" w:hAnsi="宋体" w:cs="宋体"/>
          <w:sz w:val="24"/>
        </w:rPr>
      </w:pPr>
      <w:r>
        <w:rPr>
          <w:rFonts w:hint="eastAsia" w:ascii="宋体" w:hAnsi="宋体" w:cs="宋体"/>
          <w:b/>
          <w:bCs/>
          <w:sz w:val="24"/>
        </w:rPr>
        <w:t>五、货物交付时间与地点</w:t>
      </w:r>
    </w:p>
    <w:p w14:paraId="411AF1F0">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sz w:val="24"/>
        </w:rPr>
      </w:pPr>
      <w:r>
        <w:rPr>
          <w:rFonts w:hint="eastAsia" w:ascii="宋体" w:hAnsi="宋体" w:cs="宋体"/>
          <w:sz w:val="24"/>
        </w:rPr>
        <w:t>1.交付时间：合同签订后</w:t>
      </w:r>
      <w:r>
        <w:rPr>
          <w:rFonts w:hint="eastAsia" w:ascii="宋体" w:hAnsi="宋体" w:cs="宋体"/>
          <w:sz w:val="24"/>
          <w:u w:val="single"/>
        </w:rPr>
        <w:t xml:space="preserve">   </w:t>
      </w:r>
      <w:r>
        <w:rPr>
          <w:rFonts w:hint="eastAsia" w:ascii="宋体" w:hAnsi="宋体" w:cs="宋体"/>
          <w:sz w:val="24"/>
        </w:rPr>
        <w:t>个日历天内交货，交货之日起</w:t>
      </w:r>
      <w:r>
        <w:rPr>
          <w:rFonts w:hint="eastAsia" w:ascii="宋体" w:hAnsi="宋体" w:cs="宋体"/>
          <w:sz w:val="24"/>
          <w:u w:val="single"/>
        </w:rPr>
        <w:t xml:space="preserve">  </w:t>
      </w:r>
      <w:r>
        <w:rPr>
          <w:rFonts w:hint="eastAsia" w:ascii="宋体" w:hAnsi="宋体" w:cs="宋体"/>
          <w:sz w:val="24"/>
        </w:rPr>
        <w:t>个日历天内完成安装调试。</w:t>
      </w:r>
    </w:p>
    <w:p w14:paraId="50DAAFCA">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sz w:val="24"/>
        </w:rPr>
      </w:pPr>
      <w:r>
        <w:rPr>
          <w:rFonts w:hint="eastAsia" w:ascii="宋体" w:hAnsi="宋体" w:cs="宋体"/>
          <w:sz w:val="24"/>
        </w:rPr>
        <w:t xml:space="preserve">  2.交付地点：江苏商贸职业学院图书信息与大数据管理中心。</w:t>
      </w:r>
    </w:p>
    <w:p w14:paraId="7A3C5881">
      <w:pPr>
        <w:pageBreakBefore w:val="0"/>
        <w:widowControl/>
        <w:kinsoku/>
        <w:wordWrap/>
        <w:overflowPunct/>
        <w:topLinePunct w:val="0"/>
        <w:autoSpaceDE/>
        <w:autoSpaceDN/>
        <w:bidi w:val="0"/>
        <w:adjustRightInd w:val="0"/>
        <w:snapToGrid w:val="0"/>
        <w:spacing w:after="0" w:line="360" w:lineRule="auto"/>
        <w:ind w:left="0" w:firstLine="482" w:firstLineChars="200"/>
        <w:jc w:val="left"/>
        <w:textAlignment w:val="auto"/>
        <w:rPr>
          <w:rFonts w:ascii="宋体" w:hAnsi="宋体" w:cs="宋体"/>
          <w:b/>
          <w:bCs/>
          <w:sz w:val="24"/>
        </w:rPr>
      </w:pPr>
      <w:r>
        <w:rPr>
          <w:rFonts w:hint="eastAsia" w:ascii="宋体" w:hAnsi="宋体" w:cs="宋体"/>
          <w:b/>
          <w:bCs/>
          <w:sz w:val="24"/>
        </w:rPr>
        <w:t>六、货物验收</w:t>
      </w:r>
    </w:p>
    <w:p w14:paraId="79A06A0B">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sz w:val="24"/>
        </w:rPr>
      </w:pPr>
      <w:r>
        <w:rPr>
          <w:rFonts w:hint="eastAsia" w:ascii="宋体" w:hAnsi="宋体" w:cs="宋体"/>
          <w:sz w:val="24"/>
        </w:rPr>
        <w:t>1.货物运到交货地点后，甲方即派人验货，验货合格后方可开始安装。</w:t>
      </w:r>
    </w:p>
    <w:p w14:paraId="28D3A30D">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sz w:val="24"/>
        </w:rPr>
      </w:pPr>
      <w:r>
        <w:rPr>
          <w:rFonts w:hint="eastAsia" w:ascii="宋体" w:hAnsi="宋体" w:cs="宋体"/>
          <w:sz w:val="24"/>
        </w:rPr>
        <w:t>2.货物安装调试完毕后</w:t>
      </w:r>
      <w:r>
        <w:rPr>
          <w:rFonts w:hint="eastAsia" w:ascii="宋体" w:hAnsi="宋体" w:cs="宋体"/>
          <w:sz w:val="24"/>
          <w:u w:val="single"/>
        </w:rPr>
        <w:t xml:space="preserve">    </w:t>
      </w:r>
      <w:r>
        <w:rPr>
          <w:rFonts w:hint="eastAsia" w:ascii="宋体" w:hAnsi="宋体" w:cs="宋体"/>
          <w:sz w:val="24"/>
        </w:rPr>
        <w:t>工作日内甲方组织人员进行验收，若遇验收不合格的情形，由乙方负责整改，直至全部合格。</w:t>
      </w:r>
    </w:p>
    <w:p w14:paraId="42EDE835">
      <w:pPr>
        <w:pStyle w:val="3"/>
        <w:pageBreakBefore w:val="0"/>
        <w:widowControl/>
        <w:kinsoku/>
        <w:wordWrap/>
        <w:overflowPunct/>
        <w:topLinePunct w:val="0"/>
        <w:autoSpaceDE/>
        <w:autoSpaceDN/>
        <w:bidi w:val="0"/>
        <w:adjustRightInd w:val="0"/>
        <w:snapToGrid w:val="0"/>
        <w:spacing w:before="0" w:after="0" w:line="360" w:lineRule="auto"/>
        <w:ind w:left="0" w:firstLine="482" w:firstLineChars="200"/>
        <w:textAlignment w:val="auto"/>
        <w:rPr>
          <w:rFonts w:ascii="宋体" w:hAnsi="宋体" w:eastAsia="宋体" w:cs="宋体"/>
          <w:b w:val="0"/>
          <w:bCs w:val="0"/>
          <w:kern w:val="2"/>
          <w:sz w:val="24"/>
          <w:szCs w:val="24"/>
        </w:rPr>
      </w:pPr>
      <w:r>
        <w:rPr>
          <w:rFonts w:hint="eastAsia" w:ascii="宋体" w:hAnsi="宋体" w:eastAsia="宋体" w:cs="宋体"/>
          <w:kern w:val="2"/>
          <w:sz w:val="24"/>
          <w:szCs w:val="24"/>
        </w:rPr>
        <w:t>七、双方主要责任</w:t>
      </w:r>
    </w:p>
    <w:p w14:paraId="0376E292">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sz w:val="24"/>
        </w:rPr>
      </w:pPr>
      <w:r>
        <w:rPr>
          <w:rFonts w:hint="eastAsia" w:ascii="宋体" w:hAnsi="宋体" w:cs="宋体"/>
          <w:sz w:val="24"/>
        </w:rPr>
        <w:t>甲方责任：保证在货物运抵时提供符合要求的货物堆放场地和安装条件；货物安装调试完毕后按时组织验收；按约付款。</w:t>
      </w:r>
    </w:p>
    <w:p w14:paraId="08EF867B">
      <w:pPr>
        <w:pStyle w:val="3"/>
        <w:pageBreakBefore w:val="0"/>
        <w:widowControl/>
        <w:kinsoku/>
        <w:wordWrap/>
        <w:overflowPunct/>
        <w:topLinePunct w:val="0"/>
        <w:autoSpaceDE/>
        <w:autoSpaceDN/>
        <w:bidi w:val="0"/>
        <w:adjustRightInd w:val="0"/>
        <w:snapToGrid w:val="0"/>
        <w:spacing w:before="0" w:after="0" w:line="360" w:lineRule="auto"/>
        <w:ind w:left="0" w:firstLine="480" w:firstLineChars="200"/>
        <w:textAlignment w:val="auto"/>
        <w:rPr>
          <w:rFonts w:ascii="宋体" w:hAnsi="宋体" w:eastAsia="宋体" w:cs="宋体"/>
          <w:sz w:val="24"/>
          <w:szCs w:val="24"/>
        </w:rPr>
      </w:pPr>
      <w:r>
        <w:rPr>
          <w:rFonts w:hint="eastAsia" w:ascii="宋体" w:hAnsi="宋体" w:eastAsia="宋体" w:cs="宋体"/>
          <w:b w:val="0"/>
          <w:bCs w:val="0"/>
          <w:kern w:val="2"/>
          <w:sz w:val="24"/>
          <w:szCs w:val="24"/>
        </w:rPr>
        <w:t>乙方责任：按时提供符合合同要求的货物并且完好安装；验收合格后，在免费维保期内提供一批易损零部件给甲方更换、备用。</w:t>
      </w:r>
    </w:p>
    <w:p w14:paraId="2F10599E">
      <w:pPr>
        <w:pageBreakBefore w:val="0"/>
        <w:widowControl/>
        <w:kinsoku/>
        <w:wordWrap/>
        <w:overflowPunct/>
        <w:topLinePunct w:val="0"/>
        <w:autoSpaceDE/>
        <w:autoSpaceDN/>
        <w:bidi w:val="0"/>
        <w:adjustRightInd w:val="0"/>
        <w:snapToGrid w:val="0"/>
        <w:spacing w:after="0" w:line="360" w:lineRule="auto"/>
        <w:ind w:left="0" w:firstLine="482" w:firstLineChars="200"/>
        <w:jc w:val="left"/>
        <w:textAlignment w:val="auto"/>
        <w:rPr>
          <w:rFonts w:ascii="宋体" w:hAnsi="宋体" w:cs="宋体"/>
          <w:sz w:val="24"/>
        </w:rPr>
      </w:pPr>
      <w:r>
        <w:rPr>
          <w:rFonts w:hint="eastAsia" w:ascii="宋体" w:hAnsi="宋体" w:cs="宋体"/>
          <w:b/>
          <w:bCs/>
          <w:sz w:val="24"/>
        </w:rPr>
        <w:t>八、售后服务</w:t>
      </w:r>
    </w:p>
    <w:p w14:paraId="1194900D">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sz w:val="24"/>
        </w:rPr>
      </w:pPr>
      <w:r>
        <w:rPr>
          <w:rFonts w:hint="eastAsia" w:ascii="宋体" w:hAnsi="宋体" w:cs="宋体"/>
          <w:sz w:val="24"/>
        </w:rPr>
        <w:t>1.从正式验收合格交付使用之日算起，</w:t>
      </w:r>
      <w:r>
        <w:rPr>
          <w:rFonts w:hint="eastAsia" w:ascii="宋体" w:hAnsi="宋体" w:cs="宋体"/>
          <w:color w:val="auto"/>
          <w:sz w:val="24"/>
          <w:lang w:val="en-US" w:eastAsia="zh-CN"/>
        </w:rPr>
        <w:t>货物</w:t>
      </w:r>
      <w:r>
        <w:rPr>
          <w:rFonts w:hint="eastAsia"/>
          <w:color w:val="auto"/>
          <w:lang w:val="en-US" w:eastAsia="zh-CN"/>
        </w:rPr>
        <w:t>的</w:t>
      </w:r>
      <w:r>
        <w:rPr>
          <w:rFonts w:hint="eastAsia" w:ascii="宋体" w:hAnsi="宋体" w:cs="宋体"/>
          <w:color w:val="auto"/>
          <w:sz w:val="24"/>
        </w:rPr>
        <w:t>免费质保期</w:t>
      </w:r>
      <w:r>
        <w:rPr>
          <w:rFonts w:hint="eastAsia" w:ascii="宋体" w:hAnsi="宋体" w:cs="宋体"/>
          <w:color w:val="auto"/>
          <w:sz w:val="24"/>
          <w:lang w:val="en-US" w:eastAsia="zh-CN"/>
        </w:rPr>
        <w:t>为</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sz w:val="24"/>
        </w:rPr>
        <w:t>，在质保期内出现故障，乙方应免费提供咨询和维修服务（包括所需备件费用）。</w:t>
      </w:r>
    </w:p>
    <w:p w14:paraId="682793B3">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sz w:val="24"/>
        </w:rPr>
      </w:pPr>
      <w:r>
        <w:rPr>
          <w:rFonts w:hint="eastAsia" w:ascii="宋体" w:hAnsi="宋体" w:cs="宋体"/>
          <w:sz w:val="24"/>
        </w:rPr>
        <w:t>2.在</w:t>
      </w:r>
      <w:r>
        <w:rPr>
          <w:rFonts w:hint="eastAsia" w:ascii="宋体" w:hAnsi="宋体" w:cs="宋体"/>
          <w:color w:val="auto"/>
          <w:sz w:val="24"/>
        </w:rPr>
        <w:t>质保期</w:t>
      </w:r>
      <w:r>
        <w:rPr>
          <w:rFonts w:hint="eastAsia" w:ascii="宋体" w:hAnsi="宋体" w:cs="宋体"/>
          <w:sz w:val="24"/>
        </w:rPr>
        <w:t>内产品使用若发生故障，乙方应在24小时内响应，一周内修复；若一周内无法修复，乙方应立即提供免费配件更换；若维保点的检测人员不能排除故障时，乙方应立即通知生产厂家派技术人员到现场解决故障问题，由此发生的费用由乙方承担；同时应免费提供质保期内系统所需的零配件及附件。</w:t>
      </w:r>
    </w:p>
    <w:p w14:paraId="627A3EB6">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sz w:val="24"/>
        </w:rPr>
      </w:pPr>
      <w:r>
        <w:rPr>
          <w:rFonts w:hint="eastAsia" w:ascii="宋体" w:hAnsi="宋体" w:cs="宋体"/>
          <w:sz w:val="24"/>
        </w:rPr>
        <w:t>3.</w:t>
      </w:r>
      <w:r>
        <w:rPr>
          <w:rFonts w:hint="eastAsia" w:ascii="宋体" w:hAnsi="宋体" w:cs="宋体"/>
          <w:color w:val="auto"/>
          <w:sz w:val="24"/>
        </w:rPr>
        <w:t>乙方和生产厂家须对</w:t>
      </w:r>
      <w:r>
        <w:rPr>
          <w:rFonts w:hint="eastAsia" w:ascii="宋体" w:hAnsi="宋体" w:cs="宋体"/>
          <w:color w:val="auto"/>
          <w:sz w:val="24"/>
          <w:lang w:val="en-US" w:eastAsia="zh-CN"/>
        </w:rPr>
        <w:t>成套产品</w:t>
      </w:r>
      <w:r>
        <w:rPr>
          <w:rFonts w:hint="eastAsia" w:ascii="宋体" w:hAnsi="宋体" w:cs="宋体"/>
          <w:color w:val="auto"/>
          <w:sz w:val="24"/>
        </w:rPr>
        <w:t>进行终身维护</w:t>
      </w:r>
      <w:r>
        <w:rPr>
          <w:rFonts w:hint="eastAsia" w:ascii="宋体" w:hAnsi="宋体" w:cs="宋体"/>
          <w:sz w:val="24"/>
        </w:rPr>
        <w:t>；质保期结束后，乙方的售后服务机构有责任对</w:t>
      </w:r>
      <w:r>
        <w:rPr>
          <w:rFonts w:hint="eastAsia" w:ascii="宋体" w:hAnsi="宋体" w:cs="宋体"/>
          <w:color w:val="auto"/>
          <w:sz w:val="24"/>
          <w:lang w:val="en-US" w:eastAsia="zh-CN"/>
        </w:rPr>
        <w:t>成套产品</w:t>
      </w:r>
      <w:r>
        <w:rPr>
          <w:rFonts w:hint="eastAsia" w:ascii="宋体" w:hAnsi="宋体" w:cs="宋体"/>
          <w:sz w:val="24"/>
        </w:rPr>
        <w:t>进行维护并按成本价收取配件费用，以确保设备的正常运行。</w:t>
      </w:r>
    </w:p>
    <w:p w14:paraId="2A59CA75">
      <w:pPr>
        <w:pageBreakBefore w:val="0"/>
        <w:widowControl/>
        <w:kinsoku/>
        <w:wordWrap/>
        <w:overflowPunct/>
        <w:topLinePunct w:val="0"/>
        <w:autoSpaceDE/>
        <w:autoSpaceDN/>
        <w:bidi w:val="0"/>
        <w:adjustRightInd w:val="0"/>
        <w:snapToGrid w:val="0"/>
        <w:spacing w:after="0" w:line="360" w:lineRule="auto"/>
        <w:ind w:left="0" w:firstLine="482" w:firstLineChars="200"/>
        <w:jc w:val="left"/>
        <w:textAlignment w:val="auto"/>
        <w:rPr>
          <w:rFonts w:ascii="宋体" w:hAnsi="宋体" w:cs="宋体"/>
          <w:b/>
          <w:bCs/>
          <w:sz w:val="24"/>
        </w:rPr>
      </w:pPr>
      <w:r>
        <w:rPr>
          <w:rFonts w:hint="eastAsia" w:ascii="宋体" w:hAnsi="宋体" w:cs="宋体"/>
          <w:b/>
          <w:bCs/>
          <w:sz w:val="24"/>
        </w:rPr>
        <w:t>九、</w:t>
      </w:r>
      <w:r>
        <w:rPr>
          <w:rFonts w:hint="eastAsia" w:ascii="宋体" w:hAnsi="宋体" w:cs="宋体"/>
          <w:b/>
          <w:bCs/>
          <w:color w:val="auto"/>
          <w:sz w:val="24"/>
          <w:lang w:val="en-US" w:eastAsia="zh-CN"/>
        </w:rPr>
        <w:t>质保</w:t>
      </w:r>
      <w:r>
        <w:rPr>
          <w:rFonts w:hint="eastAsia" w:ascii="宋体" w:hAnsi="宋体" w:cs="宋体"/>
          <w:b/>
          <w:bCs/>
          <w:sz w:val="24"/>
        </w:rPr>
        <w:t>期限</w:t>
      </w:r>
    </w:p>
    <w:p w14:paraId="654989DB">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sz w:val="24"/>
        </w:rPr>
      </w:pPr>
      <w:r>
        <w:rPr>
          <w:rFonts w:hint="eastAsia" w:ascii="宋体" w:hAnsi="宋体" w:cs="宋体"/>
          <w:sz w:val="24"/>
        </w:rPr>
        <w:t>自验收合格之日起</w:t>
      </w:r>
      <w:r>
        <w:rPr>
          <w:rFonts w:hint="eastAsia" w:ascii="宋体" w:hAnsi="宋体" w:cs="宋体"/>
          <w:sz w:val="24"/>
          <w:u w:val="single"/>
        </w:rPr>
        <w:t xml:space="preserve">   </w:t>
      </w:r>
      <w:r>
        <w:rPr>
          <w:rFonts w:hint="eastAsia" w:ascii="宋体" w:hAnsi="宋体" w:cs="宋体"/>
          <w:sz w:val="24"/>
        </w:rPr>
        <w:t>年。</w:t>
      </w:r>
    </w:p>
    <w:p w14:paraId="68E4BAB2">
      <w:pPr>
        <w:pageBreakBefore w:val="0"/>
        <w:widowControl/>
        <w:kinsoku/>
        <w:wordWrap/>
        <w:overflowPunct/>
        <w:topLinePunct w:val="0"/>
        <w:autoSpaceDE/>
        <w:autoSpaceDN/>
        <w:bidi w:val="0"/>
        <w:adjustRightInd w:val="0"/>
        <w:snapToGrid w:val="0"/>
        <w:spacing w:after="0" w:line="360" w:lineRule="auto"/>
        <w:ind w:left="0" w:firstLine="482" w:firstLineChars="200"/>
        <w:jc w:val="left"/>
        <w:textAlignment w:val="auto"/>
        <w:rPr>
          <w:rFonts w:ascii="宋体" w:hAnsi="宋体" w:cs="宋体"/>
          <w:sz w:val="24"/>
        </w:rPr>
      </w:pPr>
      <w:r>
        <w:rPr>
          <w:rFonts w:hint="eastAsia" w:ascii="宋体" w:hAnsi="宋体" w:cs="宋体"/>
          <w:b/>
          <w:bCs/>
          <w:sz w:val="24"/>
        </w:rPr>
        <w:t>十、违约情形</w:t>
      </w:r>
      <w:r>
        <w:rPr>
          <w:rFonts w:hint="eastAsia" w:ascii="宋体" w:hAnsi="宋体" w:cs="宋体"/>
          <w:sz w:val="24"/>
        </w:rPr>
        <w:t>（根据项目属于货物类或服务类区分填写）</w:t>
      </w:r>
    </w:p>
    <w:p w14:paraId="49727BE7">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sz w:val="24"/>
        </w:rPr>
      </w:pPr>
      <w:r>
        <w:rPr>
          <w:rFonts w:hint="eastAsia" w:ascii="宋体" w:hAnsi="宋体" w:cs="宋体"/>
          <w:sz w:val="24"/>
        </w:rPr>
        <w:t>货物类：</w:t>
      </w:r>
    </w:p>
    <w:p w14:paraId="289668B9">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sz w:val="24"/>
        </w:rPr>
      </w:pPr>
      <w:r>
        <w:rPr>
          <w:rFonts w:hint="eastAsia" w:ascii="宋体" w:hAnsi="宋体" w:cs="宋体"/>
          <w:sz w:val="24"/>
        </w:rPr>
        <w:t>1.甲方违约责任</w:t>
      </w:r>
    </w:p>
    <w:p w14:paraId="26EC49E0">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sz w:val="24"/>
        </w:rPr>
      </w:pPr>
      <w:r>
        <w:rPr>
          <w:rFonts w:hint="eastAsia" w:ascii="宋体" w:hAnsi="宋体" w:cs="宋体"/>
          <w:sz w:val="24"/>
        </w:rPr>
        <w:t>1.1甲方无正当理由拒收乙方交付的合格产品的，甲方向乙方偿付拒收货款总值10%的违约金。</w:t>
      </w:r>
    </w:p>
    <w:p w14:paraId="1542C143">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sz w:val="24"/>
        </w:rPr>
      </w:pPr>
      <w:r>
        <w:rPr>
          <w:rFonts w:hint="eastAsia" w:ascii="宋体" w:hAnsi="宋体" w:cs="宋体"/>
          <w:sz w:val="24"/>
        </w:rPr>
        <w:t>1.2甲方无故逾期验收和办理合同款项支付手续的，甲方应按逾期付款总额每日1%向乙方支付滞纳金。</w:t>
      </w:r>
    </w:p>
    <w:p w14:paraId="49299D5E">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sz w:val="24"/>
        </w:rPr>
      </w:pPr>
      <w:r>
        <w:rPr>
          <w:rFonts w:hint="eastAsia" w:ascii="宋体" w:hAnsi="宋体" w:cs="宋体"/>
          <w:sz w:val="24"/>
        </w:rPr>
        <w:t xml:space="preserve">1.3其他违约情形。    </w:t>
      </w:r>
    </w:p>
    <w:p w14:paraId="57235244">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sz w:val="24"/>
        </w:rPr>
      </w:pPr>
      <w:r>
        <w:rPr>
          <w:rFonts w:hint="eastAsia" w:ascii="宋体" w:hAnsi="宋体" w:cs="宋体"/>
          <w:sz w:val="24"/>
        </w:rPr>
        <w:t>2.乙方违约责任</w:t>
      </w:r>
    </w:p>
    <w:p w14:paraId="793607E8">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sz w:val="24"/>
        </w:rPr>
      </w:pPr>
      <w:r>
        <w:rPr>
          <w:rFonts w:hint="eastAsia" w:ascii="宋体" w:hAnsi="宋体" w:cs="宋体"/>
          <w:sz w:val="24"/>
        </w:rPr>
        <w:t xml:space="preserve">2.1乙方逾期履行服务的，乙方应按逾期交付总额每日1%向甲方支付滞纳金，由甲方从待付货款中扣除。乙方无正当理由逾期超过约定日期3日仍不能交付的，视为“乙方不按合同约定履约”；甲方有权单方面解除合同，乙方应当按合同总价款的30%向采购人支付违约金。    </w:t>
      </w:r>
    </w:p>
    <w:p w14:paraId="1B5D6A7A">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sz w:val="24"/>
        </w:rPr>
      </w:pPr>
      <w:r>
        <w:rPr>
          <w:rFonts w:hint="eastAsia" w:ascii="宋体" w:hAnsi="宋体" w:cs="宋体"/>
          <w:sz w:val="24"/>
        </w:rPr>
        <w:t xml:space="preserve">2.2乙方所交付的产品不符合合同规定及《采购文件》约定标准的，甲方有权拒收，乙方愿意更换产品，但逾期交货的，按乙方逾期交货处理。乙方拒绝更换产品的，视为“乙方不按合同约定履约”；甲方有权单方面解除合同，乙方应当按合同总价款的30%向甲方支付违约金。 </w:t>
      </w:r>
    </w:p>
    <w:p w14:paraId="4FCAA29D">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sz w:val="24"/>
        </w:rPr>
      </w:pPr>
      <w:r>
        <w:rPr>
          <w:rFonts w:hint="eastAsia" w:ascii="宋体" w:hAnsi="宋体" w:cs="宋体"/>
          <w:sz w:val="24"/>
        </w:rPr>
        <w:t>2.3乙方不按合同约定履约的，甲方可以解除采购合同，并对乙方已缴纳的履约保证金作“不予退还”处理。同时，乙方还须按合同总价款的30%向甲方支付违约金。</w:t>
      </w:r>
    </w:p>
    <w:p w14:paraId="1F198934">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sz w:val="24"/>
        </w:rPr>
      </w:pPr>
      <w:r>
        <w:rPr>
          <w:rFonts w:hint="eastAsia" w:ascii="宋体" w:hAnsi="宋体" w:cs="宋体"/>
          <w:sz w:val="24"/>
        </w:rPr>
        <w:t>2.4其他违约情形。</w:t>
      </w:r>
    </w:p>
    <w:p w14:paraId="39ECAEA3">
      <w:pPr>
        <w:pageBreakBefore w:val="0"/>
        <w:widowControl/>
        <w:kinsoku/>
        <w:wordWrap/>
        <w:overflowPunct/>
        <w:topLinePunct w:val="0"/>
        <w:autoSpaceDE/>
        <w:autoSpaceDN/>
        <w:bidi w:val="0"/>
        <w:adjustRightInd w:val="0"/>
        <w:snapToGrid w:val="0"/>
        <w:spacing w:after="0" w:line="360" w:lineRule="auto"/>
        <w:ind w:left="0" w:firstLine="482" w:firstLineChars="200"/>
        <w:jc w:val="left"/>
        <w:textAlignment w:val="auto"/>
        <w:rPr>
          <w:rFonts w:ascii="宋体" w:hAnsi="宋体" w:cs="宋体"/>
          <w:b/>
          <w:bCs/>
          <w:sz w:val="24"/>
        </w:rPr>
      </w:pPr>
      <w:r>
        <w:rPr>
          <w:rFonts w:hint="eastAsia" w:ascii="宋体" w:hAnsi="宋体" w:cs="宋体"/>
          <w:b/>
          <w:bCs/>
          <w:sz w:val="24"/>
        </w:rPr>
        <w:t>十一、保密条款</w:t>
      </w:r>
    </w:p>
    <w:p w14:paraId="5D369CB8">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sz w:val="24"/>
        </w:rPr>
      </w:pPr>
      <w:r>
        <w:rPr>
          <w:rFonts w:hint="eastAsia" w:ascii="宋体" w:hAnsi="宋体" w:cs="宋体"/>
          <w:sz w:val="24"/>
        </w:rPr>
        <w:t>1.对于在采购和合同履行过程中所获悉的属于保密的内容，甲乙双方均负有保密义务。</w:t>
      </w:r>
    </w:p>
    <w:p w14:paraId="6CCF9885">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sz w:val="24"/>
        </w:rPr>
      </w:pPr>
      <w:r>
        <w:rPr>
          <w:rFonts w:hint="eastAsia" w:ascii="宋体" w:hAnsi="宋体" w:cs="宋体"/>
          <w:sz w:val="24"/>
        </w:rPr>
        <w:t>2.其他，在本合同履行期间和终止后，双方应严格保密并不得披露任何保密信息。一方违反保密条款，应赔偿对方全部损失，赔偿范围包括不限于直接损失和可得利益的损失以及守约方为维权而支出的调查取证费用、诉讼费用、律师费用。</w:t>
      </w:r>
    </w:p>
    <w:p w14:paraId="6141907A">
      <w:pPr>
        <w:pageBreakBefore w:val="0"/>
        <w:widowControl/>
        <w:kinsoku/>
        <w:wordWrap/>
        <w:overflowPunct/>
        <w:topLinePunct w:val="0"/>
        <w:autoSpaceDE/>
        <w:autoSpaceDN/>
        <w:bidi w:val="0"/>
        <w:adjustRightInd w:val="0"/>
        <w:snapToGrid w:val="0"/>
        <w:spacing w:after="0" w:line="360" w:lineRule="auto"/>
        <w:ind w:left="0" w:firstLine="482" w:firstLineChars="200"/>
        <w:jc w:val="left"/>
        <w:textAlignment w:val="auto"/>
        <w:rPr>
          <w:rFonts w:ascii="宋体" w:hAnsi="宋体" w:cs="宋体"/>
          <w:sz w:val="24"/>
        </w:rPr>
      </w:pPr>
      <w:r>
        <w:rPr>
          <w:rFonts w:hint="eastAsia" w:ascii="宋体" w:hAnsi="宋体" w:cs="宋体"/>
          <w:b/>
          <w:bCs/>
          <w:sz w:val="24"/>
        </w:rPr>
        <w:t>十二、解决纠纷的方式</w:t>
      </w:r>
    </w:p>
    <w:p w14:paraId="0170E7EB">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sz w:val="24"/>
        </w:rPr>
      </w:pPr>
      <w:r>
        <w:rPr>
          <w:rFonts w:hint="eastAsia" w:ascii="宋体" w:hAnsi="宋体" w:cs="宋体"/>
          <w:sz w:val="24"/>
        </w:rPr>
        <w:t>若发生纠纷，由双方协商解决。协商不成时，采取诉讼方式解决，本采购合同法律诉讼地为采购人（甲方）所在地。</w:t>
      </w:r>
    </w:p>
    <w:p w14:paraId="1B9211E3">
      <w:pPr>
        <w:pageBreakBefore w:val="0"/>
        <w:widowControl/>
        <w:kinsoku/>
        <w:wordWrap/>
        <w:overflowPunct/>
        <w:topLinePunct w:val="0"/>
        <w:autoSpaceDE/>
        <w:autoSpaceDN/>
        <w:bidi w:val="0"/>
        <w:adjustRightInd w:val="0"/>
        <w:snapToGrid w:val="0"/>
        <w:spacing w:after="0" w:line="360" w:lineRule="auto"/>
        <w:ind w:left="0" w:firstLine="482" w:firstLineChars="200"/>
        <w:jc w:val="left"/>
        <w:textAlignment w:val="auto"/>
        <w:rPr>
          <w:rFonts w:ascii="宋体" w:hAnsi="宋体" w:cs="宋体"/>
          <w:b/>
          <w:bCs/>
          <w:sz w:val="24"/>
        </w:rPr>
      </w:pPr>
      <w:r>
        <w:rPr>
          <w:rFonts w:hint="eastAsia" w:ascii="宋体" w:hAnsi="宋体" w:cs="宋体"/>
          <w:b/>
          <w:bCs/>
          <w:sz w:val="24"/>
        </w:rPr>
        <w:t>十三、合同组成部分</w:t>
      </w:r>
    </w:p>
    <w:p w14:paraId="58F09CD8">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sz w:val="24"/>
        </w:rPr>
      </w:pPr>
      <w:r>
        <w:rPr>
          <w:rFonts w:hint="eastAsia" w:ascii="宋体" w:hAnsi="宋体" w:cs="宋体"/>
          <w:sz w:val="24"/>
        </w:rPr>
        <w:t>下列文件为合同的组成部分：</w:t>
      </w:r>
    </w:p>
    <w:p w14:paraId="7673C1D8">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sz w:val="24"/>
        </w:rPr>
      </w:pPr>
      <w:r>
        <w:rPr>
          <w:rFonts w:hint="eastAsia" w:ascii="宋体" w:hAnsi="宋体" w:cs="宋体"/>
          <w:sz w:val="24"/>
          <w:lang w:eastAsia="zh-CN"/>
        </w:rPr>
        <w:t>采购文件</w:t>
      </w:r>
      <w:r>
        <w:rPr>
          <w:rFonts w:hint="eastAsia" w:ascii="宋体" w:hAnsi="宋体" w:cs="宋体"/>
          <w:sz w:val="24"/>
        </w:rPr>
        <w:t>和</w:t>
      </w:r>
      <w:r>
        <w:rPr>
          <w:rFonts w:hint="eastAsia" w:ascii="宋体" w:hAnsi="宋体" w:cs="宋体"/>
          <w:sz w:val="24"/>
          <w:lang w:eastAsia="zh-CN"/>
        </w:rPr>
        <w:t>响应文件</w:t>
      </w:r>
      <w:r>
        <w:rPr>
          <w:rFonts w:hint="eastAsia" w:ascii="宋体" w:hAnsi="宋体" w:cs="宋体"/>
          <w:sz w:val="24"/>
        </w:rPr>
        <w:t>；</w:t>
      </w:r>
      <w:r>
        <w:rPr>
          <w:rFonts w:hint="eastAsia" w:ascii="宋体" w:hAnsi="宋体" w:cs="宋体"/>
          <w:sz w:val="24"/>
          <w:lang w:eastAsia="zh-CN"/>
        </w:rPr>
        <w:t>成交</w:t>
      </w:r>
      <w:r>
        <w:rPr>
          <w:rFonts w:hint="eastAsia" w:ascii="宋体" w:hAnsi="宋体" w:cs="宋体"/>
          <w:sz w:val="24"/>
        </w:rPr>
        <w:t>通知书；合同协议书及其附件；双方在合同履行中达成的纪要、协议等文件；构成合同的其他文件。</w:t>
      </w:r>
    </w:p>
    <w:p w14:paraId="176D4F97">
      <w:pPr>
        <w:pageBreakBefore w:val="0"/>
        <w:widowControl/>
        <w:kinsoku/>
        <w:wordWrap/>
        <w:overflowPunct/>
        <w:topLinePunct w:val="0"/>
        <w:autoSpaceDE/>
        <w:autoSpaceDN/>
        <w:bidi w:val="0"/>
        <w:adjustRightInd w:val="0"/>
        <w:snapToGrid w:val="0"/>
        <w:spacing w:after="0" w:line="360" w:lineRule="auto"/>
        <w:ind w:left="0" w:firstLine="482" w:firstLineChars="200"/>
        <w:jc w:val="left"/>
        <w:textAlignment w:val="auto"/>
        <w:rPr>
          <w:rFonts w:ascii="宋体" w:hAnsi="宋体" w:cs="宋体"/>
          <w:b/>
          <w:bCs/>
          <w:sz w:val="24"/>
        </w:rPr>
      </w:pPr>
      <w:r>
        <w:rPr>
          <w:rFonts w:hint="eastAsia" w:ascii="宋体" w:hAnsi="宋体" w:cs="宋体"/>
          <w:b/>
          <w:bCs/>
          <w:sz w:val="24"/>
        </w:rPr>
        <w:t>十四、本合同经双方签字盖章后生效</w:t>
      </w:r>
    </w:p>
    <w:p w14:paraId="68E2F11F">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sz w:val="24"/>
        </w:rPr>
      </w:pPr>
      <w:r>
        <w:rPr>
          <w:rFonts w:hint="eastAsia" w:ascii="宋体" w:hAnsi="宋体" w:cs="宋体"/>
          <w:sz w:val="24"/>
        </w:rPr>
        <w:t>本合同一式</w:t>
      </w:r>
      <w:r>
        <w:rPr>
          <w:rFonts w:hint="eastAsia" w:ascii="宋体" w:hAnsi="宋体" w:cs="宋体"/>
          <w:sz w:val="24"/>
          <w:u w:val="single"/>
        </w:rPr>
        <w:t xml:space="preserve"> 伍 </w:t>
      </w:r>
      <w:r>
        <w:rPr>
          <w:rFonts w:hint="eastAsia" w:ascii="宋体" w:hAnsi="宋体" w:cs="宋体"/>
          <w:sz w:val="24"/>
        </w:rPr>
        <w:t>份，甲方</w:t>
      </w:r>
      <w:r>
        <w:rPr>
          <w:rFonts w:hint="eastAsia" w:ascii="宋体" w:hAnsi="宋体" w:cs="宋体"/>
          <w:sz w:val="24"/>
          <w:u w:val="single"/>
        </w:rPr>
        <w:t xml:space="preserve"> 叁 </w:t>
      </w:r>
      <w:r>
        <w:rPr>
          <w:rFonts w:hint="eastAsia" w:ascii="宋体" w:hAnsi="宋体" w:cs="宋体"/>
          <w:sz w:val="24"/>
        </w:rPr>
        <w:t>份、乙方执</w:t>
      </w:r>
      <w:r>
        <w:rPr>
          <w:rFonts w:hint="eastAsia" w:ascii="宋体" w:hAnsi="宋体" w:cs="宋体"/>
          <w:sz w:val="24"/>
          <w:u w:val="single"/>
        </w:rPr>
        <w:t xml:space="preserve"> 贰 </w:t>
      </w:r>
      <w:r>
        <w:rPr>
          <w:rFonts w:hint="eastAsia" w:ascii="宋体" w:hAnsi="宋体" w:cs="宋体"/>
          <w:sz w:val="24"/>
        </w:rPr>
        <w:t>份，具有同等法律效力。</w:t>
      </w:r>
    </w:p>
    <w:p w14:paraId="40DC5718">
      <w:pPr>
        <w:pageBreakBefore w:val="0"/>
        <w:widowControl/>
        <w:kinsoku/>
        <w:wordWrap/>
        <w:overflowPunct/>
        <w:topLinePunct w:val="0"/>
        <w:autoSpaceDE/>
        <w:autoSpaceDN/>
        <w:bidi w:val="0"/>
        <w:adjustRightInd w:val="0"/>
        <w:snapToGrid w:val="0"/>
        <w:spacing w:after="0" w:line="360" w:lineRule="auto"/>
        <w:ind w:left="0" w:firstLine="482" w:firstLineChars="200"/>
        <w:jc w:val="left"/>
        <w:textAlignment w:val="auto"/>
        <w:rPr>
          <w:rFonts w:ascii="宋体" w:hAnsi="宋体" w:cs="宋体"/>
          <w:sz w:val="24"/>
        </w:rPr>
      </w:pPr>
      <w:r>
        <w:rPr>
          <w:rFonts w:hint="eastAsia" w:ascii="宋体" w:hAnsi="宋体" w:cs="宋体"/>
          <w:b/>
          <w:bCs/>
          <w:sz w:val="24"/>
        </w:rPr>
        <w:t>十五、本合同有效期</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日至</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3EE5B3F">
      <w:pPr>
        <w:pageBreakBefore w:val="0"/>
        <w:widowControl/>
        <w:kinsoku/>
        <w:wordWrap/>
        <w:overflowPunct/>
        <w:topLinePunct w:val="0"/>
        <w:autoSpaceDE/>
        <w:autoSpaceDN/>
        <w:bidi w:val="0"/>
        <w:adjustRightInd w:val="0"/>
        <w:snapToGrid w:val="0"/>
        <w:spacing w:after="0" w:line="360" w:lineRule="auto"/>
        <w:ind w:left="0" w:firstLine="482" w:firstLineChars="200"/>
        <w:jc w:val="left"/>
        <w:textAlignment w:val="auto"/>
        <w:rPr>
          <w:rFonts w:ascii="宋体" w:hAnsi="宋体" w:cs="宋体"/>
          <w:sz w:val="24"/>
        </w:rPr>
      </w:pPr>
      <w:r>
        <w:rPr>
          <w:rFonts w:hint="eastAsia" w:ascii="宋体" w:hAnsi="宋体" w:cs="宋体"/>
          <w:b/>
          <w:bCs/>
          <w:sz w:val="24"/>
        </w:rPr>
        <w:t>十</w:t>
      </w:r>
      <w:r>
        <w:rPr>
          <w:rFonts w:hint="eastAsia" w:ascii="宋体" w:hAnsi="宋体" w:cs="宋体"/>
          <w:b/>
          <w:bCs/>
          <w:sz w:val="24"/>
          <w:lang w:val="en-US" w:eastAsia="zh-CN"/>
        </w:rPr>
        <w:t>六</w:t>
      </w:r>
      <w:r>
        <w:rPr>
          <w:rFonts w:hint="eastAsia" w:ascii="宋体" w:hAnsi="宋体" w:cs="宋体"/>
          <w:b/>
          <w:bCs/>
          <w:sz w:val="24"/>
        </w:rPr>
        <w:t>、其他</w:t>
      </w:r>
      <w:r>
        <w:rPr>
          <w:rFonts w:hint="eastAsia" w:ascii="宋体" w:hAnsi="宋体" w:cs="宋体"/>
          <w:sz w:val="24"/>
        </w:rPr>
        <w:t>：有关标志、包装、说明书、运输、贮存等都应执行国家的有关规定。</w:t>
      </w:r>
    </w:p>
    <w:p w14:paraId="1E0AEA9C">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sz w:val="24"/>
        </w:rPr>
      </w:pPr>
    </w:p>
    <w:p w14:paraId="2EA43F0E">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sz w:val="24"/>
        </w:rPr>
      </w:pPr>
      <w:r>
        <w:rPr>
          <w:rFonts w:hint="eastAsia" w:ascii="宋体" w:hAnsi="宋体" w:cs="宋体"/>
          <w:sz w:val="24"/>
        </w:rPr>
        <w:t>甲方：（公章）                        乙方：（公章）</w:t>
      </w:r>
    </w:p>
    <w:p w14:paraId="5EAE5549">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sz w:val="24"/>
        </w:rPr>
      </w:pPr>
      <w:r>
        <w:rPr>
          <w:rFonts w:hint="eastAsia" w:ascii="宋体" w:hAnsi="宋体" w:cs="宋体"/>
          <w:sz w:val="24"/>
        </w:rPr>
        <w:t xml:space="preserve">法人代表或授权代表（签字或盖章）：    法人代表或授权代表（签字或盖章）： </w:t>
      </w:r>
    </w:p>
    <w:p w14:paraId="253294F7">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sz w:val="24"/>
        </w:rPr>
      </w:pPr>
      <w:r>
        <w:rPr>
          <w:rFonts w:hint="eastAsia" w:ascii="宋体" w:hAnsi="宋体" w:cs="宋体"/>
          <w:sz w:val="24"/>
        </w:rPr>
        <w:t>银行账户：江苏商贸职业学院            银行账户：</w:t>
      </w:r>
    </w:p>
    <w:p w14:paraId="37C7EAE3">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sz w:val="24"/>
        </w:rPr>
      </w:pPr>
      <w:r>
        <w:rPr>
          <w:rFonts w:hint="eastAsia" w:ascii="宋体" w:hAnsi="宋体" w:cs="宋体"/>
          <w:sz w:val="24"/>
        </w:rPr>
        <w:t xml:space="preserve">开户行：中国银行南通金海岸支行        开户行： </w:t>
      </w:r>
    </w:p>
    <w:p w14:paraId="77AC3FFF">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sz w:val="24"/>
        </w:rPr>
      </w:pPr>
      <w:r>
        <w:rPr>
          <w:rFonts w:hint="eastAsia" w:ascii="宋体" w:hAnsi="宋体" w:cs="宋体"/>
          <w:sz w:val="24"/>
        </w:rPr>
        <w:t>账号:   522258202631                  账号：</w:t>
      </w:r>
    </w:p>
    <w:p w14:paraId="6B14806A">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sz w:val="24"/>
        </w:rPr>
      </w:pPr>
      <w:r>
        <w:rPr>
          <w:rFonts w:hint="eastAsia" w:ascii="宋体" w:hAnsi="宋体" w:cs="宋体"/>
          <w:sz w:val="24"/>
        </w:rPr>
        <w:t xml:space="preserve">税码： 123200004675420810             联系人： </w:t>
      </w:r>
    </w:p>
    <w:p w14:paraId="7D666E04">
      <w:pPr>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宋体" w:hAnsi="宋体" w:cs="宋体"/>
          <w:sz w:val="24"/>
        </w:rPr>
      </w:pPr>
      <w:r>
        <w:rPr>
          <w:rFonts w:hint="eastAsia" w:ascii="宋体" w:hAnsi="宋体" w:cs="宋体"/>
          <w:sz w:val="24"/>
        </w:rPr>
        <w:t>联系电话:</w:t>
      </w:r>
    </w:p>
    <w:p w14:paraId="7E36EFE8">
      <w:pPr>
        <w:pageBreakBefore w:val="0"/>
        <w:widowControl/>
        <w:kinsoku/>
        <w:wordWrap/>
        <w:overflowPunct/>
        <w:topLinePunct w:val="0"/>
        <w:autoSpaceDE/>
        <w:autoSpaceDN/>
        <w:bidi w:val="0"/>
        <w:adjustRightInd w:val="0"/>
        <w:snapToGrid w:val="0"/>
        <w:spacing w:after="0" w:line="360" w:lineRule="auto"/>
        <w:ind w:left="0" w:firstLine="440" w:firstLineChars="200"/>
        <w:textAlignment w:val="auto"/>
        <w:rPr>
          <w:rFonts w:hint="eastAsia" w:ascii="宋体" w:hAnsi="宋体" w:cs="宋体"/>
          <w:b/>
          <w:bCs/>
          <w:sz w:val="24"/>
          <w:szCs w:val="32"/>
        </w:rPr>
      </w:pPr>
      <w:r>
        <w:rPr>
          <w:rFonts w:hint="eastAsia" w:ascii="宋体" w:hAnsi="宋体" w:cs="宋体"/>
        </w:rPr>
        <w:t xml:space="preserve">签订时间：20  年   月   日            签订时间：20  年  月  日 </w:t>
      </w:r>
      <w:r>
        <w:rPr>
          <w:rFonts w:hint="eastAsia" w:ascii="仿宋" w:hAnsi="仿宋" w:eastAsia="仿宋" w:cs="仿宋"/>
        </w:rPr>
        <w:t xml:space="preserve"> </w:t>
      </w:r>
      <w:r>
        <w:rPr>
          <w:rFonts w:hint="eastAsia" w:ascii="宋体" w:hAnsi="宋体" w:cs="宋体"/>
          <w:b/>
          <w:bCs/>
          <w:sz w:val="24"/>
          <w:szCs w:val="32"/>
        </w:rPr>
        <w:br w:type="page"/>
      </w:r>
    </w:p>
    <w:p w14:paraId="018E5E6C">
      <w:pPr>
        <w:spacing w:line="360" w:lineRule="auto"/>
        <w:ind w:firstLine="482" w:firstLineChars="200"/>
        <w:jc w:val="center"/>
        <w:rPr>
          <w:rFonts w:hint="eastAsia" w:ascii="宋体" w:hAnsi="宋体" w:cs="宋体"/>
          <w:b/>
          <w:sz w:val="24"/>
          <w:szCs w:val="24"/>
        </w:rPr>
      </w:pPr>
      <w:r>
        <w:rPr>
          <w:rFonts w:hint="eastAsia" w:ascii="宋体" w:hAnsi="宋体" w:cs="宋体"/>
          <w:b/>
          <w:bCs/>
          <w:sz w:val="24"/>
          <w:szCs w:val="32"/>
        </w:rPr>
        <w:t>第五部分  响应文件组成</w:t>
      </w:r>
    </w:p>
    <w:p w14:paraId="70866CB3">
      <w:pPr>
        <w:spacing w:line="360" w:lineRule="auto"/>
        <w:ind w:firstLine="482" w:firstLineChars="200"/>
        <w:jc w:val="both"/>
        <w:rPr>
          <w:rFonts w:hint="eastAsia" w:ascii="宋体" w:hAnsi="宋体" w:cs="宋体"/>
          <w:b/>
          <w:bCs/>
          <w:sz w:val="24"/>
          <w:szCs w:val="24"/>
        </w:rPr>
      </w:pPr>
      <w:r>
        <w:rPr>
          <w:rFonts w:hint="eastAsia" w:ascii="宋体" w:hAnsi="宋体" w:cs="宋体"/>
          <w:b/>
          <w:sz w:val="24"/>
          <w:szCs w:val="24"/>
        </w:rPr>
        <w:t>（一）资格审查文件相关的格式文件及表格</w:t>
      </w:r>
    </w:p>
    <w:p w14:paraId="0F84E48E">
      <w:pPr>
        <w:spacing w:line="360" w:lineRule="auto"/>
        <w:ind w:firstLine="482" w:firstLineChars="200"/>
        <w:jc w:val="center"/>
        <w:outlineLvl w:val="4"/>
        <w:rPr>
          <w:rFonts w:hint="eastAsia" w:ascii="宋体" w:hAnsi="宋体" w:cs="宋体"/>
          <w:b/>
          <w:bCs/>
          <w:sz w:val="24"/>
          <w:szCs w:val="24"/>
        </w:rPr>
      </w:pPr>
      <w:r>
        <w:rPr>
          <w:rFonts w:hint="eastAsia" w:ascii="宋体" w:hAnsi="宋体" w:cs="宋体"/>
          <w:b/>
          <w:bCs/>
          <w:sz w:val="24"/>
          <w:szCs w:val="24"/>
        </w:rPr>
        <w:t>1.法定代表人身份证明（法定代表人参加，则提供）</w:t>
      </w:r>
    </w:p>
    <w:p w14:paraId="4CC1B8EB">
      <w:pPr>
        <w:spacing w:line="360" w:lineRule="auto"/>
        <w:ind w:firstLine="480" w:firstLineChars="200"/>
        <w:jc w:val="both"/>
        <w:rPr>
          <w:rFonts w:hint="eastAsia"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 xml:space="preserve"> ：</w:t>
      </w:r>
    </w:p>
    <w:p w14:paraId="1E7DEC81">
      <w:pPr>
        <w:spacing w:line="360" w:lineRule="auto"/>
        <w:ind w:firstLine="480" w:firstLineChars="200"/>
        <w:jc w:val="both"/>
        <w:rPr>
          <w:rFonts w:hint="eastAsia" w:ascii="宋体" w:hAnsi="宋体" w:cs="宋体"/>
          <w:sz w:val="24"/>
          <w:szCs w:val="24"/>
        </w:rPr>
      </w:pPr>
      <w:r>
        <w:rPr>
          <w:rFonts w:hint="eastAsia" w:ascii="宋体" w:hAnsi="宋体" w:cs="宋体"/>
          <w:sz w:val="24"/>
          <w:szCs w:val="24"/>
          <w:u w:val="single"/>
        </w:rPr>
        <w:t xml:space="preserve">          先生／女士：</w:t>
      </w:r>
      <w:r>
        <w:rPr>
          <w:rFonts w:hint="eastAsia" w:ascii="宋体" w:hAnsi="宋体" w:cs="宋体"/>
          <w:sz w:val="24"/>
          <w:szCs w:val="24"/>
        </w:rPr>
        <w:t>现任我单位</w:t>
      </w:r>
      <w:r>
        <w:rPr>
          <w:rFonts w:hint="eastAsia" w:ascii="宋体" w:hAnsi="宋体" w:cs="宋体"/>
          <w:sz w:val="24"/>
          <w:szCs w:val="24"/>
          <w:u w:val="single"/>
        </w:rPr>
        <w:t>　　　　　　　</w:t>
      </w:r>
      <w:r>
        <w:rPr>
          <w:rFonts w:hint="eastAsia" w:ascii="宋体" w:hAnsi="宋体" w:cs="宋体"/>
          <w:sz w:val="24"/>
          <w:szCs w:val="24"/>
        </w:rPr>
        <w:t>职务，为法定代表人，特此证明。</w:t>
      </w:r>
    </w:p>
    <w:p w14:paraId="0B13FB94">
      <w:pPr>
        <w:spacing w:line="360" w:lineRule="auto"/>
        <w:ind w:firstLine="480" w:firstLineChars="200"/>
        <w:jc w:val="both"/>
        <w:rPr>
          <w:rFonts w:hint="eastAsia" w:ascii="宋体" w:hAnsi="宋体" w:cs="宋体"/>
          <w:sz w:val="24"/>
          <w:szCs w:val="24"/>
          <w:u w:val="single"/>
        </w:rPr>
      </w:pPr>
      <w:r>
        <w:rPr>
          <w:rFonts w:hint="eastAsia" w:ascii="宋体" w:hAnsi="宋体" w:cs="宋体"/>
          <w:sz w:val="24"/>
          <w:szCs w:val="24"/>
        </w:rPr>
        <w:t>身份证号码：</w:t>
      </w:r>
      <w:r>
        <w:rPr>
          <w:rFonts w:hint="eastAsia" w:ascii="宋体" w:hAnsi="宋体" w:cs="宋体"/>
          <w:sz w:val="24"/>
          <w:szCs w:val="24"/>
          <w:u w:val="single"/>
        </w:rPr>
        <w:t xml:space="preserve">                                               </w:t>
      </w:r>
    </w:p>
    <w:p w14:paraId="5518983E">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供应商（盖章）</w:t>
      </w:r>
    </w:p>
    <w:p w14:paraId="202A8B8A">
      <w:pPr>
        <w:spacing w:line="360" w:lineRule="auto"/>
        <w:ind w:firstLine="480" w:firstLineChars="200"/>
        <w:jc w:val="both"/>
        <w:rPr>
          <w:rFonts w:hint="eastAsia" w:ascii="宋体" w:hAnsi="宋体" w:cs="宋体"/>
          <w:bCs/>
          <w:sz w:val="24"/>
          <w:szCs w:val="24"/>
        </w:rPr>
      </w:pPr>
      <w:r>
        <w:rPr>
          <w:rFonts w:hint="eastAsia" w:ascii="宋体" w:hAnsi="宋体" w:cs="宋体"/>
          <w:bCs/>
          <w:sz w:val="24"/>
          <w:szCs w:val="24"/>
        </w:rPr>
        <w:t>年    月    日</w:t>
      </w:r>
    </w:p>
    <w:p w14:paraId="3C615DA4">
      <w:pPr>
        <w:spacing w:line="360" w:lineRule="auto"/>
        <w:ind w:firstLine="480" w:firstLineChars="200"/>
        <w:jc w:val="both"/>
        <w:rPr>
          <w:rFonts w:hint="eastAsia" w:ascii="宋体" w:hAnsi="宋体" w:cs="宋体"/>
          <w:sz w:val="24"/>
          <w:szCs w:val="24"/>
        </w:rPr>
      </w:pPr>
    </w:p>
    <w:p w14:paraId="7A04007A">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注：提供法定代表人的身份证正反面复印件</w:t>
      </w:r>
    </w:p>
    <w:p w14:paraId="1E1EB960">
      <w:pPr>
        <w:spacing w:line="360" w:lineRule="auto"/>
        <w:ind w:firstLine="482" w:firstLineChars="200"/>
        <w:jc w:val="both"/>
        <w:outlineLvl w:val="4"/>
        <w:rPr>
          <w:rFonts w:hint="eastAsia" w:ascii="宋体" w:hAnsi="宋体" w:cs="宋体"/>
          <w:b/>
          <w:bCs/>
          <w:sz w:val="24"/>
          <w:szCs w:val="24"/>
        </w:rPr>
      </w:pPr>
    </w:p>
    <w:p w14:paraId="5F039C3D">
      <w:pPr>
        <w:spacing w:line="360" w:lineRule="auto"/>
        <w:ind w:firstLine="482" w:firstLineChars="200"/>
        <w:jc w:val="both"/>
        <w:outlineLvl w:val="4"/>
        <w:rPr>
          <w:rFonts w:hint="eastAsia" w:ascii="宋体" w:hAnsi="宋体" w:cs="宋体"/>
          <w:b/>
          <w:bCs/>
          <w:sz w:val="24"/>
          <w:szCs w:val="24"/>
        </w:rPr>
      </w:pPr>
    </w:p>
    <w:p w14:paraId="76FE095C">
      <w:pPr>
        <w:spacing w:line="360" w:lineRule="auto"/>
        <w:ind w:firstLine="482" w:firstLineChars="200"/>
        <w:jc w:val="both"/>
        <w:outlineLvl w:val="4"/>
        <w:rPr>
          <w:rFonts w:hint="eastAsia" w:ascii="宋体" w:hAnsi="宋体" w:cs="宋体"/>
          <w:b/>
          <w:bCs/>
          <w:sz w:val="24"/>
          <w:szCs w:val="24"/>
        </w:rPr>
      </w:pPr>
    </w:p>
    <w:p w14:paraId="2AD8E119">
      <w:pPr>
        <w:pStyle w:val="57"/>
        <w:spacing w:line="360" w:lineRule="auto"/>
        <w:ind w:firstLine="482" w:firstLineChars="200"/>
        <w:jc w:val="both"/>
        <w:rPr>
          <w:rFonts w:hint="eastAsia" w:ascii="宋体" w:hAnsi="宋体" w:eastAsia="宋体" w:cs="宋体"/>
          <w:b/>
          <w:bCs/>
          <w:szCs w:val="24"/>
        </w:rPr>
      </w:pPr>
    </w:p>
    <w:p w14:paraId="1404666C">
      <w:pPr>
        <w:pStyle w:val="57"/>
        <w:spacing w:line="360" w:lineRule="auto"/>
        <w:ind w:firstLine="482" w:firstLineChars="200"/>
        <w:jc w:val="both"/>
        <w:rPr>
          <w:rFonts w:hint="eastAsia" w:ascii="宋体" w:hAnsi="宋体" w:eastAsia="宋体" w:cs="宋体"/>
          <w:b/>
          <w:bCs/>
          <w:szCs w:val="24"/>
        </w:rPr>
      </w:pPr>
    </w:p>
    <w:p w14:paraId="78722B3A">
      <w:pPr>
        <w:pStyle w:val="57"/>
        <w:spacing w:line="360" w:lineRule="auto"/>
        <w:ind w:firstLine="482" w:firstLineChars="200"/>
        <w:jc w:val="both"/>
        <w:rPr>
          <w:rFonts w:hint="eastAsia" w:ascii="宋体" w:hAnsi="宋体" w:eastAsia="宋体" w:cs="宋体"/>
          <w:b/>
          <w:bCs/>
          <w:szCs w:val="24"/>
        </w:rPr>
      </w:pPr>
    </w:p>
    <w:p w14:paraId="699D4E2F">
      <w:pPr>
        <w:pStyle w:val="57"/>
        <w:spacing w:line="360" w:lineRule="auto"/>
        <w:ind w:firstLine="482" w:firstLineChars="200"/>
        <w:jc w:val="both"/>
        <w:rPr>
          <w:rFonts w:hint="eastAsia" w:ascii="宋体" w:hAnsi="宋体" w:eastAsia="宋体" w:cs="宋体"/>
          <w:b/>
          <w:bCs/>
          <w:szCs w:val="24"/>
        </w:rPr>
      </w:pPr>
    </w:p>
    <w:p w14:paraId="16D968DA">
      <w:pPr>
        <w:pStyle w:val="57"/>
        <w:spacing w:line="360" w:lineRule="auto"/>
        <w:ind w:firstLine="482" w:firstLineChars="200"/>
        <w:jc w:val="both"/>
        <w:rPr>
          <w:rFonts w:hint="eastAsia" w:ascii="宋体" w:hAnsi="宋体" w:eastAsia="宋体" w:cs="宋体"/>
          <w:b/>
          <w:bCs/>
          <w:szCs w:val="24"/>
        </w:rPr>
      </w:pPr>
    </w:p>
    <w:p w14:paraId="0FB4F984">
      <w:pPr>
        <w:pStyle w:val="57"/>
        <w:spacing w:line="360" w:lineRule="auto"/>
        <w:ind w:firstLine="482" w:firstLineChars="200"/>
        <w:jc w:val="both"/>
        <w:rPr>
          <w:rFonts w:hint="eastAsia" w:ascii="宋体" w:hAnsi="宋体" w:eastAsia="宋体" w:cs="宋体"/>
          <w:b/>
          <w:bCs/>
          <w:szCs w:val="24"/>
        </w:rPr>
      </w:pPr>
    </w:p>
    <w:p w14:paraId="544B8F2E">
      <w:pPr>
        <w:pStyle w:val="57"/>
        <w:spacing w:line="360" w:lineRule="auto"/>
        <w:ind w:firstLine="482" w:firstLineChars="200"/>
        <w:jc w:val="both"/>
        <w:rPr>
          <w:rFonts w:hint="eastAsia" w:ascii="宋体" w:hAnsi="宋体" w:eastAsia="宋体" w:cs="宋体"/>
          <w:b/>
          <w:bCs/>
          <w:szCs w:val="24"/>
        </w:rPr>
      </w:pPr>
    </w:p>
    <w:p w14:paraId="3A79B1DA">
      <w:pPr>
        <w:pStyle w:val="57"/>
        <w:spacing w:line="360" w:lineRule="auto"/>
        <w:ind w:firstLine="482" w:firstLineChars="200"/>
        <w:jc w:val="both"/>
        <w:rPr>
          <w:rFonts w:hint="eastAsia" w:ascii="宋体" w:hAnsi="宋体" w:eastAsia="宋体" w:cs="宋体"/>
          <w:b/>
          <w:bCs/>
          <w:szCs w:val="24"/>
        </w:rPr>
      </w:pPr>
    </w:p>
    <w:p w14:paraId="732FF790">
      <w:pPr>
        <w:spacing w:line="360" w:lineRule="auto"/>
        <w:ind w:firstLine="482" w:firstLineChars="200"/>
        <w:jc w:val="both"/>
        <w:outlineLvl w:val="4"/>
        <w:rPr>
          <w:rFonts w:hint="eastAsia" w:ascii="宋体" w:hAnsi="宋体" w:cs="宋体"/>
          <w:b/>
          <w:bCs/>
          <w:sz w:val="24"/>
          <w:szCs w:val="24"/>
        </w:rPr>
      </w:pPr>
    </w:p>
    <w:p w14:paraId="5AB92FCD">
      <w:pPr>
        <w:spacing w:line="360" w:lineRule="auto"/>
        <w:ind w:firstLine="482" w:firstLineChars="200"/>
        <w:jc w:val="center"/>
        <w:outlineLvl w:val="4"/>
        <w:rPr>
          <w:rFonts w:hint="eastAsia" w:ascii="宋体" w:hAnsi="宋体" w:cs="宋体"/>
          <w:b/>
          <w:bCs/>
          <w:sz w:val="24"/>
          <w:szCs w:val="24"/>
        </w:rPr>
      </w:pPr>
    </w:p>
    <w:p w14:paraId="5DF71AA0">
      <w:pPr>
        <w:spacing w:line="360" w:lineRule="auto"/>
        <w:ind w:firstLine="482" w:firstLineChars="200"/>
        <w:jc w:val="center"/>
        <w:outlineLvl w:val="4"/>
        <w:rPr>
          <w:rFonts w:hint="eastAsia" w:ascii="宋体" w:hAnsi="宋体" w:cs="宋体"/>
          <w:b/>
          <w:bCs/>
          <w:sz w:val="24"/>
          <w:szCs w:val="24"/>
        </w:rPr>
      </w:pPr>
      <w:r>
        <w:rPr>
          <w:rFonts w:hint="eastAsia" w:ascii="宋体" w:hAnsi="宋体" w:cs="宋体"/>
          <w:b/>
          <w:bCs/>
          <w:sz w:val="24"/>
          <w:szCs w:val="24"/>
        </w:rPr>
        <w:t>2.法定代表人授权委托书（授权代表参加，则提供）</w:t>
      </w:r>
    </w:p>
    <w:p w14:paraId="33A2A403">
      <w:pPr>
        <w:spacing w:line="360" w:lineRule="auto"/>
        <w:ind w:firstLine="480" w:firstLineChars="200"/>
        <w:jc w:val="both"/>
        <w:rPr>
          <w:rFonts w:hint="eastAsia" w:ascii="宋体" w:hAnsi="宋体" w:cs="宋体"/>
          <w:bCs/>
          <w:sz w:val="24"/>
          <w:szCs w:val="24"/>
        </w:rPr>
      </w:pPr>
      <w:r>
        <w:rPr>
          <w:rFonts w:hint="eastAsia" w:ascii="宋体" w:hAnsi="宋体" w:cs="宋体"/>
          <w:bCs/>
          <w:sz w:val="24"/>
          <w:szCs w:val="24"/>
          <w:u w:val="single"/>
        </w:rPr>
        <w:t xml:space="preserve">               </w:t>
      </w:r>
      <w:r>
        <w:rPr>
          <w:rFonts w:hint="eastAsia" w:ascii="宋体" w:hAnsi="宋体" w:cs="宋体"/>
          <w:bCs/>
          <w:sz w:val="24"/>
          <w:szCs w:val="24"/>
        </w:rPr>
        <w:t>：</w:t>
      </w:r>
    </w:p>
    <w:p w14:paraId="48C364E3">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本授权委托书声明：我</w:t>
      </w:r>
      <w:r>
        <w:rPr>
          <w:rFonts w:hint="eastAsia" w:ascii="宋体" w:hAnsi="宋体" w:cs="宋体"/>
          <w:sz w:val="24"/>
          <w:szCs w:val="24"/>
          <w:u w:val="single"/>
        </w:rPr>
        <w:t>　　   　</w:t>
      </w:r>
      <w:r>
        <w:rPr>
          <w:rFonts w:hint="eastAsia" w:ascii="宋体" w:hAnsi="宋体" w:cs="宋体"/>
          <w:sz w:val="24"/>
          <w:szCs w:val="24"/>
        </w:rPr>
        <w:t>（姓名）系</w:t>
      </w:r>
      <w:r>
        <w:rPr>
          <w:rFonts w:hint="eastAsia" w:ascii="宋体" w:hAnsi="宋体" w:cs="宋体"/>
          <w:sz w:val="24"/>
          <w:szCs w:val="24"/>
          <w:u w:val="single"/>
        </w:rPr>
        <w:t>　　  　</w:t>
      </w:r>
      <w:r>
        <w:rPr>
          <w:rFonts w:hint="eastAsia" w:ascii="宋体" w:hAnsi="宋体" w:cs="宋体"/>
          <w:sz w:val="24"/>
          <w:szCs w:val="24"/>
        </w:rPr>
        <w:t>（供应商名称）的法定代表人，现授权委托　　   （姓名）　　 （身份证号）为我公司代理人，以本公司的名义参加本项目的询价响应活动。代理人在开标、评标、合同谈判过程中所签署的一切文件和处理与之有关的一切事务，我均予以承认。</w:t>
      </w:r>
    </w:p>
    <w:p w14:paraId="6F03A8FB">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被委托授权人无转委权。特此委托。</w:t>
      </w:r>
    </w:p>
    <w:p w14:paraId="0FA82E09">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 xml:space="preserve">              </w:t>
      </w:r>
    </w:p>
    <w:p w14:paraId="0E2A63C7">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法定代表人签字：</w:t>
      </w:r>
    </w:p>
    <w:p w14:paraId="639DCDAB">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被委托授权人签字：</w:t>
      </w:r>
    </w:p>
    <w:p w14:paraId="7E7A9E9F">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谈判供应商（盖章）</w:t>
      </w:r>
    </w:p>
    <w:p w14:paraId="20CE7100">
      <w:pPr>
        <w:spacing w:line="360" w:lineRule="auto"/>
        <w:ind w:firstLine="480" w:firstLineChars="200"/>
        <w:jc w:val="both"/>
        <w:rPr>
          <w:rFonts w:hint="eastAsia" w:ascii="宋体" w:hAnsi="宋体" w:cs="宋体"/>
          <w:bCs/>
          <w:sz w:val="24"/>
          <w:szCs w:val="24"/>
        </w:rPr>
      </w:pPr>
      <w:r>
        <w:rPr>
          <w:rFonts w:hint="eastAsia" w:ascii="宋体" w:hAnsi="宋体" w:cs="宋体"/>
          <w:bCs/>
          <w:sz w:val="24"/>
          <w:szCs w:val="24"/>
        </w:rPr>
        <w:t>年    月    日</w:t>
      </w:r>
    </w:p>
    <w:p w14:paraId="6CD1FF16">
      <w:pPr>
        <w:spacing w:line="360" w:lineRule="auto"/>
        <w:ind w:firstLine="480" w:firstLineChars="200"/>
        <w:jc w:val="both"/>
        <w:rPr>
          <w:rFonts w:hint="eastAsia" w:ascii="宋体" w:hAnsi="宋体" w:cs="宋体"/>
          <w:bCs/>
          <w:sz w:val="24"/>
          <w:szCs w:val="24"/>
        </w:rPr>
      </w:pPr>
      <w:r>
        <w:rPr>
          <w:rFonts w:hint="eastAsia" w:ascii="宋体" w:hAnsi="宋体" w:cs="宋体"/>
          <w:bCs/>
          <w:sz w:val="24"/>
          <w:szCs w:val="24"/>
        </w:rPr>
        <w:t>法定代表身份证明身份证正反面复印件</w:t>
      </w:r>
    </w:p>
    <w:p w14:paraId="315834CF">
      <w:pPr>
        <w:spacing w:line="360" w:lineRule="auto"/>
        <w:ind w:firstLine="480" w:firstLineChars="200"/>
        <w:jc w:val="both"/>
        <w:rPr>
          <w:rFonts w:hint="eastAsia" w:ascii="宋体" w:hAnsi="宋体" w:cs="宋体"/>
          <w:bCs/>
          <w:sz w:val="24"/>
          <w:szCs w:val="24"/>
        </w:rPr>
      </w:pPr>
    </w:p>
    <w:p w14:paraId="003EE76B">
      <w:pPr>
        <w:spacing w:line="360" w:lineRule="auto"/>
        <w:ind w:firstLine="480" w:firstLineChars="200"/>
        <w:jc w:val="both"/>
        <w:rPr>
          <w:rFonts w:hint="eastAsia" w:ascii="宋体" w:hAnsi="宋体" w:cs="宋体"/>
          <w:bCs/>
          <w:sz w:val="24"/>
          <w:szCs w:val="24"/>
        </w:rPr>
      </w:pPr>
    </w:p>
    <w:p w14:paraId="5B756E2E">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被委托授权人的身份证正反面复印件</w:t>
      </w:r>
    </w:p>
    <w:p w14:paraId="2D162784">
      <w:pPr>
        <w:spacing w:line="360" w:lineRule="auto"/>
        <w:ind w:firstLine="482" w:firstLineChars="200"/>
        <w:rPr>
          <w:rFonts w:hint="eastAsia" w:ascii="宋体" w:hAnsi="宋体" w:cs="宋体"/>
          <w:b/>
          <w:sz w:val="24"/>
          <w:szCs w:val="30"/>
        </w:rPr>
      </w:pPr>
      <w:r>
        <w:rPr>
          <w:rFonts w:hint="eastAsia" w:ascii="宋体" w:hAnsi="宋体" w:cs="宋体"/>
          <w:b/>
          <w:sz w:val="24"/>
          <w:szCs w:val="30"/>
        </w:rPr>
        <w:br w:type="page"/>
      </w:r>
    </w:p>
    <w:p w14:paraId="5B223A74">
      <w:pPr>
        <w:spacing w:line="360" w:lineRule="auto"/>
        <w:ind w:firstLine="482" w:firstLineChars="200"/>
        <w:jc w:val="center"/>
        <w:rPr>
          <w:rFonts w:hint="eastAsia" w:ascii="宋体" w:hAnsi="宋体" w:cs="宋体"/>
          <w:b/>
          <w:sz w:val="24"/>
          <w:szCs w:val="30"/>
        </w:rPr>
      </w:pPr>
      <w:r>
        <w:rPr>
          <w:rFonts w:hint="eastAsia" w:ascii="宋体" w:hAnsi="宋体" w:cs="宋体"/>
          <w:b/>
          <w:sz w:val="24"/>
          <w:szCs w:val="30"/>
        </w:rPr>
        <w:t>3.符合本项目采购人资格要求的承诺函</w:t>
      </w:r>
    </w:p>
    <w:p w14:paraId="3FB3BA8F">
      <w:pPr>
        <w:spacing w:line="360" w:lineRule="auto"/>
        <w:ind w:firstLine="482" w:firstLineChars="200"/>
        <w:rPr>
          <w:rFonts w:hint="eastAsia" w:ascii="宋体" w:hAnsi="宋体" w:cs="宋体"/>
          <w:b/>
          <w:bCs/>
          <w:sz w:val="24"/>
          <w:szCs w:val="44"/>
        </w:rPr>
      </w:pPr>
      <w:r>
        <w:rPr>
          <w:rFonts w:hint="eastAsia" w:ascii="宋体" w:hAnsi="宋体" w:cs="宋体"/>
          <w:b/>
          <w:bCs/>
          <w:sz w:val="24"/>
          <w:szCs w:val="21"/>
        </w:rPr>
        <w:t xml:space="preserve"> 江苏商贸职业学院：                    </w:t>
      </w:r>
      <w:r>
        <w:rPr>
          <w:rFonts w:hint="eastAsia" w:ascii="宋体" w:hAnsi="宋体" w:cs="宋体"/>
          <w:b/>
          <w:bCs/>
          <w:sz w:val="24"/>
          <w:szCs w:val="44"/>
        </w:rPr>
        <w:t xml:space="preserve">  </w:t>
      </w:r>
    </w:p>
    <w:p w14:paraId="19699840">
      <w:pPr>
        <w:spacing w:line="360" w:lineRule="auto"/>
        <w:ind w:firstLine="480" w:firstLineChars="200"/>
        <w:rPr>
          <w:rFonts w:hint="eastAsia" w:ascii="宋体" w:hAnsi="宋体" w:cs="宋体"/>
          <w:b/>
          <w:bCs/>
          <w:sz w:val="24"/>
        </w:rPr>
      </w:pPr>
      <w:r>
        <w:rPr>
          <w:rFonts w:hint="eastAsia" w:ascii="宋体" w:hAnsi="宋体" w:cs="宋体"/>
          <w:bCs/>
          <w:sz w:val="24"/>
        </w:rPr>
        <w:t>我单位参加</w:t>
      </w:r>
      <w:r>
        <w:rPr>
          <w:rFonts w:hint="eastAsia" w:ascii="宋体" w:hAnsi="宋体" w:cs="宋体"/>
          <w:bCs/>
          <w:sz w:val="24"/>
          <w:szCs w:val="21"/>
          <w:u w:val="single"/>
        </w:rPr>
        <w:t>________________ _</w:t>
      </w:r>
      <w:r>
        <w:rPr>
          <w:rFonts w:hint="eastAsia" w:ascii="宋体" w:hAnsi="宋体" w:cs="宋体"/>
          <w:bCs/>
          <w:sz w:val="24"/>
          <w:szCs w:val="21"/>
        </w:rPr>
        <w:t>（项目名称），</w:t>
      </w:r>
      <w:r>
        <w:rPr>
          <w:rFonts w:hint="eastAsia" w:ascii="宋体" w:hAnsi="宋体" w:cs="宋体"/>
          <w:bCs/>
          <w:sz w:val="24"/>
          <w:szCs w:val="21"/>
          <w:u w:val="single"/>
        </w:rPr>
        <w:t>_______ __________</w:t>
      </w:r>
      <w:r>
        <w:rPr>
          <w:rFonts w:hint="eastAsia" w:ascii="宋体" w:hAnsi="宋体" w:cs="宋体"/>
          <w:bCs/>
          <w:sz w:val="24"/>
          <w:szCs w:val="21"/>
        </w:rPr>
        <w:t>（项目编号）投标活动。针对本项目采购人资格要求做出如下承诺：</w:t>
      </w:r>
    </w:p>
    <w:p w14:paraId="72CF3642">
      <w:pPr>
        <w:spacing w:line="360" w:lineRule="auto"/>
        <w:ind w:firstLine="480" w:firstLineChars="200"/>
        <w:rPr>
          <w:rFonts w:hint="eastAsia" w:ascii="宋体" w:hAnsi="宋体" w:cs="宋体"/>
          <w:sz w:val="24"/>
        </w:rPr>
      </w:pPr>
      <w:r>
        <w:rPr>
          <w:rFonts w:hint="eastAsia" w:ascii="宋体" w:hAnsi="宋体" w:cs="宋体"/>
          <w:bCs/>
          <w:sz w:val="24"/>
          <w:szCs w:val="21"/>
        </w:rPr>
        <w:t>1.我单位具有独立承担民事责任的能力；</w:t>
      </w:r>
    </w:p>
    <w:p w14:paraId="45F472DC">
      <w:pPr>
        <w:spacing w:line="360" w:lineRule="auto"/>
        <w:ind w:firstLine="480" w:firstLineChars="200"/>
        <w:rPr>
          <w:rFonts w:hint="eastAsia" w:ascii="宋体" w:hAnsi="宋体" w:cs="宋体"/>
          <w:sz w:val="24"/>
        </w:rPr>
      </w:pPr>
      <w:r>
        <w:rPr>
          <w:rFonts w:hint="eastAsia" w:ascii="宋体" w:hAnsi="宋体" w:cs="宋体"/>
          <w:sz w:val="24"/>
        </w:rPr>
        <w:t>2.我单位具有良好的商业信誉和健全的财务会计制度；</w:t>
      </w:r>
    </w:p>
    <w:p w14:paraId="7CE862E3">
      <w:pPr>
        <w:spacing w:line="360" w:lineRule="auto"/>
        <w:ind w:firstLine="480" w:firstLineChars="200"/>
        <w:rPr>
          <w:rFonts w:hint="eastAsia" w:ascii="宋体" w:hAnsi="宋体" w:cs="宋体"/>
          <w:sz w:val="24"/>
        </w:rPr>
      </w:pPr>
      <w:r>
        <w:rPr>
          <w:rFonts w:hint="eastAsia" w:ascii="宋体" w:hAnsi="宋体" w:cs="宋体"/>
          <w:sz w:val="24"/>
        </w:rPr>
        <w:t>3.我单位具有履行合同所必需的设备和专业技术能力；</w:t>
      </w:r>
    </w:p>
    <w:p w14:paraId="0F701775">
      <w:pPr>
        <w:spacing w:line="360" w:lineRule="auto"/>
        <w:ind w:firstLine="480" w:firstLineChars="200"/>
        <w:rPr>
          <w:rFonts w:hint="eastAsia" w:ascii="宋体" w:hAnsi="宋体" w:cs="宋体"/>
          <w:sz w:val="24"/>
        </w:rPr>
      </w:pPr>
      <w:r>
        <w:rPr>
          <w:rFonts w:hint="eastAsia" w:ascii="宋体" w:hAnsi="宋体" w:cs="宋体"/>
          <w:sz w:val="24"/>
        </w:rPr>
        <w:t>4.我单位有依法缴纳税收和社会保障资金的良好记录；</w:t>
      </w:r>
    </w:p>
    <w:p w14:paraId="7F7CEF00">
      <w:pPr>
        <w:spacing w:line="360" w:lineRule="auto"/>
        <w:ind w:firstLine="480" w:firstLineChars="200"/>
        <w:rPr>
          <w:rFonts w:hint="eastAsia" w:ascii="宋体" w:hAnsi="宋体" w:cs="宋体"/>
          <w:sz w:val="24"/>
        </w:rPr>
      </w:pPr>
      <w:r>
        <w:rPr>
          <w:rFonts w:hint="eastAsia" w:ascii="宋体" w:hAnsi="宋体" w:cs="宋体"/>
          <w:sz w:val="24"/>
        </w:rPr>
        <w:t>5.我单位参加采购活动前三年内，在经营活动中没有重大违法记录；（“较大数额罚款”认定为200万元以上的罚款，法律、行政法规以及国务院有关部门明确规定相关领域“较大数额罚款”标准高于200万元的，从其规定。）</w:t>
      </w:r>
    </w:p>
    <w:p w14:paraId="603AFF84">
      <w:pPr>
        <w:spacing w:line="360" w:lineRule="auto"/>
        <w:ind w:firstLine="480" w:firstLineChars="200"/>
        <w:rPr>
          <w:rFonts w:hint="eastAsia" w:ascii="宋体" w:hAnsi="宋体" w:cs="宋体"/>
          <w:sz w:val="24"/>
        </w:rPr>
      </w:pPr>
      <w:r>
        <w:rPr>
          <w:rFonts w:hint="eastAsia" w:ascii="宋体" w:hAnsi="宋体" w:cs="宋体"/>
          <w:sz w:val="24"/>
        </w:rPr>
        <w:t>6.我单位满足法律、行政法规规定的其他条件。</w:t>
      </w:r>
    </w:p>
    <w:p w14:paraId="31349BF4">
      <w:pPr>
        <w:spacing w:line="360" w:lineRule="auto"/>
        <w:ind w:firstLine="480" w:firstLineChars="200"/>
        <w:rPr>
          <w:rFonts w:hint="eastAsia" w:ascii="宋体" w:hAnsi="宋体" w:cs="宋体"/>
          <w:sz w:val="24"/>
        </w:rPr>
      </w:pPr>
    </w:p>
    <w:p w14:paraId="76802662">
      <w:pPr>
        <w:spacing w:line="360" w:lineRule="auto"/>
        <w:ind w:firstLine="480" w:firstLineChars="200"/>
        <w:rPr>
          <w:rFonts w:hint="eastAsia" w:ascii="宋体" w:hAnsi="宋体" w:cs="宋体"/>
          <w:bCs/>
          <w:sz w:val="24"/>
          <w:szCs w:val="21"/>
        </w:rPr>
      </w:pPr>
    </w:p>
    <w:p w14:paraId="52733781">
      <w:pPr>
        <w:spacing w:line="360" w:lineRule="auto"/>
        <w:ind w:firstLine="480" w:firstLineChars="200"/>
        <w:rPr>
          <w:rFonts w:hint="eastAsia" w:ascii="宋体" w:hAnsi="宋体" w:cs="宋体"/>
          <w:bCs/>
          <w:sz w:val="24"/>
          <w:szCs w:val="21"/>
        </w:rPr>
      </w:pPr>
    </w:p>
    <w:p w14:paraId="3C5B4DBF">
      <w:pPr>
        <w:spacing w:line="360" w:lineRule="auto"/>
        <w:ind w:firstLine="480" w:firstLineChars="200"/>
        <w:jc w:val="center"/>
        <w:rPr>
          <w:rFonts w:hint="eastAsia" w:ascii="宋体" w:hAnsi="宋体" w:cs="宋体"/>
          <w:bCs/>
          <w:sz w:val="24"/>
          <w:szCs w:val="21"/>
        </w:rPr>
      </w:pPr>
      <w:r>
        <w:rPr>
          <w:rFonts w:hint="eastAsia" w:ascii="宋体" w:hAnsi="宋体" w:cs="宋体"/>
          <w:bCs/>
          <w:sz w:val="24"/>
          <w:szCs w:val="21"/>
        </w:rPr>
        <w:t xml:space="preserve">                                             承诺人名称（公章）：</w:t>
      </w:r>
    </w:p>
    <w:p w14:paraId="2B75D704">
      <w:pPr>
        <w:spacing w:line="360" w:lineRule="auto"/>
        <w:ind w:firstLine="480" w:firstLineChars="200"/>
        <w:jc w:val="right"/>
        <w:rPr>
          <w:rFonts w:hint="eastAsia" w:ascii="宋体" w:hAnsi="宋体" w:cs="宋体"/>
          <w:bCs/>
          <w:sz w:val="24"/>
          <w:szCs w:val="21"/>
        </w:rPr>
      </w:pPr>
      <w:r>
        <w:rPr>
          <w:rFonts w:hint="eastAsia" w:ascii="宋体" w:hAnsi="宋体" w:cs="宋体"/>
          <w:bCs/>
          <w:sz w:val="24"/>
          <w:szCs w:val="21"/>
        </w:rPr>
        <w:t xml:space="preserve">    </w:t>
      </w:r>
    </w:p>
    <w:p w14:paraId="7FFC8C92">
      <w:pPr>
        <w:spacing w:line="360" w:lineRule="auto"/>
        <w:ind w:firstLine="480" w:firstLineChars="200"/>
        <w:jc w:val="right"/>
        <w:rPr>
          <w:rFonts w:hint="eastAsia" w:ascii="宋体" w:hAnsi="宋体" w:cs="宋体"/>
          <w:bCs/>
          <w:sz w:val="24"/>
          <w:szCs w:val="21"/>
        </w:rPr>
      </w:pPr>
      <w:r>
        <w:rPr>
          <w:rFonts w:hint="eastAsia" w:ascii="宋体" w:hAnsi="宋体" w:cs="宋体"/>
          <w:bCs/>
          <w:sz w:val="24"/>
          <w:szCs w:val="21"/>
        </w:rPr>
        <w:t xml:space="preserve">                                 日期：</w:t>
      </w:r>
      <w:r>
        <w:rPr>
          <w:rFonts w:hint="eastAsia" w:ascii="宋体" w:hAnsi="宋体" w:cs="宋体"/>
          <w:bCs/>
          <w:sz w:val="24"/>
          <w:szCs w:val="21"/>
          <w:u w:val="single"/>
        </w:rPr>
        <w:t>______</w:t>
      </w:r>
      <w:r>
        <w:rPr>
          <w:rFonts w:hint="eastAsia" w:ascii="宋体" w:hAnsi="宋体" w:cs="宋体"/>
          <w:bCs/>
          <w:sz w:val="24"/>
          <w:szCs w:val="21"/>
        </w:rPr>
        <w:t>年</w:t>
      </w:r>
      <w:r>
        <w:rPr>
          <w:rFonts w:hint="eastAsia" w:ascii="宋体" w:hAnsi="宋体" w:cs="宋体"/>
          <w:bCs/>
          <w:sz w:val="24"/>
          <w:szCs w:val="21"/>
          <w:u w:val="single"/>
        </w:rPr>
        <w:t xml:space="preserve">    </w:t>
      </w:r>
      <w:r>
        <w:rPr>
          <w:rFonts w:hint="eastAsia" w:ascii="宋体" w:hAnsi="宋体" w:cs="宋体"/>
          <w:bCs/>
          <w:sz w:val="24"/>
          <w:szCs w:val="21"/>
        </w:rPr>
        <w:t>月</w:t>
      </w:r>
      <w:r>
        <w:rPr>
          <w:rFonts w:hint="eastAsia" w:ascii="宋体" w:hAnsi="宋体" w:cs="宋体"/>
          <w:bCs/>
          <w:sz w:val="24"/>
          <w:szCs w:val="21"/>
          <w:u w:val="single"/>
        </w:rPr>
        <w:t xml:space="preserve">    </w:t>
      </w:r>
      <w:r>
        <w:rPr>
          <w:rFonts w:hint="eastAsia" w:ascii="宋体" w:hAnsi="宋体" w:cs="宋体"/>
          <w:bCs/>
          <w:sz w:val="24"/>
          <w:szCs w:val="21"/>
        </w:rPr>
        <w:t>日</w:t>
      </w:r>
    </w:p>
    <w:p w14:paraId="6641EF56">
      <w:pPr>
        <w:spacing w:line="360" w:lineRule="auto"/>
        <w:ind w:firstLine="482" w:firstLineChars="200"/>
        <w:contextualSpacing/>
        <w:rPr>
          <w:rFonts w:hint="eastAsia" w:ascii="宋体" w:hAnsi="宋体" w:cs="宋体"/>
          <w:b/>
          <w:sz w:val="24"/>
          <w:szCs w:val="28"/>
        </w:rPr>
      </w:pPr>
    </w:p>
    <w:p w14:paraId="2287D6C8">
      <w:pPr>
        <w:spacing w:line="360" w:lineRule="auto"/>
        <w:ind w:firstLine="480" w:firstLineChars="200"/>
        <w:jc w:val="both"/>
        <w:rPr>
          <w:rFonts w:hint="eastAsia" w:ascii="宋体" w:hAnsi="宋体" w:cs="宋体"/>
          <w:sz w:val="24"/>
          <w:szCs w:val="28"/>
        </w:rPr>
      </w:pPr>
    </w:p>
    <w:p w14:paraId="63FDCEB4">
      <w:pPr>
        <w:pStyle w:val="25"/>
        <w:spacing w:line="360" w:lineRule="auto"/>
        <w:ind w:left="440" w:firstLine="480"/>
        <w:rPr>
          <w:rFonts w:hint="eastAsia" w:ascii="宋体" w:hAnsi="宋体" w:cs="宋体"/>
          <w:sz w:val="24"/>
          <w:szCs w:val="28"/>
        </w:rPr>
      </w:pPr>
    </w:p>
    <w:p w14:paraId="122F083E">
      <w:pPr>
        <w:spacing w:line="360" w:lineRule="auto"/>
        <w:ind w:firstLine="480" w:firstLineChars="200"/>
        <w:rPr>
          <w:rFonts w:hint="eastAsia" w:ascii="宋体" w:hAnsi="宋体" w:cs="宋体"/>
          <w:sz w:val="24"/>
        </w:rPr>
      </w:pPr>
    </w:p>
    <w:p w14:paraId="4E49E18D">
      <w:pPr>
        <w:pStyle w:val="81"/>
        <w:spacing w:line="360" w:lineRule="auto"/>
        <w:ind w:firstLine="480"/>
        <w:rPr>
          <w:rFonts w:hint="eastAsia" w:ascii="宋体" w:hAnsi="宋体" w:eastAsia="宋体" w:cs="宋体"/>
        </w:rPr>
      </w:pPr>
    </w:p>
    <w:p w14:paraId="4F2E8A8F">
      <w:pPr>
        <w:kinsoku w:val="0"/>
        <w:topLinePunct/>
        <w:autoSpaceDE w:val="0"/>
        <w:autoSpaceDN w:val="0"/>
        <w:spacing w:line="360" w:lineRule="auto"/>
        <w:ind w:right="210" w:firstLine="482" w:firstLineChars="200"/>
        <w:jc w:val="center"/>
        <w:textAlignment w:val="baseline"/>
        <w:rPr>
          <w:rFonts w:hint="eastAsia" w:ascii="宋体" w:hAnsi="宋体" w:cs="宋体"/>
          <w:b/>
          <w:sz w:val="24"/>
          <w:szCs w:val="28"/>
        </w:rPr>
      </w:pPr>
      <w:r>
        <w:rPr>
          <w:rFonts w:hint="eastAsia" w:ascii="宋体" w:hAnsi="宋体" w:cs="宋体"/>
          <w:b/>
          <w:bCs/>
          <w:sz w:val="24"/>
          <w:szCs w:val="28"/>
        </w:rPr>
        <w:t>4.</w:t>
      </w:r>
      <w:r>
        <w:rPr>
          <w:rFonts w:hint="eastAsia" w:ascii="宋体" w:hAnsi="宋体" w:cs="宋体"/>
          <w:b/>
          <w:sz w:val="24"/>
          <w:szCs w:val="28"/>
        </w:rPr>
        <w:t>无重大违法记录声明</w:t>
      </w:r>
    </w:p>
    <w:p w14:paraId="70FA2F87">
      <w:pPr>
        <w:spacing w:line="360" w:lineRule="auto"/>
        <w:ind w:firstLine="480" w:firstLineChars="200"/>
        <w:rPr>
          <w:rFonts w:hint="eastAsia" w:ascii="宋体" w:hAnsi="宋体" w:cs="宋体"/>
          <w:bCs/>
          <w:sz w:val="24"/>
          <w:szCs w:val="28"/>
        </w:rPr>
      </w:pPr>
    </w:p>
    <w:p w14:paraId="49BCEE9D">
      <w:pPr>
        <w:spacing w:line="360" w:lineRule="auto"/>
        <w:ind w:firstLine="480" w:firstLineChars="200"/>
        <w:rPr>
          <w:rFonts w:hint="eastAsia" w:ascii="宋体" w:hAnsi="宋体" w:cs="宋体"/>
          <w:bCs/>
          <w:sz w:val="24"/>
          <w:szCs w:val="28"/>
        </w:rPr>
      </w:pPr>
      <w:r>
        <w:rPr>
          <w:rFonts w:hint="eastAsia" w:ascii="宋体" w:hAnsi="宋体" w:cs="宋体"/>
          <w:bCs/>
          <w:sz w:val="24"/>
          <w:szCs w:val="28"/>
        </w:rPr>
        <w:t>江苏商贸职业学院：</w:t>
      </w:r>
    </w:p>
    <w:p w14:paraId="2C1CDEB3">
      <w:pPr>
        <w:spacing w:line="360" w:lineRule="auto"/>
        <w:ind w:firstLine="480" w:firstLineChars="200"/>
        <w:rPr>
          <w:rFonts w:hint="eastAsia" w:ascii="宋体" w:hAnsi="宋体" w:cs="宋体"/>
          <w:sz w:val="24"/>
          <w:szCs w:val="28"/>
        </w:rPr>
      </w:pPr>
      <w:r>
        <w:rPr>
          <w:rFonts w:hint="eastAsia" w:ascii="宋体" w:hAnsi="宋体" w:cs="宋体"/>
          <w:sz w:val="24"/>
          <w:szCs w:val="28"/>
        </w:rPr>
        <w:t>我公司郑重声明：参加本次采购活动前 3 年内，我公司在经营活动中</w:t>
      </w:r>
      <w:r>
        <w:rPr>
          <w:rFonts w:hint="eastAsia" w:ascii="宋体" w:hAnsi="宋体" w:cs="宋体"/>
          <w:b/>
          <w:bCs/>
          <w:sz w:val="24"/>
          <w:szCs w:val="28"/>
          <w:u w:val="single"/>
        </w:rPr>
        <w:t>（有/没有）</w:t>
      </w:r>
      <w:r>
        <w:rPr>
          <w:rFonts w:hint="eastAsia" w:ascii="宋体" w:hAnsi="宋体" w:cs="宋体"/>
          <w:sz w:val="24"/>
          <w:szCs w:val="28"/>
        </w:rPr>
        <w:t>因违法经营受到刑事处罚或者责令停产停业、吊销许可证或者执照、较大数额罚款等行政处罚。</w:t>
      </w:r>
    </w:p>
    <w:p w14:paraId="57133E49">
      <w:pPr>
        <w:spacing w:line="360" w:lineRule="auto"/>
        <w:ind w:firstLine="480" w:firstLineChars="200"/>
        <w:rPr>
          <w:rFonts w:hint="eastAsia" w:ascii="宋体" w:hAnsi="宋体" w:cs="宋体"/>
          <w:sz w:val="24"/>
          <w:szCs w:val="28"/>
        </w:rPr>
      </w:pPr>
      <w:r>
        <w:rPr>
          <w:rFonts w:hint="eastAsia" w:ascii="宋体" w:hAnsi="宋体" w:cs="宋体"/>
          <w:sz w:val="24"/>
          <w:szCs w:val="28"/>
        </w:rPr>
        <w:t>在投标截止时间节点，没有被</w:t>
      </w:r>
      <w:r>
        <w:rPr>
          <w:rFonts w:hint="eastAsia" w:ascii="宋体" w:hAnsi="宋体" w:cs="宋体"/>
          <w:sz w:val="24"/>
          <w:szCs w:val="32"/>
        </w:rPr>
        <w:t>“信用江苏”“信用中国”</w:t>
      </w:r>
      <w:r>
        <w:rPr>
          <w:rFonts w:hint="eastAsia" w:ascii="宋体" w:hAnsi="宋体" w:cs="宋体"/>
          <w:sz w:val="24"/>
          <w:szCs w:val="28"/>
        </w:rPr>
        <w:t>网站列入失信被执行人、重大税收违法案件当事人名单、采购严重违法失信行为记录名单。</w:t>
      </w:r>
    </w:p>
    <w:p w14:paraId="33EE5703">
      <w:pPr>
        <w:spacing w:line="360" w:lineRule="auto"/>
        <w:ind w:firstLine="480" w:firstLineChars="200"/>
        <w:rPr>
          <w:rFonts w:hint="eastAsia" w:ascii="宋体" w:hAnsi="宋体" w:cs="宋体"/>
          <w:sz w:val="24"/>
          <w:szCs w:val="28"/>
        </w:rPr>
      </w:pPr>
    </w:p>
    <w:p w14:paraId="3CDDF54A">
      <w:pPr>
        <w:spacing w:line="360" w:lineRule="auto"/>
        <w:ind w:right="720" w:firstLine="480" w:firstLineChars="200"/>
        <w:contextualSpacing/>
        <w:jc w:val="right"/>
        <w:rPr>
          <w:rFonts w:hint="eastAsia" w:ascii="宋体" w:hAnsi="宋体" w:cs="宋体"/>
          <w:sz w:val="24"/>
          <w:szCs w:val="28"/>
        </w:rPr>
      </w:pPr>
      <w:r>
        <w:rPr>
          <w:rFonts w:hint="eastAsia" w:ascii="宋体" w:hAnsi="宋体" w:cs="宋体"/>
          <w:sz w:val="24"/>
          <w:szCs w:val="28"/>
        </w:rPr>
        <w:t>法定代表人或授权委托人签字：</w:t>
      </w:r>
    </w:p>
    <w:p w14:paraId="130F4EEF">
      <w:pPr>
        <w:spacing w:line="360" w:lineRule="auto"/>
        <w:ind w:right="720" w:firstLine="480" w:firstLineChars="200"/>
        <w:contextualSpacing/>
        <w:jc w:val="center"/>
        <w:rPr>
          <w:rFonts w:hint="eastAsia" w:ascii="宋体" w:hAnsi="宋体" w:cs="宋体"/>
          <w:sz w:val="24"/>
          <w:szCs w:val="28"/>
        </w:rPr>
      </w:pPr>
      <w:r>
        <w:rPr>
          <w:rFonts w:hint="eastAsia" w:ascii="宋体" w:hAnsi="宋体" w:cs="宋体"/>
          <w:sz w:val="24"/>
          <w:szCs w:val="28"/>
        </w:rPr>
        <w:t xml:space="preserve">                              供应商名称（盖章）：</w:t>
      </w:r>
    </w:p>
    <w:p w14:paraId="4A5D99CC">
      <w:pPr>
        <w:spacing w:line="360" w:lineRule="auto"/>
        <w:ind w:firstLine="480" w:firstLineChars="200"/>
        <w:jc w:val="center"/>
        <w:outlineLvl w:val="0"/>
        <w:rPr>
          <w:rFonts w:hint="eastAsia" w:ascii="宋体" w:hAnsi="宋体" w:cs="宋体"/>
          <w:sz w:val="24"/>
          <w:szCs w:val="28"/>
        </w:rPr>
        <w:sectPr>
          <w:headerReference r:id="rId6" w:type="default"/>
          <w:footerReference r:id="rId7" w:type="default"/>
          <w:pgSz w:w="11906" w:h="16838"/>
          <w:pgMar w:top="1361" w:right="1361" w:bottom="1361" w:left="1361" w:header="708" w:footer="709" w:gutter="0"/>
          <w:cols w:space="720" w:num="1"/>
          <w:docGrid w:linePitch="360" w:charSpace="0"/>
        </w:sectPr>
      </w:pPr>
      <w:r>
        <w:rPr>
          <w:rFonts w:hint="eastAsia" w:ascii="宋体" w:hAnsi="宋体" w:cs="宋体"/>
          <w:sz w:val="24"/>
          <w:szCs w:val="28"/>
        </w:rPr>
        <w:t xml:space="preserve">           </w:t>
      </w:r>
      <w:bookmarkStart w:id="4" w:name="_Toc12794"/>
      <w:r>
        <w:rPr>
          <w:rFonts w:hint="eastAsia" w:ascii="宋体" w:hAnsi="宋体" w:cs="宋体"/>
          <w:sz w:val="24"/>
          <w:szCs w:val="28"/>
        </w:rPr>
        <w:t>日期：</w:t>
      </w:r>
      <w:bookmarkEnd w:id="4"/>
    </w:p>
    <w:p w14:paraId="54BA0183">
      <w:pPr>
        <w:spacing w:line="360" w:lineRule="auto"/>
        <w:ind w:firstLine="482" w:firstLineChars="200"/>
        <w:contextualSpacing/>
        <w:jc w:val="center"/>
        <w:rPr>
          <w:rFonts w:hint="eastAsia" w:ascii="宋体" w:hAnsi="宋体" w:cs="宋体"/>
          <w:b/>
          <w:sz w:val="24"/>
          <w:szCs w:val="32"/>
        </w:rPr>
      </w:pPr>
      <w:r>
        <w:rPr>
          <w:rFonts w:hint="eastAsia" w:ascii="宋体" w:hAnsi="宋体" w:cs="宋体"/>
          <w:b/>
          <w:sz w:val="24"/>
          <w:szCs w:val="32"/>
        </w:rPr>
        <w:t>5.商务部分正负偏离表</w:t>
      </w:r>
    </w:p>
    <w:p w14:paraId="2F8DB582">
      <w:pPr>
        <w:spacing w:line="360" w:lineRule="auto"/>
        <w:ind w:firstLine="480" w:firstLineChars="200"/>
        <w:jc w:val="center"/>
        <w:rPr>
          <w:rFonts w:hint="eastAsia" w:ascii="宋体" w:hAnsi="宋体" w:cs="宋体"/>
          <w:sz w:val="24"/>
          <w:szCs w:val="28"/>
        </w:rPr>
      </w:pPr>
      <w:r>
        <w:rPr>
          <w:rFonts w:hint="eastAsia" w:ascii="宋体" w:hAnsi="宋体" w:cs="宋体"/>
          <w:sz w:val="24"/>
          <w:szCs w:val="28"/>
        </w:rPr>
        <w:t>（由供应商据实填写，表格不够自行添加）</w:t>
      </w:r>
    </w:p>
    <w:tbl>
      <w:tblPr>
        <w:tblStyle w:val="2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64"/>
        <w:gridCol w:w="2358"/>
        <w:gridCol w:w="2059"/>
        <w:gridCol w:w="2656"/>
        <w:gridCol w:w="1463"/>
      </w:tblGrid>
      <w:tr w14:paraId="1733FE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4" w:hRule="atLeast"/>
        </w:trPr>
        <w:tc>
          <w:tcPr>
            <w:tcW w:w="460" w:type="pct"/>
            <w:tcBorders>
              <w:top w:val="single" w:color="auto" w:sz="12" w:space="0"/>
              <w:left w:val="single" w:color="auto" w:sz="12" w:space="0"/>
              <w:bottom w:val="single" w:color="auto" w:sz="6" w:space="0"/>
              <w:right w:val="single" w:color="auto" w:sz="6" w:space="0"/>
            </w:tcBorders>
            <w:vAlign w:val="center"/>
          </w:tcPr>
          <w:p w14:paraId="45CB46DA">
            <w:pPr>
              <w:pStyle w:val="90"/>
            </w:pPr>
            <w: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22C46696">
            <w:pPr>
              <w:pStyle w:val="90"/>
            </w:pPr>
            <w: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2380B94A">
            <w:pPr>
              <w:pStyle w:val="90"/>
            </w:pPr>
            <w:r>
              <w:t>采购文件要求的商务条款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19682404">
            <w:pPr>
              <w:pStyle w:val="90"/>
            </w:pPr>
            <w:r>
              <w:t>响应文件响应情况</w:t>
            </w:r>
          </w:p>
        </w:tc>
        <w:tc>
          <w:tcPr>
            <w:tcW w:w="778" w:type="pct"/>
            <w:tcBorders>
              <w:top w:val="single" w:color="auto" w:sz="12" w:space="0"/>
              <w:left w:val="single" w:color="auto" w:sz="6" w:space="0"/>
              <w:bottom w:val="single" w:color="auto" w:sz="6" w:space="0"/>
              <w:right w:val="single" w:color="auto" w:sz="12" w:space="0"/>
            </w:tcBorders>
          </w:tcPr>
          <w:p w14:paraId="0E338729">
            <w:pPr>
              <w:pStyle w:val="90"/>
            </w:pPr>
            <w:r>
              <w:t>偏离说明</w:t>
            </w:r>
          </w:p>
        </w:tc>
      </w:tr>
      <w:tr w14:paraId="1759D0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34893E2E">
            <w:pPr>
              <w:pStyle w:val="90"/>
            </w:pPr>
            <w:r>
              <w:t>1</w:t>
            </w:r>
          </w:p>
        </w:tc>
        <w:tc>
          <w:tcPr>
            <w:tcW w:w="1254" w:type="pct"/>
            <w:tcBorders>
              <w:top w:val="single" w:color="auto" w:sz="6" w:space="0"/>
              <w:left w:val="single" w:color="auto" w:sz="6" w:space="0"/>
              <w:bottom w:val="single" w:color="auto" w:sz="6" w:space="0"/>
              <w:right w:val="single" w:color="auto" w:sz="6" w:space="0"/>
            </w:tcBorders>
            <w:vAlign w:val="center"/>
          </w:tcPr>
          <w:p w14:paraId="4447699A">
            <w:pPr>
              <w:pStyle w:val="90"/>
            </w:pPr>
          </w:p>
        </w:tc>
        <w:tc>
          <w:tcPr>
            <w:tcW w:w="1095" w:type="pct"/>
            <w:tcBorders>
              <w:top w:val="single" w:color="auto" w:sz="6" w:space="0"/>
              <w:left w:val="single" w:color="auto" w:sz="6" w:space="0"/>
              <w:bottom w:val="single" w:color="auto" w:sz="6" w:space="0"/>
              <w:right w:val="single" w:color="auto" w:sz="6" w:space="0"/>
            </w:tcBorders>
            <w:vAlign w:val="center"/>
          </w:tcPr>
          <w:p w14:paraId="0E9E92CA">
            <w:pPr>
              <w:pStyle w:val="90"/>
            </w:pPr>
          </w:p>
        </w:tc>
        <w:tc>
          <w:tcPr>
            <w:tcW w:w="1413" w:type="pct"/>
            <w:tcBorders>
              <w:top w:val="single" w:color="auto" w:sz="6" w:space="0"/>
              <w:left w:val="single" w:color="auto" w:sz="6" w:space="0"/>
              <w:bottom w:val="single" w:color="auto" w:sz="6" w:space="0"/>
              <w:right w:val="single" w:color="auto" w:sz="6" w:space="0"/>
            </w:tcBorders>
            <w:vAlign w:val="center"/>
          </w:tcPr>
          <w:p w14:paraId="380830D3">
            <w:pPr>
              <w:pStyle w:val="90"/>
            </w:pPr>
          </w:p>
        </w:tc>
        <w:tc>
          <w:tcPr>
            <w:tcW w:w="778" w:type="pct"/>
            <w:tcBorders>
              <w:top w:val="single" w:color="auto" w:sz="6" w:space="0"/>
              <w:left w:val="single" w:color="auto" w:sz="6" w:space="0"/>
              <w:bottom w:val="single" w:color="auto" w:sz="6" w:space="0"/>
              <w:right w:val="single" w:color="auto" w:sz="12" w:space="0"/>
            </w:tcBorders>
          </w:tcPr>
          <w:p w14:paraId="3313B218">
            <w:pPr>
              <w:pStyle w:val="90"/>
            </w:pPr>
          </w:p>
        </w:tc>
      </w:tr>
      <w:tr w14:paraId="5C7B45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5BC1CB19">
            <w:pPr>
              <w:pStyle w:val="90"/>
            </w:pPr>
            <w:r>
              <w:t>2</w:t>
            </w:r>
          </w:p>
        </w:tc>
        <w:tc>
          <w:tcPr>
            <w:tcW w:w="1254" w:type="pct"/>
            <w:tcBorders>
              <w:top w:val="single" w:color="auto" w:sz="6" w:space="0"/>
              <w:left w:val="single" w:color="auto" w:sz="6" w:space="0"/>
              <w:bottom w:val="single" w:color="auto" w:sz="6" w:space="0"/>
              <w:right w:val="single" w:color="auto" w:sz="6" w:space="0"/>
            </w:tcBorders>
            <w:vAlign w:val="center"/>
          </w:tcPr>
          <w:p w14:paraId="55879B71">
            <w:pPr>
              <w:pStyle w:val="90"/>
            </w:pPr>
          </w:p>
        </w:tc>
        <w:tc>
          <w:tcPr>
            <w:tcW w:w="1095" w:type="pct"/>
            <w:tcBorders>
              <w:top w:val="single" w:color="auto" w:sz="6" w:space="0"/>
              <w:left w:val="single" w:color="auto" w:sz="6" w:space="0"/>
              <w:bottom w:val="single" w:color="auto" w:sz="6" w:space="0"/>
              <w:right w:val="single" w:color="auto" w:sz="6" w:space="0"/>
            </w:tcBorders>
            <w:vAlign w:val="center"/>
          </w:tcPr>
          <w:p w14:paraId="7EB7DD3A">
            <w:pPr>
              <w:pStyle w:val="90"/>
            </w:pPr>
          </w:p>
        </w:tc>
        <w:tc>
          <w:tcPr>
            <w:tcW w:w="1413" w:type="pct"/>
            <w:tcBorders>
              <w:top w:val="single" w:color="auto" w:sz="6" w:space="0"/>
              <w:left w:val="single" w:color="auto" w:sz="6" w:space="0"/>
              <w:bottom w:val="single" w:color="auto" w:sz="6" w:space="0"/>
              <w:right w:val="single" w:color="auto" w:sz="6" w:space="0"/>
            </w:tcBorders>
            <w:vAlign w:val="center"/>
          </w:tcPr>
          <w:p w14:paraId="2D18D82A">
            <w:pPr>
              <w:pStyle w:val="90"/>
            </w:pPr>
          </w:p>
        </w:tc>
        <w:tc>
          <w:tcPr>
            <w:tcW w:w="778" w:type="pct"/>
            <w:tcBorders>
              <w:top w:val="single" w:color="auto" w:sz="6" w:space="0"/>
              <w:left w:val="single" w:color="auto" w:sz="6" w:space="0"/>
              <w:bottom w:val="single" w:color="auto" w:sz="6" w:space="0"/>
              <w:right w:val="single" w:color="auto" w:sz="12" w:space="0"/>
            </w:tcBorders>
          </w:tcPr>
          <w:p w14:paraId="69883A1F">
            <w:pPr>
              <w:pStyle w:val="90"/>
            </w:pPr>
          </w:p>
        </w:tc>
      </w:tr>
      <w:tr w14:paraId="6F07E7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001755D0">
            <w:pPr>
              <w:pStyle w:val="90"/>
            </w:pPr>
            <w:r>
              <w:t>3</w:t>
            </w:r>
          </w:p>
        </w:tc>
        <w:tc>
          <w:tcPr>
            <w:tcW w:w="1254" w:type="pct"/>
            <w:tcBorders>
              <w:top w:val="single" w:color="auto" w:sz="6" w:space="0"/>
              <w:left w:val="single" w:color="auto" w:sz="6" w:space="0"/>
              <w:bottom w:val="single" w:color="auto" w:sz="6" w:space="0"/>
              <w:right w:val="single" w:color="auto" w:sz="6" w:space="0"/>
            </w:tcBorders>
            <w:vAlign w:val="center"/>
          </w:tcPr>
          <w:p w14:paraId="6C70FFFD">
            <w:pPr>
              <w:pStyle w:val="90"/>
            </w:pPr>
          </w:p>
        </w:tc>
        <w:tc>
          <w:tcPr>
            <w:tcW w:w="1095" w:type="pct"/>
            <w:tcBorders>
              <w:top w:val="single" w:color="auto" w:sz="6" w:space="0"/>
              <w:left w:val="single" w:color="auto" w:sz="6" w:space="0"/>
              <w:bottom w:val="single" w:color="auto" w:sz="6" w:space="0"/>
              <w:right w:val="single" w:color="auto" w:sz="6" w:space="0"/>
            </w:tcBorders>
            <w:vAlign w:val="center"/>
          </w:tcPr>
          <w:p w14:paraId="0409D654">
            <w:pPr>
              <w:pStyle w:val="90"/>
            </w:pPr>
          </w:p>
        </w:tc>
        <w:tc>
          <w:tcPr>
            <w:tcW w:w="1413" w:type="pct"/>
            <w:tcBorders>
              <w:top w:val="single" w:color="auto" w:sz="6" w:space="0"/>
              <w:left w:val="single" w:color="auto" w:sz="6" w:space="0"/>
              <w:bottom w:val="single" w:color="auto" w:sz="6" w:space="0"/>
              <w:right w:val="single" w:color="auto" w:sz="6" w:space="0"/>
            </w:tcBorders>
            <w:vAlign w:val="center"/>
          </w:tcPr>
          <w:p w14:paraId="41C1C966">
            <w:pPr>
              <w:pStyle w:val="90"/>
            </w:pPr>
          </w:p>
        </w:tc>
        <w:tc>
          <w:tcPr>
            <w:tcW w:w="778" w:type="pct"/>
            <w:tcBorders>
              <w:top w:val="single" w:color="auto" w:sz="6" w:space="0"/>
              <w:left w:val="single" w:color="auto" w:sz="6" w:space="0"/>
              <w:bottom w:val="single" w:color="auto" w:sz="6" w:space="0"/>
              <w:right w:val="single" w:color="auto" w:sz="12" w:space="0"/>
            </w:tcBorders>
          </w:tcPr>
          <w:p w14:paraId="56DDBC0D">
            <w:pPr>
              <w:pStyle w:val="90"/>
            </w:pPr>
          </w:p>
        </w:tc>
      </w:tr>
      <w:tr w14:paraId="67EA5D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50EACF22">
            <w:pPr>
              <w:pStyle w:val="90"/>
            </w:pPr>
            <w:r>
              <w:t>4</w:t>
            </w:r>
          </w:p>
        </w:tc>
        <w:tc>
          <w:tcPr>
            <w:tcW w:w="1254" w:type="pct"/>
            <w:tcBorders>
              <w:top w:val="single" w:color="auto" w:sz="6" w:space="0"/>
              <w:left w:val="single" w:color="auto" w:sz="6" w:space="0"/>
              <w:bottom w:val="single" w:color="auto" w:sz="6" w:space="0"/>
              <w:right w:val="single" w:color="auto" w:sz="6" w:space="0"/>
            </w:tcBorders>
            <w:vAlign w:val="center"/>
          </w:tcPr>
          <w:p w14:paraId="745F6E0E">
            <w:pPr>
              <w:pStyle w:val="90"/>
            </w:pPr>
            <w:r>
              <w:t>……</w:t>
            </w:r>
          </w:p>
        </w:tc>
        <w:tc>
          <w:tcPr>
            <w:tcW w:w="1095" w:type="pct"/>
            <w:tcBorders>
              <w:top w:val="single" w:color="auto" w:sz="6" w:space="0"/>
              <w:left w:val="single" w:color="auto" w:sz="6" w:space="0"/>
              <w:bottom w:val="single" w:color="auto" w:sz="6" w:space="0"/>
              <w:right w:val="single" w:color="auto" w:sz="6" w:space="0"/>
            </w:tcBorders>
            <w:vAlign w:val="center"/>
          </w:tcPr>
          <w:p w14:paraId="5860A7E0">
            <w:pPr>
              <w:pStyle w:val="90"/>
            </w:pPr>
            <w:r>
              <w:t>……</w:t>
            </w:r>
          </w:p>
        </w:tc>
        <w:tc>
          <w:tcPr>
            <w:tcW w:w="1413" w:type="pct"/>
            <w:tcBorders>
              <w:top w:val="single" w:color="auto" w:sz="6" w:space="0"/>
              <w:left w:val="single" w:color="auto" w:sz="6" w:space="0"/>
              <w:bottom w:val="single" w:color="auto" w:sz="6" w:space="0"/>
              <w:right w:val="single" w:color="auto" w:sz="6" w:space="0"/>
            </w:tcBorders>
            <w:vAlign w:val="center"/>
          </w:tcPr>
          <w:p w14:paraId="0C6D08FD">
            <w:pPr>
              <w:pStyle w:val="90"/>
            </w:pPr>
          </w:p>
        </w:tc>
        <w:tc>
          <w:tcPr>
            <w:tcW w:w="778" w:type="pct"/>
            <w:tcBorders>
              <w:top w:val="single" w:color="auto" w:sz="6" w:space="0"/>
              <w:left w:val="single" w:color="auto" w:sz="6" w:space="0"/>
              <w:bottom w:val="single" w:color="auto" w:sz="6" w:space="0"/>
              <w:right w:val="single" w:color="auto" w:sz="12" w:space="0"/>
            </w:tcBorders>
          </w:tcPr>
          <w:p w14:paraId="7B857109">
            <w:pPr>
              <w:pStyle w:val="90"/>
            </w:pPr>
          </w:p>
        </w:tc>
      </w:tr>
      <w:tr w14:paraId="523D3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05DB3B41">
            <w:pPr>
              <w:pStyle w:val="90"/>
            </w:pPr>
            <w:r>
              <w:t>5</w:t>
            </w:r>
          </w:p>
        </w:tc>
        <w:tc>
          <w:tcPr>
            <w:tcW w:w="1254" w:type="pct"/>
            <w:tcBorders>
              <w:top w:val="single" w:color="auto" w:sz="6" w:space="0"/>
              <w:left w:val="single" w:color="auto" w:sz="6" w:space="0"/>
              <w:bottom w:val="single" w:color="auto" w:sz="6" w:space="0"/>
              <w:right w:val="single" w:color="auto" w:sz="6" w:space="0"/>
            </w:tcBorders>
            <w:vAlign w:val="center"/>
          </w:tcPr>
          <w:p w14:paraId="0EEE50A5">
            <w:pPr>
              <w:pStyle w:val="90"/>
            </w:pPr>
          </w:p>
        </w:tc>
        <w:tc>
          <w:tcPr>
            <w:tcW w:w="1095" w:type="pct"/>
            <w:tcBorders>
              <w:top w:val="single" w:color="auto" w:sz="6" w:space="0"/>
              <w:left w:val="single" w:color="auto" w:sz="6" w:space="0"/>
              <w:bottom w:val="single" w:color="auto" w:sz="6" w:space="0"/>
              <w:right w:val="single" w:color="auto" w:sz="6" w:space="0"/>
            </w:tcBorders>
            <w:vAlign w:val="center"/>
          </w:tcPr>
          <w:p w14:paraId="5291D556">
            <w:pPr>
              <w:pStyle w:val="90"/>
            </w:pPr>
          </w:p>
        </w:tc>
        <w:tc>
          <w:tcPr>
            <w:tcW w:w="1413" w:type="pct"/>
            <w:tcBorders>
              <w:top w:val="single" w:color="auto" w:sz="6" w:space="0"/>
              <w:left w:val="single" w:color="auto" w:sz="6" w:space="0"/>
              <w:bottom w:val="single" w:color="auto" w:sz="6" w:space="0"/>
              <w:right w:val="single" w:color="auto" w:sz="6" w:space="0"/>
            </w:tcBorders>
            <w:vAlign w:val="center"/>
          </w:tcPr>
          <w:p w14:paraId="631BEB55">
            <w:pPr>
              <w:pStyle w:val="90"/>
            </w:pPr>
          </w:p>
        </w:tc>
        <w:tc>
          <w:tcPr>
            <w:tcW w:w="778" w:type="pct"/>
            <w:tcBorders>
              <w:top w:val="single" w:color="auto" w:sz="6" w:space="0"/>
              <w:left w:val="single" w:color="auto" w:sz="6" w:space="0"/>
              <w:bottom w:val="single" w:color="auto" w:sz="6" w:space="0"/>
              <w:right w:val="single" w:color="auto" w:sz="12" w:space="0"/>
            </w:tcBorders>
          </w:tcPr>
          <w:p w14:paraId="44306B12">
            <w:pPr>
              <w:pStyle w:val="90"/>
            </w:pPr>
          </w:p>
        </w:tc>
      </w:tr>
      <w:tr w14:paraId="468DE4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3A2C228B">
            <w:pPr>
              <w:pStyle w:val="90"/>
            </w:pPr>
            <w:r>
              <w:t>6</w:t>
            </w:r>
          </w:p>
        </w:tc>
        <w:tc>
          <w:tcPr>
            <w:tcW w:w="1254" w:type="pct"/>
            <w:tcBorders>
              <w:top w:val="single" w:color="auto" w:sz="6" w:space="0"/>
              <w:left w:val="single" w:color="auto" w:sz="6" w:space="0"/>
              <w:bottom w:val="single" w:color="auto" w:sz="6" w:space="0"/>
              <w:right w:val="single" w:color="auto" w:sz="6" w:space="0"/>
            </w:tcBorders>
            <w:vAlign w:val="center"/>
          </w:tcPr>
          <w:p w14:paraId="193DC995">
            <w:pPr>
              <w:pStyle w:val="90"/>
            </w:pPr>
            <w:r>
              <w:t>其他</w:t>
            </w:r>
          </w:p>
        </w:tc>
        <w:tc>
          <w:tcPr>
            <w:tcW w:w="1095" w:type="pct"/>
            <w:tcBorders>
              <w:top w:val="single" w:color="auto" w:sz="6" w:space="0"/>
              <w:left w:val="single" w:color="auto" w:sz="6" w:space="0"/>
              <w:bottom w:val="single" w:color="auto" w:sz="6" w:space="0"/>
              <w:right w:val="single" w:color="auto" w:sz="6" w:space="0"/>
            </w:tcBorders>
            <w:vAlign w:val="center"/>
          </w:tcPr>
          <w:p w14:paraId="495983BC">
            <w:pPr>
              <w:pStyle w:val="90"/>
            </w:pPr>
            <w:r>
              <w:t>询价文件所有商务部分要求</w:t>
            </w:r>
          </w:p>
        </w:tc>
        <w:tc>
          <w:tcPr>
            <w:tcW w:w="1413" w:type="pct"/>
            <w:tcBorders>
              <w:top w:val="single" w:color="auto" w:sz="6" w:space="0"/>
              <w:left w:val="single" w:color="auto" w:sz="6" w:space="0"/>
              <w:bottom w:val="single" w:color="auto" w:sz="6" w:space="0"/>
              <w:right w:val="single" w:color="auto" w:sz="6" w:space="0"/>
            </w:tcBorders>
            <w:vAlign w:val="center"/>
          </w:tcPr>
          <w:p w14:paraId="5F7BCDE3">
            <w:pPr>
              <w:pStyle w:val="90"/>
            </w:pPr>
          </w:p>
        </w:tc>
        <w:tc>
          <w:tcPr>
            <w:tcW w:w="778" w:type="pct"/>
            <w:tcBorders>
              <w:top w:val="single" w:color="auto" w:sz="6" w:space="0"/>
              <w:left w:val="single" w:color="auto" w:sz="6" w:space="0"/>
              <w:bottom w:val="single" w:color="auto" w:sz="6" w:space="0"/>
              <w:right w:val="single" w:color="auto" w:sz="12" w:space="0"/>
            </w:tcBorders>
          </w:tcPr>
          <w:p w14:paraId="384A428F">
            <w:pPr>
              <w:pStyle w:val="90"/>
            </w:pPr>
          </w:p>
        </w:tc>
      </w:tr>
    </w:tbl>
    <w:p w14:paraId="104E8687">
      <w:pPr>
        <w:spacing w:line="360" w:lineRule="auto"/>
        <w:ind w:firstLine="482" w:firstLineChars="200"/>
        <w:contextualSpacing/>
        <w:rPr>
          <w:rFonts w:hint="eastAsia" w:ascii="宋体" w:hAnsi="宋体" w:cs="宋体"/>
          <w:b/>
          <w:sz w:val="24"/>
        </w:rPr>
      </w:pPr>
      <w:r>
        <w:rPr>
          <w:rFonts w:hint="eastAsia" w:ascii="宋体" w:hAnsi="宋体" w:cs="宋体"/>
          <w:b/>
          <w:sz w:val="24"/>
        </w:rPr>
        <w:t>注：</w:t>
      </w:r>
    </w:p>
    <w:p w14:paraId="7B77B400">
      <w:pPr>
        <w:spacing w:line="360" w:lineRule="auto"/>
        <w:ind w:firstLine="480" w:firstLineChars="200"/>
        <w:contextualSpacing/>
        <w:rPr>
          <w:rFonts w:hint="eastAsia" w:ascii="宋体" w:hAnsi="宋体" w:cs="宋体"/>
          <w:sz w:val="24"/>
        </w:rPr>
      </w:pPr>
      <w:r>
        <w:rPr>
          <w:rFonts w:hint="eastAsia" w:ascii="宋体" w:hAnsi="宋体" w:cs="宋体"/>
          <w:sz w:val="24"/>
        </w:rPr>
        <w:t>1.供应商提交的响应文件中与询价文件第二部分“项目需求”中的商务部分的要求，应逐条填列在偏离表中。</w:t>
      </w:r>
    </w:p>
    <w:p w14:paraId="2FA052C8">
      <w:pPr>
        <w:spacing w:line="360" w:lineRule="auto"/>
        <w:ind w:firstLine="480" w:firstLineChars="200"/>
        <w:contextualSpacing/>
        <w:rPr>
          <w:rFonts w:hint="eastAsia" w:ascii="宋体" w:hAnsi="宋体" w:cs="宋体"/>
          <w:sz w:val="24"/>
        </w:rPr>
      </w:pPr>
      <w:r>
        <w:rPr>
          <w:rFonts w:hint="eastAsia" w:ascii="宋体" w:hAnsi="宋体" w:cs="宋体"/>
          <w:sz w:val="24"/>
        </w:rPr>
        <w:t>2.“偏离说明”一栏选择“正偏离”、“负偏离”、“无偏离”进行填写。正偏离、负偏离、无偏离的确认，由评标小组认定。</w:t>
      </w:r>
    </w:p>
    <w:p w14:paraId="5459BE37">
      <w:pPr>
        <w:spacing w:line="360" w:lineRule="auto"/>
        <w:ind w:firstLine="480" w:firstLineChars="200"/>
        <w:contextualSpacing/>
        <w:rPr>
          <w:rFonts w:hint="eastAsia" w:ascii="宋体" w:hAnsi="宋体" w:cs="宋体"/>
          <w:bCs/>
          <w:sz w:val="24"/>
        </w:rPr>
      </w:pPr>
      <w:r>
        <w:rPr>
          <w:rFonts w:hint="eastAsia" w:ascii="宋体" w:hAnsi="宋体" w:cs="宋体"/>
          <w:bCs/>
          <w:sz w:val="24"/>
        </w:rPr>
        <w:t>3.供应商若提供其他增值服务，可以在表中自行据实填写。</w:t>
      </w:r>
    </w:p>
    <w:p w14:paraId="671A7F90">
      <w:pPr>
        <w:spacing w:line="360" w:lineRule="auto"/>
        <w:ind w:firstLine="480" w:firstLineChars="200"/>
        <w:rPr>
          <w:rFonts w:hint="eastAsia" w:ascii="宋体" w:hAnsi="宋体" w:cs="宋体"/>
          <w:b/>
          <w:sz w:val="24"/>
          <w:szCs w:val="32"/>
        </w:rPr>
      </w:pPr>
      <w:r>
        <w:rPr>
          <w:rFonts w:hint="eastAsia" w:ascii="宋体" w:hAnsi="宋体" w:cs="宋体"/>
          <w:bCs/>
          <w:sz w:val="24"/>
        </w:rPr>
        <w:t>4.若完全响应本项目需求且无偏离，投标时本表可空白盖章提供。</w:t>
      </w:r>
    </w:p>
    <w:p w14:paraId="1E717D0C">
      <w:pPr>
        <w:spacing w:line="360" w:lineRule="auto"/>
        <w:ind w:firstLine="482" w:firstLineChars="200"/>
        <w:rPr>
          <w:rFonts w:hint="eastAsia" w:ascii="宋体" w:hAnsi="宋体" w:cs="宋体"/>
          <w:b/>
          <w:sz w:val="24"/>
          <w:szCs w:val="32"/>
        </w:rPr>
      </w:pPr>
      <w:r>
        <w:rPr>
          <w:rFonts w:hint="eastAsia" w:ascii="宋体" w:hAnsi="宋体" w:cs="宋体"/>
          <w:b/>
          <w:sz w:val="24"/>
          <w:szCs w:val="32"/>
        </w:rPr>
        <w:br w:type="page"/>
      </w:r>
    </w:p>
    <w:p w14:paraId="23BA8F38">
      <w:pPr>
        <w:spacing w:line="360" w:lineRule="auto"/>
        <w:ind w:firstLine="482" w:firstLineChars="200"/>
        <w:contextualSpacing/>
        <w:jc w:val="center"/>
        <w:rPr>
          <w:rFonts w:hint="eastAsia" w:ascii="宋体" w:hAnsi="宋体" w:cs="宋体"/>
          <w:b/>
          <w:sz w:val="24"/>
          <w:szCs w:val="32"/>
        </w:rPr>
      </w:pPr>
      <w:r>
        <w:rPr>
          <w:rFonts w:hint="eastAsia" w:ascii="宋体" w:hAnsi="宋体" w:cs="宋体"/>
          <w:b/>
          <w:sz w:val="24"/>
          <w:szCs w:val="32"/>
        </w:rPr>
        <w:t>6.技术部分正负偏离表</w:t>
      </w:r>
    </w:p>
    <w:p w14:paraId="0AA766FB">
      <w:pPr>
        <w:spacing w:line="360" w:lineRule="auto"/>
        <w:ind w:firstLine="480" w:firstLineChars="200"/>
        <w:jc w:val="center"/>
        <w:rPr>
          <w:rFonts w:hint="eastAsia" w:ascii="宋体" w:hAnsi="宋体" w:cs="宋体"/>
          <w:sz w:val="24"/>
          <w:szCs w:val="28"/>
        </w:rPr>
      </w:pPr>
      <w:r>
        <w:rPr>
          <w:rFonts w:hint="eastAsia" w:ascii="宋体" w:hAnsi="宋体" w:cs="宋体"/>
          <w:sz w:val="24"/>
          <w:szCs w:val="28"/>
        </w:rPr>
        <w:t>（由供应商据实填写，表格不够自行添加）</w:t>
      </w:r>
    </w:p>
    <w:tbl>
      <w:tblPr>
        <w:tblStyle w:val="2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63"/>
        <w:gridCol w:w="2358"/>
        <w:gridCol w:w="2058"/>
        <w:gridCol w:w="2657"/>
        <w:gridCol w:w="1464"/>
      </w:tblGrid>
      <w:tr w14:paraId="3C555D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59" w:type="pct"/>
            <w:tcBorders>
              <w:top w:val="single" w:color="auto" w:sz="12" w:space="0"/>
              <w:left w:val="single" w:color="auto" w:sz="12" w:space="0"/>
              <w:bottom w:val="single" w:color="auto" w:sz="6" w:space="0"/>
              <w:right w:val="single" w:color="auto" w:sz="6" w:space="0"/>
            </w:tcBorders>
            <w:vAlign w:val="center"/>
          </w:tcPr>
          <w:p w14:paraId="3399758E">
            <w:pPr>
              <w:pStyle w:val="90"/>
            </w:pPr>
            <w:r>
              <w:t>序号</w:t>
            </w:r>
          </w:p>
        </w:tc>
        <w:tc>
          <w:tcPr>
            <w:tcW w:w="1253" w:type="pct"/>
            <w:tcBorders>
              <w:top w:val="single" w:color="auto" w:sz="12" w:space="0"/>
              <w:left w:val="single" w:color="auto" w:sz="6" w:space="0"/>
              <w:bottom w:val="single" w:color="auto" w:sz="6" w:space="0"/>
              <w:right w:val="single" w:color="auto" w:sz="6" w:space="0"/>
            </w:tcBorders>
            <w:vAlign w:val="center"/>
          </w:tcPr>
          <w:p w14:paraId="5B7F124D">
            <w:pPr>
              <w:pStyle w:val="90"/>
            </w:pPr>
            <w:r>
              <w:t>货物或服务名称</w:t>
            </w:r>
          </w:p>
        </w:tc>
        <w:tc>
          <w:tcPr>
            <w:tcW w:w="1094" w:type="pct"/>
            <w:tcBorders>
              <w:top w:val="single" w:color="auto" w:sz="12" w:space="0"/>
              <w:left w:val="single" w:color="auto" w:sz="6" w:space="0"/>
              <w:bottom w:val="single" w:color="auto" w:sz="6" w:space="0"/>
              <w:right w:val="single" w:color="auto" w:sz="6" w:space="0"/>
            </w:tcBorders>
            <w:vAlign w:val="center"/>
          </w:tcPr>
          <w:p w14:paraId="5CD32ED9">
            <w:pPr>
              <w:pStyle w:val="90"/>
            </w:pPr>
            <w:r>
              <w:t>采购文件要求的技术条款</w:t>
            </w:r>
          </w:p>
        </w:tc>
        <w:tc>
          <w:tcPr>
            <w:tcW w:w="1412" w:type="pct"/>
            <w:tcBorders>
              <w:top w:val="single" w:color="auto" w:sz="12" w:space="0"/>
              <w:left w:val="single" w:color="auto" w:sz="6" w:space="0"/>
              <w:bottom w:val="single" w:color="auto" w:sz="6" w:space="0"/>
              <w:right w:val="single" w:color="auto" w:sz="6" w:space="0"/>
            </w:tcBorders>
            <w:vAlign w:val="center"/>
          </w:tcPr>
          <w:p w14:paraId="02D7C217">
            <w:pPr>
              <w:pStyle w:val="90"/>
            </w:pPr>
            <w:r>
              <w:t>响应文件响应情况</w:t>
            </w:r>
          </w:p>
        </w:tc>
        <w:tc>
          <w:tcPr>
            <w:tcW w:w="778" w:type="pct"/>
            <w:tcBorders>
              <w:top w:val="single" w:color="auto" w:sz="12" w:space="0"/>
              <w:left w:val="single" w:color="auto" w:sz="6" w:space="0"/>
              <w:bottom w:val="single" w:color="auto" w:sz="6" w:space="0"/>
              <w:right w:val="single" w:color="auto" w:sz="12" w:space="0"/>
            </w:tcBorders>
          </w:tcPr>
          <w:p w14:paraId="790B9B59">
            <w:pPr>
              <w:pStyle w:val="90"/>
            </w:pPr>
            <w:r>
              <w:t>偏离说明</w:t>
            </w:r>
          </w:p>
        </w:tc>
      </w:tr>
      <w:tr w14:paraId="029764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59" w:type="pct"/>
            <w:tcBorders>
              <w:top w:val="single" w:color="auto" w:sz="6" w:space="0"/>
              <w:left w:val="single" w:color="auto" w:sz="12" w:space="0"/>
              <w:bottom w:val="single" w:color="auto" w:sz="6" w:space="0"/>
              <w:right w:val="single" w:color="auto" w:sz="6" w:space="0"/>
            </w:tcBorders>
          </w:tcPr>
          <w:p w14:paraId="7245975F">
            <w:pPr>
              <w:pStyle w:val="90"/>
            </w:pPr>
            <w:r>
              <w:t>1</w:t>
            </w:r>
          </w:p>
        </w:tc>
        <w:tc>
          <w:tcPr>
            <w:tcW w:w="1253" w:type="pct"/>
            <w:tcBorders>
              <w:top w:val="single" w:color="auto" w:sz="6" w:space="0"/>
              <w:left w:val="single" w:color="auto" w:sz="6" w:space="0"/>
              <w:bottom w:val="single" w:color="auto" w:sz="6" w:space="0"/>
              <w:right w:val="single" w:color="auto" w:sz="6" w:space="0"/>
            </w:tcBorders>
            <w:vAlign w:val="center"/>
          </w:tcPr>
          <w:p w14:paraId="6799F43C">
            <w:pPr>
              <w:pStyle w:val="90"/>
            </w:pPr>
          </w:p>
        </w:tc>
        <w:tc>
          <w:tcPr>
            <w:tcW w:w="1094" w:type="pct"/>
            <w:tcBorders>
              <w:top w:val="single" w:color="auto" w:sz="6" w:space="0"/>
              <w:left w:val="single" w:color="auto" w:sz="6" w:space="0"/>
              <w:bottom w:val="single" w:color="auto" w:sz="6" w:space="0"/>
              <w:right w:val="single" w:color="auto" w:sz="6" w:space="0"/>
            </w:tcBorders>
            <w:vAlign w:val="center"/>
          </w:tcPr>
          <w:p w14:paraId="307BF1C9">
            <w:pPr>
              <w:pStyle w:val="90"/>
            </w:pPr>
          </w:p>
        </w:tc>
        <w:tc>
          <w:tcPr>
            <w:tcW w:w="1412" w:type="pct"/>
            <w:tcBorders>
              <w:top w:val="single" w:color="auto" w:sz="6" w:space="0"/>
              <w:left w:val="single" w:color="auto" w:sz="6" w:space="0"/>
              <w:bottom w:val="single" w:color="auto" w:sz="6" w:space="0"/>
              <w:right w:val="single" w:color="auto" w:sz="6" w:space="0"/>
            </w:tcBorders>
            <w:vAlign w:val="center"/>
          </w:tcPr>
          <w:p w14:paraId="7AEE0434">
            <w:pPr>
              <w:pStyle w:val="90"/>
            </w:pPr>
          </w:p>
        </w:tc>
        <w:tc>
          <w:tcPr>
            <w:tcW w:w="778" w:type="pct"/>
            <w:tcBorders>
              <w:top w:val="single" w:color="auto" w:sz="6" w:space="0"/>
              <w:left w:val="single" w:color="auto" w:sz="6" w:space="0"/>
              <w:bottom w:val="single" w:color="auto" w:sz="6" w:space="0"/>
              <w:right w:val="single" w:color="auto" w:sz="12" w:space="0"/>
            </w:tcBorders>
          </w:tcPr>
          <w:p w14:paraId="49CCF47C">
            <w:pPr>
              <w:pStyle w:val="90"/>
            </w:pPr>
          </w:p>
        </w:tc>
      </w:tr>
      <w:tr w14:paraId="3744E5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59" w:type="pct"/>
            <w:tcBorders>
              <w:top w:val="single" w:color="auto" w:sz="6" w:space="0"/>
              <w:left w:val="single" w:color="auto" w:sz="12" w:space="0"/>
              <w:bottom w:val="single" w:color="auto" w:sz="6" w:space="0"/>
              <w:right w:val="single" w:color="auto" w:sz="6" w:space="0"/>
            </w:tcBorders>
          </w:tcPr>
          <w:p w14:paraId="5376688B">
            <w:pPr>
              <w:pStyle w:val="90"/>
            </w:pPr>
            <w:r>
              <w:t>2</w:t>
            </w:r>
          </w:p>
        </w:tc>
        <w:tc>
          <w:tcPr>
            <w:tcW w:w="1253" w:type="pct"/>
            <w:tcBorders>
              <w:top w:val="single" w:color="auto" w:sz="6" w:space="0"/>
              <w:left w:val="single" w:color="auto" w:sz="6" w:space="0"/>
              <w:bottom w:val="single" w:color="auto" w:sz="6" w:space="0"/>
              <w:right w:val="single" w:color="auto" w:sz="6" w:space="0"/>
            </w:tcBorders>
            <w:vAlign w:val="center"/>
          </w:tcPr>
          <w:p w14:paraId="147FE3DD">
            <w:pPr>
              <w:pStyle w:val="90"/>
            </w:pPr>
          </w:p>
        </w:tc>
        <w:tc>
          <w:tcPr>
            <w:tcW w:w="1094" w:type="pct"/>
            <w:tcBorders>
              <w:top w:val="single" w:color="auto" w:sz="6" w:space="0"/>
              <w:left w:val="single" w:color="auto" w:sz="6" w:space="0"/>
              <w:bottom w:val="single" w:color="auto" w:sz="6" w:space="0"/>
              <w:right w:val="single" w:color="auto" w:sz="6" w:space="0"/>
            </w:tcBorders>
            <w:vAlign w:val="center"/>
          </w:tcPr>
          <w:p w14:paraId="13984AC8">
            <w:pPr>
              <w:pStyle w:val="90"/>
            </w:pPr>
          </w:p>
        </w:tc>
        <w:tc>
          <w:tcPr>
            <w:tcW w:w="1412" w:type="pct"/>
            <w:tcBorders>
              <w:top w:val="single" w:color="auto" w:sz="6" w:space="0"/>
              <w:left w:val="single" w:color="auto" w:sz="6" w:space="0"/>
              <w:bottom w:val="single" w:color="auto" w:sz="6" w:space="0"/>
              <w:right w:val="single" w:color="auto" w:sz="6" w:space="0"/>
            </w:tcBorders>
            <w:vAlign w:val="center"/>
          </w:tcPr>
          <w:p w14:paraId="3E822BB0">
            <w:pPr>
              <w:pStyle w:val="90"/>
            </w:pPr>
          </w:p>
        </w:tc>
        <w:tc>
          <w:tcPr>
            <w:tcW w:w="778" w:type="pct"/>
            <w:tcBorders>
              <w:top w:val="single" w:color="auto" w:sz="6" w:space="0"/>
              <w:left w:val="single" w:color="auto" w:sz="6" w:space="0"/>
              <w:bottom w:val="single" w:color="auto" w:sz="6" w:space="0"/>
              <w:right w:val="single" w:color="auto" w:sz="12" w:space="0"/>
            </w:tcBorders>
          </w:tcPr>
          <w:p w14:paraId="5B9374CC">
            <w:pPr>
              <w:pStyle w:val="90"/>
            </w:pPr>
          </w:p>
        </w:tc>
      </w:tr>
      <w:tr w14:paraId="5FE86F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9" w:type="pct"/>
            <w:tcBorders>
              <w:top w:val="single" w:color="auto" w:sz="6" w:space="0"/>
              <w:left w:val="single" w:color="auto" w:sz="12" w:space="0"/>
              <w:bottom w:val="single" w:color="auto" w:sz="6" w:space="0"/>
              <w:right w:val="single" w:color="auto" w:sz="6" w:space="0"/>
            </w:tcBorders>
          </w:tcPr>
          <w:p w14:paraId="3268A5BF">
            <w:pPr>
              <w:pStyle w:val="90"/>
            </w:pPr>
            <w:r>
              <w:t>3</w:t>
            </w:r>
          </w:p>
        </w:tc>
        <w:tc>
          <w:tcPr>
            <w:tcW w:w="1253" w:type="pct"/>
            <w:tcBorders>
              <w:top w:val="single" w:color="auto" w:sz="6" w:space="0"/>
              <w:left w:val="single" w:color="auto" w:sz="6" w:space="0"/>
              <w:bottom w:val="single" w:color="auto" w:sz="6" w:space="0"/>
              <w:right w:val="single" w:color="auto" w:sz="6" w:space="0"/>
            </w:tcBorders>
            <w:vAlign w:val="center"/>
          </w:tcPr>
          <w:p w14:paraId="32CC894D">
            <w:pPr>
              <w:pStyle w:val="90"/>
            </w:pPr>
          </w:p>
        </w:tc>
        <w:tc>
          <w:tcPr>
            <w:tcW w:w="1094" w:type="pct"/>
            <w:tcBorders>
              <w:top w:val="single" w:color="auto" w:sz="6" w:space="0"/>
              <w:left w:val="single" w:color="auto" w:sz="6" w:space="0"/>
              <w:bottom w:val="single" w:color="auto" w:sz="6" w:space="0"/>
              <w:right w:val="single" w:color="auto" w:sz="6" w:space="0"/>
            </w:tcBorders>
            <w:vAlign w:val="center"/>
          </w:tcPr>
          <w:p w14:paraId="1419AEA1">
            <w:pPr>
              <w:pStyle w:val="90"/>
            </w:pPr>
          </w:p>
        </w:tc>
        <w:tc>
          <w:tcPr>
            <w:tcW w:w="1412" w:type="pct"/>
            <w:tcBorders>
              <w:top w:val="single" w:color="auto" w:sz="6" w:space="0"/>
              <w:left w:val="single" w:color="auto" w:sz="6" w:space="0"/>
              <w:bottom w:val="single" w:color="auto" w:sz="6" w:space="0"/>
              <w:right w:val="single" w:color="auto" w:sz="6" w:space="0"/>
            </w:tcBorders>
            <w:vAlign w:val="center"/>
          </w:tcPr>
          <w:p w14:paraId="4F8521D5">
            <w:pPr>
              <w:pStyle w:val="90"/>
            </w:pPr>
          </w:p>
        </w:tc>
        <w:tc>
          <w:tcPr>
            <w:tcW w:w="778" w:type="pct"/>
            <w:tcBorders>
              <w:top w:val="single" w:color="auto" w:sz="6" w:space="0"/>
              <w:left w:val="single" w:color="auto" w:sz="6" w:space="0"/>
              <w:bottom w:val="single" w:color="auto" w:sz="6" w:space="0"/>
              <w:right w:val="single" w:color="auto" w:sz="12" w:space="0"/>
            </w:tcBorders>
          </w:tcPr>
          <w:p w14:paraId="476487C0">
            <w:pPr>
              <w:pStyle w:val="90"/>
            </w:pPr>
          </w:p>
        </w:tc>
      </w:tr>
      <w:tr w14:paraId="6D6ED0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59" w:type="pct"/>
            <w:tcBorders>
              <w:top w:val="single" w:color="auto" w:sz="6" w:space="0"/>
              <w:left w:val="single" w:color="auto" w:sz="12" w:space="0"/>
              <w:bottom w:val="single" w:color="auto" w:sz="6" w:space="0"/>
              <w:right w:val="single" w:color="auto" w:sz="6" w:space="0"/>
            </w:tcBorders>
          </w:tcPr>
          <w:p w14:paraId="6AC8B5E0">
            <w:pPr>
              <w:pStyle w:val="90"/>
            </w:pPr>
            <w:r>
              <w:t>4</w:t>
            </w:r>
          </w:p>
        </w:tc>
        <w:tc>
          <w:tcPr>
            <w:tcW w:w="1253" w:type="pct"/>
            <w:tcBorders>
              <w:top w:val="single" w:color="auto" w:sz="6" w:space="0"/>
              <w:left w:val="single" w:color="auto" w:sz="6" w:space="0"/>
              <w:bottom w:val="single" w:color="auto" w:sz="6" w:space="0"/>
              <w:right w:val="single" w:color="auto" w:sz="6" w:space="0"/>
            </w:tcBorders>
            <w:vAlign w:val="center"/>
          </w:tcPr>
          <w:p w14:paraId="63CC5B9E">
            <w:pPr>
              <w:pStyle w:val="90"/>
            </w:pPr>
            <w:r>
              <w:t>……</w:t>
            </w:r>
          </w:p>
        </w:tc>
        <w:tc>
          <w:tcPr>
            <w:tcW w:w="1094" w:type="pct"/>
            <w:tcBorders>
              <w:top w:val="single" w:color="auto" w:sz="6" w:space="0"/>
              <w:left w:val="single" w:color="auto" w:sz="6" w:space="0"/>
              <w:bottom w:val="single" w:color="auto" w:sz="6" w:space="0"/>
              <w:right w:val="single" w:color="auto" w:sz="6" w:space="0"/>
            </w:tcBorders>
            <w:vAlign w:val="center"/>
          </w:tcPr>
          <w:p w14:paraId="713A0811">
            <w:pPr>
              <w:pStyle w:val="90"/>
            </w:pPr>
            <w:r>
              <w:t>……</w:t>
            </w:r>
          </w:p>
        </w:tc>
        <w:tc>
          <w:tcPr>
            <w:tcW w:w="1412" w:type="pct"/>
            <w:tcBorders>
              <w:top w:val="single" w:color="auto" w:sz="6" w:space="0"/>
              <w:left w:val="single" w:color="auto" w:sz="6" w:space="0"/>
              <w:bottom w:val="single" w:color="auto" w:sz="6" w:space="0"/>
              <w:right w:val="single" w:color="auto" w:sz="6" w:space="0"/>
            </w:tcBorders>
            <w:vAlign w:val="center"/>
          </w:tcPr>
          <w:p w14:paraId="071CA538">
            <w:pPr>
              <w:pStyle w:val="90"/>
            </w:pPr>
          </w:p>
        </w:tc>
        <w:tc>
          <w:tcPr>
            <w:tcW w:w="778" w:type="pct"/>
            <w:tcBorders>
              <w:top w:val="single" w:color="auto" w:sz="6" w:space="0"/>
              <w:left w:val="single" w:color="auto" w:sz="6" w:space="0"/>
              <w:bottom w:val="single" w:color="auto" w:sz="6" w:space="0"/>
              <w:right w:val="single" w:color="auto" w:sz="12" w:space="0"/>
            </w:tcBorders>
          </w:tcPr>
          <w:p w14:paraId="6C001790">
            <w:pPr>
              <w:pStyle w:val="90"/>
            </w:pPr>
          </w:p>
        </w:tc>
      </w:tr>
      <w:tr w14:paraId="107285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59" w:type="pct"/>
            <w:tcBorders>
              <w:top w:val="single" w:color="auto" w:sz="6" w:space="0"/>
              <w:left w:val="single" w:color="auto" w:sz="12" w:space="0"/>
              <w:bottom w:val="single" w:color="auto" w:sz="6" w:space="0"/>
              <w:right w:val="single" w:color="auto" w:sz="6" w:space="0"/>
            </w:tcBorders>
          </w:tcPr>
          <w:p w14:paraId="4B4C3D46">
            <w:pPr>
              <w:pStyle w:val="90"/>
            </w:pPr>
            <w:r>
              <w:t>5</w:t>
            </w:r>
          </w:p>
        </w:tc>
        <w:tc>
          <w:tcPr>
            <w:tcW w:w="1253" w:type="pct"/>
            <w:tcBorders>
              <w:top w:val="single" w:color="auto" w:sz="6" w:space="0"/>
              <w:left w:val="single" w:color="auto" w:sz="6" w:space="0"/>
              <w:bottom w:val="single" w:color="auto" w:sz="6" w:space="0"/>
              <w:right w:val="single" w:color="auto" w:sz="6" w:space="0"/>
            </w:tcBorders>
            <w:vAlign w:val="center"/>
          </w:tcPr>
          <w:p w14:paraId="162CC765">
            <w:pPr>
              <w:pStyle w:val="90"/>
            </w:pPr>
          </w:p>
        </w:tc>
        <w:tc>
          <w:tcPr>
            <w:tcW w:w="1094" w:type="pct"/>
            <w:tcBorders>
              <w:top w:val="single" w:color="auto" w:sz="6" w:space="0"/>
              <w:left w:val="single" w:color="auto" w:sz="6" w:space="0"/>
              <w:bottom w:val="single" w:color="auto" w:sz="6" w:space="0"/>
              <w:right w:val="single" w:color="auto" w:sz="6" w:space="0"/>
            </w:tcBorders>
            <w:vAlign w:val="center"/>
          </w:tcPr>
          <w:p w14:paraId="143A7E97">
            <w:pPr>
              <w:pStyle w:val="90"/>
            </w:pPr>
          </w:p>
        </w:tc>
        <w:tc>
          <w:tcPr>
            <w:tcW w:w="1412" w:type="pct"/>
            <w:tcBorders>
              <w:top w:val="single" w:color="auto" w:sz="6" w:space="0"/>
              <w:left w:val="single" w:color="auto" w:sz="6" w:space="0"/>
              <w:bottom w:val="single" w:color="auto" w:sz="6" w:space="0"/>
              <w:right w:val="single" w:color="auto" w:sz="6" w:space="0"/>
            </w:tcBorders>
            <w:vAlign w:val="center"/>
          </w:tcPr>
          <w:p w14:paraId="7C01D61F">
            <w:pPr>
              <w:pStyle w:val="90"/>
            </w:pPr>
          </w:p>
        </w:tc>
        <w:tc>
          <w:tcPr>
            <w:tcW w:w="778" w:type="pct"/>
            <w:tcBorders>
              <w:top w:val="single" w:color="auto" w:sz="6" w:space="0"/>
              <w:left w:val="single" w:color="auto" w:sz="6" w:space="0"/>
              <w:bottom w:val="single" w:color="auto" w:sz="6" w:space="0"/>
              <w:right w:val="single" w:color="auto" w:sz="12" w:space="0"/>
            </w:tcBorders>
          </w:tcPr>
          <w:p w14:paraId="2C64C6D8">
            <w:pPr>
              <w:pStyle w:val="90"/>
            </w:pPr>
          </w:p>
        </w:tc>
      </w:tr>
      <w:tr w14:paraId="62B78D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59" w:type="pct"/>
            <w:tcBorders>
              <w:top w:val="single" w:color="auto" w:sz="6" w:space="0"/>
              <w:left w:val="single" w:color="auto" w:sz="12" w:space="0"/>
              <w:bottom w:val="single" w:color="auto" w:sz="6" w:space="0"/>
              <w:right w:val="single" w:color="auto" w:sz="6" w:space="0"/>
            </w:tcBorders>
          </w:tcPr>
          <w:p w14:paraId="34A9A1E6">
            <w:pPr>
              <w:pStyle w:val="90"/>
            </w:pPr>
            <w:r>
              <w:t>6</w:t>
            </w:r>
          </w:p>
        </w:tc>
        <w:tc>
          <w:tcPr>
            <w:tcW w:w="1253" w:type="pct"/>
            <w:tcBorders>
              <w:top w:val="single" w:color="auto" w:sz="6" w:space="0"/>
              <w:left w:val="single" w:color="auto" w:sz="6" w:space="0"/>
              <w:bottom w:val="single" w:color="auto" w:sz="6" w:space="0"/>
              <w:right w:val="single" w:color="auto" w:sz="6" w:space="0"/>
            </w:tcBorders>
            <w:vAlign w:val="center"/>
          </w:tcPr>
          <w:p w14:paraId="06EB29B2">
            <w:pPr>
              <w:pStyle w:val="90"/>
            </w:pPr>
            <w:r>
              <w:t>其他</w:t>
            </w:r>
          </w:p>
        </w:tc>
        <w:tc>
          <w:tcPr>
            <w:tcW w:w="1094" w:type="pct"/>
            <w:tcBorders>
              <w:top w:val="single" w:color="auto" w:sz="6" w:space="0"/>
              <w:left w:val="single" w:color="auto" w:sz="6" w:space="0"/>
              <w:bottom w:val="single" w:color="auto" w:sz="6" w:space="0"/>
              <w:right w:val="single" w:color="auto" w:sz="6" w:space="0"/>
            </w:tcBorders>
            <w:vAlign w:val="center"/>
          </w:tcPr>
          <w:p w14:paraId="5D0CE627">
            <w:pPr>
              <w:pStyle w:val="90"/>
            </w:pPr>
            <w:r>
              <w:t>询价文件所有技术部分要求</w:t>
            </w:r>
          </w:p>
        </w:tc>
        <w:tc>
          <w:tcPr>
            <w:tcW w:w="1412" w:type="pct"/>
            <w:tcBorders>
              <w:top w:val="single" w:color="auto" w:sz="6" w:space="0"/>
              <w:left w:val="single" w:color="auto" w:sz="6" w:space="0"/>
              <w:bottom w:val="single" w:color="auto" w:sz="6" w:space="0"/>
              <w:right w:val="single" w:color="auto" w:sz="6" w:space="0"/>
            </w:tcBorders>
            <w:vAlign w:val="center"/>
          </w:tcPr>
          <w:p w14:paraId="40E58ABE">
            <w:pPr>
              <w:pStyle w:val="90"/>
            </w:pPr>
          </w:p>
        </w:tc>
        <w:tc>
          <w:tcPr>
            <w:tcW w:w="778" w:type="pct"/>
            <w:tcBorders>
              <w:top w:val="single" w:color="auto" w:sz="6" w:space="0"/>
              <w:left w:val="single" w:color="auto" w:sz="6" w:space="0"/>
              <w:bottom w:val="single" w:color="auto" w:sz="6" w:space="0"/>
              <w:right w:val="single" w:color="auto" w:sz="12" w:space="0"/>
            </w:tcBorders>
          </w:tcPr>
          <w:p w14:paraId="5D53DC9A">
            <w:pPr>
              <w:pStyle w:val="90"/>
            </w:pPr>
          </w:p>
        </w:tc>
      </w:tr>
    </w:tbl>
    <w:p w14:paraId="03AE5FC5">
      <w:pPr>
        <w:spacing w:line="360" w:lineRule="auto"/>
        <w:ind w:firstLine="482" w:firstLineChars="200"/>
        <w:contextualSpacing/>
        <w:rPr>
          <w:rFonts w:hint="eastAsia" w:ascii="宋体" w:hAnsi="宋体" w:cs="宋体"/>
          <w:b/>
          <w:sz w:val="24"/>
        </w:rPr>
      </w:pPr>
      <w:r>
        <w:rPr>
          <w:rFonts w:hint="eastAsia" w:ascii="宋体" w:hAnsi="宋体" w:cs="宋体"/>
          <w:b/>
          <w:sz w:val="24"/>
        </w:rPr>
        <w:t>注：</w:t>
      </w:r>
    </w:p>
    <w:p w14:paraId="7DD234AA">
      <w:pPr>
        <w:spacing w:line="360" w:lineRule="auto"/>
        <w:ind w:firstLine="480" w:firstLineChars="200"/>
        <w:contextualSpacing/>
        <w:rPr>
          <w:rFonts w:hint="eastAsia" w:ascii="宋体" w:hAnsi="宋体" w:cs="宋体"/>
          <w:sz w:val="24"/>
        </w:rPr>
      </w:pPr>
      <w:r>
        <w:rPr>
          <w:rFonts w:hint="eastAsia" w:ascii="宋体" w:hAnsi="宋体" w:cs="宋体"/>
          <w:sz w:val="24"/>
        </w:rPr>
        <w:t>1.供应商提交的响应文件中与询价文件第二部分“项目需求”中的技术部分的要求，应逐条填列在偏离表中。</w:t>
      </w:r>
    </w:p>
    <w:p w14:paraId="44516EFF">
      <w:pPr>
        <w:spacing w:line="360" w:lineRule="auto"/>
        <w:ind w:firstLine="480" w:firstLineChars="200"/>
        <w:contextualSpacing/>
        <w:rPr>
          <w:rFonts w:hint="eastAsia" w:ascii="宋体" w:hAnsi="宋体" w:cs="宋体"/>
          <w:sz w:val="24"/>
        </w:rPr>
      </w:pPr>
      <w:r>
        <w:rPr>
          <w:rFonts w:hint="eastAsia" w:ascii="宋体" w:hAnsi="宋体" w:cs="宋体"/>
          <w:sz w:val="24"/>
        </w:rPr>
        <w:t>2.“偏离说明”一栏选择“正偏离”、“负偏离”、“无偏离”进行填写。正偏离、负偏离、无偏离的确认，由评标小组认定。</w:t>
      </w:r>
    </w:p>
    <w:p w14:paraId="7EB8AA35">
      <w:pPr>
        <w:spacing w:line="360" w:lineRule="auto"/>
        <w:ind w:firstLine="480" w:firstLineChars="200"/>
        <w:contextualSpacing/>
        <w:rPr>
          <w:rFonts w:hint="eastAsia" w:ascii="宋体" w:hAnsi="宋体" w:cs="宋体"/>
          <w:bCs/>
          <w:sz w:val="24"/>
        </w:rPr>
      </w:pPr>
      <w:r>
        <w:rPr>
          <w:rFonts w:hint="eastAsia" w:ascii="宋体" w:hAnsi="宋体" w:cs="宋体"/>
          <w:bCs/>
          <w:sz w:val="24"/>
        </w:rPr>
        <w:t>3.供应商若提供其他增值服务，可以在表中自行据实填写。</w:t>
      </w:r>
    </w:p>
    <w:p w14:paraId="2F9F8D51">
      <w:pPr>
        <w:spacing w:line="360" w:lineRule="auto"/>
        <w:ind w:firstLine="482" w:firstLineChars="200"/>
        <w:rPr>
          <w:rFonts w:hint="eastAsia" w:ascii="宋体" w:hAnsi="宋体" w:cs="宋体"/>
          <w:b/>
          <w:sz w:val="24"/>
          <w:szCs w:val="24"/>
        </w:rPr>
      </w:pPr>
    </w:p>
    <w:p w14:paraId="5670898D">
      <w:pPr>
        <w:spacing w:line="360" w:lineRule="auto"/>
        <w:ind w:firstLine="4096" w:firstLineChars="1700"/>
        <w:jc w:val="both"/>
        <w:outlineLvl w:val="0"/>
        <w:rPr>
          <w:rFonts w:hint="eastAsia" w:ascii="宋体" w:hAnsi="宋体" w:cs="宋体"/>
          <w:b/>
          <w:sz w:val="24"/>
          <w:szCs w:val="24"/>
        </w:rPr>
      </w:pPr>
      <w:r>
        <w:rPr>
          <w:rFonts w:hint="eastAsia" w:ascii="宋体" w:hAnsi="宋体" w:cs="宋体"/>
          <w:b/>
          <w:sz w:val="24"/>
          <w:szCs w:val="24"/>
        </w:rPr>
        <w:br w:type="page"/>
      </w:r>
    </w:p>
    <w:p w14:paraId="46923ECC">
      <w:pPr>
        <w:spacing w:line="360" w:lineRule="auto"/>
        <w:ind w:firstLine="482" w:firstLineChars="200"/>
        <w:outlineLvl w:val="2"/>
        <w:rPr>
          <w:rFonts w:hint="eastAsia" w:ascii="宋体" w:hAnsi="宋体" w:cs="宋体"/>
          <w:b/>
          <w:sz w:val="24"/>
          <w:szCs w:val="28"/>
        </w:rPr>
      </w:pPr>
      <w:r>
        <w:rPr>
          <w:rFonts w:hint="eastAsia" w:ascii="宋体" w:hAnsi="宋体" w:cs="宋体"/>
          <w:b/>
          <w:sz w:val="24"/>
          <w:szCs w:val="24"/>
        </w:rPr>
        <w:t>（二）</w:t>
      </w:r>
      <w:r>
        <w:rPr>
          <w:rFonts w:hint="eastAsia" w:ascii="宋体" w:hAnsi="宋体" w:cs="宋体"/>
          <w:b/>
          <w:sz w:val="24"/>
          <w:szCs w:val="28"/>
        </w:rPr>
        <w:t>价格标响应文件相关格式</w:t>
      </w:r>
    </w:p>
    <w:p w14:paraId="696EB0CC">
      <w:pPr>
        <w:pStyle w:val="73"/>
        <w:snapToGrid w:val="0"/>
        <w:spacing w:line="360" w:lineRule="auto"/>
        <w:ind w:firstLine="482" w:firstLineChars="200"/>
        <w:jc w:val="center"/>
        <w:outlineLvl w:val="0"/>
        <w:rPr>
          <w:rFonts w:hint="eastAsia" w:ascii="宋体" w:eastAsia="宋体" w:cs="宋体"/>
          <w:b/>
          <w:sz w:val="24"/>
        </w:rPr>
      </w:pPr>
      <w:bookmarkStart w:id="5" w:name="_Toc23203"/>
      <w:r>
        <w:rPr>
          <w:rFonts w:hint="eastAsia" w:ascii="宋体" w:eastAsia="宋体" w:cs="宋体"/>
          <w:b/>
          <w:sz w:val="24"/>
        </w:rPr>
        <w:t>1.</w:t>
      </w:r>
      <w:bookmarkEnd w:id="5"/>
      <w:r>
        <w:rPr>
          <w:rFonts w:hint="eastAsia" w:ascii="宋体" w:eastAsia="宋体" w:cs="宋体"/>
          <w:b/>
          <w:sz w:val="24"/>
        </w:rPr>
        <w:t>报价总表</w:t>
      </w:r>
    </w:p>
    <w:tbl>
      <w:tblPr>
        <w:tblStyle w:val="26"/>
        <w:tblpPr w:leftFromText="180" w:rightFromText="180" w:vertAnchor="text" w:horzAnchor="page" w:tblpX="1312" w:tblpY="414"/>
        <w:tblOverlap w:val="never"/>
        <w:tblW w:w="94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1990"/>
        <w:gridCol w:w="1850"/>
      </w:tblGrid>
      <w:tr w14:paraId="7E5EFA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vAlign w:val="center"/>
          </w:tcPr>
          <w:p w14:paraId="359431D2">
            <w:pPr>
              <w:pStyle w:val="90"/>
            </w:pPr>
            <w:r>
              <w:t>项目名称</w:t>
            </w:r>
          </w:p>
        </w:tc>
        <w:tc>
          <w:tcPr>
            <w:tcW w:w="2400" w:type="dxa"/>
            <w:tcBorders>
              <w:top w:val="single" w:color="auto" w:sz="4" w:space="0"/>
              <w:left w:val="single" w:color="auto" w:sz="4" w:space="0"/>
              <w:bottom w:val="single" w:color="auto" w:sz="4" w:space="0"/>
              <w:right w:val="single" w:color="auto" w:sz="4" w:space="0"/>
            </w:tcBorders>
            <w:vAlign w:val="center"/>
          </w:tcPr>
          <w:p w14:paraId="06166A05">
            <w:pPr>
              <w:pStyle w:val="90"/>
            </w:pPr>
            <w:r>
              <w:t>投标报价</w:t>
            </w:r>
          </w:p>
        </w:tc>
        <w:tc>
          <w:tcPr>
            <w:tcW w:w="1990" w:type="dxa"/>
            <w:tcBorders>
              <w:top w:val="single" w:color="auto" w:sz="4" w:space="0"/>
              <w:left w:val="single" w:color="auto" w:sz="4" w:space="0"/>
              <w:bottom w:val="single" w:color="auto" w:sz="4" w:space="0"/>
              <w:right w:val="single" w:color="auto" w:sz="4" w:space="0"/>
            </w:tcBorders>
            <w:vAlign w:val="center"/>
          </w:tcPr>
          <w:p w14:paraId="68CD8D20">
            <w:pPr>
              <w:pStyle w:val="90"/>
            </w:pPr>
            <w: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14:paraId="0F217AE3">
            <w:pPr>
              <w:pStyle w:val="90"/>
            </w:pPr>
            <w:r>
              <w:t>付款方式</w:t>
            </w:r>
          </w:p>
        </w:tc>
      </w:tr>
      <w:tr w14:paraId="0D3761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29" w:type="dxa"/>
            <w:tcBorders>
              <w:top w:val="single" w:color="auto" w:sz="4" w:space="0"/>
              <w:left w:val="single" w:color="auto" w:sz="4" w:space="0"/>
              <w:bottom w:val="single" w:color="auto" w:sz="4" w:space="0"/>
              <w:right w:val="single" w:color="auto" w:sz="4" w:space="0"/>
            </w:tcBorders>
            <w:vAlign w:val="center"/>
          </w:tcPr>
          <w:p w14:paraId="47E95643">
            <w:pPr>
              <w:pStyle w:val="90"/>
              <w:rPr>
                <w:rFonts w:hint="eastAsia" w:eastAsia="宋体"/>
                <w:lang w:eastAsia="zh-CN"/>
              </w:rPr>
            </w:pPr>
            <w:r>
              <w:rPr>
                <w:rFonts w:hint="eastAsia"/>
                <w:lang w:eastAsia="zh-CN"/>
              </w:rPr>
              <w:t>江苏商贸职业学院钢木书架采购项目(一)</w:t>
            </w:r>
          </w:p>
        </w:tc>
        <w:tc>
          <w:tcPr>
            <w:tcW w:w="2400" w:type="dxa"/>
            <w:tcBorders>
              <w:top w:val="single" w:color="auto" w:sz="4" w:space="0"/>
              <w:left w:val="single" w:color="auto" w:sz="4" w:space="0"/>
              <w:bottom w:val="single" w:color="auto" w:sz="4" w:space="0"/>
              <w:right w:val="single" w:color="auto" w:sz="4" w:space="0"/>
            </w:tcBorders>
            <w:vAlign w:val="center"/>
          </w:tcPr>
          <w:p w14:paraId="116FE646">
            <w:pPr>
              <w:pStyle w:val="90"/>
            </w:pPr>
            <w:r>
              <w:t>大写：     元</w:t>
            </w:r>
          </w:p>
          <w:p w14:paraId="26ECF7E3">
            <w:pPr>
              <w:pStyle w:val="90"/>
            </w:pPr>
            <w:r>
              <w:t>小写：     元</w:t>
            </w:r>
          </w:p>
        </w:tc>
        <w:tc>
          <w:tcPr>
            <w:tcW w:w="1990" w:type="dxa"/>
            <w:tcBorders>
              <w:top w:val="single" w:color="auto" w:sz="4" w:space="0"/>
              <w:left w:val="single" w:color="auto" w:sz="4" w:space="0"/>
              <w:bottom w:val="single" w:color="auto" w:sz="4" w:space="0"/>
              <w:right w:val="single" w:color="auto" w:sz="4" w:space="0"/>
            </w:tcBorders>
            <w:vAlign w:val="center"/>
          </w:tcPr>
          <w:p w14:paraId="089F47B2">
            <w:pPr>
              <w:pStyle w:val="90"/>
            </w:pPr>
            <w:r>
              <w:t>完全响应询价文件要求</w:t>
            </w:r>
          </w:p>
        </w:tc>
        <w:tc>
          <w:tcPr>
            <w:tcW w:w="1850" w:type="dxa"/>
            <w:tcBorders>
              <w:top w:val="single" w:color="auto" w:sz="4" w:space="0"/>
              <w:left w:val="single" w:color="auto" w:sz="4" w:space="0"/>
              <w:bottom w:val="single" w:color="auto" w:sz="4" w:space="0"/>
              <w:right w:val="single" w:color="auto" w:sz="4" w:space="0"/>
            </w:tcBorders>
          </w:tcPr>
          <w:p w14:paraId="3DB2B264">
            <w:pPr>
              <w:pStyle w:val="90"/>
            </w:pPr>
            <w:r>
              <w:t>完全响应询价文件要求的付款方式</w:t>
            </w:r>
          </w:p>
        </w:tc>
      </w:tr>
    </w:tbl>
    <w:p w14:paraId="3AB4D8EC">
      <w:pPr>
        <w:spacing w:line="360" w:lineRule="auto"/>
        <w:ind w:firstLine="480" w:firstLineChars="200"/>
        <w:rPr>
          <w:rFonts w:hint="eastAsia" w:ascii="宋体" w:hAnsi="宋体" w:cs="宋体"/>
          <w:sz w:val="24"/>
          <w:szCs w:val="28"/>
        </w:rPr>
      </w:pPr>
    </w:p>
    <w:p w14:paraId="48DCDE93">
      <w:pPr>
        <w:spacing w:line="360" w:lineRule="auto"/>
        <w:ind w:firstLine="482" w:firstLineChars="200"/>
        <w:rPr>
          <w:rFonts w:hint="eastAsia" w:ascii="宋体" w:hAnsi="宋体" w:cs="宋体"/>
          <w:sz w:val="24"/>
          <w:szCs w:val="28"/>
        </w:rPr>
      </w:pPr>
      <w:r>
        <w:rPr>
          <w:rFonts w:hint="eastAsia" w:ascii="宋体" w:hAnsi="宋体" w:cs="宋体"/>
          <w:b/>
          <w:bCs/>
          <w:sz w:val="24"/>
          <w:szCs w:val="28"/>
          <w:lang w:bidi="zh-CN"/>
        </w:rPr>
        <w:t>本表为格式表，不得自行改动，必须提供，否则视为未实质性响应采购文件。</w:t>
      </w:r>
    </w:p>
    <w:p w14:paraId="529F1AA7">
      <w:pPr>
        <w:spacing w:line="360" w:lineRule="auto"/>
        <w:ind w:left="1322" w:firstLine="480" w:firstLineChars="200"/>
        <w:rPr>
          <w:rFonts w:hint="eastAsia" w:ascii="宋体" w:hAnsi="宋体" w:cs="宋体"/>
          <w:sz w:val="24"/>
          <w:szCs w:val="28"/>
        </w:rPr>
      </w:pPr>
    </w:p>
    <w:p w14:paraId="0EB1D12E">
      <w:pPr>
        <w:spacing w:line="360" w:lineRule="auto"/>
        <w:ind w:firstLine="480" w:firstLineChars="200"/>
        <w:rPr>
          <w:rFonts w:hint="eastAsia" w:ascii="宋体" w:hAnsi="宋体" w:cs="宋体"/>
          <w:sz w:val="24"/>
          <w:szCs w:val="28"/>
        </w:rPr>
      </w:pPr>
    </w:p>
    <w:p w14:paraId="2A7AC709">
      <w:pPr>
        <w:spacing w:line="360" w:lineRule="auto"/>
        <w:ind w:left="1322" w:firstLine="480" w:firstLineChars="200"/>
        <w:rPr>
          <w:rFonts w:hint="eastAsia" w:ascii="宋体" w:hAnsi="宋体" w:cs="宋体"/>
          <w:sz w:val="24"/>
          <w:szCs w:val="28"/>
        </w:rPr>
      </w:pPr>
      <w:r>
        <w:rPr>
          <w:rFonts w:hint="eastAsia" w:ascii="宋体" w:hAnsi="宋体" w:cs="宋体"/>
          <w:sz w:val="24"/>
          <w:szCs w:val="28"/>
        </w:rPr>
        <w:t xml:space="preserve">供应商名称：（盖章）             </w:t>
      </w:r>
    </w:p>
    <w:p w14:paraId="2837C0DA">
      <w:pPr>
        <w:spacing w:line="360" w:lineRule="auto"/>
        <w:ind w:left="1322" w:firstLine="480" w:firstLineChars="200"/>
        <w:rPr>
          <w:rFonts w:hint="eastAsia" w:ascii="宋体" w:hAnsi="宋体" w:cs="宋体"/>
          <w:sz w:val="24"/>
          <w:szCs w:val="28"/>
        </w:rPr>
      </w:pPr>
      <w:r>
        <w:rPr>
          <w:rFonts w:hint="eastAsia" w:ascii="宋体" w:hAnsi="宋体" w:cs="宋体"/>
          <w:sz w:val="24"/>
          <w:szCs w:val="28"/>
        </w:rPr>
        <w:t>法定代表人或授权委托人（签字</w:t>
      </w:r>
      <w:r>
        <w:rPr>
          <w:rFonts w:hint="eastAsia" w:ascii="宋体" w:hAnsi="宋体" w:cs="宋体"/>
          <w:sz w:val="24"/>
          <w:szCs w:val="28"/>
          <w:lang w:val="en-US" w:eastAsia="zh-CN"/>
        </w:rPr>
        <w:t>或盖章</w:t>
      </w:r>
      <w:r>
        <w:rPr>
          <w:rFonts w:hint="eastAsia" w:ascii="宋体" w:hAnsi="宋体" w:cs="宋体"/>
          <w:sz w:val="24"/>
          <w:szCs w:val="28"/>
        </w:rPr>
        <w:t>）：</w:t>
      </w:r>
    </w:p>
    <w:p w14:paraId="7E784743">
      <w:pPr>
        <w:spacing w:line="360" w:lineRule="auto"/>
        <w:ind w:left="1322" w:firstLine="480" w:firstLineChars="200"/>
        <w:rPr>
          <w:rFonts w:hint="eastAsia" w:ascii="宋体" w:hAnsi="宋体" w:cs="宋体"/>
          <w:sz w:val="24"/>
          <w:szCs w:val="28"/>
        </w:rPr>
      </w:pPr>
      <w:r>
        <w:rPr>
          <w:rFonts w:hint="eastAsia" w:ascii="宋体" w:hAnsi="宋体" w:cs="宋体"/>
          <w:sz w:val="24"/>
          <w:szCs w:val="28"/>
        </w:rPr>
        <w:t>日期：</w:t>
      </w:r>
    </w:p>
    <w:p w14:paraId="40AACF3C">
      <w:pPr>
        <w:pStyle w:val="60"/>
        <w:spacing w:line="360" w:lineRule="auto"/>
        <w:ind w:firstLine="480" w:firstLineChars="200"/>
        <w:jc w:val="center"/>
        <w:rPr>
          <w:rFonts w:hint="eastAsia" w:ascii="宋体" w:hAnsi="宋体" w:cs="宋体"/>
          <w:sz w:val="24"/>
          <w:szCs w:val="28"/>
        </w:rPr>
      </w:pPr>
    </w:p>
    <w:p w14:paraId="5166ACE1">
      <w:pPr>
        <w:pStyle w:val="60"/>
        <w:spacing w:line="360" w:lineRule="auto"/>
        <w:ind w:firstLine="480" w:firstLineChars="200"/>
        <w:jc w:val="center"/>
        <w:rPr>
          <w:rFonts w:hint="eastAsia" w:ascii="宋体" w:hAnsi="宋体" w:cs="宋体"/>
          <w:sz w:val="24"/>
          <w:szCs w:val="28"/>
        </w:rPr>
      </w:pPr>
    </w:p>
    <w:p w14:paraId="6A3FA57B">
      <w:pPr>
        <w:spacing w:line="360" w:lineRule="auto"/>
        <w:ind w:firstLine="480" w:firstLineChars="200"/>
        <w:jc w:val="center"/>
        <w:rPr>
          <w:rFonts w:hint="eastAsia" w:ascii="宋体" w:hAnsi="宋体" w:cs="宋体"/>
          <w:sz w:val="24"/>
          <w:szCs w:val="28"/>
        </w:rPr>
      </w:pPr>
      <w:r>
        <w:rPr>
          <w:rFonts w:ascii="宋体" w:hAnsi="宋体" w:cs="宋体"/>
          <w:sz w:val="24"/>
          <w:szCs w:val="28"/>
        </w:rPr>
        <w:br w:type="page"/>
      </w:r>
    </w:p>
    <w:p w14:paraId="27430F30">
      <w:pPr>
        <w:pStyle w:val="60"/>
        <w:spacing w:line="360" w:lineRule="auto"/>
        <w:ind w:firstLine="482" w:firstLineChars="200"/>
        <w:jc w:val="center"/>
        <w:rPr>
          <w:rFonts w:hint="eastAsia" w:ascii="宋体" w:hAnsi="宋体" w:cs="宋体"/>
          <w:b/>
          <w:bCs/>
          <w:sz w:val="24"/>
          <w:szCs w:val="28"/>
        </w:rPr>
      </w:pPr>
      <w:r>
        <w:rPr>
          <w:rFonts w:hint="eastAsia" w:ascii="宋体" w:hAnsi="宋体" w:cs="宋体"/>
          <w:b/>
          <w:bCs/>
          <w:sz w:val="24"/>
          <w:szCs w:val="28"/>
        </w:rPr>
        <w:t>2.分项报价表</w:t>
      </w:r>
    </w:p>
    <w:p w14:paraId="10748D63">
      <w:pPr>
        <w:pStyle w:val="84"/>
        <w:ind w:left="0" w:firstLine="440" w:firstLineChars="200"/>
        <w:rPr>
          <w:rFonts w:ascii="宋体" w:hAnsi="宋体" w:cs="宋体"/>
          <w:sz w:val="32"/>
          <w:szCs w:val="32"/>
          <w:lang w:eastAsia="zh-CN"/>
        </w:rPr>
      </w:pPr>
      <w:r>
        <w:rPr>
          <w:rFonts w:hint="eastAsia" w:ascii="宋体" w:hAnsi="宋体" w:cs="宋体"/>
          <w:lang w:eastAsia="zh-CN"/>
        </w:rPr>
        <w:t>项目名称：江苏商贸职业学院钢木书架采购项目(一)</w:t>
      </w:r>
    </w:p>
    <w:tbl>
      <w:tblPr>
        <w:tblStyle w:val="27"/>
        <w:tblW w:w="8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810"/>
        <w:gridCol w:w="2820"/>
        <w:gridCol w:w="1159"/>
        <w:gridCol w:w="862"/>
        <w:gridCol w:w="910"/>
        <w:gridCol w:w="722"/>
        <w:gridCol w:w="654"/>
      </w:tblGrid>
      <w:tr w14:paraId="5C248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36" w:type="dxa"/>
            <w:vAlign w:val="center"/>
          </w:tcPr>
          <w:p w14:paraId="13AC70BA">
            <w:pPr>
              <w:snapToGrid w:val="0"/>
              <w:jc w:val="center"/>
              <w:rPr>
                <w:rFonts w:ascii="宋体" w:hAnsi="宋体" w:cs="宋体"/>
                <w:b/>
                <w:kern w:val="2"/>
                <w:sz w:val="18"/>
                <w:szCs w:val="16"/>
              </w:rPr>
            </w:pPr>
            <w:r>
              <w:rPr>
                <w:rFonts w:hint="eastAsia" w:ascii="宋体" w:hAnsi="宋体" w:cs="宋体"/>
                <w:b/>
                <w:kern w:val="2"/>
                <w:sz w:val="18"/>
                <w:szCs w:val="16"/>
              </w:rPr>
              <w:t>批次</w:t>
            </w:r>
          </w:p>
        </w:tc>
        <w:tc>
          <w:tcPr>
            <w:tcW w:w="810" w:type="dxa"/>
            <w:vAlign w:val="center"/>
          </w:tcPr>
          <w:p w14:paraId="6D17983C">
            <w:pPr>
              <w:snapToGrid w:val="0"/>
              <w:jc w:val="center"/>
              <w:rPr>
                <w:rFonts w:ascii="宋体" w:hAnsi="宋体" w:cs="宋体"/>
                <w:b/>
                <w:kern w:val="2"/>
                <w:sz w:val="18"/>
                <w:szCs w:val="16"/>
              </w:rPr>
            </w:pPr>
            <w:r>
              <w:rPr>
                <w:rFonts w:hint="eastAsia" w:ascii="宋体" w:hAnsi="宋体" w:cs="宋体"/>
                <w:b/>
                <w:kern w:val="2"/>
                <w:sz w:val="18"/>
                <w:szCs w:val="16"/>
              </w:rPr>
              <w:t>名称</w:t>
            </w:r>
          </w:p>
        </w:tc>
        <w:tc>
          <w:tcPr>
            <w:tcW w:w="2820" w:type="dxa"/>
            <w:vAlign w:val="center"/>
          </w:tcPr>
          <w:p w14:paraId="79B2378C">
            <w:pPr>
              <w:snapToGrid w:val="0"/>
              <w:jc w:val="center"/>
              <w:rPr>
                <w:rFonts w:ascii="宋体" w:hAnsi="宋体" w:cs="宋体"/>
                <w:b/>
                <w:kern w:val="2"/>
                <w:sz w:val="18"/>
                <w:szCs w:val="16"/>
              </w:rPr>
            </w:pPr>
            <w:r>
              <w:rPr>
                <w:rFonts w:hint="eastAsia" w:ascii="宋体" w:hAnsi="宋体" w:cs="宋体"/>
                <w:b/>
                <w:kern w:val="2"/>
                <w:sz w:val="18"/>
                <w:szCs w:val="16"/>
              </w:rPr>
              <w:t>规格配置</w:t>
            </w:r>
          </w:p>
        </w:tc>
        <w:tc>
          <w:tcPr>
            <w:tcW w:w="1159" w:type="dxa"/>
            <w:vAlign w:val="center"/>
          </w:tcPr>
          <w:p w14:paraId="2F09D309">
            <w:pPr>
              <w:snapToGrid w:val="0"/>
              <w:jc w:val="center"/>
              <w:rPr>
                <w:rFonts w:ascii="宋体" w:hAnsi="宋体" w:cs="宋体"/>
                <w:b/>
                <w:kern w:val="2"/>
                <w:sz w:val="18"/>
                <w:szCs w:val="16"/>
              </w:rPr>
            </w:pPr>
            <w:r>
              <w:rPr>
                <w:rFonts w:hint="eastAsia" w:ascii="宋体" w:hAnsi="宋体" w:cs="宋体"/>
                <w:b/>
                <w:kern w:val="2"/>
                <w:sz w:val="18"/>
                <w:szCs w:val="16"/>
              </w:rPr>
              <w:t>数量</w:t>
            </w:r>
          </w:p>
          <w:p w14:paraId="4C89B61F">
            <w:pPr>
              <w:snapToGrid w:val="0"/>
              <w:jc w:val="center"/>
              <w:rPr>
                <w:rFonts w:ascii="宋体" w:hAnsi="宋体" w:cs="宋体"/>
                <w:b/>
                <w:kern w:val="2"/>
                <w:sz w:val="18"/>
                <w:szCs w:val="16"/>
              </w:rPr>
            </w:pPr>
            <w:r>
              <w:rPr>
                <w:rFonts w:hint="eastAsia" w:ascii="宋体" w:hAnsi="宋体" w:cs="宋体"/>
                <w:b/>
                <w:kern w:val="2"/>
                <w:sz w:val="18"/>
                <w:szCs w:val="16"/>
              </w:rPr>
              <w:t>（节）</w:t>
            </w:r>
          </w:p>
        </w:tc>
        <w:tc>
          <w:tcPr>
            <w:tcW w:w="862" w:type="dxa"/>
            <w:vAlign w:val="center"/>
          </w:tcPr>
          <w:p w14:paraId="19482D5F">
            <w:pPr>
              <w:snapToGrid w:val="0"/>
              <w:jc w:val="center"/>
              <w:rPr>
                <w:rFonts w:ascii="宋体" w:hAnsi="宋体" w:cs="宋体"/>
                <w:b/>
                <w:kern w:val="2"/>
                <w:sz w:val="18"/>
                <w:szCs w:val="16"/>
              </w:rPr>
            </w:pPr>
            <w:r>
              <w:rPr>
                <w:rFonts w:hint="eastAsia" w:ascii="宋体" w:hAnsi="宋体" w:cs="宋体"/>
                <w:b/>
                <w:kern w:val="2"/>
                <w:sz w:val="18"/>
                <w:szCs w:val="16"/>
              </w:rPr>
              <w:t>均价</w:t>
            </w:r>
          </w:p>
          <w:p w14:paraId="076B6596">
            <w:pPr>
              <w:snapToGrid w:val="0"/>
              <w:jc w:val="center"/>
              <w:rPr>
                <w:rFonts w:ascii="宋体" w:hAnsi="宋体" w:cs="宋体"/>
                <w:b/>
                <w:kern w:val="2"/>
                <w:sz w:val="18"/>
                <w:szCs w:val="16"/>
              </w:rPr>
            </w:pPr>
            <w:r>
              <w:rPr>
                <w:rFonts w:hint="eastAsia" w:ascii="宋体" w:hAnsi="宋体" w:cs="宋体"/>
                <w:b/>
                <w:kern w:val="2"/>
                <w:sz w:val="18"/>
                <w:szCs w:val="16"/>
              </w:rPr>
              <w:t>(元/节)</w:t>
            </w:r>
          </w:p>
        </w:tc>
        <w:tc>
          <w:tcPr>
            <w:tcW w:w="910" w:type="dxa"/>
            <w:vAlign w:val="center"/>
          </w:tcPr>
          <w:p w14:paraId="54455754">
            <w:pPr>
              <w:snapToGrid w:val="0"/>
              <w:jc w:val="center"/>
              <w:rPr>
                <w:rFonts w:ascii="宋体" w:hAnsi="宋体" w:cs="宋体"/>
                <w:b/>
                <w:kern w:val="2"/>
                <w:sz w:val="18"/>
                <w:szCs w:val="16"/>
              </w:rPr>
            </w:pPr>
            <w:r>
              <w:rPr>
                <w:rFonts w:hint="eastAsia" w:ascii="宋体" w:hAnsi="宋体" w:cs="宋体"/>
                <w:b/>
                <w:kern w:val="2"/>
                <w:sz w:val="18"/>
                <w:szCs w:val="16"/>
              </w:rPr>
              <w:t>总价</w:t>
            </w:r>
          </w:p>
          <w:p w14:paraId="6DD244CC">
            <w:pPr>
              <w:snapToGrid w:val="0"/>
              <w:jc w:val="center"/>
              <w:rPr>
                <w:rFonts w:ascii="宋体" w:hAnsi="宋体" w:cs="宋体"/>
                <w:b/>
                <w:kern w:val="2"/>
                <w:sz w:val="18"/>
                <w:szCs w:val="16"/>
              </w:rPr>
            </w:pPr>
            <w:r>
              <w:rPr>
                <w:rFonts w:hint="eastAsia" w:ascii="宋体" w:hAnsi="宋体" w:cs="宋体"/>
                <w:b/>
                <w:kern w:val="2"/>
                <w:sz w:val="18"/>
                <w:szCs w:val="16"/>
              </w:rPr>
              <w:t>(元)</w:t>
            </w:r>
          </w:p>
        </w:tc>
        <w:tc>
          <w:tcPr>
            <w:tcW w:w="722" w:type="dxa"/>
            <w:vAlign w:val="center"/>
          </w:tcPr>
          <w:p w14:paraId="01CAFA9F">
            <w:pPr>
              <w:snapToGrid w:val="0"/>
              <w:jc w:val="center"/>
              <w:rPr>
                <w:rFonts w:ascii="宋体" w:hAnsi="宋体" w:cs="宋体"/>
                <w:b/>
                <w:kern w:val="2"/>
                <w:sz w:val="18"/>
                <w:szCs w:val="16"/>
              </w:rPr>
            </w:pPr>
            <w:r>
              <w:rPr>
                <w:rFonts w:hint="eastAsia" w:ascii="宋体" w:hAnsi="宋体" w:cs="宋体"/>
                <w:b/>
                <w:kern w:val="2"/>
                <w:sz w:val="18"/>
                <w:szCs w:val="16"/>
              </w:rPr>
              <w:t>厂家与产地</w:t>
            </w:r>
          </w:p>
        </w:tc>
        <w:tc>
          <w:tcPr>
            <w:tcW w:w="654" w:type="dxa"/>
            <w:vAlign w:val="center"/>
          </w:tcPr>
          <w:p w14:paraId="7CE1E9BC">
            <w:pPr>
              <w:snapToGrid w:val="0"/>
              <w:jc w:val="center"/>
              <w:rPr>
                <w:rFonts w:ascii="宋体" w:hAnsi="宋体" w:cs="宋体"/>
                <w:b/>
                <w:kern w:val="2"/>
                <w:sz w:val="18"/>
                <w:szCs w:val="16"/>
              </w:rPr>
            </w:pPr>
            <w:r>
              <w:rPr>
                <w:rFonts w:hint="eastAsia" w:ascii="宋体" w:hAnsi="宋体" w:cs="宋体"/>
                <w:b/>
                <w:kern w:val="2"/>
                <w:sz w:val="18"/>
                <w:szCs w:val="16"/>
              </w:rPr>
              <w:t>质保年限</w:t>
            </w:r>
          </w:p>
        </w:tc>
      </w:tr>
      <w:tr w14:paraId="3FE0F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Merge w:val="restart"/>
            <w:vAlign w:val="center"/>
          </w:tcPr>
          <w:p w14:paraId="6F2B2DB8">
            <w:pPr>
              <w:snapToGrid w:val="0"/>
              <w:jc w:val="center"/>
              <w:rPr>
                <w:rFonts w:ascii="宋体" w:hAnsi="宋体" w:cs="宋体"/>
                <w:kern w:val="2"/>
                <w:sz w:val="18"/>
                <w:szCs w:val="16"/>
              </w:rPr>
            </w:pPr>
            <w:r>
              <w:rPr>
                <w:rFonts w:hint="eastAsia" w:ascii="宋体" w:hAnsi="宋体" w:cs="宋体"/>
                <w:kern w:val="2"/>
                <w:sz w:val="18"/>
                <w:szCs w:val="16"/>
              </w:rPr>
              <w:t>第一批</w:t>
            </w:r>
          </w:p>
        </w:tc>
        <w:tc>
          <w:tcPr>
            <w:tcW w:w="810" w:type="dxa"/>
            <w:vAlign w:val="center"/>
          </w:tcPr>
          <w:p w14:paraId="3DF409C0">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cs="宋体"/>
                <w:kern w:val="2"/>
                <w:sz w:val="18"/>
                <w:szCs w:val="16"/>
              </w:rPr>
            </w:pPr>
            <w:r>
              <w:rPr>
                <w:rFonts w:hint="eastAsia" w:ascii="宋体" w:hAnsi="宋体" w:cs="宋体"/>
                <w:kern w:val="2"/>
                <w:sz w:val="18"/>
                <w:szCs w:val="16"/>
              </w:rPr>
              <w:t>钢书架</w:t>
            </w:r>
          </w:p>
        </w:tc>
        <w:tc>
          <w:tcPr>
            <w:tcW w:w="2820" w:type="dxa"/>
            <w:vAlign w:val="center"/>
          </w:tcPr>
          <w:p w14:paraId="77C08F7B">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ascii="宋体" w:hAnsi="宋体" w:cs="宋体"/>
                <w:kern w:val="2"/>
                <w:sz w:val="18"/>
                <w:szCs w:val="16"/>
              </w:rPr>
            </w:pPr>
            <w:r>
              <w:rPr>
                <w:rFonts w:hint="eastAsia" w:ascii="宋体" w:hAnsi="宋体" w:cs="宋体"/>
                <w:kern w:val="2"/>
                <w:sz w:val="18"/>
                <w:szCs w:val="16"/>
                <w:lang w:val="en-US" w:eastAsia="zh-CN"/>
              </w:rPr>
              <w:t>颜色：灰白色。3节为1列、</w:t>
            </w:r>
            <w:r>
              <w:rPr>
                <w:rFonts w:hint="eastAsia" w:ascii="宋体" w:hAnsi="宋体" w:cs="宋体"/>
                <w:kern w:val="2"/>
                <w:sz w:val="18"/>
                <w:szCs w:val="16"/>
              </w:rPr>
              <w:t>双面6层书架</w:t>
            </w:r>
            <w:r>
              <w:rPr>
                <w:rFonts w:hint="eastAsia" w:ascii="宋体" w:hAnsi="宋体" w:cs="宋体"/>
                <w:kern w:val="2"/>
                <w:sz w:val="18"/>
                <w:szCs w:val="16"/>
                <w:lang w:eastAsia="zh-CN"/>
              </w:rPr>
              <w:t>：</w:t>
            </w:r>
            <w:r>
              <w:rPr>
                <w:rFonts w:hint="eastAsia" w:ascii="宋体" w:hAnsi="宋体" w:cs="宋体"/>
                <w:kern w:val="2"/>
                <w:sz w:val="18"/>
                <w:szCs w:val="16"/>
                <w:lang w:val="en-US" w:eastAsia="zh-CN"/>
              </w:rPr>
              <w:t>每节长(每节立柱中到中)900mm*450mm*2000mm,</w:t>
            </w:r>
            <w:r>
              <w:rPr>
                <w:rFonts w:hint="eastAsia" w:ascii="宋体" w:hAnsi="宋体" w:cs="宋体"/>
                <w:color w:val="000000" w:themeColor="text1"/>
                <w:kern w:val="2"/>
                <w:sz w:val="18"/>
                <w:szCs w:val="16"/>
                <w:lang w:val="en-US" w:eastAsia="zh-CN"/>
                <w14:textFill>
                  <w14:solidFill>
                    <w14:schemeClr w14:val="tx1"/>
                  </w14:solidFill>
                </w14:textFill>
              </w:rPr>
              <w:t>每层层高（上板底面与下板顶面间垂直距离）≥31cm；共3列。</w:t>
            </w:r>
          </w:p>
        </w:tc>
        <w:tc>
          <w:tcPr>
            <w:tcW w:w="1159" w:type="dxa"/>
            <w:vAlign w:val="center"/>
          </w:tcPr>
          <w:p w14:paraId="2F446F9B">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cs="宋体"/>
                <w:kern w:val="2"/>
                <w:sz w:val="18"/>
                <w:szCs w:val="16"/>
              </w:rPr>
            </w:pPr>
            <w:r>
              <w:rPr>
                <w:rFonts w:hint="eastAsia" w:ascii="宋体" w:hAnsi="宋体" w:cs="宋体"/>
                <w:kern w:val="2"/>
                <w:sz w:val="18"/>
                <w:szCs w:val="16"/>
              </w:rPr>
              <w:t>9</w:t>
            </w:r>
          </w:p>
        </w:tc>
        <w:tc>
          <w:tcPr>
            <w:tcW w:w="862" w:type="dxa"/>
            <w:vAlign w:val="center"/>
          </w:tcPr>
          <w:p w14:paraId="17C781BD">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cs="宋体"/>
                <w:kern w:val="2"/>
                <w:sz w:val="18"/>
                <w:szCs w:val="16"/>
              </w:rPr>
            </w:pPr>
          </w:p>
        </w:tc>
        <w:tc>
          <w:tcPr>
            <w:tcW w:w="910" w:type="dxa"/>
            <w:vAlign w:val="center"/>
          </w:tcPr>
          <w:p w14:paraId="716F3B53">
            <w:pPr>
              <w:keepNext w:val="0"/>
              <w:keepLines w:val="0"/>
              <w:pageBreakBefore w:val="0"/>
              <w:widowControl w:val="0"/>
              <w:kinsoku/>
              <w:wordWrap/>
              <w:overflowPunct/>
              <w:topLinePunct w:val="0"/>
              <w:autoSpaceDE/>
              <w:autoSpaceDN/>
              <w:bidi w:val="0"/>
              <w:adjustRightInd/>
              <w:snapToGrid w:val="0"/>
              <w:spacing w:line="240" w:lineRule="exact"/>
              <w:jc w:val="right"/>
              <w:textAlignment w:val="auto"/>
              <w:rPr>
                <w:rFonts w:ascii="宋体" w:hAnsi="宋体" w:cs="宋体"/>
                <w:kern w:val="2"/>
                <w:sz w:val="18"/>
                <w:szCs w:val="16"/>
              </w:rPr>
            </w:pPr>
          </w:p>
        </w:tc>
        <w:tc>
          <w:tcPr>
            <w:tcW w:w="722" w:type="dxa"/>
            <w:vAlign w:val="center"/>
          </w:tcPr>
          <w:p w14:paraId="0BA7A2E8">
            <w:pPr>
              <w:keepNext w:val="0"/>
              <w:keepLines w:val="0"/>
              <w:pageBreakBefore w:val="0"/>
              <w:widowControl w:val="0"/>
              <w:kinsoku/>
              <w:wordWrap/>
              <w:overflowPunct/>
              <w:topLinePunct w:val="0"/>
              <w:autoSpaceDE/>
              <w:autoSpaceDN/>
              <w:bidi w:val="0"/>
              <w:adjustRightInd/>
              <w:snapToGrid w:val="0"/>
              <w:spacing w:line="240" w:lineRule="exact"/>
              <w:jc w:val="right"/>
              <w:textAlignment w:val="auto"/>
              <w:rPr>
                <w:rFonts w:ascii="宋体" w:hAnsi="宋体" w:cs="宋体"/>
                <w:kern w:val="2"/>
                <w:sz w:val="18"/>
                <w:szCs w:val="16"/>
              </w:rPr>
            </w:pPr>
          </w:p>
        </w:tc>
        <w:tc>
          <w:tcPr>
            <w:tcW w:w="654" w:type="dxa"/>
            <w:vAlign w:val="center"/>
          </w:tcPr>
          <w:p w14:paraId="00A9E036">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cs="宋体"/>
                <w:kern w:val="2"/>
                <w:sz w:val="18"/>
                <w:szCs w:val="16"/>
              </w:rPr>
            </w:pPr>
          </w:p>
        </w:tc>
      </w:tr>
      <w:tr w14:paraId="6637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Merge w:val="continue"/>
            <w:vAlign w:val="center"/>
          </w:tcPr>
          <w:p w14:paraId="49E1870C">
            <w:pPr>
              <w:snapToGrid w:val="0"/>
              <w:jc w:val="center"/>
              <w:rPr>
                <w:rFonts w:ascii="宋体" w:hAnsi="宋体" w:cs="宋体"/>
                <w:kern w:val="2"/>
                <w:sz w:val="18"/>
                <w:szCs w:val="16"/>
              </w:rPr>
            </w:pPr>
          </w:p>
        </w:tc>
        <w:tc>
          <w:tcPr>
            <w:tcW w:w="810" w:type="dxa"/>
            <w:vAlign w:val="center"/>
          </w:tcPr>
          <w:p w14:paraId="3C9E5DBC">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cs="宋体"/>
                <w:kern w:val="2"/>
                <w:sz w:val="18"/>
                <w:szCs w:val="16"/>
              </w:rPr>
            </w:pPr>
            <w:r>
              <w:rPr>
                <w:rFonts w:hint="eastAsia" w:ascii="宋体" w:hAnsi="宋体" w:cs="宋体"/>
                <w:kern w:val="2"/>
                <w:sz w:val="18"/>
                <w:szCs w:val="16"/>
              </w:rPr>
              <w:t>钢书架</w:t>
            </w:r>
          </w:p>
        </w:tc>
        <w:tc>
          <w:tcPr>
            <w:tcW w:w="2820" w:type="dxa"/>
            <w:vAlign w:val="center"/>
          </w:tcPr>
          <w:p w14:paraId="63C4BD39">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ascii="宋体" w:hAnsi="宋体" w:cs="宋体"/>
                <w:kern w:val="2"/>
                <w:sz w:val="18"/>
                <w:szCs w:val="16"/>
              </w:rPr>
            </w:pPr>
            <w:r>
              <w:rPr>
                <w:rFonts w:hint="eastAsia" w:ascii="宋体" w:hAnsi="宋体" w:cs="宋体"/>
                <w:kern w:val="2"/>
                <w:sz w:val="18"/>
                <w:szCs w:val="16"/>
                <w:lang w:val="en-US" w:eastAsia="zh-CN"/>
              </w:rPr>
              <w:t>颜色：灰白色。</w:t>
            </w:r>
            <w:r>
              <w:rPr>
                <w:rFonts w:hint="eastAsia" w:ascii="宋体" w:hAnsi="宋体" w:cs="宋体"/>
                <w:kern w:val="2"/>
                <w:sz w:val="18"/>
                <w:szCs w:val="16"/>
              </w:rPr>
              <w:t>6</w:t>
            </w:r>
            <w:r>
              <w:rPr>
                <w:rFonts w:hint="eastAsia" w:ascii="宋体" w:hAnsi="宋体" w:cs="宋体"/>
                <w:kern w:val="2"/>
                <w:sz w:val="18"/>
                <w:szCs w:val="16"/>
                <w:lang w:val="en-US" w:eastAsia="zh-CN"/>
              </w:rPr>
              <w:t>节</w:t>
            </w:r>
            <w:r>
              <w:rPr>
                <w:rFonts w:hint="eastAsia" w:ascii="宋体" w:hAnsi="宋体" w:cs="宋体"/>
                <w:color w:val="000000" w:themeColor="text1"/>
                <w:kern w:val="2"/>
                <w:sz w:val="18"/>
                <w:szCs w:val="16"/>
                <w:lang w:val="en-US" w:eastAsia="zh-CN"/>
                <w14:textFill>
                  <w14:solidFill>
                    <w14:schemeClr w14:val="tx1"/>
                  </w14:solidFill>
                </w14:textFill>
              </w:rPr>
              <w:t>为1列</w:t>
            </w:r>
            <w:r>
              <w:rPr>
                <w:rFonts w:hint="eastAsia" w:ascii="宋体" w:hAnsi="宋体" w:cs="宋体"/>
                <w:kern w:val="2"/>
                <w:sz w:val="18"/>
                <w:szCs w:val="16"/>
                <w:lang w:val="en-US" w:eastAsia="zh-CN"/>
              </w:rPr>
              <w:t>、</w:t>
            </w:r>
            <w:r>
              <w:rPr>
                <w:rFonts w:hint="eastAsia" w:ascii="宋体" w:hAnsi="宋体" w:cs="宋体"/>
                <w:kern w:val="2"/>
                <w:sz w:val="18"/>
                <w:szCs w:val="16"/>
              </w:rPr>
              <w:t>双面6层书架</w:t>
            </w:r>
            <w:r>
              <w:rPr>
                <w:rFonts w:hint="eastAsia" w:ascii="宋体" w:hAnsi="宋体" w:cs="宋体"/>
                <w:kern w:val="2"/>
                <w:sz w:val="18"/>
                <w:szCs w:val="16"/>
                <w:lang w:eastAsia="zh-CN"/>
              </w:rPr>
              <w:t>：</w:t>
            </w:r>
            <w:r>
              <w:rPr>
                <w:rFonts w:hint="eastAsia" w:ascii="宋体" w:hAnsi="宋体" w:cs="宋体"/>
                <w:kern w:val="2"/>
                <w:sz w:val="18"/>
                <w:szCs w:val="16"/>
                <w:lang w:val="en-US" w:eastAsia="zh-CN"/>
              </w:rPr>
              <w:t>每节长(每节立柱中到中)900mm*500mm*2200mm,</w:t>
            </w:r>
            <w:r>
              <w:rPr>
                <w:rFonts w:hint="eastAsia" w:ascii="宋体" w:hAnsi="宋体" w:cs="宋体"/>
                <w:color w:val="000000" w:themeColor="text1"/>
                <w:kern w:val="2"/>
                <w:sz w:val="18"/>
                <w:szCs w:val="16"/>
                <w:lang w:val="en-US" w:eastAsia="zh-CN"/>
                <w14:textFill>
                  <w14:solidFill>
                    <w14:schemeClr w14:val="tx1"/>
                  </w14:solidFill>
                </w14:textFill>
              </w:rPr>
              <w:t>每层层高（上板底面与下板顶面间垂直距离）≥33cm；共10列</w:t>
            </w:r>
            <w:r>
              <w:rPr>
                <w:rFonts w:hint="eastAsia" w:ascii="宋体" w:hAnsi="宋体" w:cs="宋体"/>
                <w:kern w:val="2"/>
                <w:sz w:val="18"/>
                <w:szCs w:val="16"/>
                <w:lang w:val="en-US" w:eastAsia="zh-CN"/>
              </w:rPr>
              <w:t>。</w:t>
            </w:r>
          </w:p>
        </w:tc>
        <w:tc>
          <w:tcPr>
            <w:tcW w:w="1159" w:type="dxa"/>
            <w:vAlign w:val="center"/>
          </w:tcPr>
          <w:p w14:paraId="00BEBDF8">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cs="宋体"/>
                <w:kern w:val="2"/>
                <w:sz w:val="18"/>
                <w:szCs w:val="16"/>
              </w:rPr>
            </w:pPr>
            <w:r>
              <w:rPr>
                <w:rFonts w:hint="eastAsia" w:ascii="宋体" w:hAnsi="宋体" w:cs="宋体"/>
                <w:kern w:val="2"/>
                <w:sz w:val="18"/>
                <w:szCs w:val="16"/>
              </w:rPr>
              <w:t>60</w:t>
            </w:r>
          </w:p>
        </w:tc>
        <w:tc>
          <w:tcPr>
            <w:tcW w:w="862" w:type="dxa"/>
            <w:vAlign w:val="center"/>
          </w:tcPr>
          <w:p w14:paraId="0F462A3B">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cs="宋体"/>
                <w:kern w:val="2"/>
                <w:sz w:val="18"/>
                <w:szCs w:val="16"/>
              </w:rPr>
            </w:pPr>
          </w:p>
        </w:tc>
        <w:tc>
          <w:tcPr>
            <w:tcW w:w="910" w:type="dxa"/>
            <w:vAlign w:val="center"/>
          </w:tcPr>
          <w:p w14:paraId="6AC3244D">
            <w:pPr>
              <w:keepNext w:val="0"/>
              <w:keepLines w:val="0"/>
              <w:pageBreakBefore w:val="0"/>
              <w:widowControl w:val="0"/>
              <w:kinsoku/>
              <w:wordWrap/>
              <w:overflowPunct/>
              <w:topLinePunct w:val="0"/>
              <w:autoSpaceDE/>
              <w:autoSpaceDN/>
              <w:bidi w:val="0"/>
              <w:adjustRightInd/>
              <w:snapToGrid w:val="0"/>
              <w:spacing w:line="240" w:lineRule="exact"/>
              <w:jc w:val="right"/>
              <w:textAlignment w:val="auto"/>
              <w:rPr>
                <w:rFonts w:ascii="宋体" w:hAnsi="宋体" w:cs="宋体"/>
                <w:kern w:val="2"/>
                <w:sz w:val="18"/>
                <w:szCs w:val="16"/>
              </w:rPr>
            </w:pPr>
          </w:p>
        </w:tc>
        <w:tc>
          <w:tcPr>
            <w:tcW w:w="722" w:type="dxa"/>
            <w:vAlign w:val="center"/>
          </w:tcPr>
          <w:p w14:paraId="703BD1F6">
            <w:pPr>
              <w:keepNext w:val="0"/>
              <w:keepLines w:val="0"/>
              <w:pageBreakBefore w:val="0"/>
              <w:widowControl w:val="0"/>
              <w:kinsoku/>
              <w:wordWrap/>
              <w:overflowPunct/>
              <w:topLinePunct w:val="0"/>
              <w:autoSpaceDE/>
              <w:autoSpaceDN/>
              <w:bidi w:val="0"/>
              <w:adjustRightInd/>
              <w:snapToGrid w:val="0"/>
              <w:spacing w:line="240" w:lineRule="exact"/>
              <w:jc w:val="right"/>
              <w:textAlignment w:val="auto"/>
              <w:rPr>
                <w:rFonts w:ascii="宋体" w:hAnsi="宋体" w:cs="宋体"/>
                <w:kern w:val="2"/>
                <w:sz w:val="18"/>
                <w:szCs w:val="16"/>
              </w:rPr>
            </w:pPr>
          </w:p>
        </w:tc>
        <w:tc>
          <w:tcPr>
            <w:tcW w:w="654" w:type="dxa"/>
            <w:vAlign w:val="center"/>
          </w:tcPr>
          <w:p w14:paraId="616B27BD">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cs="宋体"/>
                <w:kern w:val="2"/>
                <w:sz w:val="18"/>
                <w:szCs w:val="16"/>
              </w:rPr>
            </w:pPr>
          </w:p>
        </w:tc>
      </w:tr>
      <w:tr w14:paraId="34FB6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Merge w:val="continue"/>
            <w:vAlign w:val="center"/>
          </w:tcPr>
          <w:p w14:paraId="2C2F2444">
            <w:pPr>
              <w:snapToGrid w:val="0"/>
              <w:jc w:val="center"/>
              <w:rPr>
                <w:rFonts w:ascii="宋体" w:hAnsi="宋体" w:cs="宋体"/>
                <w:kern w:val="2"/>
                <w:sz w:val="18"/>
                <w:szCs w:val="16"/>
              </w:rPr>
            </w:pPr>
          </w:p>
        </w:tc>
        <w:tc>
          <w:tcPr>
            <w:tcW w:w="810" w:type="dxa"/>
            <w:vAlign w:val="center"/>
          </w:tcPr>
          <w:p w14:paraId="7C2CD86D">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cs="宋体"/>
                <w:kern w:val="2"/>
                <w:sz w:val="18"/>
                <w:szCs w:val="16"/>
              </w:rPr>
            </w:pPr>
            <w:r>
              <w:rPr>
                <w:rFonts w:hint="eastAsia" w:ascii="宋体" w:hAnsi="宋体" w:cs="宋体"/>
                <w:kern w:val="2"/>
                <w:sz w:val="18"/>
                <w:szCs w:val="16"/>
              </w:rPr>
              <w:t>钢书架</w:t>
            </w:r>
          </w:p>
        </w:tc>
        <w:tc>
          <w:tcPr>
            <w:tcW w:w="2820" w:type="dxa"/>
            <w:vAlign w:val="center"/>
          </w:tcPr>
          <w:p w14:paraId="170DAFDE">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ascii="宋体" w:hAnsi="宋体" w:cs="宋体"/>
                <w:kern w:val="2"/>
                <w:sz w:val="18"/>
                <w:szCs w:val="16"/>
              </w:rPr>
            </w:pPr>
            <w:r>
              <w:rPr>
                <w:rFonts w:hint="eastAsia" w:ascii="宋体" w:hAnsi="宋体" w:cs="宋体"/>
                <w:kern w:val="2"/>
                <w:sz w:val="18"/>
                <w:szCs w:val="16"/>
                <w:lang w:val="en-US" w:eastAsia="zh-CN"/>
              </w:rPr>
              <w:t>颜色：灰白色。6节为1列、</w:t>
            </w:r>
            <w:r>
              <w:rPr>
                <w:rFonts w:hint="eastAsia" w:ascii="宋体" w:hAnsi="宋体" w:cs="宋体"/>
                <w:kern w:val="2"/>
                <w:sz w:val="18"/>
                <w:szCs w:val="16"/>
                <w:lang w:val="en-US"/>
              </w:rPr>
              <w:t>双面</w:t>
            </w:r>
            <w:r>
              <w:rPr>
                <w:rFonts w:hint="eastAsia" w:ascii="宋体" w:hAnsi="宋体" w:cs="宋体"/>
                <w:kern w:val="2"/>
                <w:sz w:val="18"/>
                <w:szCs w:val="16"/>
                <w:lang w:val="en-US" w:eastAsia="zh-CN"/>
              </w:rPr>
              <w:t>7</w:t>
            </w:r>
            <w:r>
              <w:rPr>
                <w:rFonts w:hint="eastAsia" w:ascii="宋体" w:hAnsi="宋体" w:cs="宋体"/>
                <w:kern w:val="2"/>
                <w:sz w:val="18"/>
                <w:szCs w:val="16"/>
                <w:lang w:val="en-US"/>
              </w:rPr>
              <w:t>层书架</w:t>
            </w:r>
            <w:r>
              <w:rPr>
                <w:rFonts w:hint="eastAsia" w:ascii="宋体" w:hAnsi="宋体" w:cs="宋体"/>
                <w:kern w:val="2"/>
                <w:sz w:val="18"/>
                <w:szCs w:val="16"/>
                <w:lang w:val="en-US" w:eastAsia="zh-CN"/>
              </w:rPr>
              <w:t>：每节长(每节立柱中到中)900mm*500mm*2450mm,</w:t>
            </w:r>
            <w:r>
              <w:rPr>
                <w:rFonts w:hint="eastAsia" w:ascii="宋体" w:hAnsi="宋体" w:cs="宋体"/>
                <w:color w:val="000000" w:themeColor="text1"/>
                <w:kern w:val="2"/>
                <w:sz w:val="18"/>
                <w:szCs w:val="16"/>
                <w:lang w:val="en-US" w:eastAsia="zh-CN"/>
                <w14:textFill>
                  <w14:solidFill>
                    <w14:schemeClr w14:val="tx1"/>
                  </w14:solidFill>
                </w14:textFill>
              </w:rPr>
              <w:t>每层层高（上板底面与下板顶面间垂直距离）≥30cm</w:t>
            </w:r>
            <w:r>
              <w:rPr>
                <w:rFonts w:hint="eastAsia" w:ascii="宋体" w:hAnsi="宋体" w:cs="宋体"/>
                <w:kern w:val="2"/>
                <w:sz w:val="18"/>
                <w:szCs w:val="16"/>
                <w:lang w:val="en-US" w:eastAsia="zh-CN"/>
              </w:rPr>
              <w:t>；共</w:t>
            </w:r>
            <w:r>
              <w:rPr>
                <w:rFonts w:hint="eastAsia" w:ascii="宋体" w:hAnsi="宋体" w:cs="宋体"/>
                <w:color w:val="000000" w:themeColor="text1"/>
                <w:kern w:val="2"/>
                <w:sz w:val="18"/>
                <w:szCs w:val="16"/>
                <w:lang w:val="en-US" w:eastAsia="zh-CN"/>
                <w14:textFill>
                  <w14:solidFill>
                    <w14:schemeClr w14:val="tx1"/>
                  </w14:solidFill>
                </w14:textFill>
              </w:rPr>
              <w:t>5列</w:t>
            </w:r>
            <w:r>
              <w:rPr>
                <w:rFonts w:hint="eastAsia" w:ascii="宋体" w:hAnsi="宋体" w:cs="宋体"/>
                <w:kern w:val="2"/>
                <w:sz w:val="18"/>
                <w:szCs w:val="16"/>
                <w:lang w:val="en-US" w:eastAsia="zh-CN"/>
              </w:rPr>
              <w:t>。</w:t>
            </w:r>
          </w:p>
        </w:tc>
        <w:tc>
          <w:tcPr>
            <w:tcW w:w="1159" w:type="dxa"/>
            <w:vAlign w:val="center"/>
          </w:tcPr>
          <w:p w14:paraId="65FC70CF">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宋体" w:hAnsi="宋体" w:eastAsia="宋体" w:cs="宋体"/>
                <w:kern w:val="2"/>
                <w:sz w:val="18"/>
                <w:szCs w:val="16"/>
                <w:lang w:val="en-US" w:eastAsia="zh-CN"/>
              </w:rPr>
            </w:pPr>
            <w:r>
              <w:rPr>
                <w:rFonts w:hint="eastAsia" w:ascii="宋体" w:hAnsi="宋体" w:cs="宋体"/>
                <w:kern w:val="2"/>
                <w:sz w:val="18"/>
                <w:szCs w:val="16"/>
                <w:lang w:val="en-US" w:eastAsia="zh-CN"/>
              </w:rPr>
              <w:t>30</w:t>
            </w:r>
          </w:p>
        </w:tc>
        <w:tc>
          <w:tcPr>
            <w:tcW w:w="862" w:type="dxa"/>
            <w:vAlign w:val="center"/>
          </w:tcPr>
          <w:p w14:paraId="7D95FD66">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cs="宋体"/>
                <w:kern w:val="2"/>
                <w:sz w:val="18"/>
                <w:szCs w:val="16"/>
              </w:rPr>
            </w:pPr>
          </w:p>
        </w:tc>
        <w:tc>
          <w:tcPr>
            <w:tcW w:w="910" w:type="dxa"/>
            <w:vAlign w:val="center"/>
          </w:tcPr>
          <w:p w14:paraId="35A32BB2">
            <w:pPr>
              <w:keepNext w:val="0"/>
              <w:keepLines w:val="0"/>
              <w:pageBreakBefore w:val="0"/>
              <w:widowControl w:val="0"/>
              <w:kinsoku/>
              <w:wordWrap/>
              <w:overflowPunct/>
              <w:topLinePunct w:val="0"/>
              <w:autoSpaceDE/>
              <w:autoSpaceDN/>
              <w:bidi w:val="0"/>
              <w:adjustRightInd/>
              <w:snapToGrid w:val="0"/>
              <w:spacing w:line="240" w:lineRule="exact"/>
              <w:jc w:val="right"/>
              <w:textAlignment w:val="auto"/>
              <w:rPr>
                <w:rFonts w:ascii="宋体" w:hAnsi="宋体" w:cs="宋体"/>
                <w:kern w:val="2"/>
                <w:sz w:val="18"/>
                <w:szCs w:val="16"/>
              </w:rPr>
            </w:pPr>
          </w:p>
        </w:tc>
        <w:tc>
          <w:tcPr>
            <w:tcW w:w="722" w:type="dxa"/>
            <w:vAlign w:val="center"/>
          </w:tcPr>
          <w:p w14:paraId="10699B01">
            <w:pPr>
              <w:keepNext w:val="0"/>
              <w:keepLines w:val="0"/>
              <w:pageBreakBefore w:val="0"/>
              <w:widowControl w:val="0"/>
              <w:kinsoku/>
              <w:wordWrap/>
              <w:overflowPunct/>
              <w:topLinePunct w:val="0"/>
              <w:autoSpaceDE/>
              <w:autoSpaceDN/>
              <w:bidi w:val="0"/>
              <w:adjustRightInd/>
              <w:snapToGrid w:val="0"/>
              <w:spacing w:line="240" w:lineRule="exact"/>
              <w:jc w:val="right"/>
              <w:textAlignment w:val="auto"/>
              <w:rPr>
                <w:rFonts w:ascii="宋体" w:hAnsi="宋体" w:cs="宋体"/>
                <w:kern w:val="2"/>
                <w:sz w:val="18"/>
                <w:szCs w:val="16"/>
              </w:rPr>
            </w:pPr>
          </w:p>
        </w:tc>
        <w:tc>
          <w:tcPr>
            <w:tcW w:w="654" w:type="dxa"/>
            <w:vAlign w:val="center"/>
          </w:tcPr>
          <w:p w14:paraId="627BC4A9">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cs="宋体"/>
                <w:kern w:val="2"/>
                <w:sz w:val="18"/>
                <w:szCs w:val="16"/>
              </w:rPr>
            </w:pPr>
          </w:p>
        </w:tc>
      </w:tr>
      <w:tr w14:paraId="134CD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Merge w:val="continue"/>
            <w:vAlign w:val="center"/>
          </w:tcPr>
          <w:p w14:paraId="56AA1492">
            <w:pPr>
              <w:snapToGrid w:val="0"/>
              <w:jc w:val="center"/>
              <w:rPr>
                <w:rFonts w:ascii="宋体" w:hAnsi="宋体" w:cs="宋体"/>
                <w:kern w:val="2"/>
                <w:sz w:val="18"/>
                <w:szCs w:val="16"/>
              </w:rPr>
            </w:pPr>
          </w:p>
        </w:tc>
        <w:tc>
          <w:tcPr>
            <w:tcW w:w="810" w:type="dxa"/>
            <w:vAlign w:val="center"/>
          </w:tcPr>
          <w:p w14:paraId="2345B938">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cs="宋体"/>
                <w:kern w:val="2"/>
                <w:sz w:val="18"/>
                <w:szCs w:val="16"/>
              </w:rPr>
            </w:pPr>
            <w:r>
              <w:rPr>
                <w:rFonts w:hint="eastAsia" w:ascii="宋体" w:hAnsi="宋体" w:cs="宋体"/>
                <w:kern w:val="2"/>
                <w:sz w:val="18"/>
                <w:szCs w:val="16"/>
              </w:rPr>
              <w:t>钢书架</w:t>
            </w:r>
          </w:p>
        </w:tc>
        <w:tc>
          <w:tcPr>
            <w:tcW w:w="2820" w:type="dxa"/>
            <w:vAlign w:val="center"/>
          </w:tcPr>
          <w:p w14:paraId="1F2261CF">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ascii="宋体" w:hAnsi="宋体" w:cs="宋体"/>
                <w:kern w:val="2"/>
                <w:sz w:val="18"/>
                <w:szCs w:val="16"/>
              </w:rPr>
            </w:pPr>
            <w:r>
              <w:rPr>
                <w:rFonts w:hint="eastAsia" w:ascii="宋体" w:hAnsi="宋体" w:cs="宋体"/>
                <w:kern w:val="2"/>
                <w:sz w:val="18"/>
                <w:szCs w:val="16"/>
              </w:rPr>
              <w:t>颜色：灰白色。5节为1列、双面7层书架：每节长(每节立柱中到中)950mm*500mm*2450mm,每层层高≥30cm；共6列。</w:t>
            </w:r>
          </w:p>
        </w:tc>
        <w:tc>
          <w:tcPr>
            <w:tcW w:w="1159" w:type="dxa"/>
            <w:vAlign w:val="center"/>
          </w:tcPr>
          <w:p w14:paraId="663E6B1D">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cs="宋体"/>
                <w:kern w:val="2"/>
                <w:sz w:val="18"/>
                <w:szCs w:val="16"/>
              </w:rPr>
            </w:pPr>
            <w:r>
              <w:rPr>
                <w:rFonts w:hint="eastAsia" w:ascii="宋体" w:hAnsi="宋体" w:cs="宋体"/>
                <w:kern w:val="2"/>
                <w:sz w:val="18"/>
                <w:szCs w:val="16"/>
              </w:rPr>
              <w:t>30</w:t>
            </w:r>
          </w:p>
        </w:tc>
        <w:tc>
          <w:tcPr>
            <w:tcW w:w="862" w:type="dxa"/>
            <w:vAlign w:val="center"/>
          </w:tcPr>
          <w:p w14:paraId="47AF983D">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cs="宋体"/>
                <w:kern w:val="2"/>
                <w:sz w:val="18"/>
                <w:szCs w:val="16"/>
              </w:rPr>
            </w:pPr>
          </w:p>
        </w:tc>
        <w:tc>
          <w:tcPr>
            <w:tcW w:w="910" w:type="dxa"/>
            <w:vAlign w:val="center"/>
          </w:tcPr>
          <w:p w14:paraId="5E240DCC">
            <w:pPr>
              <w:keepNext w:val="0"/>
              <w:keepLines w:val="0"/>
              <w:pageBreakBefore w:val="0"/>
              <w:widowControl w:val="0"/>
              <w:kinsoku/>
              <w:wordWrap/>
              <w:overflowPunct/>
              <w:topLinePunct w:val="0"/>
              <w:autoSpaceDE/>
              <w:autoSpaceDN/>
              <w:bidi w:val="0"/>
              <w:adjustRightInd/>
              <w:snapToGrid w:val="0"/>
              <w:spacing w:line="240" w:lineRule="exact"/>
              <w:jc w:val="right"/>
              <w:textAlignment w:val="auto"/>
              <w:rPr>
                <w:rFonts w:ascii="宋体" w:hAnsi="宋体" w:cs="宋体"/>
                <w:kern w:val="2"/>
                <w:sz w:val="18"/>
                <w:szCs w:val="16"/>
              </w:rPr>
            </w:pPr>
          </w:p>
        </w:tc>
        <w:tc>
          <w:tcPr>
            <w:tcW w:w="722" w:type="dxa"/>
            <w:vAlign w:val="center"/>
          </w:tcPr>
          <w:p w14:paraId="20C93A9E">
            <w:pPr>
              <w:keepNext w:val="0"/>
              <w:keepLines w:val="0"/>
              <w:pageBreakBefore w:val="0"/>
              <w:widowControl w:val="0"/>
              <w:kinsoku/>
              <w:wordWrap/>
              <w:overflowPunct/>
              <w:topLinePunct w:val="0"/>
              <w:autoSpaceDE/>
              <w:autoSpaceDN/>
              <w:bidi w:val="0"/>
              <w:adjustRightInd/>
              <w:snapToGrid w:val="0"/>
              <w:spacing w:line="240" w:lineRule="exact"/>
              <w:jc w:val="right"/>
              <w:textAlignment w:val="auto"/>
              <w:rPr>
                <w:rFonts w:ascii="宋体" w:hAnsi="宋体" w:cs="宋体"/>
                <w:kern w:val="2"/>
                <w:sz w:val="18"/>
                <w:szCs w:val="16"/>
              </w:rPr>
            </w:pPr>
          </w:p>
        </w:tc>
        <w:tc>
          <w:tcPr>
            <w:tcW w:w="654" w:type="dxa"/>
            <w:vAlign w:val="center"/>
          </w:tcPr>
          <w:p w14:paraId="48A8CB0B">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cs="宋体"/>
                <w:kern w:val="2"/>
                <w:sz w:val="18"/>
                <w:szCs w:val="16"/>
              </w:rPr>
            </w:pPr>
          </w:p>
        </w:tc>
      </w:tr>
      <w:tr w14:paraId="3A3BF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Merge w:val="continue"/>
            <w:vAlign w:val="center"/>
          </w:tcPr>
          <w:p w14:paraId="688C5AC6">
            <w:pPr>
              <w:snapToGrid w:val="0"/>
              <w:jc w:val="center"/>
              <w:rPr>
                <w:rFonts w:ascii="宋体" w:hAnsi="宋体" w:cs="宋体"/>
                <w:kern w:val="2"/>
                <w:sz w:val="18"/>
                <w:szCs w:val="16"/>
              </w:rPr>
            </w:pPr>
          </w:p>
        </w:tc>
        <w:tc>
          <w:tcPr>
            <w:tcW w:w="810" w:type="dxa"/>
            <w:vAlign w:val="center"/>
          </w:tcPr>
          <w:p w14:paraId="623A365B">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cs="宋体"/>
                <w:kern w:val="2"/>
                <w:sz w:val="18"/>
                <w:szCs w:val="16"/>
              </w:rPr>
            </w:pPr>
            <w:r>
              <w:rPr>
                <w:rFonts w:hint="eastAsia" w:ascii="宋体" w:hAnsi="宋体" w:cs="宋体"/>
                <w:kern w:val="2"/>
                <w:sz w:val="18"/>
                <w:szCs w:val="16"/>
              </w:rPr>
              <w:t>钢书架</w:t>
            </w:r>
          </w:p>
        </w:tc>
        <w:tc>
          <w:tcPr>
            <w:tcW w:w="2820" w:type="dxa"/>
            <w:vAlign w:val="center"/>
          </w:tcPr>
          <w:p w14:paraId="5B17C9AB">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ascii="宋体" w:hAnsi="宋体" w:cs="宋体"/>
                <w:kern w:val="2"/>
                <w:sz w:val="18"/>
                <w:szCs w:val="16"/>
              </w:rPr>
            </w:pPr>
            <w:r>
              <w:rPr>
                <w:rFonts w:hint="eastAsia" w:ascii="宋体" w:hAnsi="宋体" w:cs="宋体"/>
                <w:kern w:val="2"/>
                <w:sz w:val="18"/>
                <w:szCs w:val="16"/>
              </w:rPr>
              <w:t>颜色：灰白色。4节为1列、双面7层书架：每节长(每节立柱中到中)900mm*500mm*2450mm,每层层高≥30cm；共1列。</w:t>
            </w:r>
          </w:p>
        </w:tc>
        <w:tc>
          <w:tcPr>
            <w:tcW w:w="1159" w:type="dxa"/>
            <w:vAlign w:val="center"/>
          </w:tcPr>
          <w:p w14:paraId="35F30B05">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cs="宋体"/>
                <w:kern w:val="2"/>
                <w:sz w:val="18"/>
                <w:szCs w:val="16"/>
              </w:rPr>
            </w:pPr>
            <w:r>
              <w:rPr>
                <w:rFonts w:hint="eastAsia" w:ascii="宋体" w:hAnsi="宋体" w:cs="宋体"/>
                <w:kern w:val="2"/>
                <w:sz w:val="18"/>
                <w:szCs w:val="16"/>
              </w:rPr>
              <w:t>4</w:t>
            </w:r>
          </w:p>
        </w:tc>
        <w:tc>
          <w:tcPr>
            <w:tcW w:w="862" w:type="dxa"/>
            <w:vAlign w:val="center"/>
          </w:tcPr>
          <w:p w14:paraId="414D7E42">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cs="宋体"/>
                <w:kern w:val="2"/>
                <w:sz w:val="18"/>
                <w:szCs w:val="16"/>
              </w:rPr>
            </w:pPr>
          </w:p>
        </w:tc>
        <w:tc>
          <w:tcPr>
            <w:tcW w:w="910" w:type="dxa"/>
            <w:vAlign w:val="center"/>
          </w:tcPr>
          <w:p w14:paraId="68039044">
            <w:pPr>
              <w:keepNext w:val="0"/>
              <w:keepLines w:val="0"/>
              <w:pageBreakBefore w:val="0"/>
              <w:widowControl w:val="0"/>
              <w:kinsoku/>
              <w:wordWrap/>
              <w:overflowPunct/>
              <w:topLinePunct w:val="0"/>
              <w:autoSpaceDE/>
              <w:autoSpaceDN/>
              <w:bidi w:val="0"/>
              <w:adjustRightInd/>
              <w:snapToGrid w:val="0"/>
              <w:spacing w:line="240" w:lineRule="exact"/>
              <w:jc w:val="right"/>
              <w:textAlignment w:val="auto"/>
              <w:rPr>
                <w:rFonts w:ascii="宋体" w:hAnsi="宋体" w:cs="宋体"/>
                <w:kern w:val="2"/>
                <w:sz w:val="18"/>
                <w:szCs w:val="16"/>
              </w:rPr>
            </w:pPr>
          </w:p>
        </w:tc>
        <w:tc>
          <w:tcPr>
            <w:tcW w:w="722" w:type="dxa"/>
            <w:vAlign w:val="center"/>
          </w:tcPr>
          <w:p w14:paraId="10119C61">
            <w:pPr>
              <w:keepNext w:val="0"/>
              <w:keepLines w:val="0"/>
              <w:pageBreakBefore w:val="0"/>
              <w:widowControl w:val="0"/>
              <w:kinsoku/>
              <w:wordWrap/>
              <w:overflowPunct/>
              <w:topLinePunct w:val="0"/>
              <w:autoSpaceDE/>
              <w:autoSpaceDN/>
              <w:bidi w:val="0"/>
              <w:adjustRightInd/>
              <w:snapToGrid w:val="0"/>
              <w:spacing w:line="240" w:lineRule="exact"/>
              <w:jc w:val="right"/>
              <w:textAlignment w:val="auto"/>
              <w:rPr>
                <w:rFonts w:ascii="宋体" w:hAnsi="宋体" w:cs="宋体"/>
                <w:kern w:val="2"/>
                <w:sz w:val="18"/>
                <w:szCs w:val="16"/>
              </w:rPr>
            </w:pPr>
          </w:p>
        </w:tc>
        <w:tc>
          <w:tcPr>
            <w:tcW w:w="654" w:type="dxa"/>
            <w:vAlign w:val="center"/>
          </w:tcPr>
          <w:p w14:paraId="738ED8F8">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cs="宋体"/>
                <w:kern w:val="2"/>
                <w:sz w:val="18"/>
                <w:szCs w:val="16"/>
              </w:rPr>
            </w:pPr>
          </w:p>
        </w:tc>
      </w:tr>
      <w:tr w14:paraId="73C51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Merge w:val="continue"/>
            <w:vAlign w:val="center"/>
          </w:tcPr>
          <w:p w14:paraId="48D0A4A4">
            <w:pPr>
              <w:snapToGrid w:val="0"/>
              <w:jc w:val="center"/>
              <w:rPr>
                <w:rFonts w:ascii="宋体" w:hAnsi="宋体" w:cs="宋体"/>
                <w:kern w:val="2"/>
                <w:sz w:val="18"/>
                <w:szCs w:val="16"/>
              </w:rPr>
            </w:pPr>
          </w:p>
        </w:tc>
        <w:tc>
          <w:tcPr>
            <w:tcW w:w="810" w:type="dxa"/>
            <w:vAlign w:val="center"/>
          </w:tcPr>
          <w:p w14:paraId="0BCE3653">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cs="宋体"/>
                <w:kern w:val="2"/>
                <w:sz w:val="18"/>
                <w:szCs w:val="16"/>
              </w:rPr>
            </w:pPr>
            <w:r>
              <w:rPr>
                <w:rFonts w:hint="eastAsia" w:ascii="宋体" w:hAnsi="宋体" w:cs="宋体"/>
                <w:kern w:val="2"/>
                <w:sz w:val="18"/>
                <w:szCs w:val="16"/>
              </w:rPr>
              <w:t>钢(木)书架</w:t>
            </w:r>
          </w:p>
        </w:tc>
        <w:tc>
          <w:tcPr>
            <w:tcW w:w="2820" w:type="dxa"/>
            <w:vAlign w:val="center"/>
          </w:tcPr>
          <w:p w14:paraId="33835E98">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ascii="宋体" w:hAnsi="宋体" w:cs="宋体"/>
                <w:kern w:val="2"/>
                <w:sz w:val="18"/>
                <w:szCs w:val="16"/>
              </w:rPr>
            </w:pPr>
            <w:r>
              <w:rPr>
                <w:rFonts w:hint="eastAsia" w:ascii="宋体" w:hAnsi="宋体" w:cs="宋体"/>
                <w:kern w:val="2"/>
                <w:sz w:val="18"/>
                <w:szCs w:val="16"/>
              </w:rPr>
              <w:t>侧面、顶面、底面的颜色：木纹色。7节为1列、双面7层书架：每节长(每节立柱中到中)900mm*500mm*2450mm,每层层高≥30cm；共1列。</w:t>
            </w:r>
          </w:p>
        </w:tc>
        <w:tc>
          <w:tcPr>
            <w:tcW w:w="1159" w:type="dxa"/>
            <w:vAlign w:val="center"/>
          </w:tcPr>
          <w:p w14:paraId="02EC47FB">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cs="宋体"/>
                <w:kern w:val="2"/>
                <w:sz w:val="18"/>
                <w:szCs w:val="16"/>
              </w:rPr>
            </w:pPr>
            <w:r>
              <w:rPr>
                <w:rFonts w:hint="eastAsia" w:ascii="宋体" w:hAnsi="宋体" w:cs="宋体"/>
                <w:kern w:val="2"/>
                <w:sz w:val="18"/>
                <w:szCs w:val="16"/>
              </w:rPr>
              <w:t>7</w:t>
            </w:r>
          </w:p>
        </w:tc>
        <w:tc>
          <w:tcPr>
            <w:tcW w:w="862" w:type="dxa"/>
            <w:vAlign w:val="center"/>
          </w:tcPr>
          <w:p w14:paraId="1658D0EA">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cs="宋体"/>
                <w:kern w:val="2"/>
                <w:sz w:val="18"/>
                <w:szCs w:val="16"/>
              </w:rPr>
            </w:pPr>
          </w:p>
        </w:tc>
        <w:tc>
          <w:tcPr>
            <w:tcW w:w="910" w:type="dxa"/>
            <w:vAlign w:val="center"/>
          </w:tcPr>
          <w:p w14:paraId="1560EE27">
            <w:pPr>
              <w:keepNext w:val="0"/>
              <w:keepLines w:val="0"/>
              <w:pageBreakBefore w:val="0"/>
              <w:widowControl w:val="0"/>
              <w:kinsoku/>
              <w:wordWrap/>
              <w:overflowPunct/>
              <w:topLinePunct w:val="0"/>
              <w:autoSpaceDE/>
              <w:autoSpaceDN/>
              <w:bidi w:val="0"/>
              <w:adjustRightInd/>
              <w:snapToGrid w:val="0"/>
              <w:spacing w:line="240" w:lineRule="exact"/>
              <w:jc w:val="right"/>
              <w:textAlignment w:val="auto"/>
              <w:rPr>
                <w:rFonts w:ascii="宋体" w:hAnsi="宋体" w:cs="宋体"/>
                <w:kern w:val="2"/>
                <w:sz w:val="18"/>
                <w:szCs w:val="16"/>
              </w:rPr>
            </w:pPr>
          </w:p>
        </w:tc>
        <w:tc>
          <w:tcPr>
            <w:tcW w:w="722" w:type="dxa"/>
            <w:vAlign w:val="center"/>
          </w:tcPr>
          <w:p w14:paraId="6730A13B">
            <w:pPr>
              <w:keepNext w:val="0"/>
              <w:keepLines w:val="0"/>
              <w:pageBreakBefore w:val="0"/>
              <w:widowControl w:val="0"/>
              <w:kinsoku/>
              <w:wordWrap/>
              <w:overflowPunct/>
              <w:topLinePunct w:val="0"/>
              <w:autoSpaceDE/>
              <w:autoSpaceDN/>
              <w:bidi w:val="0"/>
              <w:adjustRightInd/>
              <w:snapToGrid w:val="0"/>
              <w:spacing w:line="240" w:lineRule="exact"/>
              <w:jc w:val="right"/>
              <w:textAlignment w:val="auto"/>
              <w:rPr>
                <w:rFonts w:ascii="宋体" w:hAnsi="宋体" w:cs="宋体"/>
                <w:kern w:val="2"/>
                <w:sz w:val="18"/>
                <w:szCs w:val="16"/>
              </w:rPr>
            </w:pPr>
          </w:p>
        </w:tc>
        <w:tc>
          <w:tcPr>
            <w:tcW w:w="654" w:type="dxa"/>
            <w:vAlign w:val="center"/>
          </w:tcPr>
          <w:p w14:paraId="39AF14B3">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cs="宋体"/>
                <w:kern w:val="2"/>
                <w:sz w:val="18"/>
                <w:szCs w:val="16"/>
              </w:rPr>
            </w:pPr>
          </w:p>
        </w:tc>
      </w:tr>
      <w:tr w14:paraId="2063A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4366" w:type="dxa"/>
            <w:gridSpan w:val="3"/>
            <w:vAlign w:val="center"/>
          </w:tcPr>
          <w:p w14:paraId="195D1E29">
            <w:pPr>
              <w:snapToGrid w:val="0"/>
              <w:jc w:val="center"/>
              <w:rPr>
                <w:rFonts w:ascii="宋体" w:hAnsi="宋体" w:cs="宋体"/>
                <w:b/>
                <w:bCs/>
                <w:kern w:val="2"/>
                <w:sz w:val="18"/>
                <w:szCs w:val="16"/>
              </w:rPr>
            </w:pPr>
            <w:r>
              <w:rPr>
                <w:rFonts w:hint="eastAsia" w:ascii="宋体" w:hAnsi="宋体" w:cs="宋体"/>
                <w:b/>
                <w:bCs/>
                <w:kern w:val="2"/>
                <w:sz w:val="18"/>
                <w:szCs w:val="16"/>
              </w:rPr>
              <w:t>合计</w:t>
            </w:r>
          </w:p>
        </w:tc>
        <w:tc>
          <w:tcPr>
            <w:tcW w:w="4307" w:type="dxa"/>
            <w:gridSpan w:val="5"/>
            <w:vAlign w:val="center"/>
          </w:tcPr>
          <w:p w14:paraId="18666CA2">
            <w:pPr>
              <w:snapToGrid w:val="0"/>
              <w:jc w:val="center"/>
              <w:rPr>
                <w:rFonts w:ascii="宋体" w:hAnsi="宋体" w:cs="宋体"/>
                <w:b/>
                <w:bCs/>
                <w:kern w:val="2"/>
                <w:sz w:val="18"/>
                <w:szCs w:val="16"/>
              </w:rPr>
            </w:pPr>
            <w:r>
              <w:rPr>
                <w:rFonts w:hint="eastAsia" w:ascii="宋体" w:hAnsi="宋体" w:cs="宋体"/>
                <w:b/>
                <w:bCs/>
                <w:kern w:val="2"/>
                <w:sz w:val="18"/>
                <w:szCs w:val="16"/>
              </w:rPr>
              <w:t xml:space="preserve">大写：      </w:t>
            </w:r>
            <w:r>
              <w:rPr>
                <w:rFonts w:hint="eastAsia" w:ascii="宋体" w:hAnsi="宋体" w:cs="宋体"/>
                <w:b/>
                <w:bCs/>
                <w:kern w:val="2"/>
                <w:sz w:val="18"/>
                <w:szCs w:val="16"/>
                <w:lang w:val="en-US" w:eastAsia="zh-CN"/>
              </w:rPr>
              <w:t>元</w:t>
            </w:r>
            <w:r>
              <w:rPr>
                <w:rFonts w:hint="eastAsia" w:ascii="宋体" w:hAnsi="宋体" w:cs="宋体"/>
                <w:b/>
                <w:bCs/>
                <w:kern w:val="2"/>
                <w:sz w:val="18"/>
                <w:szCs w:val="16"/>
              </w:rPr>
              <w:t xml:space="preserve"> </w:t>
            </w:r>
            <w:r>
              <w:rPr>
                <w:rFonts w:hint="eastAsia" w:ascii="宋体" w:hAnsi="宋体" w:cs="宋体"/>
                <w:b/>
                <w:bCs/>
                <w:kern w:val="2"/>
                <w:sz w:val="18"/>
                <w:szCs w:val="16"/>
                <w:lang w:eastAsia="zh-CN"/>
              </w:rPr>
              <w:t>；</w:t>
            </w:r>
            <w:r>
              <w:rPr>
                <w:rFonts w:hint="eastAsia" w:ascii="宋体" w:hAnsi="宋体" w:cs="宋体"/>
                <w:b/>
                <w:bCs/>
                <w:kern w:val="2"/>
                <w:sz w:val="18"/>
                <w:szCs w:val="16"/>
              </w:rPr>
              <w:t>小写：</w:t>
            </w:r>
            <w:r>
              <w:rPr>
                <w:rFonts w:hint="eastAsia" w:ascii="宋体" w:hAnsi="宋体" w:cs="宋体"/>
                <w:b/>
                <w:bCs/>
                <w:kern w:val="2"/>
                <w:sz w:val="18"/>
                <w:szCs w:val="16"/>
                <w:lang w:val="en-US" w:eastAsia="zh-CN"/>
              </w:rPr>
              <w:t>¥</w:t>
            </w:r>
            <w:r>
              <w:rPr>
                <w:rFonts w:hint="eastAsia" w:ascii="宋体" w:hAnsi="宋体" w:cs="宋体"/>
                <w:b/>
                <w:bCs/>
                <w:kern w:val="2"/>
                <w:sz w:val="18"/>
                <w:szCs w:val="16"/>
              </w:rPr>
              <w:t xml:space="preserve">     元</w:t>
            </w:r>
          </w:p>
        </w:tc>
      </w:tr>
    </w:tbl>
    <w:p w14:paraId="79732B73">
      <w:pPr>
        <w:spacing w:after="100" w:line="360" w:lineRule="auto"/>
        <w:ind w:firstLine="3360" w:firstLineChars="1400"/>
        <w:jc w:val="both"/>
        <w:rPr>
          <w:rFonts w:hint="eastAsia" w:ascii="宋体" w:hAnsi="宋体" w:cs="宋体"/>
          <w:sz w:val="24"/>
        </w:rPr>
      </w:pPr>
    </w:p>
    <w:p w14:paraId="384BC227">
      <w:pPr>
        <w:spacing w:after="100" w:line="360" w:lineRule="auto"/>
        <w:ind w:firstLine="3360" w:firstLineChars="1400"/>
        <w:jc w:val="both"/>
        <w:rPr>
          <w:rFonts w:hint="eastAsia" w:ascii="宋体" w:hAnsi="宋体" w:cs="宋体"/>
          <w:sz w:val="24"/>
        </w:rPr>
      </w:pPr>
      <w:r>
        <w:rPr>
          <w:rFonts w:hint="eastAsia" w:ascii="宋体" w:hAnsi="宋体" w:cs="宋体"/>
          <w:sz w:val="24"/>
        </w:rPr>
        <w:t>供应商名称：（盖章）</w:t>
      </w:r>
    </w:p>
    <w:p w14:paraId="6C365F3C">
      <w:pPr>
        <w:spacing w:after="100" w:line="360" w:lineRule="auto"/>
        <w:ind w:left="1133" w:firstLine="480" w:firstLineChars="200"/>
        <w:jc w:val="center"/>
        <w:rPr>
          <w:rFonts w:hint="eastAsia" w:ascii="宋体" w:hAnsi="宋体" w:cs="宋体"/>
          <w:sz w:val="24"/>
        </w:rPr>
      </w:pPr>
      <w:r>
        <w:rPr>
          <w:rFonts w:hint="eastAsia" w:ascii="宋体" w:hAnsi="宋体" w:cs="宋体"/>
          <w:sz w:val="24"/>
        </w:rPr>
        <w:t xml:space="preserve">    法定代表人或授权委托人（签字或盖章）：</w:t>
      </w:r>
    </w:p>
    <w:p w14:paraId="1B423BEF">
      <w:pPr>
        <w:spacing w:after="100" w:line="360" w:lineRule="auto"/>
        <w:ind w:firstLine="3360" w:firstLineChars="1400"/>
        <w:jc w:val="both"/>
        <w:outlineLvl w:val="0"/>
        <w:rPr>
          <w:rFonts w:hint="eastAsia" w:ascii="宋体" w:hAnsi="宋体" w:cs="宋体"/>
          <w:sz w:val="24"/>
        </w:rPr>
      </w:pPr>
      <w:r>
        <w:rPr>
          <w:rFonts w:hint="eastAsia" w:ascii="宋体" w:hAnsi="宋体" w:cs="宋体"/>
          <w:sz w:val="24"/>
        </w:rPr>
        <w:t>日期：</w:t>
      </w:r>
    </w:p>
    <w:p w14:paraId="2854C688">
      <w:pPr>
        <w:spacing w:line="360" w:lineRule="auto"/>
        <w:jc w:val="both"/>
        <w:outlineLvl w:val="0"/>
        <w:rPr>
          <w:rFonts w:hint="eastAsia" w:ascii="宋体" w:hAnsi="宋体" w:cs="宋体"/>
          <w:sz w:val="24"/>
          <w:szCs w:val="24"/>
        </w:rPr>
      </w:pPr>
    </w:p>
    <w:sectPr>
      <w:headerReference r:id="rId8" w:type="default"/>
      <w:footerReference r:id="rId9" w:type="default"/>
      <w:pgSz w:w="11906" w:h="16838"/>
      <w:pgMar w:top="1361" w:right="1361" w:bottom="1361" w:left="1361" w:header="708"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Bold">
    <w:altName w:val="Arial"/>
    <w:panose1 w:val="00000000000000000000"/>
    <w:charset w:val="00"/>
    <w:family w:val="swiss"/>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华文仿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6EDFD">
    <w:pPr>
      <w:pStyle w:val="19"/>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9F0F8">
    <w:pPr>
      <w:pStyle w:val="19"/>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65274E">
                          <w:pPr>
                            <w:pStyle w:val="19"/>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A65274E">
                    <w:pPr>
                      <w:pStyle w:val="19"/>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D2535">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A56ED6">
                          <w:pPr>
                            <w:pStyle w:val="19"/>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AA56ED6">
                    <w:pPr>
                      <w:pStyle w:val="19"/>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9CCF1">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1DC48">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A6C90">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72A05D"/>
    <w:multiLevelType w:val="singleLevel"/>
    <w:tmpl w:val="8E72A05D"/>
    <w:lvl w:ilvl="0" w:tentative="0">
      <w:start w:val="4"/>
      <w:numFmt w:val="chineseCounting"/>
      <w:suff w:val="space"/>
      <w:lvlText w:val="第%1部分"/>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c0ZjRiM2E0MGM0ZWE0YjM3ZjhhNjYwNmFhOTNkNTQifQ=="/>
    <w:docVar w:name="KSO_WPS_MARK_KEY" w:val="e22fb9ba-9bed-4e20-99df-37e0efc83781"/>
  </w:docVars>
  <w:rsids>
    <w:rsidRoot w:val="00D31D50"/>
    <w:rsid w:val="00004BA9"/>
    <w:rsid w:val="000069EA"/>
    <w:rsid w:val="00033F89"/>
    <w:rsid w:val="00042A27"/>
    <w:rsid w:val="00047E2C"/>
    <w:rsid w:val="00052825"/>
    <w:rsid w:val="00054B47"/>
    <w:rsid w:val="00060AAE"/>
    <w:rsid w:val="00067C9A"/>
    <w:rsid w:val="000759AA"/>
    <w:rsid w:val="000773A6"/>
    <w:rsid w:val="00082BDD"/>
    <w:rsid w:val="00083F8A"/>
    <w:rsid w:val="00093216"/>
    <w:rsid w:val="00096809"/>
    <w:rsid w:val="000B5BB1"/>
    <w:rsid w:val="000E0DBA"/>
    <w:rsid w:val="000E1C15"/>
    <w:rsid w:val="00102E92"/>
    <w:rsid w:val="0011220A"/>
    <w:rsid w:val="00130AC4"/>
    <w:rsid w:val="00191FFB"/>
    <w:rsid w:val="001A3F9A"/>
    <w:rsid w:val="001B2D9A"/>
    <w:rsid w:val="001B5580"/>
    <w:rsid w:val="001B665E"/>
    <w:rsid w:val="001B6C61"/>
    <w:rsid w:val="001B76F8"/>
    <w:rsid w:val="001C5849"/>
    <w:rsid w:val="001D08A9"/>
    <w:rsid w:val="001D7056"/>
    <w:rsid w:val="001D7444"/>
    <w:rsid w:val="001E63DD"/>
    <w:rsid w:val="00200CDF"/>
    <w:rsid w:val="00213A06"/>
    <w:rsid w:val="0022057C"/>
    <w:rsid w:val="00225F64"/>
    <w:rsid w:val="00235C62"/>
    <w:rsid w:val="00244B61"/>
    <w:rsid w:val="00245D5D"/>
    <w:rsid w:val="0024723B"/>
    <w:rsid w:val="002479F1"/>
    <w:rsid w:val="00257B0D"/>
    <w:rsid w:val="00262ACA"/>
    <w:rsid w:val="00263858"/>
    <w:rsid w:val="002742A2"/>
    <w:rsid w:val="00296707"/>
    <w:rsid w:val="002A0E56"/>
    <w:rsid w:val="002A209E"/>
    <w:rsid w:val="002C5E5D"/>
    <w:rsid w:val="002E55A6"/>
    <w:rsid w:val="002E5FAB"/>
    <w:rsid w:val="002F072D"/>
    <w:rsid w:val="002F167C"/>
    <w:rsid w:val="002F6872"/>
    <w:rsid w:val="00300396"/>
    <w:rsid w:val="00323537"/>
    <w:rsid w:val="00323B43"/>
    <w:rsid w:val="003278B3"/>
    <w:rsid w:val="0033028C"/>
    <w:rsid w:val="003357D8"/>
    <w:rsid w:val="00336766"/>
    <w:rsid w:val="00344AB2"/>
    <w:rsid w:val="00351AB4"/>
    <w:rsid w:val="0035293C"/>
    <w:rsid w:val="00357EF3"/>
    <w:rsid w:val="003776F1"/>
    <w:rsid w:val="003B7BBA"/>
    <w:rsid w:val="003D26DB"/>
    <w:rsid w:val="003D37D8"/>
    <w:rsid w:val="003D4CB0"/>
    <w:rsid w:val="003E31F3"/>
    <w:rsid w:val="003F417C"/>
    <w:rsid w:val="00421506"/>
    <w:rsid w:val="00426133"/>
    <w:rsid w:val="00435570"/>
    <w:rsid w:val="004358AB"/>
    <w:rsid w:val="00445DE8"/>
    <w:rsid w:val="00457BB7"/>
    <w:rsid w:val="004661E7"/>
    <w:rsid w:val="00476BA7"/>
    <w:rsid w:val="004812AC"/>
    <w:rsid w:val="00485775"/>
    <w:rsid w:val="00490A97"/>
    <w:rsid w:val="0049333B"/>
    <w:rsid w:val="004A3661"/>
    <w:rsid w:val="004A4051"/>
    <w:rsid w:val="004B15B1"/>
    <w:rsid w:val="004C0E70"/>
    <w:rsid w:val="004C2CA7"/>
    <w:rsid w:val="004D3293"/>
    <w:rsid w:val="005000F1"/>
    <w:rsid w:val="0050229C"/>
    <w:rsid w:val="0050319E"/>
    <w:rsid w:val="005162BA"/>
    <w:rsid w:val="00524167"/>
    <w:rsid w:val="005332F0"/>
    <w:rsid w:val="0053571E"/>
    <w:rsid w:val="005571E9"/>
    <w:rsid w:val="00563504"/>
    <w:rsid w:val="005704C6"/>
    <w:rsid w:val="005715F2"/>
    <w:rsid w:val="00595554"/>
    <w:rsid w:val="005A622D"/>
    <w:rsid w:val="005B0721"/>
    <w:rsid w:val="005F0883"/>
    <w:rsid w:val="005F1E51"/>
    <w:rsid w:val="005F5DF7"/>
    <w:rsid w:val="00604F4E"/>
    <w:rsid w:val="00615F9D"/>
    <w:rsid w:val="00631930"/>
    <w:rsid w:val="00631F0F"/>
    <w:rsid w:val="0063222F"/>
    <w:rsid w:val="00633068"/>
    <w:rsid w:val="00633457"/>
    <w:rsid w:val="00637CF6"/>
    <w:rsid w:val="00645CDE"/>
    <w:rsid w:val="00671FD8"/>
    <w:rsid w:val="00684AD9"/>
    <w:rsid w:val="006A40F1"/>
    <w:rsid w:val="006A700F"/>
    <w:rsid w:val="006C1704"/>
    <w:rsid w:val="006D1D9C"/>
    <w:rsid w:val="006D447E"/>
    <w:rsid w:val="006E732A"/>
    <w:rsid w:val="006F7281"/>
    <w:rsid w:val="00705D4E"/>
    <w:rsid w:val="0071400E"/>
    <w:rsid w:val="00716F4C"/>
    <w:rsid w:val="0072484E"/>
    <w:rsid w:val="00731497"/>
    <w:rsid w:val="00743EC7"/>
    <w:rsid w:val="00750F92"/>
    <w:rsid w:val="007517F5"/>
    <w:rsid w:val="00753DBB"/>
    <w:rsid w:val="007619ED"/>
    <w:rsid w:val="00766CF5"/>
    <w:rsid w:val="007711BA"/>
    <w:rsid w:val="00774D08"/>
    <w:rsid w:val="00782F33"/>
    <w:rsid w:val="007A0D10"/>
    <w:rsid w:val="007A3CAE"/>
    <w:rsid w:val="007C0720"/>
    <w:rsid w:val="007E4E3C"/>
    <w:rsid w:val="00803D35"/>
    <w:rsid w:val="008055AC"/>
    <w:rsid w:val="00822CE9"/>
    <w:rsid w:val="008326D9"/>
    <w:rsid w:val="00840556"/>
    <w:rsid w:val="0084762B"/>
    <w:rsid w:val="00860F1D"/>
    <w:rsid w:val="00872DB2"/>
    <w:rsid w:val="00877042"/>
    <w:rsid w:val="008872AF"/>
    <w:rsid w:val="008A73D9"/>
    <w:rsid w:val="008A7FD0"/>
    <w:rsid w:val="008B6960"/>
    <w:rsid w:val="008B7726"/>
    <w:rsid w:val="008B7819"/>
    <w:rsid w:val="008B7FC5"/>
    <w:rsid w:val="008D42F0"/>
    <w:rsid w:val="008F0E86"/>
    <w:rsid w:val="00903896"/>
    <w:rsid w:val="00903A3E"/>
    <w:rsid w:val="009056D8"/>
    <w:rsid w:val="0091244B"/>
    <w:rsid w:val="009154C8"/>
    <w:rsid w:val="0093381E"/>
    <w:rsid w:val="009407CC"/>
    <w:rsid w:val="009414CB"/>
    <w:rsid w:val="0095404B"/>
    <w:rsid w:val="0095604C"/>
    <w:rsid w:val="009679F1"/>
    <w:rsid w:val="009818E0"/>
    <w:rsid w:val="00994345"/>
    <w:rsid w:val="009953F1"/>
    <w:rsid w:val="009963A7"/>
    <w:rsid w:val="009963B4"/>
    <w:rsid w:val="00997E61"/>
    <w:rsid w:val="009B4F42"/>
    <w:rsid w:val="009C1F4F"/>
    <w:rsid w:val="009D5E18"/>
    <w:rsid w:val="009E03B1"/>
    <w:rsid w:val="009E3F42"/>
    <w:rsid w:val="009E6CDA"/>
    <w:rsid w:val="009F62E5"/>
    <w:rsid w:val="00A04F23"/>
    <w:rsid w:val="00A36436"/>
    <w:rsid w:val="00A415A1"/>
    <w:rsid w:val="00A84072"/>
    <w:rsid w:val="00A94652"/>
    <w:rsid w:val="00AB7166"/>
    <w:rsid w:val="00AD052A"/>
    <w:rsid w:val="00AD54D0"/>
    <w:rsid w:val="00AE1FB8"/>
    <w:rsid w:val="00AF0D89"/>
    <w:rsid w:val="00AF23E2"/>
    <w:rsid w:val="00AF6521"/>
    <w:rsid w:val="00B0022C"/>
    <w:rsid w:val="00B00DC9"/>
    <w:rsid w:val="00B050B5"/>
    <w:rsid w:val="00B10C42"/>
    <w:rsid w:val="00B323FE"/>
    <w:rsid w:val="00B373BB"/>
    <w:rsid w:val="00B41099"/>
    <w:rsid w:val="00B62085"/>
    <w:rsid w:val="00B736AD"/>
    <w:rsid w:val="00B74CCA"/>
    <w:rsid w:val="00B75196"/>
    <w:rsid w:val="00BA6ED1"/>
    <w:rsid w:val="00BB4947"/>
    <w:rsid w:val="00BC3731"/>
    <w:rsid w:val="00BC7B7E"/>
    <w:rsid w:val="00BD28D7"/>
    <w:rsid w:val="00BE118D"/>
    <w:rsid w:val="00C00B5B"/>
    <w:rsid w:val="00C076EE"/>
    <w:rsid w:val="00C14228"/>
    <w:rsid w:val="00C14283"/>
    <w:rsid w:val="00C16747"/>
    <w:rsid w:val="00C24B68"/>
    <w:rsid w:val="00C44C60"/>
    <w:rsid w:val="00C551E7"/>
    <w:rsid w:val="00C555F4"/>
    <w:rsid w:val="00C65E9D"/>
    <w:rsid w:val="00C80958"/>
    <w:rsid w:val="00C85252"/>
    <w:rsid w:val="00C85DEF"/>
    <w:rsid w:val="00CA4258"/>
    <w:rsid w:val="00CA7666"/>
    <w:rsid w:val="00CA783A"/>
    <w:rsid w:val="00CD401C"/>
    <w:rsid w:val="00D036E2"/>
    <w:rsid w:val="00D11250"/>
    <w:rsid w:val="00D236F9"/>
    <w:rsid w:val="00D24F23"/>
    <w:rsid w:val="00D31D50"/>
    <w:rsid w:val="00D53C34"/>
    <w:rsid w:val="00D5492D"/>
    <w:rsid w:val="00D5506E"/>
    <w:rsid w:val="00D86DF1"/>
    <w:rsid w:val="00DC75F8"/>
    <w:rsid w:val="00DF0BEA"/>
    <w:rsid w:val="00DF4EA9"/>
    <w:rsid w:val="00E11E8A"/>
    <w:rsid w:val="00E125C0"/>
    <w:rsid w:val="00E1648E"/>
    <w:rsid w:val="00E225AB"/>
    <w:rsid w:val="00E22C45"/>
    <w:rsid w:val="00E437E5"/>
    <w:rsid w:val="00E51C53"/>
    <w:rsid w:val="00E67218"/>
    <w:rsid w:val="00E67974"/>
    <w:rsid w:val="00E74AF4"/>
    <w:rsid w:val="00E762DD"/>
    <w:rsid w:val="00E81CC9"/>
    <w:rsid w:val="00E84B4F"/>
    <w:rsid w:val="00E97B66"/>
    <w:rsid w:val="00EB0026"/>
    <w:rsid w:val="00EB47C5"/>
    <w:rsid w:val="00EB5F04"/>
    <w:rsid w:val="00EC3880"/>
    <w:rsid w:val="00EC6511"/>
    <w:rsid w:val="00ED5D4D"/>
    <w:rsid w:val="00EE00E7"/>
    <w:rsid w:val="00EE42E4"/>
    <w:rsid w:val="00EE7621"/>
    <w:rsid w:val="00EF6B79"/>
    <w:rsid w:val="00EF7F42"/>
    <w:rsid w:val="00F10030"/>
    <w:rsid w:val="00F11E5D"/>
    <w:rsid w:val="00F310AF"/>
    <w:rsid w:val="00F34D22"/>
    <w:rsid w:val="00F40315"/>
    <w:rsid w:val="00F46106"/>
    <w:rsid w:val="00F46E52"/>
    <w:rsid w:val="00F51CAF"/>
    <w:rsid w:val="00F5280D"/>
    <w:rsid w:val="00F550ED"/>
    <w:rsid w:val="00F83F4E"/>
    <w:rsid w:val="00F97645"/>
    <w:rsid w:val="00FA2AC7"/>
    <w:rsid w:val="00FC1922"/>
    <w:rsid w:val="00FC253C"/>
    <w:rsid w:val="00FE4454"/>
    <w:rsid w:val="00FF08D0"/>
    <w:rsid w:val="00FF2C02"/>
    <w:rsid w:val="00FF336A"/>
    <w:rsid w:val="010509E6"/>
    <w:rsid w:val="011A24F4"/>
    <w:rsid w:val="01232ED2"/>
    <w:rsid w:val="016F218C"/>
    <w:rsid w:val="019B5745"/>
    <w:rsid w:val="019C6989"/>
    <w:rsid w:val="01B25389"/>
    <w:rsid w:val="01B50251"/>
    <w:rsid w:val="01C54B55"/>
    <w:rsid w:val="01C963F3"/>
    <w:rsid w:val="01D732A6"/>
    <w:rsid w:val="01DA5E9C"/>
    <w:rsid w:val="02000D46"/>
    <w:rsid w:val="020A2568"/>
    <w:rsid w:val="021A27AB"/>
    <w:rsid w:val="02337D11"/>
    <w:rsid w:val="025C147D"/>
    <w:rsid w:val="027345B1"/>
    <w:rsid w:val="028F7BE9"/>
    <w:rsid w:val="02DE7C7D"/>
    <w:rsid w:val="03063B82"/>
    <w:rsid w:val="03304250"/>
    <w:rsid w:val="03335D27"/>
    <w:rsid w:val="033622D0"/>
    <w:rsid w:val="03626655"/>
    <w:rsid w:val="037C1244"/>
    <w:rsid w:val="03A9794B"/>
    <w:rsid w:val="03AD58A1"/>
    <w:rsid w:val="03BD5D86"/>
    <w:rsid w:val="03F05867"/>
    <w:rsid w:val="03F90AE6"/>
    <w:rsid w:val="041532A2"/>
    <w:rsid w:val="042B51A0"/>
    <w:rsid w:val="04445C87"/>
    <w:rsid w:val="0466617C"/>
    <w:rsid w:val="04687D1B"/>
    <w:rsid w:val="048B5BE2"/>
    <w:rsid w:val="049031F8"/>
    <w:rsid w:val="04CB5FDF"/>
    <w:rsid w:val="04E35692"/>
    <w:rsid w:val="04E377CC"/>
    <w:rsid w:val="04F72120"/>
    <w:rsid w:val="05006CB1"/>
    <w:rsid w:val="050140F6"/>
    <w:rsid w:val="05172E33"/>
    <w:rsid w:val="05510AF2"/>
    <w:rsid w:val="0563090D"/>
    <w:rsid w:val="059D0625"/>
    <w:rsid w:val="05A1711C"/>
    <w:rsid w:val="05A54A82"/>
    <w:rsid w:val="05C237BA"/>
    <w:rsid w:val="05C24D00"/>
    <w:rsid w:val="05FD2B10"/>
    <w:rsid w:val="05FE4192"/>
    <w:rsid w:val="05FF33CF"/>
    <w:rsid w:val="061045A1"/>
    <w:rsid w:val="0651540A"/>
    <w:rsid w:val="06671F0C"/>
    <w:rsid w:val="0668471E"/>
    <w:rsid w:val="066B3E27"/>
    <w:rsid w:val="06B50CF4"/>
    <w:rsid w:val="06BD621D"/>
    <w:rsid w:val="06C37571"/>
    <w:rsid w:val="06C673A5"/>
    <w:rsid w:val="06CF6A92"/>
    <w:rsid w:val="06D0591A"/>
    <w:rsid w:val="070B300A"/>
    <w:rsid w:val="076C2262"/>
    <w:rsid w:val="077E095C"/>
    <w:rsid w:val="078A0FA6"/>
    <w:rsid w:val="07DD4E5C"/>
    <w:rsid w:val="07E0507A"/>
    <w:rsid w:val="08002443"/>
    <w:rsid w:val="081C344C"/>
    <w:rsid w:val="08276B4C"/>
    <w:rsid w:val="0854453D"/>
    <w:rsid w:val="085911F2"/>
    <w:rsid w:val="088363CB"/>
    <w:rsid w:val="08B1198F"/>
    <w:rsid w:val="08B14A44"/>
    <w:rsid w:val="08B14F6B"/>
    <w:rsid w:val="08E23C96"/>
    <w:rsid w:val="08F655F4"/>
    <w:rsid w:val="08FA50E4"/>
    <w:rsid w:val="08FF767A"/>
    <w:rsid w:val="09004CE3"/>
    <w:rsid w:val="09015152"/>
    <w:rsid w:val="09322AD0"/>
    <w:rsid w:val="098B0C62"/>
    <w:rsid w:val="09971289"/>
    <w:rsid w:val="099C43EE"/>
    <w:rsid w:val="09E35B78"/>
    <w:rsid w:val="0A530B6C"/>
    <w:rsid w:val="0A5D1DCF"/>
    <w:rsid w:val="0A9D3ECC"/>
    <w:rsid w:val="0AA91C1D"/>
    <w:rsid w:val="0AB269A0"/>
    <w:rsid w:val="0AB67731"/>
    <w:rsid w:val="0B001553"/>
    <w:rsid w:val="0B064D2A"/>
    <w:rsid w:val="0B121A42"/>
    <w:rsid w:val="0B423B3C"/>
    <w:rsid w:val="0B610ED4"/>
    <w:rsid w:val="0B6947A3"/>
    <w:rsid w:val="0B754EF6"/>
    <w:rsid w:val="0B7B44EC"/>
    <w:rsid w:val="0BA53A2D"/>
    <w:rsid w:val="0BBF43C3"/>
    <w:rsid w:val="0C1E733C"/>
    <w:rsid w:val="0C3721AC"/>
    <w:rsid w:val="0C41127C"/>
    <w:rsid w:val="0C4A6383"/>
    <w:rsid w:val="0C57284E"/>
    <w:rsid w:val="0C82292B"/>
    <w:rsid w:val="0C9B4CC7"/>
    <w:rsid w:val="0CB74E42"/>
    <w:rsid w:val="0CBE011B"/>
    <w:rsid w:val="0CF174DE"/>
    <w:rsid w:val="0D107E7B"/>
    <w:rsid w:val="0D2E1801"/>
    <w:rsid w:val="0DBC6E0C"/>
    <w:rsid w:val="0DE33693"/>
    <w:rsid w:val="0DF540CC"/>
    <w:rsid w:val="0DF76096"/>
    <w:rsid w:val="0E0B6422"/>
    <w:rsid w:val="0E1053AA"/>
    <w:rsid w:val="0E70686C"/>
    <w:rsid w:val="0E707BF7"/>
    <w:rsid w:val="0E8D07A9"/>
    <w:rsid w:val="0EA7186A"/>
    <w:rsid w:val="0EE865B1"/>
    <w:rsid w:val="0EF3685E"/>
    <w:rsid w:val="0F1B0C0A"/>
    <w:rsid w:val="0F307EB7"/>
    <w:rsid w:val="0F546D8C"/>
    <w:rsid w:val="0F655282"/>
    <w:rsid w:val="0F87344A"/>
    <w:rsid w:val="0F8B27BA"/>
    <w:rsid w:val="0FAA3873"/>
    <w:rsid w:val="0FBF71DA"/>
    <w:rsid w:val="0FC41FA8"/>
    <w:rsid w:val="0FF74F88"/>
    <w:rsid w:val="10014FAA"/>
    <w:rsid w:val="1008458B"/>
    <w:rsid w:val="106C2DCB"/>
    <w:rsid w:val="107C2883"/>
    <w:rsid w:val="109126F6"/>
    <w:rsid w:val="10991687"/>
    <w:rsid w:val="109B5B2B"/>
    <w:rsid w:val="10A623C8"/>
    <w:rsid w:val="11062F9A"/>
    <w:rsid w:val="111927C8"/>
    <w:rsid w:val="1136590C"/>
    <w:rsid w:val="115630D4"/>
    <w:rsid w:val="117028A0"/>
    <w:rsid w:val="11B524F0"/>
    <w:rsid w:val="11BF511D"/>
    <w:rsid w:val="11C72071"/>
    <w:rsid w:val="11CE35B2"/>
    <w:rsid w:val="120D76CA"/>
    <w:rsid w:val="12780CAB"/>
    <w:rsid w:val="12FE1C75"/>
    <w:rsid w:val="130A061A"/>
    <w:rsid w:val="136F4C96"/>
    <w:rsid w:val="1377583F"/>
    <w:rsid w:val="137912FC"/>
    <w:rsid w:val="139548CF"/>
    <w:rsid w:val="139B74C4"/>
    <w:rsid w:val="13A938D2"/>
    <w:rsid w:val="13B80076"/>
    <w:rsid w:val="13B9148C"/>
    <w:rsid w:val="13DA3720"/>
    <w:rsid w:val="13FB5A4E"/>
    <w:rsid w:val="14045069"/>
    <w:rsid w:val="14467430"/>
    <w:rsid w:val="14643D5A"/>
    <w:rsid w:val="14B06690"/>
    <w:rsid w:val="14BE1257"/>
    <w:rsid w:val="153802B0"/>
    <w:rsid w:val="154E5837"/>
    <w:rsid w:val="1563166D"/>
    <w:rsid w:val="15682010"/>
    <w:rsid w:val="158A3C94"/>
    <w:rsid w:val="15CB4298"/>
    <w:rsid w:val="15D62A35"/>
    <w:rsid w:val="15E06243"/>
    <w:rsid w:val="161727D5"/>
    <w:rsid w:val="16550B44"/>
    <w:rsid w:val="166662E2"/>
    <w:rsid w:val="16667265"/>
    <w:rsid w:val="16816E45"/>
    <w:rsid w:val="1686445B"/>
    <w:rsid w:val="168752E0"/>
    <w:rsid w:val="17B60D70"/>
    <w:rsid w:val="18040CE3"/>
    <w:rsid w:val="180928BA"/>
    <w:rsid w:val="18591E4E"/>
    <w:rsid w:val="18B057C0"/>
    <w:rsid w:val="18E66346"/>
    <w:rsid w:val="18FF22A3"/>
    <w:rsid w:val="19030534"/>
    <w:rsid w:val="19033B41"/>
    <w:rsid w:val="193F08F1"/>
    <w:rsid w:val="194660D8"/>
    <w:rsid w:val="196F567B"/>
    <w:rsid w:val="19753563"/>
    <w:rsid w:val="19836A30"/>
    <w:rsid w:val="198C1D89"/>
    <w:rsid w:val="19980CA0"/>
    <w:rsid w:val="19A33D75"/>
    <w:rsid w:val="19BE42D5"/>
    <w:rsid w:val="1A051B3B"/>
    <w:rsid w:val="1A096DC4"/>
    <w:rsid w:val="1A157B94"/>
    <w:rsid w:val="1A63287A"/>
    <w:rsid w:val="1A7E085D"/>
    <w:rsid w:val="1A8E38DF"/>
    <w:rsid w:val="1AA43102"/>
    <w:rsid w:val="1AD25EC1"/>
    <w:rsid w:val="1AE6196C"/>
    <w:rsid w:val="1B1464DA"/>
    <w:rsid w:val="1B216501"/>
    <w:rsid w:val="1B32070E"/>
    <w:rsid w:val="1B5332D3"/>
    <w:rsid w:val="1B6E4666"/>
    <w:rsid w:val="1B8D0519"/>
    <w:rsid w:val="1BAF7FB0"/>
    <w:rsid w:val="1BCB28B9"/>
    <w:rsid w:val="1BD104D8"/>
    <w:rsid w:val="1C0876C1"/>
    <w:rsid w:val="1C0E2F29"/>
    <w:rsid w:val="1C0F024E"/>
    <w:rsid w:val="1C3702E2"/>
    <w:rsid w:val="1C4844E0"/>
    <w:rsid w:val="1C494CB8"/>
    <w:rsid w:val="1C5B5A42"/>
    <w:rsid w:val="1C676ADD"/>
    <w:rsid w:val="1C8D1897"/>
    <w:rsid w:val="1CAE0E16"/>
    <w:rsid w:val="1CD477DC"/>
    <w:rsid w:val="1CE123EB"/>
    <w:rsid w:val="1D115195"/>
    <w:rsid w:val="1D1502E7"/>
    <w:rsid w:val="1D2621C1"/>
    <w:rsid w:val="1D3544E5"/>
    <w:rsid w:val="1D3D7269"/>
    <w:rsid w:val="1D61352C"/>
    <w:rsid w:val="1D721295"/>
    <w:rsid w:val="1D7C3EC2"/>
    <w:rsid w:val="1DAA17BA"/>
    <w:rsid w:val="1DEB1048"/>
    <w:rsid w:val="1DFD282A"/>
    <w:rsid w:val="1E0C3498"/>
    <w:rsid w:val="1E0F2F88"/>
    <w:rsid w:val="1E1D4585"/>
    <w:rsid w:val="1E3649B9"/>
    <w:rsid w:val="1E3B1FCF"/>
    <w:rsid w:val="1E933177"/>
    <w:rsid w:val="1EB138AE"/>
    <w:rsid w:val="1EE60DDA"/>
    <w:rsid w:val="1F095C2A"/>
    <w:rsid w:val="1F2B34FD"/>
    <w:rsid w:val="1F7237CF"/>
    <w:rsid w:val="1F751511"/>
    <w:rsid w:val="1F7E2973"/>
    <w:rsid w:val="1F8B79D0"/>
    <w:rsid w:val="1FFB1A16"/>
    <w:rsid w:val="2016077D"/>
    <w:rsid w:val="202F7213"/>
    <w:rsid w:val="20336AB1"/>
    <w:rsid w:val="204022DE"/>
    <w:rsid w:val="20515ADA"/>
    <w:rsid w:val="206E6E1D"/>
    <w:rsid w:val="20717F2A"/>
    <w:rsid w:val="20775C57"/>
    <w:rsid w:val="20831A0C"/>
    <w:rsid w:val="209459C7"/>
    <w:rsid w:val="209546EE"/>
    <w:rsid w:val="209C61B0"/>
    <w:rsid w:val="20D11C13"/>
    <w:rsid w:val="20DE3A7A"/>
    <w:rsid w:val="2127683B"/>
    <w:rsid w:val="214473ED"/>
    <w:rsid w:val="21576CFE"/>
    <w:rsid w:val="218F4348"/>
    <w:rsid w:val="219914E7"/>
    <w:rsid w:val="21B31E7D"/>
    <w:rsid w:val="21B36EA6"/>
    <w:rsid w:val="226028FA"/>
    <w:rsid w:val="2265761B"/>
    <w:rsid w:val="226A2E83"/>
    <w:rsid w:val="22D731A7"/>
    <w:rsid w:val="22FF50CE"/>
    <w:rsid w:val="232272BA"/>
    <w:rsid w:val="23280067"/>
    <w:rsid w:val="23353491"/>
    <w:rsid w:val="236E4680"/>
    <w:rsid w:val="237F470C"/>
    <w:rsid w:val="239E3ED6"/>
    <w:rsid w:val="23BD5235"/>
    <w:rsid w:val="23D35321"/>
    <w:rsid w:val="23EB51CA"/>
    <w:rsid w:val="23F44CC2"/>
    <w:rsid w:val="23F4590F"/>
    <w:rsid w:val="23FF584D"/>
    <w:rsid w:val="2419493C"/>
    <w:rsid w:val="245E7561"/>
    <w:rsid w:val="2466767A"/>
    <w:rsid w:val="2492221D"/>
    <w:rsid w:val="24A24B56"/>
    <w:rsid w:val="24A91031"/>
    <w:rsid w:val="24AD640C"/>
    <w:rsid w:val="24B47693"/>
    <w:rsid w:val="24BD48C6"/>
    <w:rsid w:val="24C148B0"/>
    <w:rsid w:val="24D334FA"/>
    <w:rsid w:val="24D6447F"/>
    <w:rsid w:val="24E24F53"/>
    <w:rsid w:val="24EC4076"/>
    <w:rsid w:val="24F12526"/>
    <w:rsid w:val="24F66303"/>
    <w:rsid w:val="25037B70"/>
    <w:rsid w:val="254D7CA8"/>
    <w:rsid w:val="255905C6"/>
    <w:rsid w:val="25C167AF"/>
    <w:rsid w:val="25E13D08"/>
    <w:rsid w:val="25E23E0B"/>
    <w:rsid w:val="25F64996"/>
    <w:rsid w:val="26356F09"/>
    <w:rsid w:val="265F53DE"/>
    <w:rsid w:val="2666570F"/>
    <w:rsid w:val="26B20955"/>
    <w:rsid w:val="26C6629F"/>
    <w:rsid w:val="26F86CAF"/>
    <w:rsid w:val="27000880"/>
    <w:rsid w:val="27005865"/>
    <w:rsid w:val="27725DC5"/>
    <w:rsid w:val="27B64475"/>
    <w:rsid w:val="27D03193"/>
    <w:rsid w:val="27D4131B"/>
    <w:rsid w:val="27EE75F1"/>
    <w:rsid w:val="27F37477"/>
    <w:rsid w:val="27F72D22"/>
    <w:rsid w:val="281B645A"/>
    <w:rsid w:val="28670794"/>
    <w:rsid w:val="288E39BA"/>
    <w:rsid w:val="289B3D96"/>
    <w:rsid w:val="28A73EDA"/>
    <w:rsid w:val="28B24203"/>
    <w:rsid w:val="28EF304D"/>
    <w:rsid w:val="29070581"/>
    <w:rsid w:val="29390F28"/>
    <w:rsid w:val="295300F4"/>
    <w:rsid w:val="297035D9"/>
    <w:rsid w:val="29852351"/>
    <w:rsid w:val="299005B7"/>
    <w:rsid w:val="29AD6D01"/>
    <w:rsid w:val="29BB41C4"/>
    <w:rsid w:val="29C42A2C"/>
    <w:rsid w:val="29CD6432"/>
    <w:rsid w:val="29E03A2B"/>
    <w:rsid w:val="29E4176D"/>
    <w:rsid w:val="29E4376C"/>
    <w:rsid w:val="29E52AE6"/>
    <w:rsid w:val="2A473181"/>
    <w:rsid w:val="2A954815"/>
    <w:rsid w:val="2A9F5694"/>
    <w:rsid w:val="2AA61387"/>
    <w:rsid w:val="2ABB5AA9"/>
    <w:rsid w:val="2AD4279C"/>
    <w:rsid w:val="2AD73080"/>
    <w:rsid w:val="2B01637D"/>
    <w:rsid w:val="2B0A5828"/>
    <w:rsid w:val="2B1B15F8"/>
    <w:rsid w:val="2B3D48DE"/>
    <w:rsid w:val="2B667F60"/>
    <w:rsid w:val="2B920E72"/>
    <w:rsid w:val="2BA11762"/>
    <w:rsid w:val="2BB02DFD"/>
    <w:rsid w:val="2BC43D5C"/>
    <w:rsid w:val="2C057779"/>
    <w:rsid w:val="2C077CC9"/>
    <w:rsid w:val="2C1D7A22"/>
    <w:rsid w:val="2C5E3487"/>
    <w:rsid w:val="2C6426F1"/>
    <w:rsid w:val="2C864EA5"/>
    <w:rsid w:val="2CCA435A"/>
    <w:rsid w:val="2CD86F07"/>
    <w:rsid w:val="2D1037E1"/>
    <w:rsid w:val="2D17451B"/>
    <w:rsid w:val="2D502120"/>
    <w:rsid w:val="2D7E5A35"/>
    <w:rsid w:val="2D841D24"/>
    <w:rsid w:val="2D870D8D"/>
    <w:rsid w:val="2D93157F"/>
    <w:rsid w:val="2DAB5B69"/>
    <w:rsid w:val="2E6E3CFB"/>
    <w:rsid w:val="2EC76F67"/>
    <w:rsid w:val="2ED718A0"/>
    <w:rsid w:val="2EF37D5C"/>
    <w:rsid w:val="2F124909"/>
    <w:rsid w:val="2F212B1B"/>
    <w:rsid w:val="2F77273B"/>
    <w:rsid w:val="2F781BEF"/>
    <w:rsid w:val="2F8A6913"/>
    <w:rsid w:val="2F8E5ED1"/>
    <w:rsid w:val="2F9221AC"/>
    <w:rsid w:val="2F9C22EC"/>
    <w:rsid w:val="2FBE480E"/>
    <w:rsid w:val="2FD40BCE"/>
    <w:rsid w:val="2FE50D35"/>
    <w:rsid w:val="3002152D"/>
    <w:rsid w:val="3008407F"/>
    <w:rsid w:val="30110DE2"/>
    <w:rsid w:val="30120F59"/>
    <w:rsid w:val="30896BCA"/>
    <w:rsid w:val="309C385D"/>
    <w:rsid w:val="30C9339C"/>
    <w:rsid w:val="30DD56CC"/>
    <w:rsid w:val="30EA318F"/>
    <w:rsid w:val="30EF74A4"/>
    <w:rsid w:val="30F02EBD"/>
    <w:rsid w:val="30F24F4D"/>
    <w:rsid w:val="31080849"/>
    <w:rsid w:val="313B4368"/>
    <w:rsid w:val="31542076"/>
    <w:rsid w:val="3166515D"/>
    <w:rsid w:val="316A0CBF"/>
    <w:rsid w:val="31B859B9"/>
    <w:rsid w:val="31C74020"/>
    <w:rsid w:val="31DD584B"/>
    <w:rsid w:val="31ED4F37"/>
    <w:rsid w:val="31FD4E11"/>
    <w:rsid w:val="32251378"/>
    <w:rsid w:val="322F554F"/>
    <w:rsid w:val="323112C7"/>
    <w:rsid w:val="323F1C36"/>
    <w:rsid w:val="32586854"/>
    <w:rsid w:val="328C4750"/>
    <w:rsid w:val="32987598"/>
    <w:rsid w:val="32A11B4B"/>
    <w:rsid w:val="32A95302"/>
    <w:rsid w:val="32B1446E"/>
    <w:rsid w:val="33300A50"/>
    <w:rsid w:val="33313F09"/>
    <w:rsid w:val="337A06CC"/>
    <w:rsid w:val="337C5E32"/>
    <w:rsid w:val="338B706B"/>
    <w:rsid w:val="3392652C"/>
    <w:rsid w:val="33F35A93"/>
    <w:rsid w:val="34000F51"/>
    <w:rsid w:val="34120D4F"/>
    <w:rsid w:val="34183108"/>
    <w:rsid w:val="34190265"/>
    <w:rsid w:val="34405134"/>
    <w:rsid w:val="346534AA"/>
    <w:rsid w:val="34A07988"/>
    <w:rsid w:val="34BF0E0C"/>
    <w:rsid w:val="35366BF5"/>
    <w:rsid w:val="35505FBC"/>
    <w:rsid w:val="356E638F"/>
    <w:rsid w:val="358474CA"/>
    <w:rsid w:val="35A97BD0"/>
    <w:rsid w:val="35F10EFB"/>
    <w:rsid w:val="36034158"/>
    <w:rsid w:val="361231BE"/>
    <w:rsid w:val="36323860"/>
    <w:rsid w:val="36435A6D"/>
    <w:rsid w:val="364E318A"/>
    <w:rsid w:val="36525CC9"/>
    <w:rsid w:val="3659177C"/>
    <w:rsid w:val="3711148E"/>
    <w:rsid w:val="3739694B"/>
    <w:rsid w:val="373C4996"/>
    <w:rsid w:val="374675C3"/>
    <w:rsid w:val="376E062B"/>
    <w:rsid w:val="378D2FB4"/>
    <w:rsid w:val="378E0F6A"/>
    <w:rsid w:val="37A42641"/>
    <w:rsid w:val="37D50947"/>
    <w:rsid w:val="37D5554A"/>
    <w:rsid w:val="37ED5C91"/>
    <w:rsid w:val="37F039D3"/>
    <w:rsid w:val="38376740"/>
    <w:rsid w:val="388366EC"/>
    <w:rsid w:val="38A02D03"/>
    <w:rsid w:val="38A41E58"/>
    <w:rsid w:val="38B30C88"/>
    <w:rsid w:val="38F03BCC"/>
    <w:rsid w:val="38F17A02"/>
    <w:rsid w:val="392B392A"/>
    <w:rsid w:val="39382F3B"/>
    <w:rsid w:val="394144E6"/>
    <w:rsid w:val="396C7089"/>
    <w:rsid w:val="397C551E"/>
    <w:rsid w:val="397F500E"/>
    <w:rsid w:val="398E0DAD"/>
    <w:rsid w:val="39B30E69"/>
    <w:rsid w:val="39B53A46"/>
    <w:rsid w:val="39DB5125"/>
    <w:rsid w:val="39E41C18"/>
    <w:rsid w:val="3A0E1A6F"/>
    <w:rsid w:val="3A1E2650"/>
    <w:rsid w:val="3A240899"/>
    <w:rsid w:val="3A266CCC"/>
    <w:rsid w:val="3A3C2EFF"/>
    <w:rsid w:val="3A3E6152"/>
    <w:rsid w:val="3A463A76"/>
    <w:rsid w:val="3A475F84"/>
    <w:rsid w:val="3A983FF6"/>
    <w:rsid w:val="3A995EC5"/>
    <w:rsid w:val="3ACF5B21"/>
    <w:rsid w:val="3AD43138"/>
    <w:rsid w:val="3AF15A98"/>
    <w:rsid w:val="3B3F16C0"/>
    <w:rsid w:val="3B4C0F20"/>
    <w:rsid w:val="3B4C5D0D"/>
    <w:rsid w:val="3B684B69"/>
    <w:rsid w:val="3B7936BD"/>
    <w:rsid w:val="3B835F2D"/>
    <w:rsid w:val="3BA448B8"/>
    <w:rsid w:val="3BAB7AC9"/>
    <w:rsid w:val="3C320116"/>
    <w:rsid w:val="3C3E4D0D"/>
    <w:rsid w:val="3C6E4680"/>
    <w:rsid w:val="3C830195"/>
    <w:rsid w:val="3C864CA8"/>
    <w:rsid w:val="3D1D0DC6"/>
    <w:rsid w:val="3D3954D4"/>
    <w:rsid w:val="3D3F6549"/>
    <w:rsid w:val="3D8E5820"/>
    <w:rsid w:val="3D8E75CE"/>
    <w:rsid w:val="3DB96377"/>
    <w:rsid w:val="3E0A3EC6"/>
    <w:rsid w:val="3E741B5D"/>
    <w:rsid w:val="3E94330A"/>
    <w:rsid w:val="3E9E5BC4"/>
    <w:rsid w:val="3EAE131F"/>
    <w:rsid w:val="3EBE2135"/>
    <w:rsid w:val="3EF47F62"/>
    <w:rsid w:val="3F03223E"/>
    <w:rsid w:val="3F051C93"/>
    <w:rsid w:val="3F626F64"/>
    <w:rsid w:val="3F7075E6"/>
    <w:rsid w:val="3F7F7B16"/>
    <w:rsid w:val="3F94385C"/>
    <w:rsid w:val="3FC27A03"/>
    <w:rsid w:val="3FD768CC"/>
    <w:rsid w:val="3FF51B86"/>
    <w:rsid w:val="40030CD8"/>
    <w:rsid w:val="40061FE5"/>
    <w:rsid w:val="40063D93"/>
    <w:rsid w:val="400B75FC"/>
    <w:rsid w:val="40A06FCC"/>
    <w:rsid w:val="40AF61D9"/>
    <w:rsid w:val="40E57E4D"/>
    <w:rsid w:val="40F669E7"/>
    <w:rsid w:val="410D4CAE"/>
    <w:rsid w:val="413D2F06"/>
    <w:rsid w:val="41412BA9"/>
    <w:rsid w:val="41447126"/>
    <w:rsid w:val="41566655"/>
    <w:rsid w:val="418775F4"/>
    <w:rsid w:val="419203D2"/>
    <w:rsid w:val="419C4C20"/>
    <w:rsid w:val="41CB6494"/>
    <w:rsid w:val="420E5181"/>
    <w:rsid w:val="423544BC"/>
    <w:rsid w:val="423E74D3"/>
    <w:rsid w:val="42613503"/>
    <w:rsid w:val="42924946"/>
    <w:rsid w:val="42E859D2"/>
    <w:rsid w:val="42FA3C08"/>
    <w:rsid w:val="430B346F"/>
    <w:rsid w:val="43106CD7"/>
    <w:rsid w:val="431E7646"/>
    <w:rsid w:val="43236A0A"/>
    <w:rsid w:val="43362BE2"/>
    <w:rsid w:val="434954F7"/>
    <w:rsid w:val="43543068"/>
    <w:rsid w:val="43604741"/>
    <w:rsid w:val="43632D4D"/>
    <w:rsid w:val="43A85162"/>
    <w:rsid w:val="43C50056"/>
    <w:rsid w:val="43DE2931"/>
    <w:rsid w:val="441D3743"/>
    <w:rsid w:val="44246EDE"/>
    <w:rsid w:val="44315157"/>
    <w:rsid w:val="4452279A"/>
    <w:rsid w:val="4475773A"/>
    <w:rsid w:val="44C14DFA"/>
    <w:rsid w:val="44CD30D2"/>
    <w:rsid w:val="44D459F5"/>
    <w:rsid w:val="44D81A76"/>
    <w:rsid w:val="44EB588C"/>
    <w:rsid w:val="44F06DC0"/>
    <w:rsid w:val="44F85C75"/>
    <w:rsid w:val="44F92558"/>
    <w:rsid w:val="450D1A53"/>
    <w:rsid w:val="454447FD"/>
    <w:rsid w:val="45554E75"/>
    <w:rsid w:val="458E7C3D"/>
    <w:rsid w:val="459B4F7E"/>
    <w:rsid w:val="45C4637F"/>
    <w:rsid w:val="45E645A2"/>
    <w:rsid w:val="4622721C"/>
    <w:rsid w:val="464777FB"/>
    <w:rsid w:val="46511AE0"/>
    <w:rsid w:val="46584C1D"/>
    <w:rsid w:val="4670640B"/>
    <w:rsid w:val="467F664E"/>
    <w:rsid w:val="46C518D2"/>
    <w:rsid w:val="46D332C1"/>
    <w:rsid w:val="47017063"/>
    <w:rsid w:val="47210E42"/>
    <w:rsid w:val="473C62ED"/>
    <w:rsid w:val="47577944"/>
    <w:rsid w:val="47896741"/>
    <w:rsid w:val="47E32C0C"/>
    <w:rsid w:val="47F97AC9"/>
    <w:rsid w:val="4810155E"/>
    <w:rsid w:val="483E6BD8"/>
    <w:rsid w:val="485D651B"/>
    <w:rsid w:val="48710218"/>
    <w:rsid w:val="48736D31"/>
    <w:rsid w:val="48873598"/>
    <w:rsid w:val="48952158"/>
    <w:rsid w:val="48987D09"/>
    <w:rsid w:val="48C9393B"/>
    <w:rsid w:val="48CA1C78"/>
    <w:rsid w:val="491F3C5F"/>
    <w:rsid w:val="49360896"/>
    <w:rsid w:val="49706721"/>
    <w:rsid w:val="49CD147E"/>
    <w:rsid w:val="49CE6EA6"/>
    <w:rsid w:val="49E36EF3"/>
    <w:rsid w:val="49EF34AE"/>
    <w:rsid w:val="49F924B4"/>
    <w:rsid w:val="49FE5ADB"/>
    <w:rsid w:val="4A1E1CDA"/>
    <w:rsid w:val="4A361719"/>
    <w:rsid w:val="4A370FED"/>
    <w:rsid w:val="4A8204BA"/>
    <w:rsid w:val="4A952667"/>
    <w:rsid w:val="4AD14F9E"/>
    <w:rsid w:val="4AE44CD1"/>
    <w:rsid w:val="4B103D18"/>
    <w:rsid w:val="4B3C3949"/>
    <w:rsid w:val="4B425E9C"/>
    <w:rsid w:val="4B455253"/>
    <w:rsid w:val="4B4F5C30"/>
    <w:rsid w:val="4B5300A9"/>
    <w:rsid w:val="4B6716A1"/>
    <w:rsid w:val="4B83098E"/>
    <w:rsid w:val="4BE0548C"/>
    <w:rsid w:val="4BEB208F"/>
    <w:rsid w:val="4BFD2500"/>
    <w:rsid w:val="4C0C69D1"/>
    <w:rsid w:val="4C8428B7"/>
    <w:rsid w:val="4CA26760"/>
    <w:rsid w:val="4CB37051"/>
    <w:rsid w:val="4CCC1EC1"/>
    <w:rsid w:val="4CD3324F"/>
    <w:rsid w:val="4CEF3427"/>
    <w:rsid w:val="4D355F0D"/>
    <w:rsid w:val="4D537EEC"/>
    <w:rsid w:val="4D685446"/>
    <w:rsid w:val="4DA62712"/>
    <w:rsid w:val="4DC911E0"/>
    <w:rsid w:val="4DCC45CE"/>
    <w:rsid w:val="4DE11035"/>
    <w:rsid w:val="4DF25957"/>
    <w:rsid w:val="4DFA0CB0"/>
    <w:rsid w:val="4E035DB6"/>
    <w:rsid w:val="4E06542A"/>
    <w:rsid w:val="4E27506D"/>
    <w:rsid w:val="4E465CA3"/>
    <w:rsid w:val="4E481A1B"/>
    <w:rsid w:val="4E5B34FC"/>
    <w:rsid w:val="4E6C39DB"/>
    <w:rsid w:val="4E843280"/>
    <w:rsid w:val="4EAD187E"/>
    <w:rsid w:val="4EB22041"/>
    <w:rsid w:val="4ED82D9F"/>
    <w:rsid w:val="4EE06AA7"/>
    <w:rsid w:val="4F2204BE"/>
    <w:rsid w:val="4F434D79"/>
    <w:rsid w:val="4F4C447B"/>
    <w:rsid w:val="4F5D2DEA"/>
    <w:rsid w:val="4F702FD7"/>
    <w:rsid w:val="4FAE7FA4"/>
    <w:rsid w:val="4FE237A9"/>
    <w:rsid w:val="4FF70539"/>
    <w:rsid w:val="505428F9"/>
    <w:rsid w:val="50646F2B"/>
    <w:rsid w:val="50965048"/>
    <w:rsid w:val="50A62F04"/>
    <w:rsid w:val="50B25FB2"/>
    <w:rsid w:val="50B278BE"/>
    <w:rsid w:val="50D70E34"/>
    <w:rsid w:val="51022209"/>
    <w:rsid w:val="51B11685"/>
    <w:rsid w:val="51CD69B3"/>
    <w:rsid w:val="51E47CAD"/>
    <w:rsid w:val="51F10A82"/>
    <w:rsid w:val="521340EE"/>
    <w:rsid w:val="52326C6A"/>
    <w:rsid w:val="523A78CD"/>
    <w:rsid w:val="526E7576"/>
    <w:rsid w:val="52840D37"/>
    <w:rsid w:val="52972F71"/>
    <w:rsid w:val="52B04A46"/>
    <w:rsid w:val="52C75604"/>
    <w:rsid w:val="52F83868"/>
    <w:rsid w:val="530F49E7"/>
    <w:rsid w:val="532E5683"/>
    <w:rsid w:val="53394028"/>
    <w:rsid w:val="533E4CD2"/>
    <w:rsid w:val="533F163E"/>
    <w:rsid w:val="53442939"/>
    <w:rsid w:val="53486019"/>
    <w:rsid w:val="536E3CD2"/>
    <w:rsid w:val="53890B0C"/>
    <w:rsid w:val="53917AA7"/>
    <w:rsid w:val="53E61ABA"/>
    <w:rsid w:val="54175A7C"/>
    <w:rsid w:val="542033BF"/>
    <w:rsid w:val="545C2A5B"/>
    <w:rsid w:val="54B335D9"/>
    <w:rsid w:val="54BB4CA9"/>
    <w:rsid w:val="54C969F2"/>
    <w:rsid w:val="55012924"/>
    <w:rsid w:val="550F5041"/>
    <w:rsid w:val="55197C6D"/>
    <w:rsid w:val="551E05AE"/>
    <w:rsid w:val="552C42B7"/>
    <w:rsid w:val="5536081F"/>
    <w:rsid w:val="55AD3E7B"/>
    <w:rsid w:val="55C220A8"/>
    <w:rsid w:val="55C84A4F"/>
    <w:rsid w:val="55DD2A53"/>
    <w:rsid w:val="560E0735"/>
    <w:rsid w:val="56245E8D"/>
    <w:rsid w:val="56666EE2"/>
    <w:rsid w:val="567F61F6"/>
    <w:rsid w:val="568E01E7"/>
    <w:rsid w:val="56E34BBD"/>
    <w:rsid w:val="57350F22"/>
    <w:rsid w:val="575651A9"/>
    <w:rsid w:val="57786CD5"/>
    <w:rsid w:val="57E1566B"/>
    <w:rsid w:val="57EE5899"/>
    <w:rsid w:val="580105CE"/>
    <w:rsid w:val="580611A1"/>
    <w:rsid w:val="581356E9"/>
    <w:rsid w:val="586A2AC3"/>
    <w:rsid w:val="586C319D"/>
    <w:rsid w:val="58831FCD"/>
    <w:rsid w:val="58DF4D2A"/>
    <w:rsid w:val="59123ED5"/>
    <w:rsid w:val="59376914"/>
    <w:rsid w:val="594F1EAF"/>
    <w:rsid w:val="595A017F"/>
    <w:rsid w:val="595F4C29"/>
    <w:rsid w:val="59705C64"/>
    <w:rsid w:val="597C265C"/>
    <w:rsid w:val="599E16E4"/>
    <w:rsid w:val="59C03FFF"/>
    <w:rsid w:val="59CD7278"/>
    <w:rsid w:val="59F14380"/>
    <w:rsid w:val="59F45DA4"/>
    <w:rsid w:val="5A020AAE"/>
    <w:rsid w:val="5A144EA7"/>
    <w:rsid w:val="5A223C00"/>
    <w:rsid w:val="5A2D7859"/>
    <w:rsid w:val="5A3F0176"/>
    <w:rsid w:val="5A5C5212"/>
    <w:rsid w:val="5A790F5C"/>
    <w:rsid w:val="5ACB1A0A"/>
    <w:rsid w:val="5AE625AD"/>
    <w:rsid w:val="5B12588A"/>
    <w:rsid w:val="5B857E0A"/>
    <w:rsid w:val="5B8766D2"/>
    <w:rsid w:val="5B946C1C"/>
    <w:rsid w:val="5B9A4731"/>
    <w:rsid w:val="5BB01406"/>
    <w:rsid w:val="5BDE39BF"/>
    <w:rsid w:val="5BED7022"/>
    <w:rsid w:val="5BF40AEC"/>
    <w:rsid w:val="5C0351D3"/>
    <w:rsid w:val="5C08375C"/>
    <w:rsid w:val="5C163158"/>
    <w:rsid w:val="5C2146E4"/>
    <w:rsid w:val="5C45759A"/>
    <w:rsid w:val="5C8025B9"/>
    <w:rsid w:val="5C843EE4"/>
    <w:rsid w:val="5C86208C"/>
    <w:rsid w:val="5CB3614D"/>
    <w:rsid w:val="5CBF734C"/>
    <w:rsid w:val="5CC901CB"/>
    <w:rsid w:val="5CE84AF5"/>
    <w:rsid w:val="5CF936D6"/>
    <w:rsid w:val="5D0B2591"/>
    <w:rsid w:val="5D32553A"/>
    <w:rsid w:val="5D3F66DF"/>
    <w:rsid w:val="5D682F5B"/>
    <w:rsid w:val="5D6F1FE6"/>
    <w:rsid w:val="5D721E3E"/>
    <w:rsid w:val="5D78775B"/>
    <w:rsid w:val="5D8C0BEF"/>
    <w:rsid w:val="5D997B9D"/>
    <w:rsid w:val="5DF43534"/>
    <w:rsid w:val="5E013860"/>
    <w:rsid w:val="5E0E058B"/>
    <w:rsid w:val="5E14191A"/>
    <w:rsid w:val="5E231B5D"/>
    <w:rsid w:val="5E28792C"/>
    <w:rsid w:val="5E855651"/>
    <w:rsid w:val="5ECB6C91"/>
    <w:rsid w:val="5EF57C17"/>
    <w:rsid w:val="5F1E0DC8"/>
    <w:rsid w:val="5F8E3006"/>
    <w:rsid w:val="5FCA669A"/>
    <w:rsid w:val="5FE33352"/>
    <w:rsid w:val="60221DB4"/>
    <w:rsid w:val="602776E2"/>
    <w:rsid w:val="60433DF0"/>
    <w:rsid w:val="604364E6"/>
    <w:rsid w:val="60567FC7"/>
    <w:rsid w:val="60E5134B"/>
    <w:rsid w:val="60F56BDC"/>
    <w:rsid w:val="61335B85"/>
    <w:rsid w:val="613C71BD"/>
    <w:rsid w:val="6153644A"/>
    <w:rsid w:val="61692040"/>
    <w:rsid w:val="61854675"/>
    <w:rsid w:val="61926DDD"/>
    <w:rsid w:val="61AD294E"/>
    <w:rsid w:val="61EF2482"/>
    <w:rsid w:val="61F730E4"/>
    <w:rsid w:val="62037CDB"/>
    <w:rsid w:val="622540F5"/>
    <w:rsid w:val="623205C0"/>
    <w:rsid w:val="62337403"/>
    <w:rsid w:val="62347E94"/>
    <w:rsid w:val="626D33A6"/>
    <w:rsid w:val="62A66B8B"/>
    <w:rsid w:val="62AF08F4"/>
    <w:rsid w:val="62BE7207"/>
    <w:rsid w:val="62F31AFE"/>
    <w:rsid w:val="631339AC"/>
    <w:rsid w:val="63422A85"/>
    <w:rsid w:val="63493A10"/>
    <w:rsid w:val="636165B6"/>
    <w:rsid w:val="63624ED5"/>
    <w:rsid w:val="637F5A87"/>
    <w:rsid w:val="63B8337D"/>
    <w:rsid w:val="63D47B81"/>
    <w:rsid w:val="63F8665E"/>
    <w:rsid w:val="63FD16EA"/>
    <w:rsid w:val="641E6CBB"/>
    <w:rsid w:val="64342B40"/>
    <w:rsid w:val="643D7A34"/>
    <w:rsid w:val="64414FC4"/>
    <w:rsid w:val="64835103"/>
    <w:rsid w:val="64BE6D9E"/>
    <w:rsid w:val="64CE4172"/>
    <w:rsid w:val="64D92F75"/>
    <w:rsid w:val="65102E3B"/>
    <w:rsid w:val="6516510E"/>
    <w:rsid w:val="65230BB9"/>
    <w:rsid w:val="65420ABD"/>
    <w:rsid w:val="65A47D37"/>
    <w:rsid w:val="65C76299"/>
    <w:rsid w:val="65D514A1"/>
    <w:rsid w:val="65F22540"/>
    <w:rsid w:val="660F794F"/>
    <w:rsid w:val="66296935"/>
    <w:rsid w:val="665E7BD6"/>
    <w:rsid w:val="666E2AF9"/>
    <w:rsid w:val="66C13CC1"/>
    <w:rsid w:val="66F02910"/>
    <w:rsid w:val="672C55DE"/>
    <w:rsid w:val="67650F43"/>
    <w:rsid w:val="676B55A8"/>
    <w:rsid w:val="678216A2"/>
    <w:rsid w:val="678466CD"/>
    <w:rsid w:val="67976F80"/>
    <w:rsid w:val="67C64506"/>
    <w:rsid w:val="67C8398F"/>
    <w:rsid w:val="67E06AB1"/>
    <w:rsid w:val="67E20393"/>
    <w:rsid w:val="67E46C83"/>
    <w:rsid w:val="680D45C4"/>
    <w:rsid w:val="681A04AD"/>
    <w:rsid w:val="681E586F"/>
    <w:rsid w:val="686139AD"/>
    <w:rsid w:val="68BD361C"/>
    <w:rsid w:val="68F30B64"/>
    <w:rsid w:val="690F7E0A"/>
    <w:rsid w:val="691D5B26"/>
    <w:rsid w:val="693032A4"/>
    <w:rsid w:val="693B7D5A"/>
    <w:rsid w:val="69491E5A"/>
    <w:rsid w:val="69B26EAC"/>
    <w:rsid w:val="69BB74C6"/>
    <w:rsid w:val="6A046F3F"/>
    <w:rsid w:val="6A8E035E"/>
    <w:rsid w:val="6AA162E3"/>
    <w:rsid w:val="6AB719E5"/>
    <w:rsid w:val="6AD246EE"/>
    <w:rsid w:val="6AEA1A38"/>
    <w:rsid w:val="6AF01018"/>
    <w:rsid w:val="6B1E7B31"/>
    <w:rsid w:val="6B2D7B77"/>
    <w:rsid w:val="6B3524F5"/>
    <w:rsid w:val="6B3810D4"/>
    <w:rsid w:val="6B75550B"/>
    <w:rsid w:val="6B7D28AC"/>
    <w:rsid w:val="6BCC4BC6"/>
    <w:rsid w:val="6BD46244"/>
    <w:rsid w:val="6BEA3CBA"/>
    <w:rsid w:val="6C164AAF"/>
    <w:rsid w:val="6C313697"/>
    <w:rsid w:val="6C451A97"/>
    <w:rsid w:val="6C6E7111"/>
    <w:rsid w:val="6C9525DF"/>
    <w:rsid w:val="6CDD1436"/>
    <w:rsid w:val="6D175D0D"/>
    <w:rsid w:val="6D4B0788"/>
    <w:rsid w:val="6D611D5A"/>
    <w:rsid w:val="6DBB3ECD"/>
    <w:rsid w:val="6DBC76BD"/>
    <w:rsid w:val="6DE6055E"/>
    <w:rsid w:val="6E444275"/>
    <w:rsid w:val="6E5D413F"/>
    <w:rsid w:val="6E7E3225"/>
    <w:rsid w:val="6E841486"/>
    <w:rsid w:val="6E8E6BDC"/>
    <w:rsid w:val="6EAE0FCF"/>
    <w:rsid w:val="6EB92A2A"/>
    <w:rsid w:val="6ED7307C"/>
    <w:rsid w:val="6F977CE2"/>
    <w:rsid w:val="6FB87AD8"/>
    <w:rsid w:val="6FE27182"/>
    <w:rsid w:val="70840239"/>
    <w:rsid w:val="709516BD"/>
    <w:rsid w:val="70D31529"/>
    <w:rsid w:val="70DC0075"/>
    <w:rsid w:val="70DC0935"/>
    <w:rsid w:val="71066EA0"/>
    <w:rsid w:val="713B491C"/>
    <w:rsid w:val="71450245"/>
    <w:rsid w:val="7167757A"/>
    <w:rsid w:val="716B764B"/>
    <w:rsid w:val="71E80DFD"/>
    <w:rsid w:val="71EC078C"/>
    <w:rsid w:val="71F9013B"/>
    <w:rsid w:val="71FA573D"/>
    <w:rsid w:val="71FF6EA4"/>
    <w:rsid w:val="721B6AFC"/>
    <w:rsid w:val="722A7AC1"/>
    <w:rsid w:val="723C1321"/>
    <w:rsid w:val="724E2412"/>
    <w:rsid w:val="725E4ABA"/>
    <w:rsid w:val="72706CBC"/>
    <w:rsid w:val="72840105"/>
    <w:rsid w:val="72AB13CD"/>
    <w:rsid w:val="72B41921"/>
    <w:rsid w:val="730B69EF"/>
    <w:rsid w:val="739F35DC"/>
    <w:rsid w:val="73A02D82"/>
    <w:rsid w:val="73AB01D2"/>
    <w:rsid w:val="73BE4628"/>
    <w:rsid w:val="73C0165D"/>
    <w:rsid w:val="73C5726C"/>
    <w:rsid w:val="73E84F83"/>
    <w:rsid w:val="73F0360B"/>
    <w:rsid w:val="73FC11BA"/>
    <w:rsid w:val="74587B30"/>
    <w:rsid w:val="745B6486"/>
    <w:rsid w:val="74920373"/>
    <w:rsid w:val="74B9247B"/>
    <w:rsid w:val="74D106C3"/>
    <w:rsid w:val="74F053D6"/>
    <w:rsid w:val="752D4797"/>
    <w:rsid w:val="753D4E5A"/>
    <w:rsid w:val="75A12AF4"/>
    <w:rsid w:val="75A153E9"/>
    <w:rsid w:val="75BE0ADD"/>
    <w:rsid w:val="75DC4673"/>
    <w:rsid w:val="75E83018"/>
    <w:rsid w:val="75EC6147"/>
    <w:rsid w:val="760405C4"/>
    <w:rsid w:val="76065B94"/>
    <w:rsid w:val="76262BBD"/>
    <w:rsid w:val="76350BF9"/>
    <w:rsid w:val="76510DDE"/>
    <w:rsid w:val="7671125F"/>
    <w:rsid w:val="76746FA2"/>
    <w:rsid w:val="769870D9"/>
    <w:rsid w:val="76C025DC"/>
    <w:rsid w:val="76D812DE"/>
    <w:rsid w:val="77373D3C"/>
    <w:rsid w:val="77452BA0"/>
    <w:rsid w:val="777A3A22"/>
    <w:rsid w:val="77962A98"/>
    <w:rsid w:val="77B91110"/>
    <w:rsid w:val="77C548A4"/>
    <w:rsid w:val="78171724"/>
    <w:rsid w:val="782B3132"/>
    <w:rsid w:val="78393BDC"/>
    <w:rsid w:val="784529A4"/>
    <w:rsid w:val="786F437A"/>
    <w:rsid w:val="788A03B6"/>
    <w:rsid w:val="788E46DA"/>
    <w:rsid w:val="788F00C3"/>
    <w:rsid w:val="78D06E02"/>
    <w:rsid w:val="79387CB6"/>
    <w:rsid w:val="793D4057"/>
    <w:rsid w:val="794B26E3"/>
    <w:rsid w:val="79515378"/>
    <w:rsid w:val="79607369"/>
    <w:rsid w:val="797D616D"/>
    <w:rsid w:val="799F17E8"/>
    <w:rsid w:val="79A33E26"/>
    <w:rsid w:val="79BD47BC"/>
    <w:rsid w:val="7A2D1941"/>
    <w:rsid w:val="7A613213"/>
    <w:rsid w:val="7A715CD2"/>
    <w:rsid w:val="7A7570F7"/>
    <w:rsid w:val="7A9960BE"/>
    <w:rsid w:val="7A9E45ED"/>
    <w:rsid w:val="7AA216BF"/>
    <w:rsid w:val="7AC676A0"/>
    <w:rsid w:val="7ADE2C3C"/>
    <w:rsid w:val="7AE75F94"/>
    <w:rsid w:val="7AF70275"/>
    <w:rsid w:val="7B025B6E"/>
    <w:rsid w:val="7B3B62E0"/>
    <w:rsid w:val="7B486307"/>
    <w:rsid w:val="7B4F7695"/>
    <w:rsid w:val="7B695405"/>
    <w:rsid w:val="7B6B0973"/>
    <w:rsid w:val="7B95154C"/>
    <w:rsid w:val="7BDE6039"/>
    <w:rsid w:val="7BF22E42"/>
    <w:rsid w:val="7BF3250D"/>
    <w:rsid w:val="7C395B0D"/>
    <w:rsid w:val="7C4E57AC"/>
    <w:rsid w:val="7CB400F8"/>
    <w:rsid w:val="7CED69AF"/>
    <w:rsid w:val="7D157953"/>
    <w:rsid w:val="7D537911"/>
    <w:rsid w:val="7D5D1BB2"/>
    <w:rsid w:val="7D851A94"/>
    <w:rsid w:val="7DE24E98"/>
    <w:rsid w:val="7DE92023"/>
    <w:rsid w:val="7E130E4E"/>
    <w:rsid w:val="7E3239CA"/>
    <w:rsid w:val="7E626030"/>
    <w:rsid w:val="7E7D57AD"/>
    <w:rsid w:val="7E88396C"/>
    <w:rsid w:val="7E9957F7"/>
    <w:rsid w:val="7EBE525E"/>
    <w:rsid w:val="7ED44561"/>
    <w:rsid w:val="7F121106"/>
    <w:rsid w:val="7F147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9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宋体" w:cs="Times New Roman"/>
      <w:sz w:val="22"/>
      <w:szCs w:val="22"/>
      <w:lang w:val="en-US" w:eastAsia="zh-CN" w:bidi="ar-SA"/>
    </w:rPr>
  </w:style>
  <w:style w:type="paragraph" w:styleId="2">
    <w:name w:val="heading 1"/>
    <w:basedOn w:val="1"/>
    <w:next w:val="1"/>
    <w:link w:val="42"/>
    <w:qFormat/>
    <w:uiPriority w:val="0"/>
    <w:pPr>
      <w:keepNext/>
      <w:keepLines/>
      <w:spacing w:before="340" w:after="330" w:line="578" w:lineRule="auto"/>
      <w:outlineLvl w:val="0"/>
    </w:pPr>
    <w:rPr>
      <w:rFonts w:eastAsia="楷体_GB2312"/>
      <w:b/>
      <w:kern w:val="44"/>
      <w:sz w:val="44"/>
    </w:rPr>
  </w:style>
  <w:style w:type="paragraph" w:styleId="3">
    <w:name w:val="heading 2"/>
    <w:basedOn w:val="4"/>
    <w:next w:val="1"/>
    <w:link w:val="46"/>
    <w:qFormat/>
    <w:uiPriority w:val="9"/>
    <w:pPr>
      <w:keepNext/>
      <w:keepLines/>
      <w:spacing w:before="260" w:after="260" w:line="416" w:lineRule="auto"/>
      <w:outlineLvl w:val="1"/>
    </w:pPr>
    <w:rPr>
      <w:rFonts w:ascii="等线 Light" w:hAnsi="等线 Light" w:eastAsia="等线 Light"/>
      <w:b/>
      <w:bCs/>
      <w:sz w:val="32"/>
      <w:szCs w:val="32"/>
    </w:rPr>
  </w:style>
  <w:style w:type="paragraph" w:styleId="5">
    <w:name w:val="heading 3"/>
    <w:basedOn w:val="1"/>
    <w:next w:val="1"/>
    <w:link w:val="47"/>
    <w:autoRedefine/>
    <w:qFormat/>
    <w:uiPriority w:val="99"/>
    <w:pPr>
      <w:keepNext/>
      <w:keepLines/>
      <w:widowControl w:val="0"/>
      <w:adjustRightInd/>
      <w:snapToGrid/>
      <w:spacing w:before="20" w:after="20" w:line="415" w:lineRule="auto"/>
      <w:ind w:firstLine="137" w:firstLineChars="49"/>
      <w:jc w:val="both"/>
      <w:outlineLvl w:val="2"/>
    </w:pPr>
    <w:rPr>
      <w:rFonts w:ascii="Times New Roman" w:hAnsi="黑体" w:eastAsia="黑体"/>
      <w:kern w:val="2"/>
      <w:sz w:val="24"/>
      <w:szCs w:val="20"/>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4">
    <w:name w:val="toc 2"/>
    <w:basedOn w:val="1"/>
    <w:next w:val="1"/>
    <w:qFormat/>
    <w:uiPriority w:val="99"/>
    <w:pPr>
      <w:widowControl/>
      <w:spacing w:after="100" w:line="276" w:lineRule="auto"/>
      <w:ind w:left="220"/>
      <w:jc w:val="left"/>
    </w:pPr>
    <w:rPr>
      <w:kern w:val="0"/>
      <w:sz w:val="22"/>
      <w:szCs w:val="22"/>
    </w:rPr>
  </w:style>
  <w:style w:type="paragraph" w:styleId="6">
    <w:name w:val="Normal Indent"/>
    <w:basedOn w:val="1"/>
    <w:next w:val="7"/>
    <w:link w:val="48"/>
    <w:autoRedefine/>
    <w:qFormat/>
    <w:uiPriority w:val="0"/>
    <w:pPr>
      <w:widowControl w:val="0"/>
      <w:adjustRightInd/>
      <w:snapToGrid/>
      <w:spacing w:after="0"/>
      <w:ind w:firstLine="420"/>
      <w:jc w:val="both"/>
    </w:pPr>
    <w:rPr>
      <w:rFonts w:ascii="Times New Roman" w:hAnsi="Times New Roman"/>
      <w:kern w:val="2"/>
      <w:sz w:val="21"/>
      <w:szCs w:val="20"/>
    </w:rPr>
  </w:style>
  <w:style w:type="paragraph" w:styleId="7">
    <w:name w:val="Plain Text"/>
    <w:basedOn w:val="1"/>
    <w:link w:val="49"/>
    <w:autoRedefine/>
    <w:unhideWhenUsed/>
    <w:qFormat/>
    <w:uiPriority w:val="99"/>
    <w:pPr>
      <w:shd w:val="clear" w:color="auto" w:fill="FFFFFF"/>
      <w:adjustRightInd/>
      <w:snapToGrid/>
      <w:spacing w:before="100" w:beforeAutospacing="1" w:after="100" w:afterAutospacing="1"/>
    </w:pPr>
    <w:rPr>
      <w:rFonts w:ascii="ˎ̥" w:hAnsi="ˎ̥"/>
      <w:sz w:val="18"/>
      <w:szCs w:val="18"/>
    </w:rPr>
  </w:style>
  <w:style w:type="paragraph" w:styleId="8">
    <w:name w:val="toa heading"/>
    <w:basedOn w:val="1"/>
    <w:next w:val="1"/>
    <w:qFormat/>
    <w:uiPriority w:val="0"/>
    <w:pPr>
      <w:spacing w:line="360" w:lineRule="atLeast"/>
      <w:jc w:val="center"/>
      <w:textAlignment w:val="baseline"/>
    </w:pPr>
    <w:rPr>
      <w:rFonts w:ascii="Arial" w:hAnsi="Arial" w:eastAsia="黑体"/>
      <w:sz w:val="36"/>
      <w:szCs w:val="20"/>
    </w:rPr>
  </w:style>
  <w:style w:type="paragraph" w:styleId="9">
    <w:name w:val="annotation text"/>
    <w:basedOn w:val="1"/>
    <w:link w:val="50"/>
    <w:unhideWhenUsed/>
    <w:qFormat/>
    <w:uiPriority w:val="99"/>
  </w:style>
  <w:style w:type="paragraph" w:styleId="10">
    <w:name w:val="Body Text"/>
    <w:basedOn w:val="1"/>
    <w:next w:val="11"/>
    <w:link w:val="51"/>
    <w:autoRedefine/>
    <w:qFormat/>
    <w:uiPriority w:val="0"/>
    <w:pPr>
      <w:spacing w:line="400" w:lineRule="exact"/>
    </w:pPr>
    <w:rPr>
      <w:rFonts w:ascii="楷体_GB2312"/>
      <w:sz w:val="28"/>
    </w:rPr>
  </w:style>
  <w:style w:type="paragraph" w:customStyle="1" w:styleId="11">
    <w:name w:val="style4"/>
    <w:basedOn w:val="1"/>
    <w:next w:val="12"/>
    <w:autoRedefine/>
    <w:qFormat/>
    <w:uiPriority w:val="0"/>
    <w:pPr>
      <w:spacing w:before="280" w:after="280"/>
    </w:pPr>
    <w:rPr>
      <w:rFonts w:ascii="宋体"/>
      <w:sz w:val="18"/>
    </w:rPr>
  </w:style>
  <w:style w:type="paragraph" w:customStyle="1" w:styleId="12">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13">
    <w:name w:val="Body Text Indent"/>
    <w:basedOn w:val="1"/>
    <w:next w:val="14"/>
    <w:link w:val="44"/>
    <w:unhideWhenUsed/>
    <w:qFormat/>
    <w:uiPriority w:val="99"/>
    <w:pPr>
      <w:spacing w:after="120"/>
      <w:ind w:left="420" w:leftChars="200"/>
    </w:pPr>
  </w:style>
  <w:style w:type="paragraph" w:styleId="14">
    <w:name w:val="envelope return"/>
    <w:basedOn w:val="1"/>
    <w:autoRedefine/>
    <w:unhideWhenUsed/>
    <w:qFormat/>
    <w:uiPriority w:val="99"/>
    <w:rPr>
      <w:rFonts w:ascii="Arial" w:hAnsi="Arial"/>
    </w:rPr>
  </w:style>
  <w:style w:type="paragraph" w:styleId="15">
    <w:name w:val="Block Text"/>
    <w:basedOn w:val="1"/>
    <w:next w:val="10"/>
    <w:autoRedefine/>
    <w:qFormat/>
    <w:uiPriority w:val="0"/>
    <w:pPr>
      <w:spacing w:line="360" w:lineRule="auto"/>
      <w:ind w:right="210" w:rightChars="100" w:firstLine="560" w:firstLineChars="200"/>
    </w:pPr>
    <w:rPr>
      <w:rFonts w:ascii="宋体" w:hAnsi="宋体"/>
      <w:color w:val="000000"/>
      <w:spacing w:val="20"/>
      <w:kern w:val="24"/>
      <w:sz w:val="24"/>
      <w:szCs w:val="18"/>
    </w:rPr>
  </w:style>
  <w:style w:type="paragraph" w:styleId="16">
    <w:name w:val="toc 3"/>
    <w:basedOn w:val="1"/>
    <w:next w:val="1"/>
    <w:qFormat/>
    <w:uiPriority w:val="0"/>
    <w:pPr>
      <w:ind w:left="420"/>
    </w:pPr>
    <w:rPr>
      <w:i/>
      <w:sz w:val="20"/>
      <w:szCs w:val="20"/>
    </w:rPr>
  </w:style>
  <w:style w:type="paragraph" w:styleId="17">
    <w:name w:val="Body Text Indent 2"/>
    <w:basedOn w:val="1"/>
    <w:unhideWhenUsed/>
    <w:qFormat/>
    <w:uiPriority w:val="99"/>
    <w:pPr>
      <w:spacing w:after="120" w:line="480" w:lineRule="auto"/>
      <w:ind w:left="420" w:leftChars="200"/>
    </w:pPr>
  </w:style>
  <w:style w:type="paragraph" w:styleId="18">
    <w:name w:val="Balloon Text"/>
    <w:basedOn w:val="1"/>
    <w:link w:val="52"/>
    <w:unhideWhenUsed/>
    <w:qFormat/>
    <w:uiPriority w:val="99"/>
    <w:pPr>
      <w:spacing w:after="0"/>
    </w:pPr>
    <w:rPr>
      <w:sz w:val="18"/>
      <w:szCs w:val="18"/>
    </w:rPr>
  </w:style>
  <w:style w:type="paragraph" w:styleId="19">
    <w:name w:val="footer"/>
    <w:basedOn w:val="1"/>
    <w:link w:val="53"/>
    <w:autoRedefine/>
    <w:unhideWhenUsed/>
    <w:qFormat/>
    <w:uiPriority w:val="99"/>
    <w:pPr>
      <w:tabs>
        <w:tab w:val="center" w:pos="4153"/>
        <w:tab w:val="right" w:pos="8306"/>
      </w:tabs>
    </w:pPr>
    <w:rPr>
      <w:sz w:val="18"/>
      <w:szCs w:val="18"/>
    </w:rPr>
  </w:style>
  <w:style w:type="paragraph" w:styleId="20">
    <w:name w:val="header"/>
    <w:basedOn w:val="1"/>
    <w:link w:val="54"/>
    <w:autoRedefine/>
    <w:unhideWhenUsed/>
    <w:qFormat/>
    <w:uiPriority w:val="99"/>
    <w:pPr>
      <w:pBdr>
        <w:bottom w:val="single" w:color="auto" w:sz="6" w:space="1"/>
      </w:pBdr>
      <w:tabs>
        <w:tab w:val="center" w:pos="4153"/>
        <w:tab w:val="right" w:pos="8306"/>
      </w:tabs>
      <w:jc w:val="center"/>
    </w:pPr>
    <w:rPr>
      <w:sz w:val="18"/>
      <w:szCs w:val="18"/>
    </w:rPr>
  </w:style>
  <w:style w:type="paragraph" w:styleId="21">
    <w:name w:val="toc 1"/>
    <w:basedOn w:val="1"/>
    <w:next w:val="1"/>
    <w:qFormat/>
    <w:uiPriority w:val="39"/>
    <w:pPr>
      <w:widowControl w:val="0"/>
      <w:adjustRightInd/>
      <w:snapToGrid/>
      <w:spacing w:before="120" w:after="120"/>
    </w:pPr>
    <w:rPr>
      <w:rFonts w:ascii="Times New Roman" w:hAnsi="Times New Roman" w:cs="Calibri"/>
      <w:b/>
      <w:bCs/>
      <w:caps/>
      <w:kern w:val="2"/>
      <w:sz w:val="20"/>
      <w:szCs w:val="20"/>
    </w:rPr>
  </w:style>
  <w:style w:type="paragraph" w:styleId="22">
    <w:name w:val="Body Text Indent 3"/>
    <w:basedOn w:val="1"/>
    <w:link w:val="55"/>
    <w:qFormat/>
    <w:uiPriority w:val="0"/>
    <w:pPr>
      <w:spacing w:after="120"/>
      <w:ind w:left="420" w:leftChars="200"/>
    </w:pPr>
    <w:rPr>
      <w:sz w:val="16"/>
      <w:szCs w:val="16"/>
    </w:rPr>
  </w:style>
  <w:style w:type="paragraph" w:styleId="23">
    <w:name w:val="Normal (Web)"/>
    <w:basedOn w:val="1"/>
    <w:qFormat/>
    <w:uiPriority w:val="0"/>
    <w:pPr>
      <w:spacing w:before="100" w:beforeAutospacing="1" w:after="100" w:afterAutospacing="1"/>
    </w:pPr>
    <w:rPr>
      <w:rFonts w:ascii="Calibri" w:hAnsi="Calibri"/>
      <w:sz w:val="24"/>
      <w:szCs w:val="24"/>
    </w:rPr>
  </w:style>
  <w:style w:type="paragraph" w:styleId="24">
    <w:name w:val="Body Text First Indent"/>
    <w:basedOn w:val="10"/>
    <w:next w:val="1"/>
    <w:link w:val="56"/>
    <w:qFormat/>
    <w:uiPriority w:val="0"/>
    <w:pPr>
      <w:tabs>
        <w:tab w:val="left" w:pos="2020"/>
        <w:tab w:val="center" w:pos="4535"/>
      </w:tabs>
      <w:ind w:firstLine="420" w:firstLineChars="100"/>
    </w:pPr>
  </w:style>
  <w:style w:type="paragraph" w:styleId="25">
    <w:name w:val="Body Text First Indent 2"/>
    <w:basedOn w:val="13"/>
    <w:next w:val="22"/>
    <w:link w:val="45"/>
    <w:qFormat/>
    <w:uiPriority w:val="0"/>
    <w:pPr>
      <w:widowControl w:val="0"/>
      <w:adjustRightInd/>
      <w:snapToGrid/>
      <w:ind w:firstLine="420" w:firstLineChars="200"/>
      <w:jc w:val="both"/>
    </w:pPr>
    <w:rPr>
      <w:rFonts w:ascii="Times New Roman" w:hAnsi="Times New Roman"/>
      <w:kern w:val="2"/>
      <w:sz w:val="21"/>
      <w:szCs w:val="24"/>
    </w:rPr>
  </w:style>
  <w:style w:type="table" w:styleId="27">
    <w:name w:val="Table Grid"/>
    <w:basedOn w:val="26"/>
    <w:qFormat/>
    <w:uiPriority w:val="0"/>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FollowedHyperlink"/>
    <w:autoRedefine/>
    <w:unhideWhenUsed/>
    <w:qFormat/>
    <w:uiPriority w:val="99"/>
    <w:rPr>
      <w:color w:val="800080"/>
      <w:u w:val="none"/>
    </w:rPr>
  </w:style>
  <w:style w:type="character" w:styleId="30">
    <w:name w:val="HTML Definition"/>
    <w:unhideWhenUsed/>
    <w:qFormat/>
    <w:uiPriority w:val="99"/>
  </w:style>
  <w:style w:type="character" w:styleId="31">
    <w:name w:val="HTML Typewriter"/>
    <w:unhideWhenUsed/>
    <w:qFormat/>
    <w:uiPriority w:val="99"/>
    <w:rPr>
      <w:rFonts w:hint="default" w:ascii="monospace" w:hAnsi="monospace" w:eastAsia="monospace" w:cs="monospace"/>
      <w:sz w:val="20"/>
    </w:rPr>
  </w:style>
  <w:style w:type="character" w:styleId="32">
    <w:name w:val="HTML Acronym"/>
    <w:unhideWhenUsed/>
    <w:qFormat/>
    <w:uiPriority w:val="99"/>
  </w:style>
  <w:style w:type="character" w:styleId="33">
    <w:name w:val="HTML Variable"/>
    <w:unhideWhenUsed/>
    <w:qFormat/>
    <w:uiPriority w:val="99"/>
  </w:style>
  <w:style w:type="character" w:styleId="34">
    <w:name w:val="Hyperlink"/>
    <w:autoRedefine/>
    <w:unhideWhenUsed/>
    <w:qFormat/>
    <w:uiPriority w:val="99"/>
    <w:rPr>
      <w:color w:val="0000FF"/>
      <w:u w:val="none"/>
    </w:rPr>
  </w:style>
  <w:style w:type="character" w:styleId="35">
    <w:name w:val="HTML Code"/>
    <w:unhideWhenUsed/>
    <w:qFormat/>
    <w:uiPriority w:val="99"/>
    <w:rPr>
      <w:rFonts w:hint="default" w:ascii="monospace" w:hAnsi="monospace" w:eastAsia="monospace" w:cs="monospace"/>
      <w:sz w:val="20"/>
    </w:rPr>
  </w:style>
  <w:style w:type="character" w:styleId="36">
    <w:name w:val="annotation reference"/>
    <w:basedOn w:val="28"/>
    <w:semiHidden/>
    <w:unhideWhenUsed/>
    <w:qFormat/>
    <w:uiPriority w:val="99"/>
    <w:rPr>
      <w:sz w:val="21"/>
      <w:szCs w:val="21"/>
    </w:rPr>
  </w:style>
  <w:style w:type="character" w:styleId="37">
    <w:name w:val="HTML Cite"/>
    <w:autoRedefine/>
    <w:unhideWhenUsed/>
    <w:qFormat/>
    <w:uiPriority w:val="99"/>
    <w:rPr>
      <w:u w:val="none"/>
    </w:rPr>
  </w:style>
  <w:style w:type="character" w:styleId="38">
    <w:name w:val="HTML Keyboard"/>
    <w:unhideWhenUsed/>
    <w:qFormat/>
    <w:uiPriority w:val="99"/>
    <w:rPr>
      <w:rFonts w:ascii="monospace" w:hAnsi="monospace" w:eastAsia="monospace" w:cs="monospace"/>
      <w:sz w:val="20"/>
    </w:rPr>
  </w:style>
  <w:style w:type="character" w:styleId="39">
    <w:name w:val="HTML Sample"/>
    <w:unhideWhenUsed/>
    <w:qFormat/>
    <w:uiPriority w:val="99"/>
    <w:rPr>
      <w:rFonts w:hint="default" w:ascii="monospace" w:hAnsi="monospace" w:eastAsia="monospace" w:cs="monospace"/>
    </w:rPr>
  </w:style>
  <w:style w:type="paragraph" w:customStyle="1" w:styleId="40">
    <w:name w:val="正文首行缩进1"/>
    <w:basedOn w:val="41"/>
    <w:qFormat/>
    <w:uiPriority w:val="0"/>
    <w:pPr>
      <w:spacing w:line="360" w:lineRule="auto"/>
      <w:ind w:firstLine="200"/>
    </w:pPr>
    <w:rPr>
      <w:rFonts w:ascii="仿宋_GB2312" w:hAnsi="Times New Roman" w:eastAsia="仿宋_GB2312"/>
      <w:sz w:val="30"/>
      <w:szCs w:val="30"/>
    </w:rPr>
  </w:style>
  <w:style w:type="paragraph" w:customStyle="1" w:styleId="41">
    <w:name w:val="正文文本1"/>
    <w:basedOn w:val="1"/>
    <w:next w:val="1"/>
    <w:qFormat/>
    <w:uiPriority w:val="0"/>
    <w:rPr>
      <w:rFonts w:ascii="楷体_GB2312" w:hAnsi="Arial" w:eastAsia="楷体_GB2312"/>
      <w:sz w:val="28"/>
      <w:szCs w:val="28"/>
    </w:rPr>
  </w:style>
  <w:style w:type="character" w:customStyle="1" w:styleId="42">
    <w:name w:val="标题 1 字符"/>
    <w:link w:val="2"/>
    <w:qFormat/>
    <w:uiPriority w:val="0"/>
    <w:rPr>
      <w:rFonts w:ascii="Tahoma" w:hAnsi="Tahoma" w:eastAsia="楷体_GB2312"/>
      <w:b/>
      <w:kern w:val="44"/>
      <w:sz w:val="44"/>
      <w:szCs w:val="22"/>
    </w:rPr>
  </w:style>
  <w:style w:type="paragraph" w:customStyle="1" w:styleId="43">
    <w:name w:val="Default"/>
    <w:next w:val="1"/>
    <w:qFormat/>
    <w:uiPriority w:val="0"/>
    <w:pPr>
      <w:autoSpaceDE w:val="0"/>
      <w:autoSpaceDN w:val="0"/>
    </w:pPr>
    <w:rPr>
      <w:rFonts w:ascii="Arial,Bold" w:hAnsi="Arial,Bold" w:eastAsia="PMingLiU" w:cs="Times New Roman"/>
      <w:lang w:val="en-US" w:eastAsia="en-US" w:bidi="ar-SA"/>
    </w:rPr>
  </w:style>
  <w:style w:type="character" w:customStyle="1" w:styleId="44">
    <w:name w:val="正文文本缩进 字符"/>
    <w:link w:val="13"/>
    <w:autoRedefine/>
    <w:semiHidden/>
    <w:qFormat/>
    <w:uiPriority w:val="99"/>
    <w:rPr>
      <w:rFonts w:ascii="Tahoma" w:hAnsi="Tahoma"/>
      <w:sz w:val="22"/>
      <w:szCs w:val="22"/>
    </w:rPr>
  </w:style>
  <w:style w:type="character" w:customStyle="1" w:styleId="45">
    <w:name w:val="正文文本首行缩进 2 字符"/>
    <w:link w:val="25"/>
    <w:qFormat/>
    <w:uiPriority w:val="0"/>
    <w:rPr>
      <w:rFonts w:ascii="Times New Roman" w:hAnsi="Times New Roman"/>
      <w:kern w:val="2"/>
      <w:sz w:val="21"/>
      <w:szCs w:val="24"/>
    </w:rPr>
  </w:style>
  <w:style w:type="character" w:customStyle="1" w:styleId="46">
    <w:name w:val="标题 2 字符"/>
    <w:link w:val="3"/>
    <w:qFormat/>
    <w:uiPriority w:val="9"/>
    <w:rPr>
      <w:rFonts w:ascii="等线 Light" w:hAnsi="等线 Light" w:eastAsia="等线 Light" w:cs="Times New Roman"/>
      <w:b/>
      <w:bCs/>
      <w:sz w:val="32"/>
      <w:szCs w:val="32"/>
    </w:rPr>
  </w:style>
  <w:style w:type="character" w:customStyle="1" w:styleId="47">
    <w:name w:val="标题 3 字符"/>
    <w:link w:val="5"/>
    <w:qFormat/>
    <w:uiPriority w:val="99"/>
    <w:rPr>
      <w:rFonts w:ascii="Times New Roman" w:hAnsi="黑体" w:eastAsia="黑体"/>
      <w:kern w:val="2"/>
      <w:sz w:val="24"/>
    </w:rPr>
  </w:style>
  <w:style w:type="character" w:customStyle="1" w:styleId="48">
    <w:name w:val="正文缩进 字符"/>
    <w:link w:val="6"/>
    <w:qFormat/>
    <w:uiPriority w:val="0"/>
    <w:rPr>
      <w:kern w:val="2"/>
      <w:sz w:val="21"/>
    </w:rPr>
  </w:style>
  <w:style w:type="character" w:customStyle="1" w:styleId="49">
    <w:name w:val="纯文本 字符"/>
    <w:link w:val="7"/>
    <w:qFormat/>
    <w:uiPriority w:val="99"/>
    <w:rPr>
      <w:rFonts w:ascii="ˎ̥" w:hAnsi="ˎ̥" w:cs="宋体"/>
      <w:sz w:val="18"/>
      <w:szCs w:val="18"/>
      <w:shd w:val="clear" w:color="auto" w:fill="FFFFFF"/>
    </w:rPr>
  </w:style>
  <w:style w:type="character" w:customStyle="1" w:styleId="50">
    <w:name w:val="批注文字 字符"/>
    <w:link w:val="9"/>
    <w:qFormat/>
    <w:uiPriority w:val="99"/>
    <w:rPr>
      <w:rFonts w:ascii="Tahoma" w:hAnsi="Tahoma"/>
      <w:sz w:val="22"/>
      <w:szCs w:val="22"/>
    </w:rPr>
  </w:style>
  <w:style w:type="character" w:customStyle="1" w:styleId="51">
    <w:name w:val="正文文本 字符"/>
    <w:link w:val="10"/>
    <w:autoRedefine/>
    <w:qFormat/>
    <w:uiPriority w:val="0"/>
    <w:rPr>
      <w:rFonts w:ascii="楷体_GB2312" w:hAnsi="Tahoma"/>
      <w:sz w:val="28"/>
      <w:szCs w:val="22"/>
    </w:rPr>
  </w:style>
  <w:style w:type="character" w:customStyle="1" w:styleId="52">
    <w:name w:val="批注框文本 字符"/>
    <w:link w:val="18"/>
    <w:qFormat/>
    <w:uiPriority w:val="99"/>
    <w:rPr>
      <w:rFonts w:ascii="Tahoma" w:hAnsi="Tahoma"/>
      <w:sz w:val="18"/>
      <w:szCs w:val="18"/>
    </w:rPr>
  </w:style>
  <w:style w:type="character" w:customStyle="1" w:styleId="53">
    <w:name w:val="页脚 字符"/>
    <w:link w:val="19"/>
    <w:qFormat/>
    <w:uiPriority w:val="99"/>
    <w:rPr>
      <w:rFonts w:ascii="Tahoma" w:hAnsi="Tahoma"/>
      <w:sz w:val="18"/>
      <w:szCs w:val="18"/>
    </w:rPr>
  </w:style>
  <w:style w:type="character" w:customStyle="1" w:styleId="54">
    <w:name w:val="页眉 字符"/>
    <w:link w:val="20"/>
    <w:autoRedefine/>
    <w:qFormat/>
    <w:uiPriority w:val="99"/>
    <w:rPr>
      <w:rFonts w:ascii="Tahoma" w:hAnsi="Tahoma"/>
      <w:sz w:val="18"/>
      <w:szCs w:val="18"/>
    </w:rPr>
  </w:style>
  <w:style w:type="character" w:customStyle="1" w:styleId="55">
    <w:name w:val="正文文本缩进 3 字符"/>
    <w:link w:val="22"/>
    <w:qFormat/>
    <w:uiPriority w:val="0"/>
    <w:rPr>
      <w:rFonts w:ascii="Tahoma" w:hAnsi="Tahoma"/>
      <w:sz w:val="16"/>
      <w:szCs w:val="16"/>
    </w:rPr>
  </w:style>
  <w:style w:type="character" w:customStyle="1" w:styleId="56">
    <w:name w:val="正文文本首行缩进 字符"/>
    <w:link w:val="24"/>
    <w:autoRedefine/>
    <w:qFormat/>
    <w:uiPriority w:val="0"/>
    <w:rPr>
      <w:rFonts w:ascii="楷体_GB2312" w:hAnsi="Tahoma"/>
      <w:sz w:val="28"/>
      <w:szCs w:val="22"/>
    </w:rPr>
  </w:style>
  <w:style w:type="paragraph" w:customStyle="1" w:styleId="57">
    <w:name w:val="无间隔1"/>
    <w:qFormat/>
    <w:uiPriority w:val="0"/>
    <w:pPr>
      <w:widowControl w:val="0"/>
      <w:spacing w:line="300" w:lineRule="auto"/>
    </w:pPr>
    <w:rPr>
      <w:rFonts w:ascii="Times New Roman" w:hAnsi="Times New Roman" w:eastAsia="华文仿宋" w:cs="Times New Roman"/>
      <w:kern w:val="2"/>
      <w:sz w:val="24"/>
      <w:szCs w:val="21"/>
      <w:lang w:val="en-US" w:eastAsia="zh-CN" w:bidi="ar-SA"/>
    </w:rPr>
  </w:style>
  <w:style w:type="paragraph" w:customStyle="1" w:styleId="58">
    <w:name w:val="普通正文"/>
    <w:basedOn w:val="1"/>
    <w:qFormat/>
    <w:uiPriority w:val="0"/>
    <w:pPr>
      <w:spacing w:before="120" w:after="120" w:line="360" w:lineRule="auto"/>
      <w:ind w:firstLine="480"/>
      <w:textAlignment w:val="baseline"/>
    </w:pPr>
    <w:rPr>
      <w:rFonts w:ascii="Arial" w:hAnsi="Arial"/>
      <w:sz w:val="24"/>
      <w:szCs w:val="24"/>
    </w:rPr>
  </w:style>
  <w:style w:type="paragraph" w:customStyle="1" w:styleId="59">
    <w:name w:val="标题 5（有编号）（绿盟科技）"/>
    <w:basedOn w:val="1"/>
    <w:next w:val="60"/>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60">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61">
    <w:name w:val="layui-this"/>
    <w:autoRedefine/>
    <w:qFormat/>
    <w:uiPriority w:val="0"/>
    <w:rPr>
      <w:bdr w:val="single" w:color="EEEEEE" w:sz="6" w:space="0"/>
      <w:shd w:val="clear" w:color="auto" w:fill="FFFFFF"/>
    </w:rPr>
  </w:style>
  <w:style w:type="character" w:customStyle="1" w:styleId="62">
    <w:name w:val="first-child"/>
    <w:autoRedefine/>
    <w:qFormat/>
    <w:uiPriority w:val="0"/>
  </w:style>
  <w:style w:type="character" w:customStyle="1" w:styleId="63">
    <w:name w:val="*正文 Char"/>
    <w:link w:val="64"/>
    <w:autoRedefine/>
    <w:qFormat/>
    <w:uiPriority w:val="0"/>
    <w:rPr>
      <w:rFonts w:ascii="宋体" w:hAnsi="宋体" w:eastAsia="仿宋_GB2312"/>
      <w:sz w:val="32"/>
    </w:rPr>
  </w:style>
  <w:style w:type="paragraph" w:customStyle="1" w:styleId="64">
    <w:name w:val="*正文"/>
    <w:basedOn w:val="1"/>
    <w:link w:val="63"/>
    <w:autoRedefine/>
    <w:qFormat/>
    <w:uiPriority w:val="0"/>
    <w:pPr>
      <w:widowControl w:val="0"/>
      <w:adjustRightInd/>
      <w:snapToGrid/>
      <w:spacing w:after="0" w:line="580" w:lineRule="exact"/>
      <w:ind w:firstLine="200" w:firstLineChars="200"/>
      <w:jc w:val="both"/>
    </w:pPr>
    <w:rPr>
      <w:rFonts w:ascii="宋体" w:hAnsi="宋体" w:eastAsia="仿宋_GB2312"/>
      <w:sz w:val="32"/>
      <w:szCs w:val="20"/>
    </w:rPr>
  </w:style>
  <w:style w:type="character" w:customStyle="1" w:styleId="65">
    <w:name w:val="font31"/>
    <w:autoRedefine/>
    <w:qFormat/>
    <w:uiPriority w:val="0"/>
    <w:rPr>
      <w:rFonts w:hint="eastAsia" w:ascii="宋体" w:hAnsi="宋体" w:eastAsia="宋体" w:cs="宋体"/>
      <w:color w:val="000000"/>
      <w:sz w:val="21"/>
      <w:szCs w:val="21"/>
      <w:u w:val="none"/>
    </w:rPr>
  </w:style>
  <w:style w:type="character" w:customStyle="1" w:styleId="66">
    <w:name w:val="font21"/>
    <w:autoRedefine/>
    <w:qFormat/>
    <w:uiPriority w:val="0"/>
    <w:rPr>
      <w:rFonts w:hint="default" w:ascii="Times New Roman" w:hAnsi="Times New Roman" w:cs="Times New Roman"/>
      <w:color w:val="000000"/>
      <w:sz w:val="24"/>
      <w:szCs w:val="24"/>
      <w:u w:val="none"/>
    </w:rPr>
  </w:style>
  <w:style w:type="character" w:customStyle="1" w:styleId="67">
    <w:name w:val="标题 3 Char"/>
    <w:autoRedefine/>
    <w:qFormat/>
    <w:uiPriority w:val="0"/>
    <w:rPr>
      <w:rFonts w:ascii="Times New Roman" w:hAnsi="Times New Roman" w:eastAsia="宋体" w:cs="Times New Roman"/>
      <w:b/>
      <w:bCs/>
      <w:sz w:val="32"/>
      <w:szCs w:val="32"/>
    </w:rPr>
  </w:style>
  <w:style w:type="character" w:customStyle="1" w:styleId="68">
    <w:name w:val="纯文本 Char1"/>
    <w:autoRedefine/>
    <w:semiHidden/>
    <w:qFormat/>
    <w:uiPriority w:val="99"/>
    <w:rPr>
      <w:rFonts w:ascii="宋体" w:hAnsi="Courier New" w:eastAsia="宋体" w:cs="Courier New"/>
      <w:sz w:val="21"/>
      <w:szCs w:val="21"/>
    </w:rPr>
  </w:style>
  <w:style w:type="character" w:customStyle="1" w:styleId="69">
    <w:name w:val="NormalCharacter"/>
    <w:autoRedefine/>
    <w:qFormat/>
    <w:uiPriority w:val="0"/>
  </w:style>
  <w:style w:type="character" w:customStyle="1" w:styleId="70">
    <w:name w:val="hover"/>
    <w:autoRedefine/>
    <w:qFormat/>
    <w:uiPriority w:val="0"/>
    <w:rPr>
      <w:color w:val="FFFFFF"/>
    </w:rPr>
  </w:style>
  <w:style w:type="character" w:customStyle="1" w:styleId="71">
    <w:name w:val="font01"/>
    <w:autoRedefine/>
    <w:qFormat/>
    <w:uiPriority w:val="0"/>
    <w:rPr>
      <w:rFonts w:hint="default" w:ascii="Calibri" w:hAnsi="Calibri" w:cs="Calibri"/>
      <w:color w:val="000000"/>
      <w:sz w:val="21"/>
      <w:szCs w:val="21"/>
      <w:u w:val="none"/>
    </w:rPr>
  </w:style>
  <w:style w:type="character" w:customStyle="1" w:styleId="72">
    <w:name w:val="正文缩进2格 Char"/>
    <w:link w:val="73"/>
    <w:autoRedefine/>
    <w:qFormat/>
    <w:locked/>
    <w:uiPriority w:val="0"/>
    <w:rPr>
      <w:rFonts w:ascii="仿宋_GB2312" w:hAnsi="宋体" w:eastAsia="仿宋_GB2312"/>
      <w:kern w:val="2"/>
      <w:sz w:val="31"/>
      <w:szCs w:val="28"/>
    </w:rPr>
  </w:style>
  <w:style w:type="paragraph" w:customStyle="1" w:styleId="73">
    <w:name w:val="正文缩进2格"/>
    <w:basedOn w:val="1"/>
    <w:link w:val="72"/>
    <w:autoRedefine/>
    <w:qFormat/>
    <w:uiPriority w:val="0"/>
    <w:pPr>
      <w:widowControl w:val="0"/>
      <w:adjustRightInd/>
      <w:snapToGrid/>
      <w:spacing w:after="0" w:line="600" w:lineRule="exact"/>
      <w:ind w:firstLine="639" w:firstLineChars="206"/>
      <w:jc w:val="both"/>
    </w:pPr>
    <w:rPr>
      <w:rFonts w:ascii="仿宋_GB2312" w:hAnsi="宋体" w:eastAsia="仿宋_GB2312"/>
      <w:kern w:val="2"/>
      <w:sz w:val="31"/>
      <w:szCs w:val="28"/>
    </w:rPr>
  </w:style>
  <w:style w:type="character" w:customStyle="1" w:styleId="74">
    <w:name w:val="hover2"/>
    <w:autoRedefine/>
    <w:qFormat/>
    <w:uiPriority w:val="0"/>
    <w:rPr>
      <w:color w:val="5FB878"/>
    </w:rPr>
  </w:style>
  <w:style w:type="character" w:customStyle="1" w:styleId="75">
    <w:name w:val="hover1"/>
    <w:autoRedefine/>
    <w:qFormat/>
    <w:uiPriority w:val="0"/>
    <w:rPr>
      <w:color w:val="5FB878"/>
    </w:rPr>
  </w:style>
  <w:style w:type="character" w:customStyle="1" w:styleId="76">
    <w:name w:val="列表段落 字符"/>
    <w:link w:val="77"/>
    <w:autoRedefine/>
    <w:qFormat/>
    <w:locked/>
    <w:uiPriority w:val="34"/>
    <w:rPr>
      <w:rFonts w:ascii="Calibri" w:hAnsi="Calibri" w:eastAsia="宋体" w:cs="Times New Roman"/>
      <w:kern w:val="2"/>
      <w:sz w:val="21"/>
      <w:szCs w:val="20"/>
    </w:rPr>
  </w:style>
  <w:style w:type="paragraph" w:styleId="77">
    <w:name w:val="List Paragraph"/>
    <w:basedOn w:val="1"/>
    <w:link w:val="76"/>
    <w:autoRedefine/>
    <w:qFormat/>
    <w:uiPriority w:val="34"/>
    <w:pPr>
      <w:widowControl w:val="0"/>
      <w:adjustRightInd/>
      <w:snapToGrid/>
      <w:spacing w:after="0"/>
      <w:ind w:firstLine="420" w:firstLineChars="200"/>
      <w:jc w:val="both"/>
    </w:pPr>
    <w:rPr>
      <w:rFonts w:ascii="Calibri" w:hAnsi="Calibri"/>
      <w:kern w:val="2"/>
      <w:sz w:val="21"/>
      <w:szCs w:val="20"/>
    </w:rPr>
  </w:style>
  <w:style w:type="paragraph" w:customStyle="1" w:styleId="78">
    <w:name w:val="样式 首行缩进:  0 字符"/>
    <w:basedOn w:val="1"/>
    <w:autoRedefine/>
    <w:qFormat/>
    <w:uiPriority w:val="0"/>
    <w:pPr>
      <w:widowControl w:val="0"/>
      <w:adjustRightInd/>
      <w:snapToGrid/>
      <w:spacing w:after="0" w:line="360" w:lineRule="auto"/>
      <w:jc w:val="both"/>
    </w:pPr>
    <w:rPr>
      <w:rFonts w:ascii="Arial" w:hAnsi="Arial" w:cs="宋体"/>
      <w:kern w:val="2"/>
      <w:sz w:val="24"/>
      <w:szCs w:val="20"/>
    </w:rPr>
  </w:style>
  <w:style w:type="paragraph" w:customStyle="1" w:styleId="79">
    <w:name w:val="首行缩进"/>
    <w:basedOn w:val="1"/>
    <w:autoRedefine/>
    <w:qFormat/>
    <w:uiPriority w:val="0"/>
    <w:pPr>
      <w:widowControl w:val="0"/>
      <w:adjustRightInd/>
      <w:snapToGrid/>
      <w:spacing w:after="0"/>
      <w:ind w:firstLine="480" w:firstLineChars="200"/>
      <w:jc w:val="both"/>
    </w:pPr>
    <w:rPr>
      <w:rFonts w:ascii="Times New Roman" w:hAnsi="Times New Roman"/>
      <w:kern w:val="2"/>
      <w:sz w:val="21"/>
      <w:szCs w:val="24"/>
      <w:lang w:val="zh-CN"/>
    </w:rPr>
  </w:style>
  <w:style w:type="paragraph" w:customStyle="1" w:styleId="80">
    <w:name w:val="普通(网站) Char"/>
    <w:basedOn w:val="1"/>
    <w:autoRedefine/>
    <w:qFormat/>
    <w:uiPriority w:val="99"/>
    <w:pPr>
      <w:adjustRightInd/>
      <w:snapToGrid/>
      <w:spacing w:before="100" w:beforeAutospacing="1" w:after="100" w:afterAutospacing="1"/>
    </w:pPr>
    <w:rPr>
      <w:rFonts w:ascii="宋体" w:hAnsi="宋体" w:cs="宋体"/>
      <w:sz w:val="24"/>
    </w:rPr>
  </w:style>
  <w:style w:type="paragraph" w:customStyle="1" w:styleId="81">
    <w:name w:val="BodyText1I2"/>
    <w:basedOn w:val="82"/>
    <w:autoRedefine/>
    <w:qFormat/>
    <w:uiPriority w:val="0"/>
    <w:pPr>
      <w:ind w:firstLine="420" w:firstLineChars="200"/>
    </w:pPr>
  </w:style>
  <w:style w:type="paragraph" w:customStyle="1" w:styleId="82">
    <w:name w:val="BodyTextIndent"/>
    <w:basedOn w:val="1"/>
    <w:next w:val="83"/>
    <w:autoRedefine/>
    <w:qFormat/>
    <w:uiPriority w:val="0"/>
    <w:pPr>
      <w:ind w:firstLine="480"/>
      <w:jc w:val="both"/>
      <w:textAlignment w:val="baseline"/>
    </w:pPr>
    <w:rPr>
      <w:rFonts w:eastAsia="楷体_GB2312"/>
      <w:kern w:val="2"/>
      <w:sz w:val="24"/>
    </w:rPr>
  </w:style>
  <w:style w:type="paragraph" w:customStyle="1" w:styleId="83">
    <w:name w:val="EnvelopeReturn"/>
    <w:basedOn w:val="1"/>
    <w:autoRedefine/>
    <w:qFormat/>
    <w:uiPriority w:val="0"/>
    <w:pPr>
      <w:jc w:val="both"/>
      <w:textAlignment w:val="baseline"/>
    </w:pPr>
    <w:rPr>
      <w:rFonts w:ascii="Arial" w:hAnsi="Arial" w:eastAsia="楷体_GB2312"/>
      <w:kern w:val="2"/>
      <w:sz w:val="26"/>
    </w:rPr>
  </w:style>
  <w:style w:type="paragraph" w:customStyle="1" w:styleId="84">
    <w:name w:val="列出段落1"/>
    <w:basedOn w:val="1"/>
    <w:autoRedefine/>
    <w:qFormat/>
    <w:uiPriority w:val="0"/>
    <w:pPr>
      <w:ind w:firstLine="200" w:firstLineChars="200"/>
    </w:pPr>
    <w:rPr>
      <w:rFonts w:ascii="Calibri" w:hAnsi="Calibri"/>
    </w:rPr>
  </w:style>
  <w:style w:type="character" w:customStyle="1" w:styleId="85">
    <w:name w:val="font41"/>
    <w:autoRedefine/>
    <w:qFormat/>
    <w:uiPriority w:val="0"/>
    <w:rPr>
      <w:rFonts w:hint="eastAsia" w:ascii="宋体" w:hAnsi="宋体" w:eastAsia="宋体" w:cs="宋体"/>
      <w:color w:val="000000"/>
      <w:sz w:val="20"/>
      <w:szCs w:val="20"/>
      <w:u w:val="none"/>
    </w:rPr>
  </w:style>
  <w:style w:type="character" w:customStyle="1" w:styleId="86">
    <w:name w:val="font11"/>
    <w:autoRedefine/>
    <w:qFormat/>
    <w:uiPriority w:val="0"/>
    <w:rPr>
      <w:rFonts w:hint="default" w:ascii="Times New Roman" w:hAnsi="Times New Roman" w:cs="Times New Roman"/>
      <w:color w:val="000000"/>
      <w:sz w:val="20"/>
      <w:szCs w:val="20"/>
      <w:u w:val="none"/>
    </w:rPr>
  </w:style>
  <w:style w:type="character" w:customStyle="1" w:styleId="87">
    <w:name w:val="font51"/>
    <w:autoRedefine/>
    <w:qFormat/>
    <w:uiPriority w:val="0"/>
    <w:rPr>
      <w:rFonts w:hint="default" w:ascii="Times New Roman" w:hAnsi="Times New Roman" w:cs="Times New Roman"/>
      <w:color w:val="000000"/>
      <w:sz w:val="20"/>
      <w:szCs w:val="20"/>
      <w:u w:val="none"/>
    </w:rPr>
  </w:style>
  <w:style w:type="paragraph" w:customStyle="1" w:styleId="88">
    <w:name w:val="paragraph"/>
    <w:basedOn w:val="1"/>
    <w:autoRedefine/>
    <w:qFormat/>
    <w:uiPriority w:val="0"/>
    <w:pPr>
      <w:spacing w:before="100" w:beforeAutospacing="1" w:after="100" w:afterAutospacing="1"/>
    </w:pPr>
    <w:rPr>
      <w:rFonts w:ascii="宋体" w:hAnsi="宋体" w:cs="宋体"/>
      <w:sz w:val="24"/>
      <w:szCs w:val="24"/>
    </w:rPr>
  </w:style>
  <w:style w:type="paragraph" w:customStyle="1" w:styleId="89">
    <w:name w:val="正文 A"/>
    <w:autoRedefine/>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90">
    <w:name w:val="表格"/>
    <w:basedOn w:val="1"/>
    <w:qFormat/>
    <w:uiPriority w:val="0"/>
    <w:pPr>
      <w:spacing w:after="0" w:line="460" w:lineRule="exact"/>
    </w:pPr>
    <w:rPr>
      <w:rFonts w:hint="eastAsia" w:ascii="宋体" w:hAnsi="宋体" w:cs="宋体"/>
      <w:spacing w:val="7"/>
      <w:sz w:val="24"/>
      <w:szCs w:val="28"/>
    </w:rPr>
  </w:style>
  <w:style w:type="paragraph" w:customStyle="1" w:styleId="91">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2">
    <w:name w:val="null3"/>
    <w:hidden/>
    <w:qFormat/>
    <w:uiPriority w:val="0"/>
    <w:rPr>
      <w:rFonts w:hint="eastAsia"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27</Pages>
  <Words>12547</Words>
  <Characters>13586</Characters>
  <Lines>120</Lines>
  <Paragraphs>33</Paragraphs>
  <TotalTime>3</TotalTime>
  <ScaleCrop>false</ScaleCrop>
  <LinksUpToDate>false</LinksUpToDate>
  <CharactersWithSpaces>14321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2025-08-14T00:30:00Z</dcterms:created>
  <dc:creator>Administrator</dc:creator>
  <cp:lastModifiedBy>jessie</cp:lastModifiedBy>
  <cp:lastPrinted>2019-08-12T03:11:00Z</cp:lastPrinted>
  <dcterms:modified xsi:type="dcterms:W3CDTF">2026-04-22T08:04:20Z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2288686ED7A34ED680FF5A23848CE224_13</vt:lpwstr>
  </property>
  <property fmtid="{D5CDD505-2E9C-101B-9397-08002B2CF9AE}" pid="4" name="KSOTemplateDocerSaveRecord">
    <vt:lpwstr>eyJoZGlkIjoiMTY2YTExYjU4MWEzY2MzM2I4OTY2NWYxMWY5ZTNlMmIiLCJ1c2VySWQiOiI2Mzc4MTQzODgifQ==</vt:lpwstr>
  </property>
</Properties>
</file>