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57AC0">
      <w:pPr>
        <w:pStyle w:val="113"/>
      </w:pPr>
    </w:p>
    <w:p w14:paraId="3C2E5BB0">
      <w:pPr>
        <w:ind w:firstLine="2600" w:firstLineChars="500"/>
        <w:jc w:val="both"/>
        <w:rPr>
          <w:rFonts w:ascii="宋体" w:hAnsi="宋体"/>
          <w:bCs/>
          <w:spacing w:val="20"/>
          <w:sz w:val="48"/>
          <w:szCs w:val="28"/>
        </w:rPr>
      </w:pPr>
      <w:r>
        <w:rPr>
          <w:rFonts w:hint="eastAsia" w:ascii="宋体" w:hAnsi="宋体"/>
          <w:bCs/>
          <w:spacing w:val="20"/>
          <w:sz w:val="48"/>
          <w:szCs w:val="28"/>
        </w:rPr>
        <w:t>江苏商贸职业学院</w:t>
      </w:r>
    </w:p>
    <w:p w14:paraId="194DF081">
      <w:pPr>
        <w:jc w:val="center"/>
        <w:rPr>
          <w:rFonts w:ascii="宋体" w:hAnsi="宋体"/>
          <w:bCs/>
          <w:spacing w:val="20"/>
          <w:sz w:val="48"/>
          <w:szCs w:val="28"/>
        </w:rPr>
      </w:pPr>
      <w:r>
        <w:rPr>
          <w:rFonts w:hint="eastAsia" w:ascii="宋体" w:hAnsi="宋体"/>
          <w:bCs/>
          <w:spacing w:val="20"/>
          <w:sz w:val="48"/>
          <w:szCs w:val="28"/>
        </w:rPr>
        <w:t>数字人大模型智能交互仓项目</w:t>
      </w:r>
    </w:p>
    <w:p w14:paraId="446E13F2">
      <w:pPr>
        <w:rPr>
          <w:rFonts w:ascii="宋体" w:hAnsi="宋体"/>
          <w:bCs/>
          <w:sz w:val="72"/>
          <w:szCs w:val="72"/>
        </w:rPr>
      </w:pPr>
    </w:p>
    <w:p w14:paraId="5E81663F">
      <w:pPr>
        <w:jc w:val="center"/>
        <w:rPr>
          <w:rFonts w:ascii="宋体" w:hAnsi="宋体"/>
          <w:bCs/>
          <w:sz w:val="72"/>
          <w:szCs w:val="72"/>
        </w:rPr>
      </w:pPr>
    </w:p>
    <w:p w14:paraId="4CBBFF28">
      <w:pPr>
        <w:jc w:val="center"/>
        <w:rPr>
          <w:rFonts w:hint="eastAsia" w:ascii="宋体" w:hAnsi="宋体"/>
          <w:bCs/>
          <w:sz w:val="72"/>
          <w:szCs w:val="72"/>
        </w:rPr>
      </w:pPr>
    </w:p>
    <w:p w14:paraId="5F457CF3">
      <w:pPr>
        <w:jc w:val="center"/>
        <w:rPr>
          <w:rFonts w:hint="eastAsia" w:ascii="宋体" w:hAnsi="宋体"/>
          <w:bCs/>
          <w:sz w:val="72"/>
          <w:szCs w:val="72"/>
        </w:rPr>
      </w:pPr>
    </w:p>
    <w:p w14:paraId="24268AAA">
      <w:pPr>
        <w:jc w:val="center"/>
        <w:rPr>
          <w:rFonts w:ascii="宋体" w:hAnsi="宋体"/>
          <w:bCs/>
          <w:sz w:val="100"/>
          <w:szCs w:val="100"/>
        </w:rPr>
      </w:pPr>
      <w:r>
        <w:rPr>
          <w:rFonts w:hint="eastAsia" w:ascii="宋体" w:hAnsi="宋体"/>
          <w:bCs/>
          <w:sz w:val="72"/>
          <w:szCs w:val="72"/>
        </w:rPr>
        <w:t>公开招标文件</w:t>
      </w:r>
    </w:p>
    <w:p w14:paraId="7DC73D9A">
      <w:pPr>
        <w:jc w:val="center"/>
        <w:rPr>
          <w:rFonts w:ascii="宋体" w:hAnsi="宋体" w:cs="宋体"/>
          <w:kern w:val="0"/>
          <w:sz w:val="20"/>
          <w:szCs w:val="20"/>
        </w:rPr>
      </w:pPr>
      <w:r>
        <w:rPr>
          <w:rFonts w:hint="eastAsia" w:ascii="宋体" w:hAnsi="宋体"/>
          <w:bCs/>
          <w:sz w:val="36"/>
          <w:szCs w:val="36"/>
        </w:rPr>
        <w:t>项目编号：JSSYCG20251114066</w:t>
      </w:r>
    </w:p>
    <w:p w14:paraId="391C8357">
      <w:pPr>
        <w:jc w:val="center"/>
        <w:rPr>
          <w:rFonts w:ascii="宋体" w:hAnsi="宋体"/>
          <w:bCs/>
          <w:sz w:val="36"/>
          <w:szCs w:val="36"/>
          <w:highlight w:val="yellow"/>
        </w:rPr>
      </w:pPr>
    </w:p>
    <w:p w14:paraId="0E34B47C">
      <w:pPr>
        <w:spacing w:line="500" w:lineRule="exact"/>
        <w:jc w:val="center"/>
        <w:rPr>
          <w:rFonts w:ascii="宋体" w:hAnsi="宋体"/>
          <w:b/>
          <w:sz w:val="36"/>
        </w:rPr>
      </w:pPr>
    </w:p>
    <w:p w14:paraId="048D4999">
      <w:pPr>
        <w:spacing w:line="500" w:lineRule="exact"/>
        <w:jc w:val="center"/>
        <w:rPr>
          <w:rFonts w:ascii="宋体" w:hAnsi="宋体"/>
          <w:b/>
          <w:sz w:val="36"/>
        </w:rPr>
      </w:pPr>
    </w:p>
    <w:p w14:paraId="1E626E3C">
      <w:pPr>
        <w:spacing w:line="500" w:lineRule="exact"/>
        <w:jc w:val="center"/>
        <w:rPr>
          <w:rFonts w:ascii="宋体" w:hAnsi="宋体"/>
          <w:b/>
          <w:sz w:val="36"/>
        </w:rPr>
      </w:pPr>
    </w:p>
    <w:p w14:paraId="2FBA2D22">
      <w:pPr>
        <w:spacing w:line="500" w:lineRule="exact"/>
        <w:rPr>
          <w:rFonts w:ascii="宋体" w:hAnsi="宋体"/>
        </w:rPr>
      </w:pPr>
    </w:p>
    <w:p w14:paraId="6D9A1448">
      <w:pPr>
        <w:spacing w:line="500" w:lineRule="exact"/>
        <w:jc w:val="center"/>
        <w:rPr>
          <w:rFonts w:ascii="宋体" w:hAnsi="宋体"/>
          <w:sz w:val="32"/>
        </w:rPr>
      </w:pPr>
    </w:p>
    <w:p w14:paraId="2DD5B27A">
      <w:pPr>
        <w:spacing w:line="500" w:lineRule="exact"/>
        <w:jc w:val="center"/>
        <w:rPr>
          <w:rFonts w:ascii="宋体" w:hAnsi="宋体"/>
          <w:sz w:val="32"/>
        </w:rPr>
      </w:pPr>
    </w:p>
    <w:p w14:paraId="377DF44D">
      <w:pPr>
        <w:spacing w:line="500" w:lineRule="exact"/>
        <w:jc w:val="center"/>
        <w:rPr>
          <w:rFonts w:ascii="宋体" w:hAnsi="宋体"/>
          <w:sz w:val="32"/>
        </w:rPr>
      </w:pPr>
    </w:p>
    <w:p w14:paraId="2E34CB21">
      <w:pPr>
        <w:pStyle w:val="13"/>
        <w:rPr>
          <w:rFonts w:ascii="宋体" w:hAnsi="宋体"/>
          <w:sz w:val="32"/>
        </w:rPr>
      </w:pPr>
    </w:p>
    <w:p w14:paraId="5546739B">
      <w:pPr>
        <w:rPr>
          <w:rFonts w:ascii="宋体" w:hAnsi="宋体"/>
          <w:sz w:val="32"/>
        </w:rPr>
      </w:pPr>
    </w:p>
    <w:p w14:paraId="3B014231">
      <w:pPr>
        <w:pStyle w:val="18"/>
        <w:rPr>
          <w:rFonts w:ascii="宋体" w:hAnsi="宋体" w:eastAsia="宋体"/>
        </w:rPr>
      </w:pPr>
    </w:p>
    <w:p w14:paraId="25AA634F">
      <w:pPr>
        <w:pStyle w:val="83"/>
        <w:ind w:left="0" w:firstLine="475" w:firstLineChars="99"/>
        <w:rPr>
          <w:rFonts w:ascii="宋体" w:hAnsi="宋体"/>
          <w:b/>
          <w:spacing w:val="20"/>
          <w:sz w:val="44"/>
        </w:rPr>
      </w:pPr>
      <w:r>
        <w:rPr>
          <w:rFonts w:hint="eastAsia" w:ascii="宋体" w:hAnsi="宋体"/>
          <w:b/>
          <w:spacing w:val="20"/>
          <w:sz w:val="44"/>
        </w:rPr>
        <w:t>江苏商贸职业学院</w:t>
      </w:r>
    </w:p>
    <w:p w14:paraId="17435F7B">
      <w:pPr>
        <w:pStyle w:val="83"/>
        <w:ind w:firstLine="0"/>
        <w:rPr>
          <w:rFonts w:ascii="宋体" w:hAnsi="宋体"/>
          <w:sz w:val="36"/>
          <w:szCs w:val="36"/>
        </w:rPr>
      </w:pPr>
      <w:r>
        <w:rPr>
          <w:rFonts w:hint="eastAsia" w:ascii="宋体" w:hAnsi="宋体"/>
          <w:b/>
          <w:spacing w:val="20"/>
          <w:sz w:val="36"/>
          <w:szCs w:val="36"/>
        </w:rPr>
        <w:t>2025年11月</w:t>
      </w:r>
    </w:p>
    <w:p w14:paraId="11B8E6FD">
      <w:pPr>
        <w:adjustRightInd w:val="0"/>
        <w:snapToGrid w:val="0"/>
        <w:spacing w:line="500" w:lineRule="exact"/>
        <w:ind w:left="-157" w:leftChars="-75" w:right="-600" w:rightChars="-286"/>
        <w:jc w:val="center"/>
        <w:rPr>
          <w:rFonts w:ascii="宋体" w:hAnsi="宋体"/>
          <w:sz w:val="44"/>
          <w:szCs w:val="44"/>
        </w:rPr>
      </w:pPr>
    </w:p>
    <w:p w14:paraId="05AC2B12">
      <w:pPr>
        <w:adjustRightInd w:val="0"/>
        <w:snapToGrid w:val="0"/>
        <w:spacing w:line="500" w:lineRule="exact"/>
        <w:ind w:left="-157" w:leftChars="-75" w:right="-600" w:rightChars="-286"/>
        <w:jc w:val="center"/>
        <w:rPr>
          <w:rFonts w:ascii="宋体" w:hAnsi="宋体"/>
          <w:sz w:val="44"/>
          <w:szCs w:val="44"/>
        </w:rPr>
      </w:pPr>
    </w:p>
    <w:p w14:paraId="1DCC2A76">
      <w:pPr>
        <w:adjustRightInd w:val="0"/>
        <w:snapToGrid w:val="0"/>
        <w:spacing w:line="500" w:lineRule="exact"/>
        <w:ind w:left="-157" w:leftChars="-75" w:right="-600" w:rightChars="-286"/>
        <w:jc w:val="center"/>
        <w:rPr>
          <w:rFonts w:ascii="宋体" w:hAnsi="宋体"/>
          <w:sz w:val="44"/>
          <w:szCs w:val="44"/>
        </w:rPr>
      </w:pPr>
    </w:p>
    <w:p w14:paraId="21C9859E">
      <w:pPr>
        <w:adjustRightInd w:val="0"/>
        <w:snapToGrid w:val="0"/>
        <w:spacing w:line="500" w:lineRule="exact"/>
        <w:ind w:left="-157" w:leftChars="-75" w:right="-600" w:rightChars="-286"/>
        <w:jc w:val="center"/>
        <w:rPr>
          <w:rFonts w:ascii="宋体" w:hAnsi="宋体"/>
          <w:sz w:val="32"/>
          <w:szCs w:val="32"/>
        </w:rPr>
      </w:pPr>
      <w:r>
        <w:rPr>
          <w:rFonts w:hint="eastAsia" w:ascii="宋体" w:hAnsi="宋体"/>
          <w:sz w:val="44"/>
          <w:szCs w:val="44"/>
        </w:rPr>
        <w:t>目 录</w:t>
      </w:r>
    </w:p>
    <w:p w14:paraId="056A3462">
      <w:pPr>
        <w:tabs>
          <w:tab w:val="left" w:pos="7740"/>
        </w:tabs>
        <w:adjustRightInd w:val="0"/>
        <w:snapToGrid w:val="0"/>
        <w:spacing w:line="360" w:lineRule="auto"/>
        <w:ind w:firstLine="640" w:firstLineChars="200"/>
        <w:rPr>
          <w:rFonts w:ascii="宋体" w:hAnsi="宋体"/>
          <w:bCs/>
          <w:sz w:val="32"/>
          <w:szCs w:val="32"/>
        </w:rPr>
      </w:pPr>
    </w:p>
    <w:p w14:paraId="0AEEC512">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340F525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485699DC">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76D563F3">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3A431947">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6D94C575">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51391CC2">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0EEFDD00">
      <w:pPr>
        <w:spacing w:line="500" w:lineRule="exact"/>
        <w:rPr>
          <w:rFonts w:ascii="宋体" w:hAnsi="宋体"/>
          <w:b/>
          <w:sz w:val="32"/>
          <w:szCs w:val="32"/>
        </w:rPr>
      </w:pPr>
    </w:p>
    <w:p w14:paraId="442454FC">
      <w:pPr>
        <w:tabs>
          <w:tab w:val="left" w:pos="7740"/>
        </w:tabs>
        <w:spacing w:line="500" w:lineRule="exact"/>
        <w:rPr>
          <w:rFonts w:ascii="宋体" w:hAnsi="宋体"/>
          <w:b/>
          <w:spacing w:val="2"/>
          <w:sz w:val="32"/>
          <w:szCs w:val="32"/>
        </w:rPr>
      </w:pPr>
    </w:p>
    <w:p w14:paraId="1FCD4D06">
      <w:pPr>
        <w:tabs>
          <w:tab w:val="left" w:pos="7740"/>
        </w:tabs>
        <w:spacing w:line="500" w:lineRule="exact"/>
        <w:rPr>
          <w:rFonts w:ascii="宋体" w:hAnsi="宋体"/>
          <w:b/>
          <w:spacing w:val="2"/>
          <w:sz w:val="32"/>
          <w:szCs w:val="32"/>
        </w:rPr>
      </w:pPr>
    </w:p>
    <w:p w14:paraId="7E23C4DD">
      <w:pPr>
        <w:tabs>
          <w:tab w:val="left" w:pos="7740"/>
        </w:tabs>
        <w:spacing w:line="500" w:lineRule="exact"/>
        <w:rPr>
          <w:rFonts w:ascii="宋体" w:hAnsi="宋体"/>
          <w:b/>
          <w:bCs/>
          <w:sz w:val="32"/>
          <w:szCs w:val="32"/>
        </w:rPr>
      </w:pPr>
    </w:p>
    <w:p w14:paraId="4388E48E">
      <w:pPr>
        <w:pStyle w:val="13"/>
        <w:rPr>
          <w:rFonts w:ascii="宋体" w:hAnsi="宋体"/>
          <w:bCs/>
          <w:sz w:val="36"/>
          <w:szCs w:val="36"/>
        </w:rPr>
      </w:pPr>
    </w:p>
    <w:p w14:paraId="0DFD7C66">
      <w:pPr>
        <w:rPr>
          <w:rFonts w:ascii="宋体" w:hAnsi="宋体"/>
        </w:rPr>
      </w:pPr>
    </w:p>
    <w:p w14:paraId="52FCE130">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7"/>
      <w:bookmarkStart w:id="1" w:name="OLE_LINK5"/>
      <w:r>
        <w:rPr>
          <w:rFonts w:hint="eastAsia" w:ascii="宋体" w:hAnsi="宋体" w:cs="黑体"/>
          <w:b/>
          <w:bCs/>
          <w:sz w:val="32"/>
          <w:szCs w:val="32"/>
        </w:rPr>
        <w:t>投标邀请</w:t>
      </w:r>
    </w:p>
    <w:p w14:paraId="5F2A1066">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受江苏商贸职业学院的委托，江苏中房工程咨询有限公司就江苏商贸职业学院数字人大模型智能交互仓项目(项目编号:JSSYCG20251114066)进行公开招标采购，欢迎符合条件的供应商投标。</w:t>
      </w:r>
    </w:p>
    <w:p w14:paraId="2C3C6925">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项目概况</w:t>
      </w:r>
    </w:p>
    <w:p w14:paraId="560C2437">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江苏商贸职业学院数字人大模型智能交互仓项目的潜在投标人应在江苏商贸职业学院网（ </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"http://www.jsbc.edu.cn/）获取招标文件，并于2025年%20月"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11</w:t>
      </w:r>
      <w:r>
        <w:rPr>
          <w:rFonts w:hint="eastAsia" w:ascii="宋体" w:hAnsi="宋体" w:cs="宋体"/>
          <w:sz w:val="24"/>
        </w:rPr>
        <w:t xml:space="preserve"> 月</w:t>
      </w:r>
      <w:r>
        <w:rPr>
          <w:rFonts w:hint="eastAsia" w:ascii="宋体" w:hAnsi="宋体" w:cs="宋体"/>
          <w:sz w:val="24"/>
        </w:rPr>
        <w:fldChar w:fldCharType="end"/>
      </w:r>
      <w:r>
        <w:rPr>
          <w:rFonts w:hint="eastAsia" w:ascii="宋体" w:hAnsi="宋体" w:cs="宋体"/>
          <w:sz w:val="24"/>
          <w:lang w:val="en-US" w:eastAsia="zh-CN"/>
        </w:rPr>
        <w:t>25</w:t>
      </w:r>
      <w:r>
        <w:rPr>
          <w:rFonts w:hint="eastAsia" w:ascii="宋体" w:hAnsi="宋体" w:cs="宋体"/>
          <w:sz w:val="24"/>
        </w:rPr>
        <w:t>日9时（北京时间）前递交投标文件。</w:t>
      </w:r>
    </w:p>
    <w:p w14:paraId="37C7A12E">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一、项目基本情况</w:t>
      </w:r>
    </w:p>
    <w:p w14:paraId="0E205B3A">
      <w:pPr>
        <w:ind w:firstLine="480" w:firstLineChars="200"/>
        <w:rPr>
          <w:rFonts w:ascii="宋体" w:hAnsi="宋体" w:cs="宋体"/>
          <w:sz w:val="24"/>
        </w:rPr>
      </w:pPr>
      <w:r>
        <w:rPr>
          <w:rFonts w:hint="eastAsia" w:ascii="宋体" w:hAnsi="宋体" w:cs="宋体"/>
          <w:sz w:val="24"/>
        </w:rPr>
        <w:t>项目编号：JSSYCG20251114066</w:t>
      </w:r>
    </w:p>
    <w:p w14:paraId="5ECF5765">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项目名称：江苏商贸职业学院数字人大模型智能交互仓项目</w:t>
      </w:r>
    </w:p>
    <w:p w14:paraId="69CF7C8F">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47956CF3">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所属行业：软件和信息技术服务业</w:t>
      </w:r>
    </w:p>
    <w:p w14:paraId="028B161B">
      <w:pPr>
        <w:tabs>
          <w:tab w:val="left" w:pos="360"/>
        </w:tabs>
        <w:spacing w:after="60" w:line="460" w:lineRule="exact"/>
        <w:ind w:firstLine="480" w:firstLineChars="200"/>
        <w:rPr>
          <w:rFonts w:ascii="宋体" w:hAnsi="宋体" w:cs="宋体"/>
          <w:color w:val="auto"/>
          <w:sz w:val="24"/>
        </w:rPr>
      </w:pPr>
      <w:r>
        <w:rPr>
          <w:rFonts w:hint="eastAsia" w:ascii="宋体" w:hAnsi="宋体" w:cs="宋体"/>
          <w:sz w:val="24"/>
        </w:rPr>
        <w:t>预算金额：</w:t>
      </w:r>
      <w:r>
        <w:rPr>
          <w:rFonts w:hint="eastAsia" w:ascii="宋体" w:hAnsi="宋体" w:cs="宋体"/>
          <w:color w:val="auto"/>
          <w:sz w:val="24"/>
        </w:rPr>
        <w:t>31万元</w:t>
      </w:r>
    </w:p>
    <w:p w14:paraId="2B242D6B">
      <w:pPr>
        <w:tabs>
          <w:tab w:val="left" w:pos="360"/>
        </w:tabs>
        <w:spacing w:after="60" w:line="460" w:lineRule="exact"/>
        <w:ind w:firstLine="480" w:firstLineChars="200"/>
        <w:rPr>
          <w:rFonts w:ascii="宋体" w:hAnsi="宋体" w:cs="宋体"/>
          <w:bCs/>
          <w:sz w:val="24"/>
        </w:rPr>
      </w:pPr>
      <w:r>
        <w:rPr>
          <w:rFonts w:hint="eastAsia" w:ascii="宋体" w:hAnsi="宋体" w:cs="宋体"/>
          <w:color w:val="auto"/>
          <w:sz w:val="24"/>
        </w:rPr>
        <w:t>最高限价：29万元，</w:t>
      </w:r>
      <w:r>
        <w:rPr>
          <w:rFonts w:hint="eastAsia" w:ascii="宋体" w:hAnsi="宋体" w:cs="宋体"/>
          <w:sz w:val="24"/>
        </w:rPr>
        <w:t>投标报价高于最高限价的作无效报价处理。</w:t>
      </w:r>
    </w:p>
    <w:p w14:paraId="747798DB">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EC63DFA">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合同履行期限：合同签订后1</w:t>
      </w:r>
      <w:r>
        <w:rPr>
          <w:rFonts w:hint="eastAsia" w:ascii="宋体" w:hAnsi="宋体" w:cs="宋体"/>
          <w:sz w:val="24"/>
          <w:lang w:val="en-US" w:eastAsia="zh-CN"/>
        </w:rPr>
        <w:t>5</w:t>
      </w:r>
      <w:r>
        <w:rPr>
          <w:rFonts w:hint="eastAsia" w:ascii="宋体" w:hAnsi="宋体" w:cs="宋体"/>
          <w:sz w:val="24"/>
        </w:rPr>
        <w:t>个工作日内完成供货。</w:t>
      </w:r>
    </w:p>
    <w:p w14:paraId="3433A077">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29A8D7A0">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二、申请人的资格要求：</w:t>
      </w:r>
    </w:p>
    <w:p w14:paraId="39A45CAE">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08B66804">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0D37B178">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457D5BF8">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399DCDD">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3A4E810E">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FAADD92">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三、获取招标文件</w:t>
      </w:r>
    </w:p>
    <w:p w14:paraId="41F01F36">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 xml:space="preserve"> 日至2025年 </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w:t>
      </w:r>
    </w:p>
    <w:p w14:paraId="68103C5A">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03FB7177">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3CAD9B07">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四、提交投标文件截止时间、开标时间和地点</w:t>
      </w:r>
    </w:p>
    <w:p w14:paraId="0E7D0672">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25</w:t>
      </w:r>
      <w:r>
        <w:rPr>
          <w:rFonts w:hint="eastAsia" w:ascii="宋体" w:hAnsi="宋体" w:cs="宋体"/>
          <w:sz w:val="24"/>
        </w:rPr>
        <w:t>日9时（北京时间）。</w:t>
      </w:r>
    </w:p>
    <w:p w14:paraId="3ACE58FC">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4AB00971">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46BD3F24">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7E36DDEA">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五、公告期限</w:t>
      </w:r>
    </w:p>
    <w:p w14:paraId="54399CD0">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749F6451">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六、其他补充事宜</w:t>
      </w:r>
    </w:p>
    <w:p w14:paraId="19237331">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467358FC">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2E617F50">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18043EBD">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4.对项目需求部分（供应商资格要求、项目需求、商务技术评分标准）的询问、质疑请向招标人提出，由招标人负责答复；对项目招标文件其他部分的询问请向代理机构经办人提出。</w:t>
      </w:r>
    </w:p>
    <w:p w14:paraId="24D51CF5">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229F8494">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七、对本次招标提出询问，请按以下方式联系。</w:t>
      </w:r>
    </w:p>
    <w:p w14:paraId="67E9A83F">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75D4AEFD">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35E6DD1B">
      <w:pPr>
        <w:snapToGrid w:val="0"/>
        <w:spacing w:line="480" w:lineRule="exact"/>
        <w:ind w:firstLine="480" w:firstLineChars="200"/>
        <w:outlineLvl w:val="1"/>
        <w:rPr>
          <w:rFonts w:ascii="宋体" w:hAnsi="宋体" w:cs="宋体"/>
          <w:sz w:val="24"/>
        </w:rPr>
      </w:pPr>
      <w:r>
        <w:rPr>
          <w:rFonts w:hint="eastAsia" w:ascii="宋体" w:hAnsi="宋体" w:cs="宋体"/>
          <w:sz w:val="24"/>
        </w:rPr>
        <w:t>陈老师（会计与金融</w:t>
      </w:r>
      <w:r>
        <w:rPr>
          <w:rFonts w:ascii="宋体" w:hAnsi="宋体" w:cs="宋体"/>
          <w:sz w:val="24"/>
        </w:rPr>
        <w:t>学院</w:t>
      </w:r>
      <w:r>
        <w:rPr>
          <w:rFonts w:hint="eastAsia" w:ascii="宋体" w:hAnsi="宋体" w:cs="宋体"/>
          <w:sz w:val="24"/>
        </w:rPr>
        <w:t>）    联系电话：</w:t>
      </w:r>
      <w:r>
        <w:rPr>
          <w:rFonts w:ascii="宋体" w:hAnsi="宋体" w:cs="宋体"/>
          <w:sz w:val="24"/>
        </w:rPr>
        <w:t>13962972664</w:t>
      </w:r>
    </w:p>
    <w:p w14:paraId="5A36EE03">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0B376D47">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12D6CF4">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53481731">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06967021">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5F24ECC6">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24A103A0">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34A273A2">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32A5730F">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55B79222">
      <w:pPr>
        <w:adjustRightInd w:val="0"/>
        <w:snapToGrid w:val="0"/>
        <w:spacing w:line="500" w:lineRule="exact"/>
        <w:jc w:val="center"/>
        <w:outlineLvl w:val="0"/>
        <w:rPr>
          <w:rFonts w:ascii="宋体" w:hAnsi="宋体" w:cs="黑体"/>
          <w:sz w:val="32"/>
          <w:szCs w:val="32"/>
        </w:rPr>
      </w:pPr>
    </w:p>
    <w:p w14:paraId="426F2F10">
      <w:pPr>
        <w:adjustRightInd w:val="0"/>
        <w:snapToGrid w:val="0"/>
        <w:spacing w:line="500" w:lineRule="exact"/>
        <w:jc w:val="center"/>
        <w:outlineLvl w:val="0"/>
        <w:rPr>
          <w:rFonts w:ascii="宋体" w:hAnsi="宋体" w:cs="黑体"/>
          <w:sz w:val="32"/>
          <w:szCs w:val="32"/>
        </w:rPr>
      </w:pPr>
    </w:p>
    <w:p w14:paraId="3594B55C">
      <w:pPr>
        <w:adjustRightInd w:val="0"/>
        <w:snapToGrid w:val="0"/>
        <w:spacing w:line="500" w:lineRule="exact"/>
        <w:jc w:val="center"/>
        <w:outlineLvl w:val="0"/>
        <w:rPr>
          <w:rFonts w:ascii="宋体" w:hAnsi="宋体" w:cs="黑体"/>
          <w:sz w:val="32"/>
          <w:szCs w:val="32"/>
        </w:rPr>
      </w:pPr>
    </w:p>
    <w:p w14:paraId="5824513F">
      <w:pPr>
        <w:adjustRightInd w:val="0"/>
        <w:snapToGrid w:val="0"/>
        <w:spacing w:line="500" w:lineRule="exact"/>
        <w:jc w:val="center"/>
        <w:outlineLvl w:val="0"/>
        <w:rPr>
          <w:rFonts w:ascii="宋体" w:hAnsi="宋体" w:cs="黑体"/>
          <w:sz w:val="32"/>
          <w:szCs w:val="32"/>
        </w:rPr>
      </w:pPr>
    </w:p>
    <w:p w14:paraId="539F7769">
      <w:pPr>
        <w:adjustRightInd w:val="0"/>
        <w:snapToGrid w:val="0"/>
        <w:spacing w:line="500" w:lineRule="exact"/>
        <w:jc w:val="center"/>
        <w:outlineLvl w:val="0"/>
        <w:rPr>
          <w:rFonts w:ascii="宋体" w:hAnsi="宋体" w:cs="黑体"/>
          <w:sz w:val="32"/>
          <w:szCs w:val="32"/>
        </w:rPr>
      </w:pPr>
    </w:p>
    <w:p w14:paraId="131964E4">
      <w:pPr>
        <w:adjustRightInd w:val="0"/>
        <w:snapToGrid w:val="0"/>
        <w:spacing w:line="500" w:lineRule="exact"/>
        <w:jc w:val="center"/>
        <w:outlineLvl w:val="0"/>
        <w:rPr>
          <w:rFonts w:ascii="宋体" w:hAnsi="宋体" w:cs="黑体"/>
          <w:sz w:val="32"/>
          <w:szCs w:val="32"/>
        </w:rPr>
      </w:pPr>
    </w:p>
    <w:p w14:paraId="64947F99">
      <w:pPr>
        <w:adjustRightInd w:val="0"/>
        <w:snapToGrid w:val="0"/>
        <w:spacing w:line="500" w:lineRule="exact"/>
        <w:jc w:val="center"/>
        <w:outlineLvl w:val="0"/>
        <w:rPr>
          <w:rFonts w:ascii="宋体" w:hAnsi="宋体" w:cs="黑体"/>
          <w:sz w:val="32"/>
          <w:szCs w:val="32"/>
        </w:rPr>
      </w:pPr>
    </w:p>
    <w:p w14:paraId="36DF2469">
      <w:pPr>
        <w:adjustRightInd w:val="0"/>
        <w:snapToGrid w:val="0"/>
        <w:spacing w:line="500" w:lineRule="exact"/>
        <w:jc w:val="center"/>
        <w:outlineLvl w:val="0"/>
        <w:rPr>
          <w:rFonts w:ascii="宋体" w:hAnsi="宋体" w:cs="黑体"/>
          <w:sz w:val="32"/>
          <w:szCs w:val="32"/>
        </w:rPr>
      </w:pPr>
    </w:p>
    <w:p w14:paraId="16D40FC6">
      <w:pPr>
        <w:adjustRightInd w:val="0"/>
        <w:snapToGrid w:val="0"/>
        <w:spacing w:line="500" w:lineRule="exact"/>
        <w:jc w:val="center"/>
        <w:outlineLvl w:val="0"/>
        <w:rPr>
          <w:rFonts w:ascii="宋体" w:hAnsi="宋体" w:cs="黑体"/>
          <w:sz w:val="32"/>
          <w:szCs w:val="32"/>
        </w:rPr>
      </w:pPr>
    </w:p>
    <w:p w14:paraId="3C182CE3">
      <w:pPr>
        <w:adjustRightInd w:val="0"/>
        <w:snapToGrid w:val="0"/>
        <w:spacing w:line="500" w:lineRule="exact"/>
        <w:jc w:val="center"/>
        <w:outlineLvl w:val="0"/>
        <w:rPr>
          <w:rFonts w:ascii="宋体" w:hAnsi="宋体" w:cs="黑体"/>
          <w:sz w:val="32"/>
          <w:szCs w:val="32"/>
        </w:rPr>
      </w:pPr>
    </w:p>
    <w:p w14:paraId="1D16811E">
      <w:pPr>
        <w:adjustRightInd w:val="0"/>
        <w:snapToGrid w:val="0"/>
        <w:spacing w:line="500" w:lineRule="exact"/>
        <w:jc w:val="center"/>
        <w:outlineLvl w:val="0"/>
        <w:rPr>
          <w:rFonts w:ascii="宋体" w:hAnsi="宋体" w:cs="黑体"/>
          <w:sz w:val="32"/>
          <w:szCs w:val="32"/>
        </w:rPr>
      </w:pPr>
    </w:p>
    <w:p w14:paraId="76B451D0">
      <w:pPr>
        <w:adjustRightInd w:val="0"/>
        <w:snapToGrid w:val="0"/>
        <w:spacing w:line="500" w:lineRule="exact"/>
        <w:jc w:val="center"/>
        <w:outlineLvl w:val="0"/>
        <w:rPr>
          <w:rFonts w:ascii="宋体" w:hAnsi="宋体" w:cs="黑体"/>
          <w:sz w:val="32"/>
          <w:szCs w:val="32"/>
        </w:rPr>
      </w:pPr>
    </w:p>
    <w:p w14:paraId="06CAE5A3">
      <w:pPr>
        <w:pStyle w:val="2"/>
      </w:pPr>
    </w:p>
    <w:p w14:paraId="16FFE39C"/>
    <w:p w14:paraId="6B5BCF20">
      <w:pPr>
        <w:pStyle w:val="2"/>
      </w:pPr>
    </w:p>
    <w:p w14:paraId="10E5A829"/>
    <w:p w14:paraId="532311ED">
      <w:pPr>
        <w:pStyle w:val="2"/>
      </w:pPr>
    </w:p>
    <w:p w14:paraId="28B02116"/>
    <w:p w14:paraId="5335E53E">
      <w:pPr>
        <w:pStyle w:val="2"/>
      </w:pPr>
    </w:p>
    <w:p w14:paraId="6A08F558"/>
    <w:p w14:paraId="6C9E6071">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2DE5A43B">
      <w:pPr>
        <w:tabs>
          <w:tab w:val="left" w:pos="360"/>
        </w:tabs>
        <w:spacing w:after="60" w:line="460" w:lineRule="exact"/>
        <w:ind w:firstLine="480" w:firstLineChars="200"/>
        <w:rPr>
          <w:rFonts w:ascii="宋体" w:hAnsi="宋体" w:cs="宋体"/>
          <w:b/>
          <w:bCs/>
          <w:sz w:val="24"/>
        </w:rPr>
      </w:pPr>
      <w:bookmarkStart w:id="3" w:name="_Toc120614214"/>
      <w:bookmarkStart w:id="4" w:name="_Toc16938519"/>
      <w:bookmarkStart w:id="5" w:name="_Toc20823275"/>
      <w:bookmarkStart w:id="6" w:name="_Toc513029203"/>
      <w:r>
        <w:rPr>
          <w:rFonts w:hint="eastAsia" w:ascii="宋体" w:hAnsi="宋体" w:cs="宋体"/>
          <w:b/>
          <w:bCs/>
          <w:sz w:val="24"/>
        </w:rPr>
        <w:t>一、总则</w:t>
      </w:r>
      <w:bookmarkEnd w:id="3"/>
      <w:bookmarkEnd w:id="4"/>
      <w:bookmarkEnd w:id="5"/>
      <w:bookmarkEnd w:id="6"/>
    </w:p>
    <w:p w14:paraId="0447B87F">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20823276"/>
      <w:bookmarkStart w:id="10" w:name="_Toc16938520"/>
      <w:bookmarkStart w:id="11" w:name="_Toc513029204"/>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63A7100F">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54516117">
      <w:pPr>
        <w:tabs>
          <w:tab w:val="left" w:pos="360"/>
        </w:tabs>
        <w:spacing w:after="60" w:line="460" w:lineRule="exact"/>
        <w:ind w:firstLine="480" w:firstLineChars="200"/>
        <w:rPr>
          <w:rFonts w:ascii="宋体" w:hAnsi="宋体" w:cs="宋体"/>
          <w:sz w:val="24"/>
        </w:rPr>
      </w:pPr>
      <w:bookmarkStart w:id="12" w:name="_Toc16938521"/>
      <w:bookmarkStart w:id="13" w:name="_Toc20823277"/>
      <w:bookmarkStart w:id="14" w:name="_Toc513029205"/>
      <w:r>
        <w:rPr>
          <w:rFonts w:hint="eastAsia" w:ascii="宋体" w:hAnsi="宋体" w:cs="宋体"/>
          <w:sz w:val="24"/>
        </w:rPr>
        <w:t>2.合格的投标人</w:t>
      </w:r>
      <w:bookmarkEnd w:id="12"/>
      <w:bookmarkEnd w:id="13"/>
      <w:bookmarkEnd w:id="14"/>
    </w:p>
    <w:p w14:paraId="1E724AFB">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2D8AFAB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205FD71E">
      <w:pPr>
        <w:tabs>
          <w:tab w:val="left" w:pos="360"/>
        </w:tabs>
        <w:spacing w:after="60" w:line="460" w:lineRule="exact"/>
        <w:ind w:firstLine="480" w:firstLineChars="200"/>
        <w:rPr>
          <w:rFonts w:ascii="宋体" w:hAnsi="宋体" w:cs="宋体"/>
          <w:sz w:val="24"/>
        </w:rPr>
      </w:pPr>
      <w:bookmarkStart w:id="15" w:name="_Toc16938522"/>
      <w:bookmarkStart w:id="16" w:name="_Toc513029206"/>
      <w:bookmarkStart w:id="17" w:name="_Toc20823278"/>
      <w:r>
        <w:rPr>
          <w:rFonts w:hint="eastAsia" w:ascii="宋体" w:hAnsi="宋体" w:cs="宋体"/>
          <w:sz w:val="24"/>
        </w:rPr>
        <w:t>3.适用法律</w:t>
      </w:r>
      <w:bookmarkEnd w:id="15"/>
      <w:bookmarkEnd w:id="16"/>
      <w:bookmarkEnd w:id="17"/>
    </w:p>
    <w:p w14:paraId="3B8ED62D">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2A36AE53">
      <w:pPr>
        <w:tabs>
          <w:tab w:val="left" w:pos="360"/>
        </w:tabs>
        <w:spacing w:after="60" w:line="460" w:lineRule="exact"/>
        <w:ind w:firstLine="480" w:firstLineChars="200"/>
        <w:rPr>
          <w:rFonts w:ascii="宋体" w:hAnsi="宋体" w:cs="宋体"/>
          <w:sz w:val="24"/>
        </w:rPr>
      </w:pPr>
      <w:bookmarkStart w:id="18" w:name="_Toc16938523"/>
      <w:bookmarkStart w:id="19" w:name="_Toc20823279"/>
      <w:bookmarkStart w:id="20" w:name="_Toc462564067"/>
      <w:bookmarkStart w:id="21" w:name="_Toc513029207"/>
      <w:r>
        <w:rPr>
          <w:rFonts w:hint="eastAsia" w:ascii="宋体" w:hAnsi="宋体" w:cs="宋体"/>
          <w:sz w:val="24"/>
        </w:rPr>
        <w:t>4.投标费用</w:t>
      </w:r>
      <w:bookmarkEnd w:id="18"/>
      <w:bookmarkEnd w:id="19"/>
      <w:bookmarkEnd w:id="20"/>
      <w:bookmarkEnd w:id="21"/>
    </w:p>
    <w:p w14:paraId="4FA591EC">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152F693C">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4.2本项目招标代理费收取标准以中标价为基准，乘以招标代理收费费率，由中标供应商支付，投标人综合考虑在报价内（不单列）。</w:t>
      </w:r>
    </w:p>
    <w:p w14:paraId="1C51532A">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9"/>
        <w:tblW w:w="46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4587"/>
        <w:gridCol w:w="3232"/>
      </w:tblGrid>
      <w:tr w14:paraId="6E2D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5" w:type="pct"/>
            <w:vMerge w:val="restart"/>
            <w:tcBorders>
              <w:top w:val="single" w:color="auto" w:sz="4" w:space="0"/>
              <w:left w:val="single" w:color="auto" w:sz="4" w:space="0"/>
              <w:right w:val="single" w:color="auto" w:sz="4" w:space="0"/>
            </w:tcBorders>
            <w:vAlign w:val="center"/>
          </w:tcPr>
          <w:p w14:paraId="5F1B0107">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25" w:type="pct"/>
            <w:vMerge w:val="restart"/>
            <w:tcBorders>
              <w:top w:val="single" w:color="auto" w:sz="4" w:space="0"/>
              <w:left w:val="single" w:color="auto" w:sz="4" w:space="0"/>
              <w:right w:val="single" w:color="auto" w:sz="4" w:space="0"/>
            </w:tcBorders>
            <w:vAlign w:val="center"/>
          </w:tcPr>
          <w:p w14:paraId="2290BD6B">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5ECCFB24">
            <w:pPr>
              <w:widowControl/>
              <w:adjustRightInd w:val="0"/>
              <w:snapToGrid w:val="0"/>
              <w:spacing w:line="460" w:lineRule="exact"/>
              <w:jc w:val="center"/>
              <w:rPr>
                <w:rFonts w:ascii="宋体" w:hAnsi="宋体" w:cs="宋体"/>
                <w:b/>
                <w:bCs/>
                <w:sz w:val="24"/>
              </w:rPr>
            </w:pPr>
            <w:r>
              <w:rPr>
                <w:rFonts w:hint="eastAsia" w:ascii="宋体" w:hAnsi="宋体" w:cs="宋体"/>
                <w:b/>
                <w:bCs/>
                <w:sz w:val="24"/>
              </w:rPr>
              <w:t>收费标准</w:t>
            </w:r>
          </w:p>
        </w:tc>
      </w:tr>
      <w:tr w14:paraId="5E56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5" w:type="pct"/>
            <w:vMerge w:val="continue"/>
            <w:tcBorders>
              <w:left w:val="single" w:color="auto" w:sz="4" w:space="0"/>
              <w:bottom w:val="single" w:color="auto" w:sz="4" w:space="0"/>
              <w:right w:val="single" w:color="auto" w:sz="4" w:space="0"/>
            </w:tcBorders>
            <w:vAlign w:val="center"/>
          </w:tcPr>
          <w:p w14:paraId="34BE1F1E">
            <w:pPr>
              <w:widowControl/>
              <w:adjustRightInd w:val="0"/>
              <w:snapToGrid w:val="0"/>
              <w:spacing w:line="460" w:lineRule="exact"/>
              <w:jc w:val="center"/>
              <w:rPr>
                <w:rFonts w:ascii="宋体" w:hAnsi="宋体" w:cs="宋体"/>
                <w:sz w:val="24"/>
              </w:rPr>
            </w:pPr>
          </w:p>
        </w:tc>
        <w:tc>
          <w:tcPr>
            <w:tcW w:w="2525" w:type="pct"/>
            <w:vMerge w:val="continue"/>
            <w:tcBorders>
              <w:left w:val="single" w:color="auto" w:sz="4" w:space="0"/>
              <w:bottom w:val="single" w:color="auto" w:sz="4" w:space="0"/>
              <w:right w:val="single" w:color="auto" w:sz="4" w:space="0"/>
            </w:tcBorders>
            <w:vAlign w:val="center"/>
          </w:tcPr>
          <w:p w14:paraId="5256AE59">
            <w:pPr>
              <w:widowControl/>
              <w:adjustRightInd w:val="0"/>
              <w:snapToGrid w:val="0"/>
              <w:spacing w:line="460" w:lineRule="exact"/>
              <w:jc w:val="center"/>
              <w:rPr>
                <w:rFonts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1174779C">
            <w:pPr>
              <w:widowControl/>
              <w:adjustRightInd w:val="0"/>
              <w:snapToGrid w:val="0"/>
              <w:spacing w:line="460" w:lineRule="exact"/>
              <w:jc w:val="center"/>
              <w:rPr>
                <w:rFonts w:ascii="宋体" w:hAnsi="宋体" w:cs="宋体"/>
                <w:sz w:val="24"/>
              </w:rPr>
            </w:pPr>
          </w:p>
        </w:tc>
      </w:tr>
      <w:tr w14:paraId="43DE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1444426">
            <w:pPr>
              <w:widowControl/>
              <w:adjustRightInd w:val="0"/>
              <w:snapToGrid w:val="0"/>
              <w:spacing w:line="4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2525" w:type="pct"/>
            <w:tcBorders>
              <w:top w:val="single" w:color="auto" w:sz="4" w:space="0"/>
              <w:left w:val="single" w:color="auto" w:sz="4" w:space="0"/>
              <w:bottom w:val="single" w:color="auto" w:sz="4" w:space="0"/>
              <w:right w:val="single" w:color="auto" w:sz="4" w:space="0"/>
            </w:tcBorders>
            <w:vAlign w:val="center"/>
          </w:tcPr>
          <w:p w14:paraId="327E6AC7">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448DA28A">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2000.00元</w:t>
            </w:r>
          </w:p>
        </w:tc>
      </w:tr>
    </w:tbl>
    <w:p w14:paraId="1EDD41E2">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42742D8E">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2829656E">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4205AF73">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4153E2D3">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6.1招标文件需求部分（供应商资格要求、项目需求、商务技术评分标准）由招标人解释，其他部分由代理机构解释。</w:t>
      </w:r>
    </w:p>
    <w:p w14:paraId="0811E979">
      <w:pPr>
        <w:tabs>
          <w:tab w:val="left" w:pos="360"/>
        </w:tabs>
        <w:spacing w:after="60" w:line="460" w:lineRule="exact"/>
        <w:ind w:firstLine="480" w:firstLineChars="200"/>
        <w:rPr>
          <w:rFonts w:ascii="宋体" w:hAnsi="宋体" w:cs="宋体"/>
          <w:b/>
          <w:bCs/>
          <w:sz w:val="24"/>
        </w:rPr>
      </w:pPr>
      <w:bookmarkStart w:id="22" w:name="_Toc120614215"/>
      <w:bookmarkStart w:id="23" w:name="_Toc16938525"/>
      <w:bookmarkStart w:id="24" w:name="_Toc513029209"/>
      <w:bookmarkStart w:id="25" w:name="_Toc20823281"/>
      <w:r>
        <w:rPr>
          <w:rFonts w:hint="eastAsia" w:ascii="宋体" w:hAnsi="宋体" w:cs="宋体"/>
          <w:b/>
          <w:bCs/>
          <w:sz w:val="24"/>
        </w:rPr>
        <w:t>二、招标文件</w:t>
      </w:r>
      <w:bookmarkEnd w:id="22"/>
      <w:bookmarkEnd w:id="23"/>
      <w:bookmarkEnd w:id="24"/>
      <w:bookmarkEnd w:id="25"/>
    </w:p>
    <w:p w14:paraId="758E066E">
      <w:pPr>
        <w:tabs>
          <w:tab w:val="left" w:pos="360"/>
        </w:tabs>
        <w:spacing w:after="60" w:line="460" w:lineRule="exact"/>
        <w:ind w:firstLine="480" w:firstLineChars="200"/>
        <w:rPr>
          <w:rFonts w:ascii="宋体" w:hAnsi="宋体" w:cs="宋体"/>
          <w:sz w:val="24"/>
        </w:rPr>
      </w:pPr>
      <w:bookmarkStart w:id="26" w:name="_Toc513029210"/>
      <w:bookmarkStart w:id="27" w:name="_Toc16938526"/>
      <w:bookmarkStart w:id="28" w:name="_Toc20823282"/>
      <w:r>
        <w:rPr>
          <w:rFonts w:hint="eastAsia" w:ascii="宋体" w:hAnsi="宋体" w:cs="宋体"/>
          <w:sz w:val="24"/>
        </w:rPr>
        <w:t>1.招标文件构成</w:t>
      </w:r>
      <w:bookmarkEnd w:id="26"/>
      <w:bookmarkEnd w:id="27"/>
      <w:bookmarkEnd w:id="28"/>
    </w:p>
    <w:p w14:paraId="47EE75D5">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51D7ADB7">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0245FDB8">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405F67C8">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22F29D0D">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09BF8795">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615F8B2D">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3C6E69FF">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481135E4">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145AAF6">
      <w:pPr>
        <w:tabs>
          <w:tab w:val="left" w:pos="360"/>
        </w:tabs>
        <w:spacing w:after="60" w:line="460" w:lineRule="exact"/>
        <w:ind w:firstLine="480" w:firstLineChars="200"/>
        <w:rPr>
          <w:rFonts w:ascii="宋体" w:hAnsi="宋体" w:cs="宋体"/>
          <w:sz w:val="24"/>
        </w:rPr>
      </w:pPr>
      <w:bookmarkStart w:id="29" w:name="_Toc462564070"/>
      <w:bookmarkStart w:id="30" w:name="_Toc16938527"/>
      <w:bookmarkStart w:id="31" w:name="_Toc20823283"/>
      <w:bookmarkStart w:id="32" w:name="_Toc513029211"/>
      <w:r>
        <w:rPr>
          <w:rFonts w:hint="eastAsia" w:ascii="宋体" w:hAnsi="宋体" w:cs="宋体"/>
          <w:sz w:val="24"/>
        </w:rPr>
        <w:t>2.招标文件的澄清</w:t>
      </w:r>
      <w:bookmarkEnd w:id="29"/>
      <w:bookmarkEnd w:id="30"/>
      <w:bookmarkEnd w:id="31"/>
      <w:bookmarkEnd w:id="32"/>
    </w:p>
    <w:p w14:paraId="01D69F75">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68138694">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09E08533">
      <w:pPr>
        <w:tabs>
          <w:tab w:val="left" w:pos="360"/>
        </w:tabs>
        <w:spacing w:after="60" w:line="460" w:lineRule="exact"/>
        <w:ind w:firstLine="480" w:firstLineChars="200"/>
        <w:rPr>
          <w:rFonts w:ascii="宋体" w:hAnsi="宋体" w:cs="宋体"/>
          <w:sz w:val="24"/>
        </w:rPr>
      </w:pPr>
      <w:bookmarkStart w:id="33" w:name="_Toc462564071"/>
      <w:bookmarkStart w:id="34" w:name="_Toc16938528"/>
      <w:bookmarkStart w:id="35" w:name="_Toc20823284"/>
      <w:bookmarkStart w:id="36" w:name="_Toc513029212"/>
      <w:r>
        <w:rPr>
          <w:rFonts w:hint="eastAsia" w:ascii="宋体" w:hAnsi="宋体" w:cs="宋体"/>
          <w:sz w:val="24"/>
        </w:rPr>
        <w:t>3.招标文件的修改</w:t>
      </w:r>
      <w:bookmarkEnd w:id="33"/>
      <w:bookmarkEnd w:id="34"/>
      <w:bookmarkEnd w:id="35"/>
      <w:bookmarkEnd w:id="36"/>
    </w:p>
    <w:p w14:paraId="1545E4CE">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409B921D">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66D4BF1A">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6759F1EE">
      <w:pPr>
        <w:tabs>
          <w:tab w:val="left" w:pos="360"/>
        </w:tabs>
        <w:spacing w:after="60" w:line="460" w:lineRule="exact"/>
        <w:ind w:firstLine="480" w:firstLineChars="200"/>
        <w:rPr>
          <w:rFonts w:ascii="宋体" w:hAnsi="宋体" w:cs="宋体"/>
          <w:b/>
          <w:bCs/>
          <w:sz w:val="24"/>
        </w:rPr>
      </w:pPr>
      <w:bookmarkStart w:id="37" w:name="_Toc16938529"/>
      <w:bookmarkStart w:id="38" w:name="_Toc120614216"/>
      <w:bookmarkStart w:id="39" w:name="_Toc462564072"/>
      <w:bookmarkStart w:id="40" w:name="_Toc20823285"/>
      <w:bookmarkStart w:id="41" w:name="_Toc513029213"/>
      <w:r>
        <w:rPr>
          <w:rFonts w:hint="eastAsia" w:ascii="宋体" w:hAnsi="宋体" w:cs="宋体"/>
          <w:b/>
          <w:bCs/>
          <w:sz w:val="24"/>
        </w:rPr>
        <w:t>三、投标文件的编制</w:t>
      </w:r>
      <w:bookmarkEnd w:id="37"/>
      <w:bookmarkEnd w:id="38"/>
      <w:bookmarkEnd w:id="39"/>
      <w:bookmarkEnd w:id="40"/>
      <w:bookmarkEnd w:id="41"/>
    </w:p>
    <w:p w14:paraId="094D7A39">
      <w:pPr>
        <w:tabs>
          <w:tab w:val="left" w:pos="360"/>
        </w:tabs>
        <w:spacing w:after="60" w:line="460" w:lineRule="exact"/>
        <w:ind w:firstLine="480" w:firstLineChars="200"/>
        <w:rPr>
          <w:rFonts w:ascii="宋体" w:hAnsi="宋体" w:cs="宋体"/>
          <w:sz w:val="24"/>
        </w:rPr>
      </w:pPr>
      <w:bookmarkStart w:id="42" w:name="_Toc16938530"/>
      <w:bookmarkStart w:id="43" w:name="_Toc513029214"/>
      <w:bookmarkStart w:id="44" w:name="_Toc20823286"/>
      <w:bookmarkStart w:id="45" w:name="_Toc462564073"/>
      <w:r>
        <w:rPr>
          <w:rFonts w:hint="eastAsia" w:ascii="宋体" w:hAnsi="宋体" w:cs="宋体"/>
          <w:sz w:val="24"/>
        </w:rPr>
        <w:t>1.投标文件的语言及度量衡单位</w:t>
      </w:r>
      <w:bookmarkEnd w:id="42"/>
      <w:bookmarkEnd w:id="43"/>
      <w:bookmarkEnd w:id="44"/>
      <w:bookmarkEnd w:id="45"/>
    </w:p>
    <w:p w14:paraId="704AC2F6">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992E31F">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3EC2889B">
      <w:pPr>
        <w:tabs>
          <w:tab w:val="left" w:pos="360"/>
        </w:tabs>
        <w:spacing w:after="60" w:line="460" w:lineRule="exact"/>
        <w:ind w:firstLine="480" w:firstLineChars="200"/>
        <w:rPr>
          <w:rFonts w:ascii="宋体" w:hAnsi="宋体" w:cs="宋体"/>
          <w:sz w:val="24"/>
        </w:rPr>
      </w:pPr>
      <w:bookmarkStart w:id="46" w:name="_Toc16938531"/>
      <w:bookmarkStart w:id="47" w:name="_Toc462564074"/>
      <w:bookmarkStart w:id="48" w:name="_Toc20823287"/>
      <w:bookmarkStart w:id="49" w:name="_Toc513029215"/>
      <w:r>
        <w:rPr>
          <w:rFonts w:hint="eastAsia" w:ascii="宋体" w:hAnsi="宋体" w:cs="宋体"/>
          <w:sz w:val="24"/>
        </w:rPr>
        <w:t>2.投标文件构成</w:t>
      </w:r>
      <w:bookmarkEnd w:id="46"/>
      <w:bookmarkEnd w:id="47"/>
      <w:bookmarkEnd w:id="48"/>
      <w:bookmarkEnd w:id="49"/>
    </w:p>
    <w:p w14:paraId="4BCDB767">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41FF5A41">
      <w:pPr>
        <w:tabs>
          <w:tab w:val="left" w:pos="360"/>
        </w:tabs>
        <w:spacing w:after="60" w:line="460" w:lineRule="exact"/>
        <w:ind w:firstLine="480" w:firstLineChars="200"/>
        <w:rPr>
          <w:rFonts w:ascii="宋体" w:hAnsi="宋体" w:cs="宋体"/>
          <w:sz w:val="24"/>
        </w:rPr>
      </w:pPr>
      <w:bookmarkStart w:id="50" w:name="_Hlt26954838"/>
      <w:bookmarkEnd w:id="50"/>
      <w:bookmarkStart w:id="51" w:name="_Hlt26668975"/>
      <w:bookmarkEnd w:id="51"/>
      <w:bookmarkStart w:id="52" w:name="_Hlt26670360"/>
      <w:bookmarkEnd w:id="52"/>
      <w:bookmarkStart w:id="53" w:name="_Toc49090511"/>
      <w:bookmarkStart w:id="54" w:name="_Toc14577360"/>
      <w:r>
        <w:rPr>
          <w:rFonts w:hint="eastAsia" w:ascii="宋体" w:hAnsi="宋体" w:cs="宋体"/>
          <w:sz w:val="24"/>
        </w:rPr>
        <w:t>3.投标有效期</w:t>
      </w:r>
      <w:bookmarkEnd w:id="53"/>
      <w:bookmarkEnd w:id="54"/>
    </w:p>
    <w:p w14:paraId="39E6E6A6">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3F1E3FE3">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1BFC4072">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3359A372">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1A26C5AD">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2A208C1E">
      <w:pPr>
        <w:tabs>
          <w:tab w:val="left" w:pos="360"/>
        </w:tabs>
        <w:spacing w:after="60" w:line="460" w:lineRule="exact"/>
        <w:ind w:firstLine="480" w:firstLineChars="200"/>
        <w:rPr>
          <w:rFonts w:ascii="宋体" w:hAnsi="宋体" w:cs="宋体"/>
          <w:b/>
          <w:bCs/>
          <w:sz w:val="24"/>
        </w:rPr>
      </w:pPr>
      <w:bookmarkStart w:id="55" w:name="_Hlt26954852"/>
      <w:bookmarkEnd w:id="55"/>
      <w:bookmarkStart w:id="56" w:name="_Hlt26954739"/>
      <w:bookmarkEnd w:id="56"/>
      <w:bookmarkStart w:id="57" w:name="_Toc16938540"/>
      <w:bookmarkStart w:id="58" w:name="_Toc513029224"/>
      <w:bookmarkStart w:id="59" w:name="_Toc120614217"/>
      <w:bookmarkStart w:id="60" w:name="_Toc20823296"/>
      <w:r>
        <w:rPr>
          <w:rFonts w:hint="eastAsia" w:ascii="宋体" w:hAnsi="宋体" w:cs="宋体"/>
          <w:b/>
          <w:bCs/>
          <w:sz w:val="24"/>
        </w:rPr>
        <w:t>四、投标文件的递交</w:t>
      </w:r>
      <w:bookmarkEnd w:id="57"/>
      <w:bookmarkEnd w:id="58"/>
      <w:bookmarkEnd w:id="59"/>
      <w:bookmarkEnd w:id="60"/>
    </w:p>
    <w:p w14:paraId="6A8660DC">
      <w:pPr>
        <w:tabs>
          <w:tab w:val="left" w:pos="360"/>
        </w:tabs>
        <w:spacing w:after="60" w:line="460" w:lineRule="exact"/>
        <w:ind w:firstLine="480" w:firstLineChars="200"/>
        <w:rPr>
          <w:rFonts w:ascii="宋体" w:hAnsi="宋体" w:cs="宋体"/>
          <w:sz w:val="24"/>
        </w:rPr>
      </w:pPr>
      <w:bookmarkStart w:id="61" w:name="_Toc20823297"/>
      <w:bookmarkStart w:id="62" w:name="_Toc16938541"/>
      <w:bookmarkStart w:id="63" w:name="_Toc462564084"/>
      <w:bookmarkStart w:id="64" w:name="_Toc513029225"/>
      <w:bookmarkStart w:id="65" w:name="_Toc16938542"/>
      <w:bookmarkStart w:id="66" w:name="_Toc20823298"/>
      <w:bookmarkStart w:id="67" w:name="_Toc513029226"/>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247A22F1">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13A924E0">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11769A37">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575E573D">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5EF79E09">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68CFC10A">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0604F0FB">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422E2997">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6C646E35">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0835A327">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71292742">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72306C9D">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6749AC48">
      <w:pPr>
        <w:tabs>
          <w:tab w:val="left" w:pos="360"/>
        </w:tabs>
        <w:spacing w:after="60" w:line="460" w:lineRule="exact"/>
        <w:ind w:firstLine="480" w:firstLineChars="200"/>
        <w:rPr>
          <w:rFonts w:ascii="宋体" w:hAnsi="宋体" w:cs="宋体"/>
          <w:sz w:val="24"/>
        </w:rPr>
      </w:pPr>
      <w:bookmarkStart w:id="68" w:name="_Toc513029227"/>
      <w:bookmarkStart w:id="69" w:name="_Toc20823299"/>
      <w:bookmarkStart w:id="70" w:name="_Toc16938543"/>
      <w:r>
        <w:rPr>
          <w:rFonts w:hint="eastAsia" w:ascii="宋体" w:hAnsi="宋体" w:cs="宋体"/>
          <w:sz w:val="24"/>
        </w:rPr>
        <w:t>3.投标文件</w:t>
      </w:r>
      <w:bookmarkEnd w:id="68"/>
      <w:bookmarkEnd w:id="69"/>
      <w:bookmarkEnd w:id="70"/>
      <w:r>
        <w:rPr>
          <w:rFonts w:hint="eastAsia" w:ascii="宋体" w:hAnsi="宋体" w:cs="宋体"/>
          <w:sz w:val="24"/>
        </w:rPr>
        <w:t>的拒收</w:t>
      </w:r>
    </w:p>
    <w:p w14:paraId="3A837006">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0C98DA3F">
      <w:pPr>
        <w:tabs>
          <w:tab w:val="left" w:pos="360"/>
        </w:tabs>
        <w:spacing w:after="60" w:line="460" w:lineRule="exact"/>
        <w:ind w:firstLine="480" w:firstLineChars="200"/>
        <w:rPr>
          <w:rFonts w:ascii="宋体" w:hAnsi="宋体" w:cs="宋体"/>
          <w:sz w:val="24"/>
        </w:rPr>
      </w:pPr>
      <w:bookmarkStart w:id="71" w:name="_Toc16938544"/>
      <w:bookmarkStart w:id="72" w:name="_Toc513029228"/>
      <w:bookmarkStart w:id="73" w:name="_Toc20823300"/>
      <w:r>
        <w:rPr>
          <w:rFonts w:hint="eastAsia" w:ascii="宋体" w:hAnsi="宋体" w:cs="宋体"/>
          <w:sz w:val="24"/>
        </w:rPr>
        <w:t>4.投标文件的撤回和修改</w:t>
      </w:r>
      <w:bookmarkEnd w:id="71"/>
      <w:bookmarkEnd w:id="72"/>
      <w:bookmarkEnd w:id="73"/>
    </w:p>
    <w:p w14:paraId="3DF9A890">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020D4458">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02A78C3D">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17D2EA28">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053CAA57">
      <w:pPr>
        <w:tabs>
          <w:tab w:val="left" w:pos="360"/>
        </w:tabs>
        <w:spacing w:after="60" w:line="460" w:lineRule="exact"/>
        <w:ind w:firstLine="480" w:firstLineChars="200"/>
        <w:rPr>
          <w:rFonts w:ascii="宋体" w:hAnsi="宋体" w:cs="宋体"/>
          <w:sz w:val="24"/>
        </w:rPr>
      </w:pPr>
      <w:bookmarkStart w:id="74" w:name="_Toc20823301"/>
      <w:bookmarkStart w:id="75" w:name="_Toc513029229"/>
      <w:bookmarkStart w:id="76" w:name="_Toc120614218"/>
      <w:bookmarkStart w:id="77" w:name="_Toc16938545"/>
      <w:r>
        <w:rPr>
          <w:rFonts w:hint="eastAsia" w:ascii="宋体" w:hAnsi="宋体" w:cs="宋体"/>
          <w:sz w:val="24"/>
        </w:rPr>
        <w:t>在响应文件提交截止时间之后，供应商不得再对其提交的响应文件进行修改。</w:t>
      </w:r>
    </w:p>
    <w:p w14:paraId="245F1063">
      <w:pPr>
        <w:spacing w:line="360" w:lineRule="auto"/>
        <w:ind w:firstLine="480" w:firstLineChars="200"/>
        <w:rPr>
          <w:rFonts w:ascii="宋体" w:hAnsi="宋体"/>
          <w:b/>
          <w:bCs/>
          <w:sz w:val="24"/>
        </w:rPr>
      </w:pPr>
      <w:r>
        <w:rPr>
          <w:rFonts w:hint="eastAsia" w:ascii="宋体" w:hAnsi="宋体" w:cs="宋体"/>
          <w:b/>
          <w:bCs/>
          <w:sz w:val="24"/>
        </w:rPr>
        <w:t>五、投标报价</w:t>
      </w:r>
    </w:p>
    <w:p w14:paraId="2747DB5E">
      <w:pPr>
        <w:snapToGrid w:val="0"/>
        <w:spacing w:line="360" w:lineRule="auto"/>
        <w:ind w:firstLine="480" w:firstLineChars="200"/>
        <w:rPr>
          <w:rFonts w:ascii="宋体" w:hAnsi="宋体"/>
          <w:sz w:val="24"/>
        </w:rPr>
      </w:pPr>
      <w:r>
        <w:rPr>
          <w:rFonts w:hint="eastAsia" w:ascii="宋体" w:hAnsi="宋体" w:cs="宋体"/>
          <w:sz w:val="24"/>
        </w:rPr>
        <w:t>1.本项目不接受任何有选择的报价。</w:t>
      </w:r>
    </w:p>
    <w:p w14:paraId="617298FA">
      <w:pPr>
        <w:snapToGrid w:val="0"/>
        <w:spacing w:line="360" w:lineRule="auto"/>
        <w:ind w:firstLine="480" w:firstLineChars="200"/>
        <w:rPr>
          <w:rFonts w:ascii="宋体" w:hAnsi="宋体"/>
          <w:sz w:val="24"/>
        </w:rPr>
      </w:pPr>
      <w:r>
        <w:rPr>
          <w:rFonts w:hint="eastAsia" w:ascii="宋体" w:hAnsi="宋体" w:cs="宋体"/>
          <w:sz w:val="24"/>
        </w:rPr>
        <w:t>2.投标报价均以人民币为报价的币种。</w:t>
      </w:r>
    </w:p>
    <w:p w14:paraId="7CE26364">
      <w:pPr>
        <w:snapToGrid w:val="0"/>
        <w:spacing w:line="360" w:lineRule="auto"/>
        <w:ind w:firstLine="480" w:firstLineChars="200"/>
        <w:rPr>
          <w:rFonts w:ascii="宋体" w:hAnsi="宋体"/>
          <w:sz w:val="24"/>
        </w:rPr>
      </w:pPr>
      <w:r>
        <w:rPr>
          <w:rFonts w:hint="eastAsia" w:ascii="宋体" w:hAnsi="宋体" w:cs="宋体"/>
          <w:sz w:val="24"/>
        </w:rPr>
        <w:t>3.报价表必须加盖投标人公章且必须经法定代表人或被授权人签字或盖章。</w:t>
      </w:r>
    </w:p>
    <w:p w14:paraId="642EBECB">
      <w:pPr>
        <w:snapToGrid w:val="0"/>
        <w:spacing w:line="360" w:lineRule="auto"/>
        <w:ind w:firstLine="480" w:firstLineChars="200"/>
        <w:rPr>
          <w:rFonts w:ascii="宋体" w:hAnsi="宋体"/>
          <w:sz w:val="24"/>
        </w:rPr>
      </w:pPr>
      <w:r>
        <w:rPr>
          <w:rFonts w:hint="eastAsia" w:ascii="宋体" w:hAnsi="宋体" w:cs="宋体"/>
          <w:sz w:val="24"/>
        </w:rPr>
        <w:t>4.报价出现前后不一致的，按照下列规定修正：</w:t>
      </w:r>
    </w:p>
    <w:p w14:paraId="748D3980">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）投标文件中报价表（开标一览表）内容与投标文件技术响应中内容明细不一致的，以报价表（开标一览表）为准；</w:t>
      </w:r>
    </w:p>
    <w:p w14:paraId="37019F79">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）投标文件中涉及大写金额和小写金额不一致的，以大写金额为准；</w:t>
      </w:r>
    </w:p>
    <w:p w14:paraId="612EC304">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）单价金额小数点或者百分比有明显错位的，以报价表（开标一览表）的总价为准，并修改单价；</w:t>
      </w:r>
    </w:p>
    <w:p w14:paraId="591C9893">
      <w:pPr>
        <w:snapToGrid w:val="0"/>
        <w:spacing w:line="360" w:lineRule="auto"/>
        <w:ind w:firstLine="480" w:firstLineChars="200"/>
        <w:rPr>
          <w:rFonts w:ascii="宋体" w:hAnsi="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）总价金额与按单价汇总金额不一致的，以单价金额计算结果为准。</w:t>
      </w:r>
    </w:p>
    <w:p w14:paraId="43305E52">
      <w:pPr>
        <w:snapToGrid w:val="0"/>
        <w:spacing w:line="360" w:lineRule="auto"/>
        <w:ind w:firstLine="470" w:firstLineChars="196"/>
        <w:outlineLvl w:val="1"/>
        <w:rPr>
          <w:rFonts w:ascii="宋体" w:hAnsi="宋体"/>
          <w:sz w:val="24"/>
        </w:rPr>
      </w:pPr>
      <w:r>
        <w:rPr>
          <w:rFonts w:hint="eastAsia" w:ascii="宋体" w:hAnsi="宋体" w:cs="宋体"/>
          <w:sz w:val="24"/>
        </w:rPr>
        <w:t>同时出现两种以上不一致的，按照前款规定的顺序修正。修正后的报价应当由投标人的法定代表人或其被授权人签字确认后产生约束力，投标人不确认的，其投标无效。</w:t>
      </w:r>
    </w:p>
    <w:p w14:paraId="316DD4E8">
      <w:pPr>
        <w:snapToGrid w:val="0"/>
        <w:spacing w:line="360" w:lineRule="auto"/>
        <w:ind w:firstLine="470" w:firstLineChars="196"/>
        <w:outlineLvl w:val="1"/>
        <w:rPr>
          <w:rFonts w:ascii="宋体" w:hAnsi="宋体"/>
          <w:b/>
          <w:bCs/>
          <w:sz w:val="24"/>
        </w:rPr>
      </w:pPr>
      <w:r>
        <w:rPr>
          <w:rFonts w:hint="eastAsia" w:ascii="宋体" w:hAnsi="宋体" w:cs="宋体"/>
          <w:b/>
          <w:sz w:val="24"/>
        </w:rPr>
        <w:t>5.本项目投标</w:t>
      </w:r>
      <w:r>
        <w:rPr>
          <w:rFonts w:hint="eastAsia" w:ascii="宋体" w:hAnsi="宋体" w:cs="宋体"/>
          <w:b/>
          <w:bCs/>
          <w:sz w:val="24"/>
        </w:rPr>
        <w:t>报</w:t>
      </w:r>
      <w:r>
        <w:rPr>
          <w:rFonts w:hint="eastAsia" w:ascii="宋体" w:hAnsi="宋体" w:cs="宋体"/>
          <w:b/>
          <w:sz w:val="24"/>
        </w:rPr>
        <w:t>价应包含完成本项目的一切费用。</w:t>
      </w:r>
    </w:p>
    <w:p w14:paraId="4804DD07">
      <w:pPr>
        <w:snapToGrid w:val="0"/>
        <w:spacing w:line="360" w:lineRule="auto"/>
        <w:ind w:firstLine="480" w:firstLineChars="200"/>
        <w:rPr>
          <w:rFonts w:ascii="宋体" w:hAnsi="宋体" w:cs="宋体"/>
          <w:sz w:val="24"/>
        </w:rPr>
      </w:pPr>
      <w:r>
        <w:rPr>
          <w:rFonts w:hint="eastAsia" w:ascii="宋体" w:hAnsi="宋体" w:cs="宋体"/>
          <w:sz w:val="24"/>
        </w:rPr>
        <w:t>6.一次报定的投标报价为中标价，同时，中标人的中标价在合同实施期间不因市场变化因素而变动。</w:t>
      </w:r>
    </w:p>
    <w:p w14:paraId="39C2E733">
      <w:pPr>
        <w:snapToGrid w:val="0"/>
        <w:spacing w:line="360" w:lineRule="auto"/>
        <w:ind w:firstLine="480" w:firstLineChars="200"/>
        <w:rPr>
          <w:rFonts w:ascii="宋体" w:hAnsi="宋体" w:cs="宋体"/>
          <w:sz w:val="24"/>
        </w:rPr>
      </w:pPr>
      <w:r>
        <w:rPr>
          <w:rFonts w:hint="eastAsia" w:ascii="宋体" w:hAnsi="宋体" w:cs="宋体"/>
          <w:sz w:val="24"/>
        </w:rPr>
        <w:t>7.投标人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6FC53A74">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2296CE29">
      <w:pPr>
        <w:tabs>
          <w:tab w:val="left" w:pos="360"/>
        </w:tabs>
        <w:spacing w:after="60" w:line="460" w:lineRule="exact"/>
        <w:ind w:firstLine="480" w:firstLineChars="200"/>
        <w:rPr>
          <w:rFonts w:ascii="宋体" w:hAnsi="宋体" w:cs="宋体"/>
          <w:sz w:val="24"/>
        </w:rPr>
      </w:pPr>
      <w:bookmarkStart w:id="78" w:name="_Toc513029230"/>
      <w:bookmarkStart w:id="79" w:name="_Toc16938546"/>
      <w:bookmarkStart w:id="80" w:name="_Toc20823302"/>
      <w:r>
        <w:rPr>
          <w:rFonts w:hint="eastAsia" w:ascii="宋体" w:hAnsi="宋体" w:cs="宋体"/>
          <w:sz w:val="24"/>
        </w:rPr>
        <w:t>1开标</w:t>
      </w:r>
      <w:bookmarkEnd w:id="78"/>
      <w:bookmarkEnd w:id="79"/>
      <w:bookmarkEnd w:id="80"/>
    </w:p>
    <w:p w14:paraId="0BC7E8CB">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52188ABD">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3983A703">
      <w:pPr>
        <w:tabs>
          <w:tab w:val="left" w:pos="360"/>
        </w:tabs>
        <w:spacing w:after="60" w:line="460" w:lineRule="exact"/>
        <w:ind w:firstLine="480" w:firstLineChars="200"/>
        <w:rPr>
          <w:rFonts w:ascii="宋体" w:hAnsi="宋体" w:cs="宋体"/>
          <w:sz w:val="24"/>
        </w:rPr>
      </w:pPr>
      <w:bookmarkStart w:id="81" w:name="_Toc16938547"/>
      <w:bookmarkStart w:id="82" w:name="_Toc20823303"/>
      <w:bookmarkStart w:id="83" w:name="_Toc513029231"/>
      <w:r>
        <w:rPr>
          <w:rFonts w:hint="eastAsia" w:ascii="宋体" w:hAnsi="宋体" w:cs="宋体"/>
          <w:sz w:val="24"/>
        </w:rPr>
        <w:t>2评标委员会</w:t>
      </w:r>
    </w:p>
    <w:p w14:paraId="3D15F9B4">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2A50B001">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7B1CFCCB">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5F0F2D6D">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20D69D8A">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4D204D4F">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672A5325">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8233739">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F622351">
      <w:pPr>
        <w:tabs>
          <w:tab w:val="left" w:pos="360"/>
        </w:tabs>
        <w:spacing w:after="60" w:line="460" w:lineRule="exact"/>
        <w:ind w:firstLine="480" w:firstLineChars="200"/>
        <w:rPr>
          <w:rFonts w:ascii="宋体" w:hAnsi="宋体" w:cs="宋体"/>
          <w:sz w:val="24"/>
        </w:rPr>
      </w:pPr>
      <w:bookmarkStart w:id="84" w:name="_Toc16938548"/>
      <w:bookmarkStart w:id="85" w:name="_Toc513029232"/>
      <w:bookmarkStart w:id="86" w:name="_Toc20823304"/>
      <w:r>
        <w:rPr>
          <w:rFonts w:hint="eastAsia" w:ascii="宋体" w:hAnsi="宋体" w:cs="宋体"/>
          <w:sz w:val="24"/>
        </w:rPr>
        <w:t>4.投标的澄清</w:t>
      </w:r>
      <w:bookmarkEnd w:id="84"/>
      <w:bookmarkEnd w:id="85"/>
      <w:bookmarkEnd w:id="86"/>
    </w:p>
    <w:p w14:paraId="18CEBE49">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29E4110A">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54345A31">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4D2602CF">
      <w:pPr>
        <w:tabs>
          <w:tab w:val="left" w:pos="360"/>
        </w:tabs>
        <w:spacing w:after="60" w:line="460" w:lineRule="exact"/>
        <w:ind w:firstLine="480" w:firstLineChars="200"/>
        <w:rPr>
          <w:rFonts w:ascii="宋体" w:hAnsi="宋体" w:cs="宋体"/>
          <w:sz w:val="24"/>
        </w:rPr>
      </w:pPr>
      <w:bookmarkStart w:id="87" w:name="_Toc513029233"/>
      <w:bookmarkStart w:id="88" w:name="_Toc16938549"/>
      <w:bookmarkStart w:id="89" w:name="_Toc20823305"/>
      <w:r>
        <w:rPr>
          <w:rFonts w:hint="eastAsia" w:ascii="宋体" w:hAnsi="宋体" w:cs="宋体"/>
          <w:sz w:val="24"/>
        </w:rPr>
        <w:t>5对投标文件的初审</w:t>
      </w:r>
      <w:bookmarkEnd w:id="87"/>
      <w:bookmarkEnd w:id="88"/>
      <w:bookmarkEnd w:id="89"/>
    </w:p>
    <w:p w14:paraId="2637F0C0">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3556A45E">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3FFDFDD2">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7EB037D0">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442A305C">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25649A6">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FD6AD09">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20D8D5B6">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3A30BEA7">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5E0EDF94">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620F07A0">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1A2B063B">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48AFA2C7">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37211040">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42FA9352">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3DD843D9">
      <w:pPr>
        <w:tabs>
          <w:tab w:val="left" w:pos="360"/>
        </w:tabs>
        <w:spacing w:after="60" w:line="460" w:lineRule="exact"/>
        <w:ind w:firstLine="480" w:firstLineChars="200"/>
        <w:rPr>
          <w:rFonts w:ascii="宋体" w:hAnsi="宋体" w:cs="宋体"/>
          <w:sz w:val="24"/>
        </w:rPr>
      </w:pPr>
      <w:bookmarkStart w:id="90" w:name="_Toc20823306"/>
      <w:bookmarkStart w:id="91" w:name="_Toc16938550"/>
      <w:bookmarkStart w:id="92" w:name="_Toc513029234"/>
      <w:r>
        <w:rPr>
          <w:rFonts w:hint="eastAsia" w:ascii="宋体" w:hAnsi="宋体" w:cs="宋体"/>
          <w:sz w:val="24"/>
        </w:rPr>
        <w:t>5.7投标人在开、评标全过程中应保持通讯畅通，并安排专人与代理机构及评标委员会联系。</w:t>
      </w:r>
    </w:p>
    <w:bookmarkEnd w:id="90"/>
    <w:bookmarkEnd w:id="91"/>
    <w:bookmarkEnd w:id="92"/>
    <w:p w14:paraId="6130BCB7">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0621DCC0">
      <w:pPr>
        <w:tabs>
          <w:tab w:val="left" w:pos="360"/>
        </w:tabs>
        <w:spacing w:after="60" w:line="460" w:lineRule="exact"/>
        <w:ind w:firstLine="480" w:firstLineChars="200"/>
        <w:rPr>
          <w:rFonts w:ascii="宋体" w:hAnsi="宋体" w:cs="宋体"/>
          <w:sz w:val="24"/>
        </w:rPr>
      </w:pPr>
      <w:bookmarkStart w:id="93" w:name="_Toc20823307"/>
      <w:bookmarkStart w:id="94" w:name="_Toc16938551"/>
      <w:bookmarkStart w:id="95" w:name="_Toc513029235"/>
      <w:r>
        <w:rPr>
          <w:rFonts w:hint="eastAsia" w:ascii="宋体" w:hAnsi="宋体" w:cs="宋体"/>
          <w:sz w:val="24"/>
        </w:rPr>
        <w:t>6.1无效投标条款</w:t>
      </w:r>
    </w:p>
    <w:p w14:paraId="204EF778">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05568262">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1D6E2D24">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50CDA141">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7A9E7F4C">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3E5237A3">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36E4237">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1E57AEC3">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5097027C">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5F92A53E">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38B1B8C1">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66E8E050">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083CB3BF">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0F10D0C7">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4471A467">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66ECFBFA">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65D59C0A">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3487D5DB">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3EAC5D5D">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6675DDDF">
      <w:pPr>
        <w:tabs>
          <w:tab w:val="left" w:pos="360"/>
        </w:tabs>
        <w:spacing w:after="60" w:line="460" w:lineRule="exact"/>
        <w:ind w:firstLine="480" w:firstLineChars="200"/>
        <w:rPr>
          <w:rFonts w:ascii="宋体" w:hAnsi="宋体" w:cs="宋体"/>
          <w:b/>
          <w:bCs/>
          <w:sz w:val="24"/>
        </w:rPr>
      </w:pPr>
      <w:bookmarkStart w:id="96" w:name="_Toc120614219"/>
      <w:r>
        <w:rPr>
          <w:rFonts w:hint="eastAsia" w:ascii="宋体" w:hAnsi="宋体" w:cs="宋体"/>
          <w:b/>
          <w:bCs/>
          <w:sz w:val="24"/>
        </w:rPr>
        <w:t>七、定标</w:t>
      </w:r>
      <w:bookmarkEnd w:id="96"/>
    </w:p>
    <w:p w14:paraId="269B43CF">
      <w:pPr>
        <w:tabs>
          <w:tab w:val="left" w:pos="360"/>
        </w:tabs>
        <w:spacing w:after="60" w:line="460" w:lineRule="exact"/>
        <w:ind w:firstLine="480" w:firstLineChars="200"/>
        <w:rPr>
          <w:rFonts w:ascii="宋体" w:hAnsi="宋体" w:cs="宋体"/>
          <w:sz w:val="24"/>
        </w:rPr>
      </w:pPr>
      <w:bookmarkStart w:id="97" w:name="_Toc20823310"/>
      <w:bookmarkStart w:id="98" w:name="_Toc16938554"/>
      <w:r>
        <w:rPr>
          <w:rFonts w:hint="eastAsia" w:ascii="宋体" w:hAnsi="宋体" w:cs="宋体"/>
          <w:sz w:val="24"/>
        </w:rPr>
        <w:t>1.确定</w:t>
      </w:r>
      <w:bookmarkEnd w:id="97"/>
      <w:bookmarkEnd w:id="98"/>
      <w:r>
        <w:rPr>
          <w:rFonts w:hint="eastAsia" w:ascii="宋体" w:hAnsi="宋体" w:cs="宋体"/>
          <w:sz w:val="24"/>
        </w:rPr>
        <w:t>中标单位</w:t>
      </w:r>
    </w:p>
    <w:p w14:paraId="647C7EF9">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60CA5F93">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29B9F1BE">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4E1C575D">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68ED86F9">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07C97B7E">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387C7183">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638AB6E7">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592AE9FF">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5C5DBF1E">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72A229E5">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0F5A3A23">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0B28C06B">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676DDF26">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13C44E75">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66D0020C">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0ED867FA">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7842EDD0">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0D84A8E8">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5416C4AE">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6394537B">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35CEBD08">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68C747CA">
      <w:pPr>
        <w:tabs>
          <w:tab w:val="left" w:pos="360"/>
        </w:tabs>
        <w:spacing w:after="60" w:line="460" w:lineRule="exact"/>
        <w:ind w:firstLine="480"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48A0BF5B">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59CA0524">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180357E1">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7162FA31">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0E5E6754">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6F35493B">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5CAE251D">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5AC21AF7">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647D517C">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22FD6DD3">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3396309F">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36129901">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07677DE2">
      <w:pPr>
        <w:tabs>
          <w:tab w:val="left" w:pos="360"/>
        </w:tabs>
        <w:spacing w:after="60" w:line="460" w:lineRule="exact"/>
        <w:ind w:firstLine="480" w:firstLineChars="200"/>
        <w:rPr>
          <w:rFonts w:ascii="宋体" w:hAnsi="宋体" w:cs="宋体"/>
          <w:b/>
          <w:bCs/>
          <w:sz w:val="24"/>
        </w:rPr>
      </w:pPr>
      <w:bookmarkStart w:id="100" w:name="_Toc120614220"/>
      <w:bookmarkStart w:id="101" w:name="_Toc513029236"/>
      <w:bookmarkStart w:id="102" w:name="_Toc16938552"/>
      <w:bookmarkStart w:id="103" w:name="_Toc20823308"/>
      <w:r>
        <w:rPr>
          <w:rFonts w:hint="eastAsia" w:ascii="宋体" w:hAnsi="宋体" w:cs="宋体"/>
          <w:b/>
          <w:bCs/>
          <w:sz w:val="24"/>
        </w:rPr>
        <w:t>八、授予合同</w:t>
      </w:r>
      <w:bookmarkEnd w:id="100"/>
    </w:p>
    <w:bookmarkEnd w:id="101"/>
    <w:bookmarkEnd w:id="102"/>
    <w:bookmarkEnd w:id="103"/>
    <w:p w14:paraId="3DAE7016">
      <w:pPr>
        <w:tabs>
          <w:tab w:val="left" w:pos="360"/>
        </w:tabs>
        <w:spacing w:after="60" w:line="460" w:lineRule="exact"/>
        <w:ind w:firstLine="480" w:firstLineChars="200"/>
        <w:rPr>
          <w:rFonts w:ascii="宋体" w:hAnsi="宋体" w:cs="宋体"/>
          <w:sz w:val="24"/>
        </w:rPr>
      </w:pPr>
      <w:bookmarkStart w:id="104" w:name="_Toc513029237"/>
      <w:bookmarkStart w:id="105" w:name="_Toc16938553"/>
      <w:bookmarkStart w:id="106" w:name="_Toc20823309"/>
      <w:r>
        <w:rPr>
          <w:rFonts w:hint="eastAsia" w:ascii="宋体" w:hAnsi="宋体" w:cs="宋体"/>
          <w:sz w:val="24"/>
        </w:rPr>
        <w:t>1.签订合同</w:t>
      </w:r>
    </w:p>
    <w:p w14:paraId="1F2F4676">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251238F0">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47BB2A66">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3C9667A8">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37BF9DA0">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02362965">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0BA77A10">
      <w:pPr>
        <w:tabs>
          <w:tab w:val="left" w:pos="360"/>
        </w:tabs>
        <w:spacing w:after="60" w:line="460" w:lineRule="exact"/>
        <w:ind w:firstLine="480" w:firstLineChars="200"/>
        <w:rPr>
          <w:rFonts w:ascii="宋体" w:hAnsi="宋体" w:cs="宋体"/>
          <w:b/>
          <w:bCs/>
          <w:sz w:val="24"/>
        </w:rPr>
      </w:pPr>
      <w:r>
        <w:rPr>
          <w:rFonts w:hint="eastAsia" w:ascii="宋体" w:hAnsi="宋体" w:cs="宋体"/>
          <w:b/>
          <w:bCs/>
          <w:sz w:val="24"/>
        </w:rPr>
        <w:t>九、未尽事宜</w:t>
      </w:r>
    </w:p>
    <w:p w14:paraId="628148A7">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59FA6E7E">
      <w:pPr>
        <w:pStyle w:val="18"/>
        <w:rPr>
          <w:rFonts w:ascii="宋体" w:hAnsi="宋体" w:eastAsia="宋体"/>
        </w:rPr>
      </w:pPr>
    </w:p>
    <w:bookmarkEnd w:id="104"/>
    <w:bookmarkEnd w:id="105"/>
    <w:bookmarkEnd w:id="106"/>
    <w:p w14:paraId="46C5E1B8">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581461A8">
      <w:pPr>
        <w:snapToGrid w:val="0"/>
        <w:spacing w:line="460" w:lineRule="exact"/>
        <w:ind w:firstLine="480" w:firstLineChars="200"/>
        <w:rPr>
          <w:rFonts w:ascii="宋体" w:hAnsi="宋体" w:cs="宋体"/>
          <w:sz w:val="24"/>
        </w:rPr>
      </w:pPr>
      <w:bookmarkStart w:id="107" w:name="_Toc182848971"/>
      <w:bookmarkStart w:id="108" w:name="OLE_LINK51"/>
      <w:bookmarkStart w:id="109" w:name="OLE_LINK52"/>
      <w:r>
        <w:rPr>
          <w:rFonts w:hint="eastAsia" w:ascii="宋体" w:hAnsi="宋体" w:cs="宋体"/>
          <w:sz w:val="24"/>
          <w:lang w:val="zh-CN"/>
        </w:rPr>
        <w:t>请投标人在报名前和制作投标文件时仔细研究项目需求说明。投标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人提供的货物和服务同采购单位提出的项目需求说明中的技术、商务要求不同的，必须在《技术条款响应一览表》上明</w:t>
      </w:r>
      <w:r>
        <w:rPr>
          <w:rFonts w:hint="eastAsia" w:ascii="宋体" w:hAnsi="宋体" w:cs="宋体"/>
          <w:sz w:val="24"/>
        </w:rPr>
        <w:t>示，如不明示的视同完全响应</w:t>
      </w:r>
      <w:r>
        <w:rPr>
          <w:rFonts w:hint="eastAsia" w:ascii="宋体" w:hAnsi="宋体" w:cs="宋体"/>
          <w:sz w:val="24"/>
          <w:lang w:val="zh-CN"/>
        </w:rPr>
        <w:t>。</w:t>
      </w:r>
      <w:bookmarkEnd w:id="107"/>
    </w:p>
    <w:bookmarkEnd w:id="108"/>
    <w:bookmarkEnd w:id="109"/>
    <w:p w14:paraId="69C0E3AA">
      <w:pPr>
        <w:keepNext/>
        <w:keepLines/>
        <w:spacing w:line="440" w:lineRule="exact"/>
        <w:ind w:firstLine="560" w:firstLineChars="200"/>
        <w:jc w:val="left"/>
        <w:outlineLvl w:val="2"/>
        <w:rPr>
          <w:rFonts w:ascii="Calibri" w:hAnsi="Calibri"/>
          <w:b/>
          <w:sz w:val="28"/>
          <w:szCs w:val="28"/>
        </w:rPr>
      </w:pPr>
      <w:r>
        <w:rPr>
          <w:rFonts w:ascii="Calibri" w:hAnsi="Calibri"/>
          <w:b/>
          <w:sz w:val="28"/>
          <w:szCs w:val="28"/>
        </w:rPr>
        <w:t>一、</w:t>
      </w:r>
      <w:r>
        <w:rPr>
          <w:rFonts w:hint="eastAsia" w:ascii="宋体" w:hAnsi="宋体" w:cs="宋体"/>
          <w:b/>
          <w:sz w:val="28"/>
          <w:szCs w:val="28"/>
        </w:rPr>
        <w:t>购置设备的主要技术性能指标和配置要求</w:t>
      </w:r>
    </w:p>
    <w:p w14:paraId="3E34DA42">
      <w:pPr>
        <w:widowControl/>
        <w:spacing w:line="360" w:lineRule="auto"/>
        <w:ind w:firstLine="480" w:firstLineChars="200"/>
        <w:jc w:val="left"/>
        <w:rPr>
          <w:rFonts w:ascii="宋体" w:hAnsi="宋体" w:cs="宋体"/>
          <w:sz w:val="24"/>
        </w:rPr>
      </w:pPr>
      <w:r>
        <w:rPr>
          <w:rFonts w:hint="eastAsia" w:ascii="宋体" w:hAnsi="宋体" w:cs="宋体"/>
          <w:sz w:val="24"/>
        </w:rPr>
        <w:t>本次项目旨在为提升学院专业教学质量，学院拟采购数字人大模型智能交互仓及智慧金融技能训练资源。</w:t>
      </w:r>
      <w:r>
        <w:rPr>
          <w:rFonts w:hint="eastAsia" w:ascii="Calibri" w:hAnsi="Calibri"/>
          <w:sz w:val="24"/>
        </w:rPr>
        <w:t>基于数字人系统，将教学过程中的典型案例场景和课件通过AI数字人+数字人大模型交互屏智能播报的方式，进行滚动式的标准化知识点、高频考点的内容讲解，供学生参考学习。可</w:t>
      </w:r>
      <w:r>
        <w:rPr>
          <w:rFonts w:hint="eastAsia" w:ascii="宋体" w:hAnsi="宋体" w:cs="宋体"/>
          <w:sz w:val="24"/>
        </w:rPr>
        <w:t>模拟金融场景教学，支持个性化展示，智能问答重构教学模式，增强互动体验，满足金融专业高效教学需求。具体技术性能指标和配置要求如下：</w:t>
      </w:r>
    </w:p>
    <w:tbl>
      <w:tblPr>
        <w:tblStyle w:val="39"/>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5479"/>
        <w:gridCol w:w="900"/>
        <w:gridCol w:w="877"/>
      </w:tblGrid>
      <w:tr w14:paraId="3FCF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Pr>
          <w:p w14:paraId="61E1FA86">
            <w:pPr>
              <w:spacing w:line="440" w:lineRule="exact"/>
              <w:jc w:val="center"/>
              <w:rPr>
                <w:rFonts w:ascii="宋体" w:hAnsi="宋体" w:cs="宋体"/>
                <w:b/>
                <w:bCs/>
                <w:sz w:val="24"/>
              </w:rPr>
            </w:pPr>
            <w:r>
              <w:rPr>
                <w:rFonts w:hint="eastAsia" w:ascii="宋体" w:hAnsi="宋体" w:cs="宋体"/>
                <w:b/>
                <w:bCs/>
                <w:sz w:val="24"/>
              </w:rPr>
              <w:t>服务内容</w:t>
            </w:r>
          </w:p>
        </w:tc>
        <w:tc>
          <w:tcPr>
            <w:tcW w:w="5479" w:type="dxa"/>
          </w:tcPr>
          <w:p w14:paraId="411E1933">
            <w:pPr>
              <w:spacing w:line="440" w:lineRule="exact"/>
              <w:ind w:firstLine="480" w:firstLineChars="200"/>
              <w:jc w:val="center"/>
              <w:rPr>
                <w:rFonts w:ascii="宋体" w:hAnsi="宋体" w:cs="宋体"/>
                <w:b/>
                <w:bCs/>
                <w:sz w:val="24"/>
              </w:rPr>
            </w:pPr>
            <w:r>
              <w:rPr>
                <w:rFonts w:hint="eastAsia" w:ascii="宋体" w:hAnsi="宋体" w:cs="宋体"/>
                <w:b/>
                <w:bCs/>
                <w:sz w:val="24"/>
              </w:rPr>
              <w:t>提供服务支持</w:t>
            </w:r>
          </w:p>
        </w:tc>
        <w:tc>
          <w:tcPr>
            <w:tcW w:w="900" w:type="dxa"/>
          </w:tcPr>
          <w:p w14:paraId="4F2823AB">
            <w:pPr>
              <w:spacing w:line="440" w:lineRule="exact"/>
              <w:jc w:val="center"/>
              <w:rPr>
                <w:rFonts w:ascii="宋体" w:hAnsi="宋体" w:cs="宋体"/>
                <w:b/>
                <w:bCs/>
                <w:sz w:val="24"/>
              </w:rPr>
            </w:pPr>
            <w:r>
              <w:rPr>
                <w:rFonts w:hint="eastAsia" w:ascii="宋体" w:hAnsi="宋体" w:cs="宋体"/>
                <w:b/>
                <w:bCs/>
                <w:sz w:val="24"/>
              </w:rPr>
              <w:t>数量</w:t>
            </w:r>
          </w:p>
        </w:tc>
        <w:tc>
          <w:tcPr>
            <w:tcW w:w="877" w:type="dxa"/>
          </w:tcPr>
          <w:p w14:paraId="21AC6E66">
            <w:pPr>
              <w:spacing w:line="440" w:lineRule="exact"/>
              <w:jc w:val="center"/>
              <w:rPr>
                <w:rFonts w:ascii="宋体" w:hAnsi="宋体" w:cs="宋体"/>
                <w:b/>
                <w:bCs/>
                <w:sz w:val="24"/>
              </w:rPr>
            </w:pPr>
            <w:r>
              <w:rPr>
                <w:rFonts w:hint="eastAsia" w:ascii="宋体" w:hAnsi="宋体" w:cs="宋体"/>
                <w:b/>
                <w:bCs/>
                <w:sz w:val="24"/>
              </w:rPr>
              <w:t>单位</w:t>
            </w:r>
          </w:p>
        </w:tc>
      </w:tr>
      <w:tr w14:paraId="449F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tcPr>
          <w:p w14:paraId="274672C1">
            <w:pPr>
              <w:spacing w:line="440" w:lineRule="exact"/>
              <w:jc w:val="center"/>
              <w:rPr>
                <w:rFonts w:ascii="宋体" w:hAnsi="宋体" w:cs="宋体"/>
                <w:sz w:val="24"/>
              </w:rPr>
            </w:pPr>
            <w:r>
              <w:rPr>
                <w:rFonts w:hint="eastAsia" w:ascii="宋体" w:hAnsi="宋体" w:cs="宋体"/>
                <w:sz w:val="24"/>
              </w:rPr>
              <w:t>数字人大模型智能交互仓及智慧金融技能训练资源</w:t>
            </w:r>
          </w:p>
        </w:tc>
        <w:tc>
          <w:tcPr>
            <w:tcW w:w="5479" w:type="dxa"/>
          </w:tcPr>
          <w:p w14:paraId="5CCCA5D2">
            <w:pPr>
              <w:widowControl/>
              <w:jc w:val="left"/>
              <w:rPr>
                <w:rFonts w:ascii="宋体" w:hAnsi="宋体"/>
                <w:sz w:val="24"/>
              </w:rPr>
            </w:pPr>
            <w:r>
              <w:rPr>
                <w:rFonts w:hint="eastAsia" w:ascii="宋体" w:hAnsi="宋体" w:cs="PingFang SC"/>
                <w:kern w:val="0"/>
                <w:sz w:val="24"/>
              </w:rPr>
              <w:t>1、</w:t>
            </w:r>
            <w:r>
              <w:rPr>
                <w:rFonts w:ascii="宋体" w:hAnsi="宋体" w:cs="PingFang SC"/>
                <w:kern w:val="0"/>
                <w:sz w:val="24"/>
              </w:rPr>
              <w:t>硬件</w:t>
            </w:r>
            <w:r>
              <w:rPr>
                <w:rFonts w:hint="eastAsia" w:ascii="宋体" w:hAnsi="宋体" w:cs="PingFang SC"/>
                <w:kern w:val="0"/>
                <w:sz w:val="24"/>
              </w:rPr>
              <w:t>参数</w:t>
            </w:r>
          </w:p>
          <w:p w14:paraId="08C2E62C">
            <w:pPr>
              <w:widowControl/>
              <w:jc w:val="left"/>
              <w:rPr>
                <w:rFonts w:ascii="宋体" w:hAnsi="宋体"/>
                <w:sz w:val="24"/>
              </w:rPr>
            </w:pPr>
            <w:r>
              <w:rPr>
                <w:rFonts w:ascii="宋体" w:hAnsi="宋体" w:cs="PingFang SC"/>
                <w:kern w:val="0"/>
                <w:sz w:val="24"/>
              </w:rPr>
              <w:t>1.1 整机结构与物理规格</w:t>
            </w:r>
          </w:p>
          <w:p w14:paraId="4E73F69F">
            <w:pPr>
              <w:widowControl/>
              <w:jc w:val="left"/>
              <w:rPr>
                <w:rFonts w:ascii="宋体" w:hAnsi="宋体"/>
                <w:sz w:val="24"/>
              </w:rPr>
            </w:pPr>
            <w:r>
              <w:rPr>
                <w:rFonts w:ascii="宋体" w:hAnsi="宋体" w:cs="PingFang SC"/>
                <w:kern w:val="0"/>
                <w:sz w:val="24"/>
              </w:rPr>
              <w:t>整机高度：≥ 1800 mm</w:t>
            </w:r>
          </w:p>
          <w:p w14:paraId="1F57ADF9">
            <w:pPr>
              <w:widowControl/>
              <w:jc w:val="left"/>
              <w:rPr>
                <w:rFonts w:ascii="宋体" w:hAnsi="宋体"/>
                <w:sz w:val="24"/>
              </w:rPr>
            </w:pPr>
            <w:r>
              <w:rPr>
                <w:rFonts w:ascii="宋体" w:hAnsi="宋体" w:cs="PingFang SC"/>
                <w:kern w:val="0"/>
                <w:sz w:val="24"/>
              </w:rPr>
              <w:t>电源输入：220V ± 10%，50Hz</w:t>
            </w:r>
          </w:p>
          <w:p w14:paraId="4EE52EB6">
            <w:pPr>
              <w:widowControl/>
              <w:jc w:val="left"/>
              <w:rPr>
                <w:rFonts w:ascii="宋体" w:hAnsi="宋体"/>
                <w:sz w:val="24"/>
              </w:rPr>
            </w:pPr>
            <w:r>
              <w:rPr>
                <w:rFonts w:ascii="宋体" w:hAnsi="宋体" w:cs="PingFang SC"/>
                <w:kern w:val="0"/>
                <w:sz w:val="24"/>
              </w:rPr>
              <w:t>整机运行功率：≤ 400W</w:t>
            </w:r>
          </w:p>
          <w:p w14:paraId="54BB8AFF">
            <w:pPr>
              <w:widowControl/>
              <w:jc w:val="left"/>
              <w:rPr>
                <w:rFonts w:ascii="宋体" w:hAnsi="宋体" w:cs="PingFang SC"/>
                <w:kern w:val="0"/>
                <w:sz w:val="24"/>
              </w:rPr>
            </w:pPr>
            <w:r>
              <w:rPr>
                <w:rFonts w:ascii="宋体" w:hAnsi="宋体" w:cs="PingFang SC"/>
                <w:kern w:val="0"/>
                <w:sz w:val="24"/>
              </w:rPr>
              <w:t>硬件质保：提供不少于3年的原厂免费质保</w:t>
            </w:r>
          </w:p>
          <w:p w14:paraId="6917824D">
            <w:pPr>
              <w:widowControl/>
              <w:jc w:val="left"/>
              <w:rPr>
                <w:rFonts w:ascii="宋体" w:hAnsi="宋体" w:cs="PingFang SC"/>
                <w:kern w:val="0"/>
                <w:sz w:val="24"/>
              </w:rPr>
            </w:pPr>
            <w:r>
              <w:rPr>
                <w:rFonts w:hint="eastAsia" w:ascii="宋体" w:hAnsi="宋体" w:cs="PingFang SC"/>
                <w:kern w:val="0"/>
                <w:sz w:val="24"/>
              </w:rPr>
              <w:t>★</w:t>
            </w:r>
            <w:r>
              <w:rPr>
                <w:rFonts w:ascii="宋体" w:hAnsi="宋体" w:cs="PingFang SC"/>
                <w:kern w:val="0"/>
                <w:sz w:val="24"/>
              </w:rPr>
              <w:t>整机外观设计美观，原厂设计或具备产品相关专利或获得过相关奖项</w:t>
            </w:r>
          </w:p>
          <w:p w14:paraId="0FBCBD01">
            <w:pPr>
              <w:widowControl/>
              <w:jc w:val="left"/>
              <w:rPr>
                <w:rFonts w:ascii="宋体" w:hAnsi="宋体"/>
                <w:sz w:val="24"/>
              </w:rPr>
            </w:pPr>
            <w:r>
              <w:rPr>
                <w:rFonts w:ascii="宋体" w:hAnsi="宋体" w:cs="PingFang SC"/>
                <w:kern w:val="0"/>
                <w:sz w:val="24"/>
              </w:rPr>
              <w:t>1.2 显示与触摸单元</w:t>
            </w:r>
          </w:p>
          <w:p w14:paraId="7BD60DE0">
            <w:pPr>
              <w:widowControl/>
              <w:jc w:val="left"/>
              <w:rPr>
                <w:rFonts w:ascii="宋体" w:hAnsi="宋体"/>
                <w:sz w:val="24"/>
              </w:rPr>
            </w:pPr>
            <w:r>
              <w:rPr>
                <w:rFonts w:ascii="宋体" w:hAnsi="宋体" w:cs="PingFang SC"/>
                <w:kern w:val="0"/>
                <w:sz w:val="24"/>
              </w:rPr>
              <w:t>屏幕尺寸：≥75英寸</w:t>
            </w:r>
          </w:p>
          <w:p w14:paraId="225F9157">
            <w:pPr>
              <w:widowControl/>
              <w:jc w:val="left"/>
              <w:rPr>
                <w:rFonts w:ascii="宋体" w:hAnsi="宋体"/>
                <w:sz w:val="24"/>
              </w:rPr>
            </w:pPr>
            <w:r>
              <w:rPr>
                <w:rFonts w:ascii="宋体" w:hAnsi="宋体" w:cs="PingFang SC"/>
                <w:kern w:val="0"/>
                <w:sz w:val="24"/>
              </w:rPr>
              <w:t>显示分辨率：3840 × 2160</w:t>
            </w:r>
          </w:p>
          <w:p w14:paraId="771E7426">
            <w:pPr>
              <w:widowControl/>
              <w:jc w:val="left"/>
              <w:rPr>
                <w:rFonts w:ascii="宋体" w:hAnsi="宋体"/>
                <w:sz w:val="24"/>
              </w:rPr>
            </w:pPr>
            <w:r>
              <w:rPr>
                <w:rFonts w:ascii="宋体" w:hAnsi="宋体" w:cs="PingFang SC"/>
                <w:kern w:val="0"/>
                <w:sz w:val="24"/>
              </w:rPr>
              <w:t>屏幕比例：9:16 竖屏</w:t>
            </w:r>
          </w:p>
          <w:p w14:paraId="6E83C6B5">
            <w:pPr>
              <w:widowControl/>
              <w:jc w:val="left"/>
              <w:rPr>
                <w:rFonts w:ascii="宋体" w:hAnsi="宋体"/>
                <w:sz w:val="24"/>
              </w:rPr>
            </w:pPr>
            <w:r>
              <w:rPr>
                <w:rFonts w:ascii="宋体" w:hAnsi="宋体" w:cs="PingFang SC"/>
                <w:kern w:val="0"/>
                <w:sz w:val="24"/>
              </w:rPr>
              <w:t>峰值亮度：≥800 cd/m² (尼特)</w:t>
            </w:r>
          </w:p>
          <w:p w14:paraId="5AACC9D2">
            <w:pPr>
              <w:widowControl/>
              <w:jc w:val="left"/>
              <w:rPr>
                <w:rFonts w:ascii="宋体" w:hAnsi="宋体"/>
                <w:sz w:val="24"/>
              </w:rPr>
            </w:pPr>
            <w:r>
              <w:rPr>
                <w:rFonts w:ascii="宋体" w:hAnsi="宋体" w:cs="PingFang SC"/>
                <w:kern w:val="0"/>
                <w:sz w:val="24"/>
              </w:rPr>
              <w:t>触摸类型：电容式触摸屏</w:t>
            </w:r>
          </w:p>
          <w:p w14:paraId="581443A6">
            <w:pPr>
              <w:widowControl/>
              <w:jc w:val="left"/>
              <w:rPr>
                <w:rFonts w:ascii="宋体" w:hAnsi="宋体"/>
                <w:sz w:val="24"/>
              </w:rPr>
            </w:pPr>
            <w:r>
              <w:rPr>
                <w:rFonts w:ascii="宋体" w:hAnsi="宋体" w:cs="PingFang SC"/>
                <w:kern w:val="0"/>
                <w:sz w:val="24"/>
              </w:rPr>
              <w:t>触摸点数：支持10点同时触摸</w:t>
            </w:r>
          </w:p>
          <w:p w14:paraId="2A53DF91">
            <w:pPr>
              <w:widowControl/>
              <w:jc w:val="left"/>
              <w:rPr>
                <w:rFonts w:ascii="宋体" w:hAnsi="宋体" w:cs="PingFang SC"/>
                <w:kern w:val="0"/>
                <w:sz w:val="24"/>
              </w:rPr>
            </w:pPr>
          </w:p>
          <w:p w14:paraId="00287DCB">
            <w:pPr>
              <w:widowControl/>
              <w:jc w:val="left"/>
              <w:rPr>
                <w:rFonts w:ascii="宋体" w:hAnsi="宋体"/>
                <w:sz w:val="24"/>
              </w:rPr>
            </w:pPr>
            <w:r>
              <w:rPr>
                <w:rFonts w:ascii="宋体" w:hAnsi="宋体" w:cs="PingFang SC"/>
                <w:kern w:val="0"/>
                <w:sz w:val="24"/>
              </w:rPr>
              <w:t>1.3 系统核心配置</w:t>
            </w:r>
          </w:p>
          <w:p w14:paraId="55C49934">
            <w:pPr>
              <w:widowControl/>
              <w:jc w:val="left"/>
              <w:rPr>
                <w:rFonts w:ascii="宋体" w:hAnsi="宋体"/>
                <w:sz w:val="24"/>
              </w:rPr>
            </w:pPr>
            <w:r>
              <w:rPr>
                <w:rFonts w:ascii="宋体" w:hAnsi="宋体" w:cs="PingFang SC"/>
                <w:kern w:val="0"/>
                <w:sz w:val="24"/>
              </w:rPr>
              <w:t>操作系统：Android12.0或更高版本</w:t>
            </w:r>
          </w:p>
          <w:p w14:paraId="2F61FBE5">
            <w:pPr>
              <w:widowControl/>
              <w:jc w:val="left"/>
              <w:rPr>
                <w:rFonts w:ascii="宋体" w:hAnsi="宋体"/>
                <w:sz w:val="24"/>
              </w:rPr>
            </w:pPr>
            <w:r>
              <w:rPr>
                <w:rFonts w:ascii="宋体" w:hAnsi="宋体" w:cs="PingFang SC"/>
                <w:kern w:val="0"/>
                <w:sz w:val="24"/>
              </w:rPr>
              <w:t>中央处理器 (CPU)：8核ARM架构，包含4 × Cortex-A76 + 4 × Cortex-A55</w:t>
            </w:r>
          </w:p>
          <w:p w14:paraId="11B6281F">
            <w:pPr>
              <w:widowControl/>
              <w:jc w:val="left"/>
              <w:rPr>
                <w:rFonts w:ascii="宋体" w:hAnsi="宋体"/>
                <w:sz w:val="24"/>
              </w:rPr>
            </w:pPr>
            <w:r>
              <w:rPr>
                <w:rFonts w:ascii="宋体" w:hAnsi="宋体" w:cs="PingFang SC"/>
                <w:kern w:val="0"/>
                <w:sz w:val="24"/>
              </w:rPr>
              <w:t>图形处理器 (GPU)：ARM Mali-G610</w:t>
            </w:r>
          </w:p>
          <w:p w14:paraId="0153B121">
            <w:pPr>
              <w:widowControl/>
              <w:jc w:val="left"/>
              <w:rPr>
                <w:rFonts w:ascii="宋体" w:hAnsi="宋体"/>
                <w:sz w:val="24"/>
              </w:rPr>
            </w:pPr>
            <w:r>
              <w:rPr>
                <w:rFonts w:ascii="宋体" w:hAnsi="宋体" w:cs="PingFang SC"/>
                <w:kern w:val="0"/>
                <w:sz w:val="24"/>
              </w:rPr>
              <w:t>运行内存 (RAM)：≥8GB</w:t>
            </w:r>
          </w:p>
          <w:p w14:paraId="4405F452">
            <w:pPr>
              <w:widowControl/>
              <w:jc w:val="left"/>
              <w:rPr>
                <w:rFonts w:ascii="宋体" w:hAnsi="宋体"/>
                <w:sz w:val="24"/>
              </w:rPr>
            </w:pPr>
            <w:r>
              <w:rPr>
                <w:rFonts w:ascii="宋体" w:hAnsi="宋体" w:cs="PingFang SC"/>
                <w:kern w:val="0"/>
                <w:sz w:val="24"/>
              </w:rPr>
              <w:t>机身存储 (ROM)：≥128GB</w:t>
            </w:r>
          </w:p>
          <w:p w14:paraId="5A6C42A0">
            <w:pPr>
              <w:widowControl/>
              <w:jc w:val="left"/>
              <w:rPr>
                <w:rFonts w:ascii="宋体" w:hAnsi="宋体"/>
                <w:sz w:val="24"/>
              </w:rPr>
            </w:pPr>
          </w:p>
          <w:p w14:paraId="1884C2D5">
            <w:pPr>
              <w:widowControl/>
              <w:jc w:val="left"/>
              <w:rPr>
                <w:rFonts w:ascii="宋体" w:hAnsi="宋体"/>
                <w:sz w:val="24"/>
              </w:rPr>
            </w:pPr>
            <w:r>
              <w:rPr>
                <w:rFonts w:ascii="宋体" w:hAnsi="宋体" w:cs="PingFang SC"/>
                <w:kern w:val="0"/>
                <w:sz w:val="24"/>
              </w:rPr>
              <w:t>1.4 影音与多媒体</w:t>
            </w:r>
          </w:p>
          <w:p w14:paraId="0B16A029">
            <w:pPr>
              <w:widowControl/>
              <w:jc w:val="left"/>
              <w:rPr>
                <w:rFonts w:ascii="宋体" w:hAnsi="宋体"/>
                <w:sz w:val="24"/>
              </w:rPr>
            </w:pPr>
            <w:r>
              <w:rPr>
                <w:rFonts w:ascii="宋体" w:hAnsi="宋体" w:cs="PingFang SC"/>
                <w:kern w:val="0"/>
                <w:sz w:val="24"/>
              </w:rPr>
              <w:t>摄像头：内置摄像头，像素 ≥200万，视场角 ≥95度，动态范围 ≥89度</w:t>
            </w:r>
          </w:p>
          <w:p w14:paraId="0BE81BEF">
            <w:pPr>
              <w:widowControl/>
              <w:jc w:val="left"/>
              <w:rPr>
                <w:rFonts w:ascii="宋体" w:hAnsi="宋体"/>
                <w:sz w:val="24"/>
              </w:rPr>
            </w:pPr>
            <w:r>
              <w:rPr>
                <w:rFonts w:ascii="宋体" w:hAnsi="宋体" w:cs="PingFang SC"/>
                <w:kern w:val="0"/>
                <w:sz w:val="24"/>
              </w:rPr>
              <w:t>扬声器：输出功率 ≥12W，支持重低音效果，阻抗6Ω</w:t>
            </w:r>
          </w:p>
          <w:p w14:paraId="26543077">
            <w:pPr>
              <w:widowControl/>
              <w:jc w:val="left"/>
              <w:rPr>
                <w:rFonts w:ascii="宋体" w:hAnsi="宋体"/>
                <w:sz w:val="24"/>
              </w:rPr>
            </w:pPr>
            <w:r>
              <w:rPr>
                <w:rFonts w:ascii="宋体" w:hAnsi="宋体" w:cs="PingFang SC"/>
                <w:kern w:val="0"/>
                <w:sz w:val="24"/>
              </w:rPr>
              <w:t>视频解码：必须支持H.265, H.264, AV1, VP9, AVS2等主流4K视频格式</w:t>
            </w:r>
          </w:p>
          <w:p w14:paraId="61721BA6">
            <w:pPr>
              <w:widowControl/>
              <w:jc w:val="left"/>
              <w:rPr>
                <w:rFonts w:ascii="宋体" w:hAnsi="宋体"/>
                <w:sz w:val="24"/>
              </w:rPr>
            </w:pPr>
            <w:r>
              <w:rPr>
                <w:rFonts w:ascii="宋体" w:hAnsi="宋体" w:cs="PingFang SC"/>
                <w:kern w:val="0"/>
                <w:sz w:val="24"/>
              </w:rPr>
              <w:t>视频编码：必须支持H.264, H.265编码</w:t>
            </w:r>
          </w:p>
          <w:p w14:paraId="5DC19E9E">
            <w:pPr>
              <w:widowControl/>
              <w:jc w:val="left"/>
              <w:rPr>
                <w:rFonts w:ascii="宋体" w:hAnsi="宋体"/>
                <w:sz w:val="24"/>
              </w:rPr>
            </w:pPr>
            <w:r>
              <w:rPr>
                <w:rFonts w:ascii="宋体" w:hAnsi="宋体" w:cs="PingFang SC"/>
                <w:kern w:val="0"/>
                <w:sz w:val="24"/>
              </w:rPr>
              <w:t>音频解码：必须支持MP3, AAC, AC3, Dolby, DTS等主流格式</w:t>
            </w:r>
          </w:p>
          <w:p w14:paraId="432CEE7D">
            <w:pPr>
              <w:widowControl/>
              <w:jc w:val="left"/>
              <w:rPr>
                <w:rFonts w:ascii="宋体" w:hAnsi="宋体"/>
                <w:sz w:val="24"/>
              </w:rPr>
            </w:pPr>
            <w:r>
              <w:rPr>
                <w:rFonts w:ascii="宋体" w:hAnsi="宋体" w:cs="PingFang SC"/>
                <w:kern w:val="0"/>
                <w:sz w:val="24"/>
              </w:rPr>
              <w:t>图片格式：支持PNG, JPG, BMP等</w:t>
            </w:r>
          </w:p>
          <w:p w14:paraId="7FC6FFEC">
            <w:pPr>
              <w:widowControl/>
              <w:jc w:val="left"/>
              <w:rPr>
                <w:rFonts w:ascii="宋体" w:hAnsi="宋体"/>
                <w:sz w:val="24"/>
              </w:rPr>
            </w:pPr>
          </w:p>
          <w:p w14:paraId="2836B802">
            <w:pPr>
              <w:widowControl/>
              <w:jc w:val="left"/>
              <w:rPr>
                <w:rFonts w:ascii="宋体" w:hAnsi="宋体" w:cs="PingFang SC"/>
                <w:kern w:val="0"/>
                <w:sz w:val="24"/>
              </w:rPr>
            </w:pPr>
            <w:r>
              <w:rPr>
                <w:rFonts w:ascii="宋体" w:hAnsi="宋体" w:cs="PingFang SC"/>
                <w:kern w:val="0"/>
                <w:sz w:val="24"/>
              </w:rPr>
              <w:t>1.5 音频输入与外设</w:t>
            </w:r>
          </w:p>
          <w:p w14:paraId="006377CF">
            <w:pPr>
              <w:widowControl/>
              <w:jc w:val="left"/>
              <w:rPr>
                <w:rFonts w:ascii="宋体" w:hAnsi="宋体" w:cs="PingFang SC"/>
                <w:kern w:val="0"/>
                <w:sz w:val="24"/>
              </w:rPr>
            </w:pPr>
            <w:r>
              <w:rPr>
                <w:rFonts w:ascii="宋体" w:hAnsi="宋体" w:cs="PingFang SC"/>
                <w:kern w:val="0"/>
                <w:sz w:val="24"/>
              </w:rPr>
              <w:t>支持嘈杂环境下麦克风拾音</w:t>
            </w:r>
          </w:p>
          <w:p w14:paraId="0B9F3F64">
            <w:pPr>
              <w:widowControl/>
              <w:jc w:val="left"/>
              <w:rPr>
                <w:rFonts w:ascii="宋体" w:hAnsi="宋体"/>
                <w:sz w:val="24"/>
              </w:rPr>
            </w:pPr>
            <w:r>
              <w:rPr>
                <w:rFonts w:ascii="宋体" w:hAnsi="宋体" w:cs="PingFang SC"/>
                <w:kern w:val="0"/>
                <w:sz w:val="24"/>
              </w:rPr>
              <w:t>麦克风：配备有线鹅颈麦克风，心型电容麦，USB接口免驱安装，支持物理按键开关一键静音切换，两段式金属咪管支持360度调节。</w:t>
            </w:r>
          </w:p>
          <w:p w14:paraId="3CD5E4DF">
            <w:pPr>
              <w:widowControl/>
              <w:jc w:val="left"/>
              <w:rPr>
                <w:rFonts w:ascii="宋体" w:hAnsi="宋体" w:cs="PingFang SC"/>
                <w:kern w:val="0"/>
                <w:sz w:val="24"/>
              </w:rPr>
            </w:pPr>
            <w:r>
              <w:rPr>
                <w:rFonts w:ascii="宋体" w:hAnsi="宋体" w:cs="PingFang SC"/>
                <w:kern w:val="0"/>
                <w:sz w:val="24"/>
              </w:rPr>
              <w:t>收音按键：配备专用HID单键收音按键。</w:t>
            </w:r>
          </w:p>
          <w:p w14:paraId="567254DA">
            <w:pPr>
              <w:widowControl/>
              <w:jc w:val="left"/>
              <w:rPr>
                <w:rFonts w:ascii="宋体" w:hAnsi="宋体" w:cs="PingFang SC"/>
                <w:kern w:val="0"/>
                <w:sz w:val="24"/>
              </w:rPr>
            </w:pPr>
          </w:p>
          <w:p w14:paraId="20A675C1">
            <w:pPr>
              <w:widowControl/>
              <w:jc w:val="left"/>
              <w:rPr>
                <w:rFonts w:ascii="宋体" w:hAnsi="宋体"/>
                <w:sz w:val="24"/>
              </w:rPr>
            </w:pPr>
            <w:r>
              <w:rPr>
                <w:rFonts w:hint="eastAsia" w:ascii="宋体" w:hAnsi="宋体" w:cs="PingFang SC"/>
                <w:kern w:val="0"/>
                <w:sz w:val="24"/>
              </w:rPr>
              <w:t>2、</w:t>
            </w:r>
            <w:r>
              <w:rPr>
                <w:rFonts w:ascii="宋体" w:hAnsi="宋体" w:cs="PingFang SC"/>
                <w:kern w:val="0"/>
                <w:sz w:val="24"/>
              </w:rPr>
              <w:t>软件与功能要求</w:t>
            </w:r>
          </w:p>
          <w:p w14:paraId="38892961">
            <w:pPr>
              <w:widowControl/>
              <w:jc w:val="left"/>
              <w:rPr>
                <w:rFonts w:ascii="宋体" w:hAnsi="宋体"/>
                <w:sz w:val="24"/>
              </w:rPr>
            </w:pPr>
            <w:r>
              <w:rPr>
                <w:rFonts w:ascii="宋体" w:hAnsi="宋体" w:cs="PingFang SC"/>
                <w:kern w:val="0"/>
                <w:sz w:val="24"/>
              </w:rPr>
              <w:t>2.1 自启动管理：支持将指定的数字人交互程序设置为开机自动启动。</w:t>
            </w:r>
          </w:p>
          <w:p w14:paraId="5C3DE5C0">
            <w:pPr>
              <w:widowControl/>
              <w:jc w:val="left"/>
              <w:rPr>
                <w:rFonts w:ascii="宋体" w:hAnsi="宋体"/>
                <w:sz w:val="24"/>
              </w:rPr>
            </w:pPr>
            <w:r>
              <w:rPr>
                <w:rFonts w:ascii="宋体" w:hAnsi="宋体" w:cs="PingFang SC"/>
                <w:kern w:val="0"/>
                <w:sz w:val="24"/>
              </w:rPr>
              <w:t>2.2 进程守护：具备系统级进程守护功能，确保数字人应用在异常关闭后能自动重启并恢复服务。</w:t>
            </w:r>
          </w:p>
          <w:p w14:paraId="3BA1E15A">
            <w:pPr>
              <w:widowControl/>
              <w:jc w:val="left"/>
              <w:rPr>
                <w:rFonts w:ascii="宋体" w:hAnsi="宋体"/>
                <w:sz w:val="24"/>
              </w:rPr>
            </w:pPr>
            <w:r>
              <w:rPr>
                <w:rFonts w:ascii="宋体" w:hAnsi="宋体" w:cs="PingFang SC"/>
                <w:kern w:val="0"/>
                <w:sz w:val="24"/>
              </w:rPr>
              <w:t>2.3 语音交互：支持通过语音与数字人进行实时对话交互。</w:t>
            </w:r>
          </w:p>
          <w:p w14:paraId="07090EEC">
            <w:pPr>
              <w:widowControl/>
              <w:jc w:val="left"/>
              <w:rPr>
                <w:rFonts w:ascii="宋体" w:hAnsi="宋体"/>
                <w:sz w:val="24"/>
              </w:rPr>
            </w:pPr>
            <w:r>
              <w:rPr>
                <w:rFonts w:ascii="宋体" w:hAnsi="宋体" w:cs="PingFang SC"/>
                <w:kern w:val="0"/>
                <w:sz w:val="24"/>
              </w:rPr>
              <w:t>2.4 账号管理：支持在本机界面查看与验证当前绑定的云平台账号信息。</w:t>
            </w:r>
          </w:p>
          <w:p w14:paraId="29E70467">
            <w:pPr>
              <w:widowControl/>
              <w:jc w:val="left"/>
              <w:rPr>
                <w:rFonts w:ascii="宋体" w:hAnsi="宋体"/>
                <w:sz w:val="24"/>
              </w:rPr>
            </w:pPr>
            <w:r>
              <w:rPr>
                <w:rFonts w:ascii="宋体" w:hAnsi="宋体" w:cs="PingFang SC"/>
                <w:kern w:val="0"/>
                <w:sz w:val="24"/>
              </w:rPr>
              <w:t>2.5 数字人背景自定义：可以通过云平台自定义数字人背景图片，终端操作更换。</w:t>
            </w:r>
          </w:p>
          <w:p w14:paraId="35234E24">
            <w:pPr>
              <w:widowControl/>
              <w:jc w:val="left"/>
              <w:rPr>
                <w:rFonts w:ascii="宋体" w:hAnsi="宋体" w:cs="PingFang SC"/>
                <w:kern w:val="0"/>
                <w:sz w:val="24"/>
              </w:rPr>
            </w:pPr>
            <w:r>
              <w:rPr>
                <w:rFonts w:ascii="宋体" w:hAnsi="宋体" w:cs="PingFang SC"/>
                <w:kern w:val="0"/>
                <w:sz w:val="24"/>
              </w:rPr>
              <w:t>2.6 日志管理：支持将数字人软件的系统运行日志进行上传，便于故障诊断与分析。</w:t>
            </w:r>
          </w:p>
          <w:p w14:paraId="0CA034F2">
            <w:pPr>
              <w:widowControl/>
              <w:jc w:val="left"/>
              <w:rPr>
                <w:rFonts w:ascii="宋体" w:hAnsi="宋体" w:cs="PingFang SC"/>
                <w:kern w:val="0"/>
                <w:sz w:val="24"/>
              </w:rPr>
            </w:pPr>
            <w:r>
              <w:rPr>
                <w:rFonts w:hint="eastAsia" w:ascii="宋体" w:hAnsi="宋体" w:cs="宋体"/>
                <w:color w:val="000000"/>
                <w:sz w:val="24"/>
              </w:rPr>
              <w:t>★</w:t>
            </w:r>
            <w:r>
              <w:rPr>
                <w:rFonts w:ascii="宋体" w:hAnsi="宋体" w:cs="PingFang SC"/>
                <w:kern w:val="0"/>
                <w:sz w:val="24"/>
              </w:rPr>
              <w:t>2.7人像渲染：支持数字人使用本地算力人像渲染，稳定性高，分辨率不低于1080P</w:t>
            </w:r>
            <w:r>
              <w:rPr>
                <w:rFonts w:hint="eastAsia" w:ascii="宋体" w:hAnsi="宋体" w:cs="PingFang SC"/>
                <w:kern w:val="0"/>
                <w:sz w:val="24"/>
              </w:rPr>
              <w:t>。</w:t>
            </w:r>
          </w:p>
          <w:p w14:paraId="033BC9D0">
            <w:pPr>
              <w:widowControl/>
              <w:jc w:val="left"/>
              <w:rPr>
                <w:rFonts w:ascii="宋体" w:hAnsi="宋体" w:cs="PingFang SC"/>
                <w:kern w:val="0"/>
                <w:sz w:val="24"/>
              </w:rPr>
            </w:pPr>
          </w:p>
          <w:p w14:paraId="200E9615">
            <w:pPr>
              <w:widowControl/>
              <w:jc w:val="left"/>
              <w:rPr>
                <w:rFonts w:ascii="宋体" w:hAnsi="宋体"/>
                <w:sz w:val="24"/>
              </w:rPr>
            </w:pPr>
            <w:r>
              <w:rPr>
                <w:rFonts w:hint="eastAsia" w:ascii="宋体" w:hAnsi="宋体" w:cs="PingFang SC"/>
                <w:kern w:val="0"/>
                <w:sz w:val="24"/>
              </w:rPr>
              <w:t>3、</w:t>
            </w:r>
            <w:r>
              <w:rPr>
                <w:rFonts w:ascii="宋体" w:hAnsi="宋体" w:cs="PingFang SC"/>
                <w:kern w:val="0"/>
                <w:sz w:val="24"/>
              </w:rPr>
              <w:t>数字人云平台管理功能要求</w:t>
            </w:r>
          </w:p>
          <w:p w14:paraId="0BB0B17C">
            <w:pPr>
              <w:widowControl/>
              <w:jc w:val="left"/>
              <w:rPr>
                <w:rFonts w:ascii="宋体" w:hAnsi="宋体"/>
                <w:sz w:val="24"/>
              </w:rPr>
            </w:pPr>
            <w:r>
              <w:rPr>
                <w:rFonts w:ascii="宋体" w:hAnsi="宋体" w:cs="PingFang SC"/>
                <w:kern w:val="0"/>
                <w:sz w:val="24"/>
              </w:rPr>
              <w:t>3.1 问答管理</w:t>
            </w:r>
          </w:p>
          <w:p w14:paraId="2A926EE2">
            <w:pPr>
              <w:widowControl/>
              <w:jc w:val="left"/>
              <w:rPr>
                <w:rFonts w:ascii="宋体" w:hAnsi="宋体"/>
                <w:sz w:val="24"/>
              </w:rPr>
            </w:pPr>
            <w:r>
              <w:rPr>
                <w:rFonts w:ascii="宋体" w:hAnsi="宋体" w:cs="PingFang SC"/>
                <w:kern w:val="0"/>
                <w:sz w:val="24"/>
              </w:rPr>
              <w:t>支持用户单条或批量进行问答对配置管理。</w:t>
            </w:r>
          </w:p>
          <w:p w14:paraId="141DA14C">
            <w:pPr>
              <w:widowControl/>
              <w:jc w:val="left"/>
              <w:rPr>
                <w:rFonts w:ascii="宋体" w:hAnsi="宋体"/>
                <w:sz w:val="24"/>
              </w:rPr>
            </w:pPr>
            <w:r>
              <w:rPr>
                <w:rFonts w:ascii="宋体" w:hAnsi="宋体" w:cs="PingFang SC"/>
                <w:kern w:val="0"/>
                <w:sz w:val="24"/>
              </w:rPr>
              <w:t>支持用户自定义问答关键词，以提高问答命中率。</w:t>
            </w:r>
          </w:p>
          <w:p w14:paraId="3CEFBF8E">
            <w:pPr>
              <w:widowControl/>
              <w:jc w:val="left"/>
              <w:rPr>
                <w:rFonts w:ascii="宋体" w:hAnsi="宋体"/>
                <w:sz w:val="24"/>
              </w:rPr>
            </w:pPr>
            <w:r>
              <w:rPr>
                <w:rFonts w:ascii="宋体" w:hAnsi="宋体" w:cs="PingFang SC"/>
                <w:kern w:val="0"/>
                <w:sz w:val="24"/>
              </w:rPr>
              <w:t>支持用户自定义问题的相似问，以提高问答命中率。</w:t>
            </w:r>
          </w:p>
          <w:p w14:paraId="62A9F585">
            <w:pPr>
              <w:widowControl/>
              <w:jc w:val="left"/>
              <w:rPr>
                <w:rFonts w:ascii="宋体" w:hAnsi="宋体"/>
                <w:sz w:val="24"/>
              </w:rPr>
            </w:pPr>
            <w:r>
              <w:rPr>
                <w:rFonts w:ascii="宋体" w:hAnsi="宋体" w:cs="PingFang SC"/>
                <w:kern w:val="0"/>
                <w:sz w:val="24"/>
              </w:rPr>
              <w:t>问答回复内容支持多种类型设置，至少包括：文本、图片、视频、H5页面、富文本、抽奖活动。</w:t>
            </w:r>
          </w:p>
          <w:p w14:paraId="4D43F43D">
            <w:pPr>
              <w:widowControl/>
              <w:jc w:val="left"/>
              <w:rPr>
                <w:rFonts w:ascii="宋体" w:hAnsi="宋体"/>
                <w:sz w:val="24"/>
              </w:rPr>
            </w:pPr>
            <w:r>
              <w:rPr>
                <w:rFonts w:ascii="宋体" w:hAnsi="宋体" w:cs="PingFang SC"/>
                <w:kern w:val="0"/>
                <w:sz w:val="24"/>
              </w:rPr>
              <w:t>支持问答优化语音纠错功能，实现对语音识别后错误词汇的纠正。</w:t>
            </w:r>
          </w:p>
          <w:p w14:paraId="416D48FA">
            <w:pPr>
              <w:widowControl/>
              <w:jc w:val="left"/>
              <w:rPr>
                <w:rFonts w:ascii="宋体" w:hAnsi="宋体"/>
                <w:sz w:val="24"/>
              </w:rPr>
            </w:pPr>
            <w:r>
              <w:rPr>
                <w:rFonts w:ascii="宋体" w:hAnsi="宋体" w:cs="PingFang SC"/>
                <w:kern w:val="0"/>
                <w:sz w:val="24"/>
              </w:rPr>
              <w:t>支持自定义提问引导问题，展示在数字人前端用于提示引导用户。支持选择问题数量不低于50条，问题较多时，软件支持自动滚动轮播。</w:t>
            </w:r>
          </w:p>
          <w:p w14:paraId="1D9777C6">
            <w:pPr>
              <w:widowControl/>
              <w:jc w:val="left"/>
              <w:rPr>
                <w:rFonts w:ascii="宋体" w:hAnsi="宋体"/>
                <w:sz w:val="24"/>
              </w:rPr>
            </w:pPr>
            <w:r>
              <w:rPr>
                <w:rFonts w:ascii="宋体" w:hAnsi="宋体" w:cs="PingFang SC"/>
                <w:kern w:val="0"/>
                <w:sz w:val="24"/>
              </w:rPr>
              <w:t>支持基础对话技能交互，功能至少包括：天气查询、时间查询、股票查询、汇率换算、数学计算。</w:t>
            </w:r>
          </w:p>
          <w:p w14:paraId="74D37120">
            <w:pPr>
              <w:widowControl/>
              <w:jc w:val="left"/>
              <w:rPr>
                <w:rFonts w:ascii="宋体" w:hAnsi="宋体"/>
                <w:sz w:val="24"/>
              </w:rPr>
            </w:pPr>
            <w:r>
              <w:rPr>
                <w:rFonts w:ascii="宋体" w:hAnsi="宋体" w:cs="PingFang SC"/>
                <w:kern w:val="0"/>
                <w:sz w:val="24"/>
              </w:rPr>
              <w:t>支持开启或关闭大模型对话服务。</w:t>
            </w:r>
          </w:p>
          <w:p w14:paraId="574E503C">
            <w:pPr>
              <w:widowControl/>
              <w:jc w:val="left"/>
              <w:rPr>
                <w:rFonts w:ascii="宋体" w:hAnsi="宋体"/>
                <w:sz w:val="24"/>
              </w:rPr>
            </w:pPr>
            <w:r>
              <w:rPr>
                <w:rFonts w:ascii="宋体" w:hAnsi="宋体" w:cs="PingFang SC"/>
                <w:kern w:val="0"/>
                <w:sz w:val="24"/>
              </w:rPr>
              <w:t>在关闭大模型回复状态下，支持用户自定义兜底回复语句，数量不少于10条。</w:t>
            </w:r>
          </w:p>
          <w:p w14:paraId="06FA32B8">
            <w:pPr>
              <w:widowControl/>
              <w:jc w:val="left"/>
              <w:rPr>
                <w:rFonts w:ascii="宋体" w:hAnsi="宋体"/>
                <w:sz w:val="24"/>
              </w:rPr>
            </w:pPr>
          </w:p>
          <w:p w14:paraId="420BFE48">
            <w:pPr>
              <w:widowControl/>
              <w:jc w:val="left"/>
              <w:rPr>
                <w:rFonts w:ascii="宋体" w:hAnsi="宋体"/>
                <w:sz w:val="24"/>
              </w:rPr>
            </w:pPr>
            <w:r>
              <w:rPr>
                <w:rFonts w:ascii="宋体" w:hAnsi="宋体" w:cs="PingFang SC"/>
                <w:kern w:val="0"/>
                <w:sz w:val="24"/>
              </w:rPr>
              <w:t>3.2 交互管理</w:t>
            </w:r>
          </w:p>
          <w:p w14:paraId="1C035591">
            <w:pPr>
              <w:widowControl/>
              <w:jc w:val="left"/>
              <w:rPr>
                <w:rFonts w:ascii="宋体" w:hAnsi="宋体"/>
                <w:sz w:val="24"/>
              </w:rPr>
            </w:pPr>
            <w:r>
              <w:rPr>
                <w:rFonts w:hint="eastAsia" w:ascii="宋体" w:hAnsi="宋体" w:cs="宋体"/>
                <w:color w:val="000000"/>
                <w:sz w:val="24"/>
              </w:rPr>
              <w:t>★</w:t>
            </w:r>
            <w:r>
              <w:rPr>
                <w:rFonts w:ascii="宋体" w:hAnsi="宋体" w:cs="PingFang SC"/>
                <w:kern w:val="0"/>
                <w:sz w:val="24"/>
              </w:rPr>
              <w:t>支持闲时播报设置，可根据预设时间段，在闲时状态下，播放指定的播报内容。</w:t>
            </w:r>
          </w:p>
          <w:p w14:paraId="307E57FC">
            <w:pPr>
              <w:widowControl/>
              <w:jc w:val="left"/>
              <w:rPr>
                <w:rFonts w:ascii="宋体" w:hAnsi="宋体"/>
                <w:sz w:val="24"/>
              </w:rPr>
            </w:pPr>
            <w:r>
              <w:rPr>
                <w:rFonts w:hint="eastAsia" w:ascii="宋体" w:hAnsi="宋体" w:cs="宋体"/>
                <w:color w:val="000000"/>
                <w:sz w:val="24"/>
              </w:rPr>
              <w:t>★</w:t>
            </w:r>
            <w:r>
              <w:rPr>
                <w:rFonts w:ascii="宋体" w:hAnsi="宋体" w:cs="PingFang SC"/>
                <w:kern w:val="0"/>
                <w:sz w:val="24"/>
              </w:rPr>
              <w:t>播报内容展示类型支持：文本、图片、视频、H5、富文本、抽奖活动。</w:t>
            </w:r>
          </w:p>
          <w:p w14:paraId="653804F9">
            <w:pPr>
              <w:widowControl/>
              <w:jc w:val="left"/>
              <w:rPr>
                <w:rFonts w:ascii="宋体" w:hAnsi="宋体"/>
                <w:sz w:val="24"/>
              </w:rPr>
            </w:pPr>
            <w:r>
              <w:rPr>
                <w:rFonts w:hint="eastAsia" w:ascii="宋体" w:hAnsi="宋体" w:cs="宋体"/>
                <w:color w:val="000000"/>
                <w:sz w:val="24"/>
              </w:rPr>
              <w:t>★</w:t>
            </w:r>
            <w:r>
              <w:rPr>
                <w:rFonts w:ascii="宋体" w:hAnsi="宋体" w:cs="PingFang SC"/>
                <w:kern w:val="0"/>
                <w:sz w:val="24"/>
              </w:rPr>
              <w:t>闲时播报功能支持对项目下的设备分别设置管理。</w:t>
            </w:r>
          </w:p>
          <w:p w14:paraId="5286C536">
            <w:pPr>
              <w:widowControl/>
              <w:jc w:val="left"/>
              <w:rPr>
                <w:rFonts w:ascii="宋体" w:hAnsi="宋体"/>
                <w:sz w:val="24"/>
              </w:rPr>
            </w:pPr>
          </w:p>
          <w:p w14:paraId="721AD3D8">
            <w:pPr>
              <w:widowControl/>
              <w:jc w:val="left"/>
              <w:rPr>
                <w:rFonts w:ascii="宋体" w:hAnsi="宋体"/>
                <w:sz w:val="24"/>
              </w:rPr>
            </w:pPr>
            <w:r>
              <w:rPr>
                <w:rFonts w:ascii="宋体" w:hAnsi="宋体" w:cs="PingFang SC"/>
                <w:kern w:val="0"/>
                <w:sz w:val="24"/>
              </w:rPr>
              <w:t>3.3 权限与设备管理</w:t>
            </w:r>
          </w:p>
          <w:p w14:paraId="1DC9ECBD">
            <w:pPr>
              <w:widowControl/>
              <w:jc w:val="left"/>
              <w:rPr>
                <w:rFonts w:ascii="宋体" w:hAnsi="宋体"/>
                <w:sz w:val="24"/>
              </w:rPr>
            </w:pPr>
            <w:r>
              <w:rPr>
                <w:rFonts w:ascii="宋体" w:hAnsi="宋体" w:cs="PingFang SC"/>
                <w:kern w:val="0"/>
                <w:sz w:val="24"/>
              </w:rPr>
              <w:t>支持项目制管理，允许将多台终端设备分配至同一项目下进行统一管理。</w:t>
            </w:r>
          </w:p>
          <w:p w14:paraId="4422CC26">
            <w:pPr>
              <w:widowControl/>
              <w:jc w:val="left"/>
              <w:rPr>
                <w:rFonts w:ascii="宋体" w:hAnsi="宋体"/>
                <w:sz w:val="24"/>
              </w:rPr>
            </w:pPr>
            <w:r>
              <w:rPr>
                <w:rFonts w:ascii="宋体" w:hAnsi="宋体" w:cs="PingFang SC"/>
                <w:kern w:val="0"/>
                <w:sz w:val="24"/>
              </w:rPr>
              <w:t>支持为项目下不同的终端设备分别绑定和调用不同的问答知识库，实现设备间的差异化内容策略。</w:t>
            </w:r>
          </w:p>
          <w:p w14:paraId="039DD3FE">
            <w:pPr>
              <w:widowControl/>
              <w:jc w:val="left"/>
              <w:rPr>
                <w:rFonts w:ascii="宋体" w:hAnsi="宋体"/>
                <w:sz w:val="24"/>
              </w:rPr>
            </w:pPr>
            <w:r>
              <w:rPr>
                <w:rFonts w:ascii="宋体" w:hAnsi="宋体" w:cs="PingFang SC"/>
                <w:kern w:val="0"/>
                <w:sz w:val="24"/>
              </w:rPr>
              <w:t>支持管理员新增、修改、删除项目内账户，支持为不同人员分配不同的项目内容管理权限。</w:t>
            </w:r>
          </w:p>
          <w:p w14:paraId="456DB461">
            <w:pPr>
              <w:widowControl/>
              <w:jc w:val="left"/>
              <w:rPr>
                <w:rFonts w:ascii="宋体" w:hAnsi="宋体"/>
                <w:sz w:val="24"/>
              </w:rPr>
            </w:pPr>
            <w:r>
              <w:rPr>
                <w:rFonts w:ascii="宋体" w:hAnsi="宋体" w:cs="PingFang SC"/>
                <w:kern w:val="0"/>
                <w:sz w:val="24"/>
              </w:rPr>
              <w:t>支持查看项目内设备的平台使用期限，平台支持提醒</w:t>
            </w:r>
          </w:p>
          <w:p w14:paraId="2D7A8667">
            <w:pPr>
              <w:widowControl/>
              <w:jc w:val="left"/>
              <w:rPr>
                <w:rFonts w:ascii="宋体" w:hAnsi="宋体"/>
                <w:sz w:val="24"/>
              </w:rPr>
            </w:pPr>
          </w:p>
          <w:p w14:paraId="67E09CB6">
            <w:pPr>
              <w:widowControl/>
              <w:jc w:val="left"/>
              <w:rPr>
                <w:rFonts w:ascii="宋体" w:hAnsi="宋体"/>
                <w:sz w:val="24"/>
              </w:rPr>
            </w:pPr>
            <w:r>
              <w:rPr>
                <w:rFonts w:ascii="宋体" w:hAnsi="宋体" w:cs="PingFang SC"/>
                <w:kern w:val="0"/>
                <w:sz w:val="24"/>
              </w:rPr>
              <w:t>3.4 数据统计与背景设置</w:t>
            </w:r>
          </w:p>
          <w:p w14:paraId="08D80650">
            <w:pPr>
              <w:widowControl/>
              <w:jc w:val="left"/>
              <w:rPr>
                <w:rFonts w:ascii="宋体" w:hAnsi="宋体"/>
                <w:sz w:val="24"/>
              </w:rPr>
            </w:pPr>
            <w:r>
              <w:rPr>
                <w:rFonts w:ascii="宋体" w:hAnsi="宋体" w:cs="PingFang SC"/>
                <w:kern w:val="0"/>
                <w:sz w:val="24"/>
              </w:rPr>
              <w:t>支持交互数据统计功能，可查看所有数字人终端的历史交互记录（包括问题与回答），并支持将统计数据导出为通用格式（如Excel/CSV）。</w:t>
            </w:r>
          </w:p>
          <w:p w14:paraId="7BB4F21E">
            <w:pPr>
              <w:widowControl/>
              <w:jc w:val="left"/>
              <w:rPr>
                <w:rFonts w:ascii="宋体" w:hAnsi="宋体" w:cs="PingFang SC"/>
                <w:kern w:val="0"/>
                <w:sz w:val="24"/>
              </w:rPr>
            </w:pPr>
            <w:r>
              <w:rPr>
                <w:rFonts w:ascii="宋体" w:hAnsi="宋体" w:cs="PingFang SC"/>
                <w:kern w:val="0"/>
                <w:sz w:val="24"/>
              </w:rPr>
              <w:t>支持用户在管理平台上传数字人的人像背景图片，并能够为同一项目下的不同设备分别指定和上传不同的背景图片。</w:t>
            </w:r>
          </w:p>
          <w:p w14:paraId="266B0DD3">
            <w:pPr>
              <w:widowControl/>
              <w:jc w:val="left"/>
              <w:rPr>
                <w:rFonts w:ascii="宋体" w:hAnsi="宋体" w:cs="PingFang SC"/>
                <w:kern w:val="0"/>
                <w:sz w:val="24"/>
              </w:rPr>
            </w:pPr>
          </w:p>
          <w:p w14:paraId="79917E69">
            <w:pPr>
              <w:widowControl/>
              <w:jc w:val="left"/>
              <w:rPr>
                <w:rFonts w:ascii="宋体" w:hAnsi="宋体"/>
                <w:sz w:val="24"/>
              </w:rPr>
            </w:pPr>
            <w:r>
              <w:rPr>
                <w:rFonts w:hint="eastAsia" w:ascii="宋体" w:hAnsi="宋体" w:cs="PingFang SC"/>
                <w:kern w:val="0"/>
                <w:sz w:val="24"/>
              </w:rPr>
              <w:t>4、</w:t>
            </w:r>
            <w:r>
              <w:rPr>
                <w:rFonts w:ascii="宋体" w:hAnsi="宋体" w:cs="PingFang SC"/>
                <w:kern w:val="0"/>
                <w:sz w:val="24"/>
              </w:rPr>
              <w:t>数字人定制服务要求</w:t>
            </w:r>
          </w:p>
          <w:p w14:paraId="7F80BD32">
            <w:pPr>
              <w:widowControl/>
              <w:jc w:val="left"/>
              <w:rPr>
                <w:rFonts w:ascii="宋体" w:hAnsi="宋体"/>
                <w:sz w:val="24"/>
              </w:rPr>
            </w:pPr>
            <w:r>
              <w:rPr>
                <w:rFonts w:ascii="宋体" w:hAnsi="宋体" w:cs="PingFang SC"/>
                <w:kern w:val="0"/>
                <w:sz w:val="24"/>
              </w:rPr>
              <w:t>4.1 定制能力：提供</w:t>
            </w:r>
            <w:r>
              <w:rPr>
                <w:rFonts w:hint="eastAsia" w:ascii="宋体" w:hAnsi="宋体" w:cs="PingFang SC"/>
                <w:kern w:val="0"/>
                <w:sz w:val="24"/>
              </w:rPr>
              <w:t>至少一个</w:t>
            </w:r>
            <w:r>
              <w:rPr>
                <w:rFonts w:ascii="宋体" w:hAnsi="宋体" w:cs="PingFang SC"/>
                <w:kern w:val="0"/>
                <w:sz w:val="24"/>
              </w:rPr>
              <w:t>2D数字人人像定制服务，服务范围包括但不限于2D小样本数字人形象设计，以及将已有的3D数字人转化为2D数字人形象。</w:t>
            </w:r>
          </w:p>
          <w:p w14:paraId="61AF4A5D">
            <w:pPr>
              <w:widowControl/>
              <w:jc w:val="left"/>
              <w:rPr>
                <w:rFonts w:ascii="宋体" w:hAnsi="宋体"/>
                <w:sz w:val="24"/>
              </w:rPr>
            </w:pPr>
            <w:r>
              <w:rPr>
                <w:rFonts w:ascii="宋体" w:hAnsi="宋体" w:cs="PingFang SC"/>
                <w:kern w:val="0"/>
                <w:sz w:val="24"/>
              </w:rPr>
              <w:t>4.2 训练与生成：具备通过视频素材训练生成数字人形象的能力。能够将采购方提供的、符合人像训练技术标准（如分辨率、光线、动作、时长等）的真人拍摄视频，通过算法训练，转化为口型、表情和动作自然的2D数字人形象。</w:t>
            </w:r>
          </w:p>
          <w:p w14:paraId="603607B8">
            <w:pPr>
              <w:widowControl/>
              <w:jc w:val="left"/>
              <w:rPr>
                <w:rFonts w:ascii="宋体" w:hAnsi="宋体" w:cs="PingFang SC"/>
                <w:kern w:val="0"/>
                <w:sz w:val="24"/>
              </w:rPr>
            </w:pPr>
            <w:r>
              <w:rPr>
                <w:rFonts w:hint="eastAsia" w:ascii="宋体" w:hAnsi="宋体" w:cs="宋体"/>
                <w:color w:val="000000"/>
                <w:sz w:val="24"/>
              </w:rPr>
              <w:t>★</w:t>
            </w:r>
            <w:r>
              <w:rPr>
                <w:rFonts w:ascii="宋体" w:hAnsi="宋体" w:cs="PingFang SC"/>
                <w:kern w:val="0"/>
                <w:sz w:val="24"/>
              </w:rPr>
              <w:t>4.3 集成与部署：定制完成的2D数字人形象，必须能够完整地集成并部署到数字人大屏的交互应用（APP）中，确保在终端设备上稳定运行与展示。</w:t>
            </w:r>
          </w:p>
          <w:p w14:paraId="2047A708">
            <w:pPr>
              <w:widowControl/>
              <w:jc w:val="left"/>
              <w:rPr>
                <w:rFonts w:ascii="宋体" w:hAnsi="宋体" w:cs="PingFang SC"/>
                <w:kern w:val="0"/>
                <w:sz w:val="24"/>
              </w:rPr>
            </w:pPr>
          </w:p>
          <w:p w14:paraId="4A7DBCA5">
            <w:pPr>
              <w:widowControl/>
              <w:jc w:val="left"/>
              <w:rPr>
                <w:rFonts w:ascii="宋体" w:hAnsi="宋体" w:cs="PingFang SC"/>
                <w:color w:val="000000"/>
                <w:kern w:val="0"/>
                <w:sz w:val="24"/>
              </w:rPr>
            </w:pPr>
            <w:r>
              <w:rPr>
                <w:rFonts w:hint="eastAsia" w:ascii="宋体" w:hAnsi="宋体"/>
                <w:color w:val="000000"/>
                <w:sz w:val="24"/>
              </w:rPr>
              <w:t>5、智慧金融技能资源融合</w:t>
            </w:r>
          </w:p>
          <w:p w14:paraId="6DEE2672">
            <w:pPr>
              <w:spacing w:line="360" w:lineRule="auto"/>
              <w:ind w:firstLine="480" w:firstLineChars="200"/>
              <w:rPr>
                <w:rFonts w:ascii="宋体" w:hAnsi="宋体" w:cs="宋体"/>
                <w:kern w:val="0"/>
                <w:sz w:val="24"/>
              </w:rPr>
            </w:pPr>
            <w:r>
              <w:rPr>
                <w:rFonts w:hint="eastAsia" w:ascii="宋体" w:hAnsi="宋体" w:cs="宋体"/>
                <w:kern w:val="0"/>
                <w:sz w:val="24"/>
              </w:rPr>
              <w:t>设备资源提供，智慧金融技能训练资源应包括业务素养知识模块、传票数字录入模块、字符录入模块、手工点钞模块、货币防伪与鉴别模块；大堂经理岗业务模块、综合柜员岗业务模块、客户经理岗业务模块、理财经理岗业务模块；大数据金融业务模块、区块链金融业务模块、支付业务数字化模块、银行业务数字化模块、证券业务数字化模块、保险业务数字化模块、金融科技业务创新模块、数字金融业务监管模块。</w:t>
            </w:r>
          </w:p>
          <w:p w14:paraId="107E24F1">
            <w:pPr>
              <w:keepNext/>
              <w:keepLines/>
              <w:spacing w:line="360" w:lineRule="auto"/>
              <w:outlineLvl w:val="3"/>
              <w:rPr>
                <w:rFonts w:ascii="宋体" w:hAnsi="宋体"/>
                <w:sz w:val="24"/>
              </w:rPr>
            </w:pPr>
            <w:r>
              <w:rPr>
                <w:rFonts w:ascii="宋体" w:hAnsi="宋体"/>
                <w:sz w:val="24"/>
              </w:rPr>
              <w:t>5.1</w:t>
            </w:r>
            <w:r>
              <w:rPr>
                <w:rFonts w:hint="eastAsia" w:ascii="宋体" w:hAnsi="宋体"/>
                <w:sz w:val="24"/>
              </w:rPr>
              <w:t>业务素养知识模块</w:t>
            </w:r>
          </w:p>
          <w:p w14:paraId="5CC8E299">
            <w:pPr>
              <w:spacing w:line="360" w:lineRule="auto"/>
              <w:ind w:firstLine="480" w:firstLineChars="200"/>
              <w:rPr>
                <w:rFonts w:ascii="宋体" w:hAnsi="宋体" w:cs="宋体"/>
                <w:kern w:val="0"/>
                <w:sz w:val="24"/>
              </w:rPr>
            </w:pPr>
            <w:r>
              <w:rPr>
                <w:rFonts w:hint="eastAsia" w:ascii="宋体" w:hAnsi="宋体" w:cs="宋体"/>
                <w:kern w:val="0"/>
                <w:sz w:val="24"/>
              </w:rPr>
              <w:t>该模块包含金融业务基础知识、金融业务法律基础、金融从业人员职业行为准则、金融科技基础知识等，涵盖业务操作相关的基础知识，模块支持单选题型作答、多选题型作答、是非题型作答。</w:t>
            </w:r>
          </w:p>
          <w:p w14:paraId="0A755238">
            <w:pPr>
              <w:keepNext/>
              <w:keepLines/>
              <w:spacing w:line="360" w:lineRule="auto"/>
              <w:outlineLvl w:val="3"/>
              <w:rPr>
                <w:rFonts w:ascii="宋体" w:hAnsi="宋体"/>
                <w:sz w:val="24"/>
              </w:rPr>
            </w:pPr>
            <w:r>
              <w:rPr>
                <w:rFonts w:hint="eastAsia" w:ascii="宋体" w:hAnsi="宋体" w:eastAsia="黑体" w:cs="宋体"/>
                <w:b/>
                <w:kern w:val="0"/>
                <w:sz w:val="24"/>
              </w:rPr>
              <w:t>▲</w:t>
            </w:r>
            <w:r>
              <w:rPr>
                <w:rFonts w:ascii="宋体" w:hAnsi="宋体"/>
                <w:sz w:val="24"/>
              </w:rPr>
              <w:t>5.2</w:t>
            </w:r>
            <w:r>
              <w:rPr>
                <w:rFonts w:hint="eastAsia" w:ascii="宋体" w:hAnsi="宋体"/>
                <w:sz w:val="24"/>
              </w:rPr>
              <w:t>传票数字录入模块</w:t>
            </w:r>
          </w:p>
          <w:p w14:paraId="73495A42">
            <w:pPr>
              <w:spacing w:line="360" w:lineRule="auto"/>
              <w:ind w:firstLine="480" w:firstLineChars="200"/>
              <w:rPr>
                <w:rFonts w:ascii="宋体" w:hAnsi="宋体" w:cs="宋体"/>
                <w:kern w:val="0"/>
                <w:sz w:val="24"/>
              </w:rPr>
            </w:pPr>
            <w:r>
              <w:rPr>
                <w:rFonts w:hint="eastAsia" w:ascii="宋体" w:hAnsi="宋体" w:cs="宋体"/>
                <w:kern w:val="0"/>
                <w:sz w:val="24"/>
              </w:rPr>
              <w:t>该模块支持随机生成不同传票类型（AB、CD、EF型）和页码范围，页码范围为连续的30页，能对录入的传票数据计算结果自动评分。</w:t>
            </w:r>
          </w:p>
          <w:p w14:paraId="09A9D89D">
            <w:pPr>
              <w:keepNext/>
              <w:keepLines/>
              <w:spacing w:line="360" w:lineRule="auto"/>
              <w:outlineLvl w:val="3"/>
              <w:rPr>
                <w:rFonts w:ascii="宋体" w:hAnsi="宋体"/>
                <w:sz w:val="24"/>
              </w:rPr>
            </w:pPr>
            <w:r>
              <w:rPr>
                <w:rFonts w:hint="eastAsia" w:ascii="宋体" w:hAnsi="宋体" w:eastAsia="黑体" w:cs="宋体"/>
                <w:b/>
                <w:kern w:val="0"/>
                <w:sz w:val="24"/>
              </w:rPr>
              <w:t>▲</w:t>
            </w:r>
            <w:r>
              <w:rPr>
                <w:rFonts w:ascii="宋体" w:hAnsi="宋体"/>
                <w:sz w:val="24"/>
              </w:rPr>
              <w:t>5.3</w:t>
            </w:r>
            <w:r>
              <w:rPr>
                <w:rFonts w:hint="eastAsia" w:ascii="宋体" w:hAnsi="宋体"/>
                <w:sz w:val="24"/>
              </w:rPr>
              <w:t>字符录入模块</w:t>
            </w:r>
          </w:p>
          <w:p w14:paraId="2BE73DE0">
            <w:pPr>
              <w:spacing w:line="360" w:lineRule="auto"/>
              <w:ind w:firstLine="480" w:firstLineChars="200"/>
              <w:rPr>
                <w:rFonts w:ascii="宋体" w:hAnsi="宋体" w:cs="宋体"/>
                <w:kern w:val="0"/>
                <w:sz w:val="24"/>
              </w:rPr>
            </w:pPr>
            <w:r>
              <w:rPr>
                <w:rFonts w:hint="eastAsia" w:ascii="宋体" w:hAnsi="宋体" w:cs="宋体"/>
                <w:kern w:val="0"/>
                <w:sz w:val="24"/>
              </w:rPr>
              <w:t>该模块支持随机生成1</w:t>
            </w:r>
            <w:r>
              <w:rPr>
                <w:rFonts w:ascii="宋体" w:hAnsi="宋体" w:cs="宋体"/>
                <w:kern w:val="0"/>
                <w:sz w:val="24"/>
              </w:rPr>
              <w:t>600</w:t>
            </w:r>
            <w:r>
              <w:rPr>
                <w:rFonts w:hint="eastAsia" w:ascii="宋体" w:hAnsi="宋体" w:cs="宋体"/>
                <w:kern w:val="0"/>
                <w:sz w:val="24"/>
              </w:rPr>
              <w:t>个字符，能提供对照原文进行字符输入环境，根据学生在1</w:t>
            </w:r>
            <w:r>
              <w:rPr>
                <w:rFonts w:ascii="宋体" w:hAnsi="宋体" w:cs="宋体"/>
                <w:kern w:val="0"/>
                <w:sz w:val="24"/>
              </w:rPr>
              <w:t>0</w:t>
            </w:r>
            <w:r>
              <w:rPr>
                <w:rFonts w:hint="eastAsia" w:ascii="宋体" w:hAnsi="宋体" w:cs="宋体"/>
                <w:kern w:val="0"/>
                <w:sz w:val="24"/>
              </w:rPr>
              <w:t>分钟内完成的字符数量和正确率结果自动评分。</w:t>
            </w:r>
          </w:p>
          <w:p w14:paraId="2BF1FB71">
            <w:pPr>
              <w:keepNext/>
              <w:keepLines/>
              <w:spacing w:line="360" w:lineRule="auto"/>
              <w:outlineLvl w:val="3"/>
              <w:rPr>
                <w:rFonts w:ascii="宋体" w:hAnsi="宋体"/>
                <w:sz w:val="24"/>
              </w:rPr>
            </w:pPr>
            <w:r>
              <w:rPr>
                <w:rFonts w:ascii="宋体" w:hAnsi="宋体"/>
                <w:sz w:val="24"/>
              </w:rPr>
              <w:t>5.4</w:t>
            </w:r>
            <w:r>
              <w:rPr>
                <w:rFonts w:hint="eastAsia" w:ascii="宋体" w:hAnsi="宋体"/>
                <w:sz w:val="24"/>
              </w:rPr>
              <w:t>手工点钞模块</w:t>
            </w:r>
          </w:p>
          <w:p w14:paraId="13416676">
            <w:pPr>
              <w:spacing w:line="360" w:lineRule="auto"/>
              <w:ind w:firstLine="480" w:firstLineChars="200"/>
              <w:rPr>
                <w:rFonts w:ascii="宋体" w:hAnsi="宋体" w:cs="宋体"/>
                <w:kern w:val="0"/>
                <w:sz w:val="24"/>
              </w:rPr>
            </w:pPr>
            <w:r>
              <w:rPr>
                <w:rFonts w:hint="eastAsia" w:ascii="宋体" w:hAnsi="宋体" w:cs="宋体"/>
                <w:kern w:val="0"/>
                <w:sz w:val="24"/>
              </w:rPr>
              <w:t>该模块支持随机生成8种面额点钞专用券的张数，各面值的数量为300—320张，能对录入的点钞计算结果自动评分。</w:t>
            </w:r>
          </w:p>
          <w:p w14:paraId="3001C293">
            <w:pPr>
              <w:keepNext/>
              <w:keepLines/>
              <w:spacing w:line="360" w:lineRule="auto"/>
              <w:outlineLvl w:val="3"/>
              <w:rPr>
                <w:rFonts w:ascii="宋体" w:hAnsi="宋体"/>
                <w:sz w:val="24"/>
              </w:rPr>
            </w:pPr>
            <w:r>
              <w:rPr>
                <w:rFonts w:hint="eastAsia" w:ascii="宋体" w:hAnsi="宋体" w:eastAsia="黑体" w:cs="宋体"/>
                <w:b/>
                <w:kern w:val="0"/>
                <w:sz w:val="24"/>
              </w:rPr>
              <w:t>▲</w:t>
            </w:r>
            <w:r>
              <w:rPr>
                <w:rFonts w:ascii="宋体" w:hAnsi="宋体"/>
                <w:sz w:val="24"/>
              </w:rPr>
              <w:t>5.5</w:t>
            </w:r>
            <w:r>
              <w:rPr>
                <w:rFonts w:hint="eastAsia" w:ascii="宋体" w:hAnsi="宋体"/>
                <w:sz w:val="24"/>
              </w:rPr>
              <w:t>货币防伪与鉴别模块</w:t>
            </w:r>
          </w:p>
          <w:p w14:paraId="7E044C6A">
            <w:pPr>
              <w:spacing w:line="360" w:lineRule="auto"/>
              <w:ind w:firstLine="480" w:firstLineChars="200"/>
              <w:rPr>
                <w:rFonts w:ascii="宋体" w:hAnsi="宋体" w:cs="宋体"/>
                <w:kern w:val="0"/>
                <w:sz w:val="24"/>
              </w:rPr>
            </w:pPr>
            <w:r>
              <w:rPr>
                <w:rFonts w:hint="eastAsia" w:ascii="宋体" w:hAnsi="宋体" w:cs="宋体"/>
                <w:kern w:val="0"/>
                <w:sz w:val="24"/>
              </w:rPr>
              <w:t>该模块包含货币防伪与鉴别的相关基础知识，模块支持单选题型作答、多选题型作答、是非题型作答。</w:t>
            </w:r>
          </w:p>
          <w:p w14:paraId="11FC0465">
            <w:pPr>
              <w:keepNext/>
              <w:keepLines/>
              <w:spacing w:line="360" w:lineRule="auto"/>
              <w:outlineLvl w:val="3"/>
              <w:rPr>
                <w:rFonts w:ascii="宋体" w:hAnsi="宋体"/>
                <w:sz w:val="24"/>
              </w:rPr>
            </w:pPr>
            <w:r>
              <w:rPr>
                <w:rFonts w:hint="eastAsia" w:ascii="宋体" w:hAnsi="宋体" w:eastAsia="黑体" w:cs="宋体"/>
                <w:b/>
                <w:kern w:val="0"/>
                <w:sz w:val="24"/>
              </w:rPr>
              <w:t>▲</w:t>
            </w:r>
            <w:r>
              <w:rPr>
                <w:rFonts w:ascii="宋体" w:hAnsi="宋体"/>
                <w:sz w:val="24"/>
              </w:rPr>
              <w:t>5.6</w:t>
            </w:r>
            <w:r>
              <w:rPr>
                <w:rFonts w:hint="eastAsia" w:ascii="宋体" w:hAnsi="宋体"/>
                <w:sz w:val="24"/>
              </w:rPr>
              <w:t>大堂经理岗业务模块</w:t>
            </w:r>
          </w:p>
          <w:p w14:paraId="19437729">
            <w:pPr>
              <w:spacing w:line="360" w:lineRule="auto"/>
              <w:ind w:firstLine="480" w:firstLineChars="200"/>
              <w:rPr>
                <w:rFonts w:ascii="宋体" w:hAnsi="宋体" w:cs="宋体"/>
                <w:kern w:val="0"/>
                <w:sz w:val="24"/>
              </w:rPr>
            </w:pPr>
            <w:r>
              <w:rPr>
                <w:rFonts w:hint="eastAsia" w:ascii="宋体" w:hAnsi="宋体" w:cs="宋体"/>
                <w:kern w:val="0"/>
                <w:sz w:val="24"/>
              </w:rPr>
              <w:t>该模块支持3D仿真银行大堂场景模式互动操作与答题，包括服务礼仪接待、客户引导与分流、客户问询处理、单据填写、假伪币识别收缴、残/污损币的兑换、异议及投诉处理、智能柜员机操作、理财咨询业务营销转介、保险咨询业务营销转介、证券咨询业务营销转介等。</w:t>
            </w:r>
          </w:p>
          <w:p w14:paraId="627E5A46">
            <w:pPr>
              <w:keepNext/>
              <w:keepLines/>
              <w:spacing w:line="360" w:lineRule="auto"/>
              <w:outlineLvl w:val="3"/>
              <w:rPr>
                <w:rFonts w:ascii="宋体" w:hAnsi="宋体"/>
                <w:sz w:val="24"/>
              </w:rPr>
            </w:pPr>
            <w:r>
              <w:rPr>
                <w:rFonts w:ascii="宋体" w:hAnsi="宋体"/>
                <w:sz w:val="24"/>
              </w:rPr>
              <w:t>5.7</w:t>
            </w:r>
            <w:r>
              <w:rPr>
                <w:rFonts w:hint="eastAsia" w:ascii="宋体" w:hAnsi="宋体"/>
                <w:sz w:val="24"/>
              </w:rPr>
              <w:t>综合柜员岗业务模块</w:t>
            </w:r>
          </w:p>
          <w:p w14:paraId="682F9045">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.1</w:t>
            </w:r>
            <w:r>
              <w:rPr>
                <w:rFonts w:hint="eastAsia" w:ascii="宋体" w:hAnsi="宋体" w:cs="宋体"/>
                <w:kern w:val="0"/>
                <w:sz w:val="24"/>
              </w:rPr>
              <w:t>通用业务</w:t>
            </w:r>
          </w:p>
          <w:p w14:paraId="11A12DC0">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.2</w:t>
            </w:r>
            <w:r>
              <w:rPr>
                <w:rFonts w:hint="eastAsia" w:ascii="宋体" w:hAnsi="宋体" w:cs="宋体"/>
                <w:kern w:val="0"/>
                <w:sz w:val="24"/>
              </w:rPr>
              <w:t>储蓄业务</w:t>
            </w:r>
          </w:p>
          <w:p w14:paraId="3BE02664">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.3</w:t>
            </w:r>
            <w:r>
              <w:rPr>
                <w:rFonts w:hint="eastAsia" w:ascii="宋体" w:hAnsi="宋体" w:cs="宋体"/>
                <w:kern w:val="0"/>
                <w:sz w:val="24"/>
              </w:rPr>
              <w:t>借记卡业务</w:t>
            </w:r>
          </w:p>
          <w:p w14:paraId="209DFC80">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.4</w:t>
            </w:r>
            <w:r>
              <w:rPr>
                <w:rFonts w:hint="eastAsia" w:ascii="宋体" w:hAnsi="宋体" w:cs="宋体"/>
                <w:kern w:val="0"/>
                <w:sz w:val="24"/>
              </w:rPr>
              <w:t>查冻扣业务</w:t>
            </w:r>
          </w:p>
          <w:p w14:paraId="3F691F38">
            <w:pPr>
              <w:spacing w:line="360" w:lineRule="auto"/>
              <w:ind w:firstLine="480" w:firstLineChars="200"/>
              <w:rPr>
                <w:rFonts w:ascii="宋体" w:hAnsi="宋体" w:cs="宋体"/>
                <w:kern w:val="0"/>
                <w:sz w:val="24"/>
              </w:rPr>
            </w:pPr>
            <w:r>
              <w:rPr>
                <w:rFonts w:ascii="宋体" w:hAnsi="宋体" w:cs="宋体"/>
                <w:kern w:val="0"/>
                <w:sz w:val="24"/>
              </w:rPr>
              <w:t>5.7.5</w:t>
            </w:r>
            <w:r>
              <w:rPr>
                <w:rFonts w:hint="eastAsia" w:ascii="宋体" w:hAnsi="宋体" w:cs="宋体"/>
                <w:kern w:val="0"/>
                <w:sz w:val="24"/>
              </w:rPr>
              <w:t>代理业务</w:t>
            </w:r>
          </w:p>
          <w:p w14:paraId="05C545A8">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.6</w:t>
            </w:r>
            <w:r>
              <w:rPr>
                <w:rFonts w:hint="eastAsia" w:ascii="宋体" w:hAnsi="宋体" w:cs="宋体"/>
                <w:kern w:val="0"/>
                <w:sz w:val="24"/>
              </w:rPr>
              <w:t>公司业务</w:t>
            </w:r>
          </w:p>
          <w:p w14:paraId="570F423F">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.7</w:t>
            </w:r>
            <w:r>
              <w:rPr>
                <w:rFonts w:hint="eastAsia" w:ascii="宋体" w:hAnsi="宋体" w:cs="宋体"/>
                <w:kern w:val="0"/>
                <w:sz w:val="24"/>
              </w:rPr>
              <w:t>钱箱管理</w:t>
            </w:r>
          </w:p>
          <w:p w14:paraId="06E5A3CF">
            <w:pPr>
              <w:spacing w:line="360" w:lineRule="auto"/>
              <w:ind w:firstLine="480" w:firstLineChars="200"/>
              <w:rPr>
                <w:rFonts w:ascii="宋体" w:hAnsi="宋体" w:cs="宋体"/>
                <w:kern w:val="0"/>
                <w:sz w:val="24"/>
              </w:rPr>
            </w:pPr>
            <w:r>
              <w:rPr>
                <w:rFonts w:ascii="宋体" w:hAnsi="宋体" w:cs="宋体"/>
                <w:kern w:val="0"/>
                <w:sz w:val="24"/>
              </w:rPr>
              <w:t>5.5.</w:t>
            </w:r>
            <w:r>
              <w:rPr>
                <w:rFonts w:hint="eastAsia" w:ascii="宋体" w:hAnsi="宋体" w:cs="宋体"/>
                <w:kern w:val="0"/>
                <w:sz w:val="24"/>
              </w:rPr>
              <w:t>7</w:t>
            </w:r>
            <w:r>
              <w:rPr>
                <w:rFonts w:ascii="宋体" w:hAnsi="宋体" w:cs="宋体"/>
                <w:kern w:val="0"/>
                <w:sz w:val="24"/>
              </w:rPr>
              <w:t>.8</w:t>
            </w:r>
            <w:r>
              <w:rPr>
                <w:rFonts w:hint="eastAsia" w:ascii="宋体" w:hAnsi="宋体" w:cs="宋体"/>
                <w:kern w:val="0"/>
                <w:sz w:val="24"/>
              </w:rPr>
              <w:t>凭证管理</w:t>
            </w:r>
          </w:p>
          <w:p w14:paraId="1C200A1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.9</w:t>
            </w:r>
            <w:r>
              <w:rPr>
                <w:rFonts w:hint="eastAsia" w:ascii="宋体" w:hAnsi="宋体" w:cs="宋体"/>
                <w:kern w:val="0"/>
                <w:sz w:val="24"/>
              </w:rPr>
              <w:t>网银签约</w:t>
            </w:r>
          </w:p>
          <w:p w14:paraId="6A430085">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.10</w:t>
            </w:r>
            <w:r>
              <w:rPr>
                <w:rFonts w:hint="eastAsia" w:ascii="宋体" w:hAnsi="宋体" w:cs="宋体"/>
                <w:kern w:val="0"/>
                <w:sz w:val="24"/>
              </w:rPr>
              <w:t>贷款业务</w:t>
            </w:r>
          </w:p>
          <w:p w14:paraId="0B3CFDC5">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.11</w:t>
            </w:r>
            <w:r>
              <w:rPr>
                <w:rFonts w:hint="eastAsia" w:ascii="宋体" w:hAnsi="宋体" w:cs="宋体"/>
                <w:kern w:val="0"/>
                <w:sz w:val="24"/>
              </w:rPr>
              <w:t>表外业务</w:t>
            </w:r>
          </w:p>
          <w:p w14:paraId="389C206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.12</w:t>
            </w:r>
            <w:r>
              <w:rPr>
                <w:rFonts w:hint="eastAsia" w:ascii="宋体" w:hAnsi="宋体" w:cs="宋体"/>
                <w:kern w:val="0"/>
                <w:sz w:val="24"/>
              </w:rPr>
              <w:t>支付结算</w:t>
            </w:r>
          </w:p>
          <w:p w14:paraId="6CC50C31">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.13</w:t>
            </w:r>
            <w:r>
              <w:rPr>
                <w:rFonts w:hint="eastAsia" w:ascii="宋体" w:hAnsi="宋体" w:cs="宋体"/>
                <w:kern w:val="0"/>
                <w:sz w:val="24"/>
              </w:rPr>
              <w:t>贷记卡业务</w:t>
            </w:r>
          </w:p>
          <w:p w14:paraId="351D418C">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.14</w:t>
            </w:r>
            <w:r>
              <w:rPr>
                <w:rFonts w:hint="eastAsia" w:ascii="宋体" w:hAnsi="宋体" w:cs="宋体"/>
                <w:kern w:val="0"/>
                <w:sz w:val="24"/>
              </w:rPr>
              <w:t>支票业务</w:t>
            </w:r>
          </w:p>
          <w:p w14:paraId="2951C4CE">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.15</w:t>
            </w:r>
            <w:r>
              <w:rPr>
                <w:rFonts w:hint="eastAsia" w:ascii="宋体" w:hAnsi="宋体" w:cs="宋体"/>
                <w:kern w:val="0"/>
                <w:sz w:val="24"/>
              </w:rPr>
              <w:t>汇票业务</w:t>
            </w:r>
          </w:p>
          <w:p w14:paraId="14A9371F">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7</w:t>
            </w:r>
            <w:r>
              <w:rPr>
                <w:rFonts w:ascii="宋体" w:hAnsi="宋体" w:cs="宋体"/>
                <w:kern w:val="0"/>
                <w:sz w:val="24"/>
              </w:rPr>
              <w:t>.16</w:t>
            </w:r>
            <w:r>
              <w:rPr>
                <w:rFonts w:hint="eastAsia" w:ascii="宋体" w:hAnsi="宋体" w:cs="宋体"/>
                <w:kern w:val="0"/>
                <w:sz w:val="24"/>
              </w:rPr>
              <w:t>证券柜员业务</w:t>
            </w:r>
          </w:p>
          <w:p w14:paraId="5B35379C">
            <w:pPr>
              <w:spacing w:line="360" w:lineRule="auto"/>
              <w:ind w:firstLine="360" w:firstLineChars="150"/>
              <w:rPr>
                <w:rFonts w:ascii="宋体" w:hAnsi="宋体" w:cs="宋体"/>
                <w:kern w:val="0"/>
                <w:sz w:val="24"/>
              </w:rPr>
            </w:pPr>
            <w:r>
              <w:rPr>
                <w:rFonts w:ascii="宋体" w:hAnsi="宋体" w:cs="宋体"/>
                <w:kern w:val="0"/>
                <w:sz w:val="24"/>
              </w:rPr>
              <w:t>5.7.17</w:t>
            </w:r>
            <w:r>
              <w:rPr>
                <w:rFonts w:hint="eastAsia" w:ascii="宋体" w:hAnsi="宋体" w:cs="宋体"/>
                <w:kern w:val="0"/>
                <w:sz w:val="24"/>
              </w:rPr>
              <w:t>保险柜员业务</w:t>
            </w:r>
          </w:p>
          <w:p w14:paraId="52583E91">
            <w:pPr>
              <w:keepNext/>
              <w:keepLines/>
              <w:spacing w:line="360" w:lineRule="auto"/>
              <w:outlineLvl w:val="3"/>
              <w:rPr>
                <w:rFonts w:ascii="宋体" w:hAnsi="宋体"/>
                <w:sz w:val="24"/>
              </w:rPr>
            </w:pPr>
            <w:r>
              <w:rPr>
                <w:rFonts w:ascii="宋体" w:hAnsi="宋体"/>
                <w:sz w:val="24"/>
              </w:rPr>
              <w:t>5.8.</w:t>
            </w:r>
            <w:r>
              <w:rPr>
                <w:rFonts w:hint="eastAsia" w:ascii="宋体" w:hAnsi="宋体"/>
                <w:sz w:val="24"/>
              </w:rPr>
              <w:t>客户经理岗业务模块</w:t>
            </w:r>
          </w:p>
          <w:p w14:paraId="2831E519">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8</w:t>
            </w:r>
            <w:r>
              <w:rPr>
                <w:rFonts w:ascii="宋体" w:hAnsi="宋体" w:cs="宋体"/>
                <w:kern w:val="0"/>
                <w:sz w:val="24"/>
              </w:rPr>
              <w:t>.1</w:t>
            </w:r>
            <w:r>
              <w:rPr>
                <w:rFonts w:hint="eastAsia" w:ascii="宋体" w:hAnsi="宋体" w:cs="宋体"/>
                <w:kern w:val="0"/>
                <w:sz w:val="24"/>
              </w:rPr>
              <w:t>信贷客户信息管理</w:t>
            </w:r>
          </w:p>
          <w:p w14:paraId="4CDFF8A8">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8</w:t>
            </w:r>
            <w:r>
              <w:rPr>
                <w:rFonts w:ascii="宋体" w:hAnsi="宋体" w:cs="宋体"/>
                <w:kern w:val="0"/>
                <w:sz w:val="24"/>
              </w:rPr>
              <w:t>.2</w:t>
            </w:r>
            <w:r>
              <w:rPr>
                <w:rFonts w:hint="eastAsia" w:ascii="宋体" w:hAnsi="宋体" w:cs="宋体"/>
                <w:kern w:val="0"/>
                <w:sz w:val="24"/>
              </w:rPr>
              <w:t>信贷客户担保品管理</w:t>
            </w:r>
          </w:p>
          <w:p w14:paraId="6563FA31">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8</w:t>
            </w:r>
            <w:r>
              <w:rPr>
                <w:rFonts w:ascii="宋体" w:hAnsi="宋体" w:cs="宋体"/>
                <w:kern w:val="0"/>
                <w:sz w:val="24"/>
              </w:rPr>
              <w:t>.3</w:t>
            </w:r>
            <w:r>
              <w:rPr>
                <w:rFonts w:hint="eastAsia" w:ascii="宋体" w:hAnsi="宋体" w:cs="宋体"/>
                <w:kern w:val="0"/>
                <w:sz w:val="24"/>
              </w:rPr>
              <w:t>资信评估</w:t>
            </w:r>
          </w:p>
          <w:p w14:paraId="0E9E4731">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8</w:t>
            </w:r>
            <w:r>
              <w:rPr>
                <w:rFonts w:ascii="宋体" w:hAnsi="宋体" w:cs="宋体"/>
                <w:kern w:val="0"/>
                <w:sz w:val="24"/>
              </w:rPr>
              <w:t>.4</w:t>
            </w:r>
            <w:r>
              <w:rPr>
                <w:rFonts w:hint="eastAsia" w:ascii="宋体" w:hAnsi="宋体" w:cs="宋体"/>
                <w:kern w:val="0"/>
                <w:sz w:val="24"/>
              </w:rPr>
              <w:t>信贷业务申请</w:t>
            </w:r>
          </w:p>
          <w:p w14:paraId="19ED9EFC">
            <w:pPr>
              <w:spacing w:line="360" w:lineRule="auto"/>
              <w:ind w:firstLine="480" w:firstLineChars="200"/>
              <w:rPr>
                <w:rFonts w:ascii="宋体" w:hAnsi="宋体" w:cs="宋体"/>
                <w:kern w:val="0"/>
                <w:sz w:val="24"/>
              </w:rPr>
            </w:pPr>
            <w:r>
              <w:rPr>
                <w:rFonts w:ascii="宋体" w:hAnsi="宋体" w:cs="宋体"/>
                <w:kern w:val="0"/>
                <w:sz w:val="24"/>
              </w:rPr>
              <w:t>5.8.5</w:t>
            </w:r>
            <w:r>
              <w:rPr>
                <w:rFonts w:hint="eastAsia" w:ascii="宋体" w:hAnsi="宋体" w:cs="宋体"/>
                <w:kern w:val="0"/>
                <w:sz w:val="24"/>
              </w:rPr>
              <w:t>信贷业务审批</w:t>
            </w:r>
          </w:p>
          <w:p w14:paraId="43446973">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8</w:t>
            </w:r>
            <w:r>
              <w:rPr>
                <w:rFonts w:ascii="宋体" w:hAnsi="宋体" w:cs="宋体"/>
                <w:kern w:val="0"/>
                <w:sz w:val="24"/>
              </w:rPr>
              <w:t>.6</w:t>
            </w:r>
            <w:r>
              <w:rPr>
                <w:rFonts w:hint="eastAsia" w:ascii="宋体" w:hAnsi="宋体" w:cs="宋体"/>
                <w:kern w:val="0"/>
                <w:sz w:val="24"/>
              </w:rPr>
              <w:t>信贷发放</w:t>
            </w:r>
          </w:p>
          <w:p w14:paraId="32EE4FC2">
            <w:pPr>
              <w:spacing w:line="360" w:lineRule="auto"/>
              <w:ind w:firstLine="480" w:firstLineChars="200"/>
              <w:rPr>
                <w:rFonts w:ascii="宋体" w:hAnsi="宋体" w:cs="宋体"/>
                <w:kern w:val="0"/>
                <w:sz w:val="24"/>
              </w:rPr>
            </w:pPr>
            <w:r>
              <w:rPr>
                <w:rFonts w:ascii="宋体" w:hAnsi="宋体" w:cs="宋体"/>
                <w:kern w:val="0"/>
                <w:sz w:val="24"/>
              </w:rPr>
              <w:t>5.8.7</w:t>
            </w:r>
            <w:r>
              <w:rPr>
                <w:rFonts w:hint="eastAsia" w:ascii="宋体" w:hAnsi="宋体" w:cs="宋体"/>
                <w:kern w:val="0"/>
                <w:sz w:val="24"/>
              </w:rPr>
              <w:t>信贷合同管理</w:t>
            </w:r>
          </w:p>
          <w:p w14:paraId="2D86F5EF">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8</w:t>
            </w:r>
            <w:r>
              <w:rPr>
                <w:rFonts w:ascii="宋体" w:hAnsi="宋体" w:cs="宋体"/>
                <w:kern w:val="0"/>
                <w:sz w:val="24"/>
              </w:rPr>
              <w:t>.8</w:t>
            </w:r>
            <w:r>
              <w:rPr>
                <w:rFonts w:hint="eastAsia" w:ascii="宋体" w:hAnsi="宋体" w:cs="宋体"/>
                <w:kern w:val="0"/>
                <w:sz w:val="24"/>
              </w:rPr>
              <w:t>资产保全处理</w:t>
            </w:r>
          </w:p>
          <w:p w14:paraId="2EF92D82">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8</w:t>
            </w:r>
            <w:r>
              <w:rPr>
                <w:rFonts w:ascii="宋体" w:hAnsi="宋体" w:cs="宋体"/>
                <w:kern w:val="0"/>
                <w:sz w:val="24"/>
              </w:rPr>
              <w:t>.9</w:t>
            </w:r>
            <w:r>
              <w:rPr>
                <w:rFonts w:hint="eastAsia" w:ascii="宋体" w:hAnsi="宋体" w:cs="宋体"/>
                <w:kern w:val="0"/>
                <w:sz w:val="24"/>
              </w:rPr>
              <w:t>证券客户经理业务</w:t>
            </w:r>
          </w:p>
          <w:p w14:paraId="5AEC8725">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8</w:t>
            </w:r>
            <w:r>
              <w:rPr>
                <w:rFonts w:ascii="宋体" w:hAnsi="宋体" w:cs="宋体"/>
                <w:kern w:val="0"/>
                <w:sz w:val="24"/>
              </w:rPr>
              <w:t>.10</w:t>
            </w:r>
            <w:r>
              <w:rPr>
                <w:rFonts w:hint="eastAsia" w:ascii="宋体" w:hAnsi="宋体" w:cs="宋体"/>
                <w:kern w:val="0"/>
                <w:sz w:val="24"/>
              </w:rPr>
              <w:t>保险客户经理业务</w:t>
            </w:r>
          </w:p>
          <w:p w14:paraId="7773D0F3">
            <w:pPr>
              <w:keepNext/>
              <w:keepLines/>
              <w:spacing w:line="360" w:lineRule="auto"/>
              <w:outlineLvl w:val="3"/>
              <w:rPr>
                <w:rFonts w:ascii="宋体" w:hAnsi="宋体"/>
                <w:sz w:val="24"/>
              </w:rPr>
            </w:pPr>
            <w:r>
              <w:rPr>
                <w:rFonts w:ascii="宋体" w:hAnsi="宋体"/>
                <w:sz w:val="24"/>
              </w:rPr>
              <w:t>5.9.</w:t>
            </w:r>
            <w:r>
              <w:rPr>
                <w:rFonts w:hint="eastAsia" w:ascii="宋体" w:hAnsi="宋体"/>
                <w:sz w:val="24"/>
              </w:rPr>
              <w:t>理财经理岗业务模块</w:t>
            </w:r>
          </w:p>
          <w:p w14:paraId="3D37711E">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9</w:t>
            </w:r>
            <w:r>
              <w:rPr>
                <w:rFonts w:ascii="宋体" w:hAnsi="宋体" w:cs="宋体"/>
                <w:kern w:val="0"/>
                <w:sz w:val="24"/>
              </w:rPr>
              <w:t>.1</w:t>
            </w:r>
            <w:r>
              <w:rPr>
                <w:rFonts w:hint="eastAsia" w:ascii="宋体" w:hAnsi="宋体" w:cs="宋体"/>
                <w:kern w:val="0"/>
                <w:sz w:val="24"/>
              </w:rPr>
              <w:t>客户信息管理</w:t>
            </w:r>
          </w:p>
          <w:p w14:paraId="73EDD0F4">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9</w:t>
            </w:r>
            <w:r>
              <w:rPr>
                <w:rFonts w:ascii="宋体" w:hAnsi="宋体" w:cs="宋体"/>
                <w:kern w:val="0"/>
                <w:sz w:val="24"/>
              </w:rPr>
              <w:t>.2</w:t>
            </w:r>
            <w:r>
              <w:rPr>
                <w:rFonts w:hint="eastAsia" w:ascii="宋体" w:hAnsi="宋体" w:cs="宋体"/>
                <w:kern w:val="0"/>
                <w:sz w:val="24"/>
              </w:rPr>
              <w:t>家庭财务分析</w:t>
            </w:r>
          </w:p>
          <w:p w14:paraId="21EFF004">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9</w:t>
            </w:r>
            <w:r>
              <w:rPr>
                <w:rFonts w:ascii="宋体" w:hAnsi="宋体" w:cs="宋体"/>
                <w:kern w:val="0"/>
                <w:sz w:val="24"/>
              </w:rPr>
              <w:t>.3</w:t>
            </w:r>
            <w:r>
              <w:rPr>
                <w:rFonts w:hint="eastAsia" w:ascii="宋体" w:hAnsi="宋体" w:cs="宋体"/>
                <w:kern w:val="0"/>
                <w:sz w:val="24"/>
              </w:rPr>
              <w:t>理财需求分析</w:t>
            </w:r>
          </w:p>
          <w:p w14:paraId="7625E676">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9</w:t>
            </w:r>
            <w:r>
              <w:rPr>
                <w:rFonts w:ascii="宋体" w:hAnsi="宋体" w:cs="宋体"/>
                <w:kern w:val="0"/>
                <w:sz w:val="24"/>
              </w:rPr>
              <w:t>.4</w:t>
            </w:r>
            <w:r>
              <w:rPr>
                <w:rFonts w:hint="eastAsia" w:ascii="宋体" w:hAnsi="宋体" w:cs="宋体"/>
                <w:kern w:val="0"/>
                <w:sz w:val="24"/>
              </w:rPr>
              <w:t>家庭理财规划</w:t>
            </w:r>
          </w:p>
          <w:p w14:paraId="364EAF5E">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9</w:t>
            </w:r>
            <w:r>
              <w:rPr>
                <w:rFonts w:ascii="宋体" w:hAnsi="宋体" w:cs="宋体"/>
                <w:kern w:val="0"/>
                <w:sz w:val="24"/>
              </w:rPr>
              <w:t>.5</w:t>
            </w:r>
            <w:r>
              <w:rPr>
                <w:rFonts w:hint="eastAsia" w:ascii="宋体" w:hAnsi="宋体" w:cs="宋体"/>
                <w:kern w:val="0"/>
                <w:sz w:val="24"/>
              </w:rPr>
              <w:t>证券投资规划</w:t>
            </w:r>
          </w:p>
          <w:p w14:paraId="3C570A53">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9</w:t>
            </w:r>
            <w:r>
              <w:rPr>
                <w:rFonts w:ascii="宋体" w:hAnsi="宋体" w:cs="宋体"/>
                <w:kern w:val="0"/>
                <w:sz w:val="24"/>
              </w:rPr>
              <w:t>.6</w:t>
            </w:r>
            <w:r>
              <w:rPr>
                <w:rFonts w:hint="eastAsia" w:ascii="宋体" w:hAnsi="宋体" w:cs="宋体"/>
                <w:kern w:val="0"/>
                <w:sz w:val="24"/>
              </w:rPr>
              <w:t>保险投资规划</w:t>
            </w:r>
          </w:p>
          <w:p w14:paraId="04D0BD68">
            <w:pPr>
              <w:keepNext/>
              <w:keepLines/>
              <w:spacing w:line="360" w:lineRule="auto"/>
              <w:outlineLvl w:val="3"/>
              <w:rPr>
                <w:rFonts w:ascii="宋体" w:hAnsi="宋体"/>
                <w:sz w:val="24"/>
              </w:rPr>
            </w:pPr>
            <w:r>
              <w:rPr>
                <w:rFonts w:ascii="宋体" w:hAnsi="宋体"/>
                <w:sz w:val="24"/>
              </w:rPr>
              <w:t>5.10.</w:t>
            </w:r>
            <w:r>
              <w:rPr>
                <w:rFonts w:hint="eastAsia" w:ascii="宋体" w:hAnsi="宋体"/>
                <w:sz w:val="24"/>
              </w:rPr>
              <w:t>大数据金融业务模块</w:t>
            </w:r>
          </w:p>
          <w:p w14:paraId="115A9E85">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0.1</w:t>
            </w:r>
            <w:r>
              <w:rPr>
                <w:rFonts w:hint="eastAsia" w:ascii="宋体" w:hAnsi="宋体" w:cs="宋体"/>
                <w:kern w:val="0"/>
                <w:sz w:val="24"/>
              </w:rPr>
              <w:t>云金融</w:t>
            </w:r>
          </w:p>
          <w:p w14:paraId="4ACBE839">
            <w:pPr>
              <w:spacing w:line="360" w:lineRule="auto"/>
              <w:ind w:firstLine="480" w:firstLineChars="200"/>
              <w:rPr>
                <w:rFonts w:ascii="宋体" w:hAnsi="宋体" w:cs="宋体"/>
                <w:kern w:val="0"/>
                <w:sz w:val="24"/>
              </w:rPr>
            </w:pPr>
            <w:r>
              <w:rPr>
                <w:rFonts w:hint="eastAsia" w:ascii="宋体" w:hAnsi="宋体" w:cs="宋体"/>
                <w:kern w:val="0"/>
                <w:sz w:val="24"/>
              </w:rPr>
              <w:t>支持大数据云服务、云存储、云金融安全等功能。</w:t>
            </w:r>
          </w:p>
          <w:p w14:paraId="5ABE639E">
            <w:pPr>
              <w:spacing w:line="360" w:lineRule="auto"/>
              <w:ind w:firstLine="240" w:firstLineChars="1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1</w:t>
            </w:r>
            <w:r>
              <w:rPr>
                <w:rFonts w:ascii="宋体" w:hAnsi="宋体" w:cs="宋体"/>
                <w:kern w:val="0"/>
                <w:sz w:val="24"/>
              </w:rPr>
              <w:t>0.2</w:t>
            </w:r>
            <w:r>
              <w:rPr>
                <w:rFonts w:hint="eastAsia" w:ascii="宋体" w:hAnsi="宋体" w:cs="宋体"/>
                <w:kern w:val="0"/>
                <w:sz w:val="24"/>
              </w:rPr>
              <w:t>金融大数据</w:t>
            </w:r>
          </w:p>
          <w:p w14:paraId="64BB35A9">
            <w:pPr>
              <w:spacing w:line="360" w:lineRule="auto"/>
              <w:ind w:firstLine="480" w:firstLineChars="200"/>
              <w:rPr>
                <w:rFonts w:ascii="宋体" w:hAnsi="宋体" w:cs="宋体"/>
                <w:kern w:val="0"/>
                <w:sz w:val="24"/>
              </w:rPr>
            </w:pPr>
            <w:r>
              <w:rPr>
                <w:rFonts w:hint="eastAsia" w:ascii="宋体" w:hAnsi="宋体" w:cs="宋体"/>
                <w:kern w:val="0"/>
                <w:sz w:val="24"/>
              </w:rPr>
              <w:t>支持数据采集、数据存储、数据分析与挖掘、数据可视化、客户画像等功能。</w:t>
            </w:r>
          </w:p>
          <w:p w14:paraId="7CB8729D">
            <w:pPr>
              <w:keepNext/>
              <w:keepLines/>
              <w:spacing w:line="360" w:lineRule="auto"/>
              <w:outlineLvl w:val="3"/>
              <w:rPr>
                <w:rFonts w:ascii="宋体" w:hAnsi="宋体"/>
                <w:sz w:val="24"/>
              </w:rPr>
            </w:pPr>
            <w:r>
              <w:rPr>
                <w:rFonts w:ascii="宋体" w:hAnsi="宋体"/>
                <w:sz w:val="24"/>
              </w:rPr>
              <w:t>5.11.</w:t>
            </w:r>
            <w:r>
              <w:rPr>
                <w:rFonts w:hint="eastAsia" w:ascii="宋体" w:hAnsi="宋体"/>
                <w:sz w:val="24"/>
              </w:rPr>
              <w:t>区块链金融业务模块</w:t>
            </w:r>
          </w:p>
          <w:p w14:paraId="2F8ADAA6">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1.1</w:t>
            </w:r>
            <w:r>
              <w:rPr>
                <w:rFonts w:hint="eastAsia" w:ascii="宋体" w:hAnsi="宋体" w:cs="宋体"/>
                <w:kern w:val="0"/>
                <w:sz w:val="24"/>
              </w:rPr>
              <w:t>链建设</w:t>
            </w:r>
          </w:p>
          <w:p w14:paraId="08037C9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1.2</w:t>
            </w:r>
            <w:r>
              <w:rPr>
                <w:rFonts w:hint="eastAsia" w:ascii="宋体" w:hAnsi="宋体" w:cs="宋体"/>
                <w:kern w:val="0"/>
                <w:sz w:val="24"/>
              </w:rPr>
              <w:t>合约管理</w:t>
            </w:r>
          </w:p>
          <w:p w14:paraId="79A54872">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1.3</w:t>
            </w:r>
            <w:r>
              <w:rPr>
                <w:rFonts w:hint="eastAsia" w:ascii="宋体" w:hAnsi="宋体" w:cs="宋体"/>
                <w:kern w:val="0"/>
                <w:sz w:val="24"/>
              </w:rPr>
              <w:t>共识账本</w:t>
            </w:r>
          </w:p>
          <w:p w14:paraId="777C66B1">
            <w:pPr>
              <w:spacing w:line="360" w:lineRule="auto"/>
              <w:ind w:firstLine="240" w:firstLineChars="1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1</w:t>
            </w:r>
            <w:r>
              <w:rPr>
                <w:rFonts w:ascii="宋体" w:hAnsi="宋体" w:cs="宋体"/>
                <w:kern w:val="0"/>
                <w:sz w:val="24"/>
              </w:rPr>
              <w:t>1.4</w:t>
            </w:r>
            <w:r>
              <w:rPr>
                <w:rFonts w:hint="eastAsia" w:ascii="宋体" w:hAnsi="宋体" w:cs="宋体"/>
                <w:kern w:val="0"/>
                <w:sz w:val="24"/>
              </w:rPr>
              <w:t>链应用</w:t>
            </w:r>
          </w:p>
          <w:p w14:paraId="38F93112">
            <w:pPr>
              <w:spacing w:line="360" w:lineRule="auto"/>
              <w:ind w:firstLine="480" w:firstLineChars="200"/>
              <w:rPr>
                <w:rFonts w:ascii="宋体" w:hAnsi="宋体" w:cs="宋体"/>
                <w:kern w:val="0"/>
                <w:sz w:val="24"/>
              </w:rPr>
            </w:pPr>
            <w:r>
              <w:rPr>
                <w:rFonts w:hint="eastAsia" w:ascii="宋体" w:hAnsi="宋体" w:cs="宋体"/>
                <w:kern w:val="0"/>
                <w:sz w:val="24"/>
              </w:rPr>
              <w:t>支持资产证券化业务区块链应用、航空意外、延误险区块链应用、电子发票区块链应用、农业供应链区块链应用等功能。</w:t>
            </w:r>
          </w:p>
          <w:p w14:paraId="3941F696">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1.5</w:t>
            </w:r>
            <w:r>
              <w:rPr>
                <w:rFonts w:hint="eastAsia" w:ascii="宋体" w:hAnsi="宋体" w:cs="宋体"/>
                <w:kern w:val="0"/>
                <w:sz w:val="24"/>
              </w:rPr>
              <w:t>链审计</w:t>
            </w:r>
          </w:p>
          <w:p w14:paraId="2B94B589">
            <w:pPr>
              <w:keepNext/>
              <w:keepLines/>
              <w:spacing w:line="360" w:lineRule="auto"/>
              <w:outlineLvl w:val="3"/>
              <w:rPr>
                <w:rFonts w:ascii="宋体" w:hAnsi="宋体"/>
                <w:sz w:val="24"/>
              </w:rPr>
            </w:pPr>
            <w:r>
              <w:rPr>
                <w:rFonts w:ascii="宋体" w:hAnsi="宋体"/>
                <w:sz w:val="24"/>
              </w:rPr>
              <w:t>5.12.</w:t>
            </w:r>
            <w:r>
              <w:rPr>
                <w:rFonts w:hint="eastAsia" w:ascii="宋体" w:hAnsi="宋体"/>
                <w:sz w:val="24"/>
              </w:rPr>
              <w:t>支付业务数字化模块</w:t>
            </w:r>
          </w:p>
          <w:p w14:paraId="249E69D5">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2.1</w:t>
            </w:r>
            <w:r>
              <w:rPr>
                <w:rFonts w:hint="eastAsia" w:ascii="宋体" w:hAnsi="宋体" w:cs="宋体"/>
                <w:kern w:val="0"/>
                <w:sz w:val="24"/>
              </w:rPr>
              <w:t>数字人民币</w:t>
            </w:r>
          </w:p>
          <w:p w14:paraId="0E7CB130">
            <w:pPr>
              <w:spacing w:line="360" w:lineRule="auto"/>
              <w:ind w:firstLine="480" w:firstLineChars="200"/>
              <w:rPr>
                <w:rFonts w:ascii="宋体" w:hAnsi="宋体" w:cs="宋体"/>
                <w:kern w:val="0"/>
                <w:sz w:val="24"/>
              </w:rPr>
            </w:pPr>
            <w:r>
              <w:rPr>
                <w:rFonts w:hint="eastAsia" w:ascii="宋体" w:hAnsi="宋体" w:cs="宋体"/>
                <w:kern w:val="0"/>
                <w:sz w:val="24"/>
              </w:rPr>
              <w:t>支持数字人民币生成、数字人民币发行、数字人民币钱包开发、数字人民币支付等功能。</w:t>
            </w:r>
          </w:p>
          <w:p w14:paraId="4B6928AD">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2.2</w:t>
            </w:r>
            <w:r>
              <w:rPr>
                <w:rFonts w:hint="eastAsia" w:ascii="宋体" w:hAnsi="宋体" w:cs="宋体"/>
                <w:kern w:val="0"/>
                <w:sz w:val="24"/>
              </w:rPr>
              <w:t>跨境金融</w:t>
            </w:r>
          </w:p>
          <w:p w14:paraId="2E4D7756">
            <w:pPr>
              <w:keepNext/>
              <w:keepLines/>
              <w:spacing w:line="360" w:lineRule="auto"/>
              <w:outlineLvl w:val="3"/>
              <w:rPr>
                <w:rFonts w:ascii="宋体" w:hAnsi="宋体"/>
                <w:sz w:val="24"/>
              </w:rPr>
            </w:pPr>
            <w:r>
              <w:rPr>
                <w:rFonts w:hint="eastAsia" w:ascii="宋体" w:hAnsi="宋体"/>
                <w:sz w:val="24"/>
              </w:rPr>
              <w:t>1</w:t>
            </w:r>
            <w:r>
              <w:rPr>
                <w:rFonts w:ascii="宋体" w:hAnsi="宋体"/>
                <w:sz w:val="24"/>
              </w:rPr>
              <w:t>3.</w:t>
            </w:r>
            <w:r>
              <w:rPr>
                <w:rFonts w:hint="eastAsia" w:ascii="宋体" w:hAnsi="宋体"/>
                <w:sz w:val="24"/>
              </w:rPr>
              <w:t>银行业务数字化模块</w:t>
            </w:r>
          </w:p>
          <w:p w14:paraId="796104FE">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3.1</w:t>
            </w:r>
            <w:r>
              <w:rPr>
                <w:rFonts w:hint="eastAsia" w:ascii="宋体" w:hAnsi="宋体" w:cs="宋体"/>
                <w:kern w:val="0"/>
                <w:sz w:val="24"/>
              </w:rPr>
              <w:t>数字银行</w:t>
            </w:r>
          </w:p>
          <w:p w14:paraId="6B36D2ED">
            <w:pPr>
              <w:spacing w:line="360" w:lineRule="auto"/>
              <w:ind w:firstLine="480" w:firstLineChars="200"/>
              <w:rPr>
                <w:rFonts w:ascii="宋体" w:hAnsi="宋体" w:cs="宋体"/>
                <w:kern w:val="0"/>
                <w:sz w:val="24"/>
              </w:rPr>
            </w:pPr>
            <w:r>
              <w:rPr>
                <w:rFonts w:hint="eastAsia" w:ascii="宋体" w:hAnsi="宋体" w:cs="宋体"/>
                <w:kern w:val="0"/>
                <w:sz w:val="24"/>
              </w:rPr>
              <w:t>支持大数据风控、信贷管理、企业及个人的信用管理、小微企业信贷管理、个人消费信贷管理等功能。</w:t>
            </w:r>
          </w:p>
          <w:p w14:paraId="517C053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3.2</w:t>
            </w:r>
            <w:r>
              <w:rPr>
                <w:rFonts w:hint="eastAsia" w:ascii="宋体" w:hAnsi="宋体" w:cs="宋体"/>
                <w:kern w:val="0"/>
                <w:sz w:val="24"/>
              </w:rPr>
              <w:t>大财富管理</w:t>
            </w:r>
          </w:p>
          <w:p w14:paraId="5F93AF8B">
            <w:pPr>
              <w:spacing w:line="360" w:lineRule="auto"/>
              <w:ind w:firstLine="240" w:firstLineChars="1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1</w:t>
            </w:r>
            <w:r>
              <w:rPr>
                <w:rFonts w:ascii="宋体" w:hAnsi="宋体" w:cs="宋体"/>
                <w:kern w:val="0"/>
                <w:sz w:val="24"/>
              </w:rPr>
              <w:t>3.3</w:t>
            </w:r>
            <w:r>
              <w:rPr>
                <w:rFonts w:hint="eastAsia" w:ascii="宋体" w:hAnsi="宋体" w:cs="宋体"/>
                <w:kern w:val="0"/>
                <w:sz w:val="24"/>
              </w:rPr>
              <w:t>客户画像</w:t>
            </w:r>
          </w:p>
          <w:p w14:paraId="3AFE902C">
            <w:pPr>
              <w:spacing w:line="360" w:lineRule="auto"/>
              <w:ind w:firstLine="480" w:firstLineChars="200"/>
              <w:rPr>
                <w:rFonts w:ascii="宋体" w:hAnsi="宋体" w:cs="宋体"/>
                <w:kern w:val="0"/>
                <w:sz w:val="24"/>
              </w:rPr>
            </w:pPr>
            <w:r>
              <w:rPr>
                <w:rFonts w:hint="eastAsia" w:ascii="宋体" w:hAnsi="宋体" w:cs="宋体"/>
                <w:kern w:val="0"/>
                <w:sz w:val="24"/>
              </w:rPr>
              <w:t>支持特征数据管理、客户数据管理、标签管理、特征分析、营销方案管理等功能。</w:t>
            </w:r>
          </w:p>
          <w:p w14:paraId="71E50A62">
            <w:pPr>
              <w:keepNext/>
              <w:keepLines/>
              <w:spacing w:line="360" w:lineRule="auto"/>
              <w:outlineLvl w:val="3"/>
              <w:rPr>
                <w:rFonts w:ascii="宋体" w:hAnsi="宋体"/>
                <w:sz w:val="24"/>
              </w:rPr>
            </w:pPr>
            <w:r>
              <w:rPr>
                <w:rFonts w:ascii="宋体" w:hAnsi="宋体"/>
                <w:sz w:val="24"/>
              </w:rPr>
              <w:t>5.</w:t>
            </w:r>
            <w:r>
              <w:rPr>
                <w:rFonts w:hint="eastAsia" w:ascii="宋体" w:hAnsi="宋体"/>
                <w:sz w:val="24"/>
              </w:rPr>
              <w:t>1</w:t>
            </w:r>
            <w:r>
              <w:rPr>
                <w:rFonts w:ascii="宋体" w:hAnsi="宋体"/>
                <w:sz w:val="24"/>
              </w:rPr>
              <w:t>4.</w:t>
            </w:r>
            <w:r>
              <w:rPr>
                <w:rFonts w:hint="eastAsia" w:ascii="宋体" w:hAnsi="宋体"/>
                <w:sz w:val="24"/>
              </w:rPr>
              <w:t>证券业务数字化模块</w:t>
            </w:r>
          </w:p>
          <w:p w14:paraId="5FA05D2D">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4.1</w:t>
            </w:r>
            <w:r>
              <w:rPr>
                <w:rFonts w:hint="eastAsia" w:ascii="宋体" w:hAnsi="宋体" w:cs="宋体"/>
                <w:kern w:val="0"/>
                <w:sz w:val="24"/>
              </w:rPr>
              <w:t>智能投顾</w:t>
            </w:r>
          </w:p>
          <w:p w14:paraId="2C1656C8">
            <w:pPr>
              <w:spacing w:line="360" w:lineRule="auto"/>
              <w:ind w:firstLine="480" w:firstLineChars="200"/>
              <w:rPr>
                <w:rFonts w:ascii="宋体" w:hAnsi="宋体" w:cs="宋体"/>
                <w:kern w:val="0"/>
                <w:sz w:val="24"/>
              </w:rPr>
            </w:pPr>
            <w:r>
              <w:rPr>
                <w:rFonts w:hint="eastAsia" w:ascii="宋体" w:hAnsi="宋体" w:cs="宋体"/>
                <w:kern w:val="0"/>
                <w:sz w:val="24"/>
              </w:rPr>
              <w:t>支持客户精准选择、金融服务方案设计、投资组合构建、投资组合调仓、投资业绩报告等功能。</w:t>
            </w:r>
          </w:p>
          <w:p w14:paraId="08AE1F62">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4.2</w:t>
            </w:r>
            <w:r>
              <w:rPr>
                <w:rFonts w:hint="eastAsia" w:ascii="宋体" w:hAnsi="宋体" w:cs="宋体"/>
                <w:kern w:val="0"/>
                <w:sz w:val="24"/>
              </w:rPr>
              <w:t>智能投研</w:t>
            </w:r>
          </w:p>
          <w:p w14:paraId="514A52A1">
            <w:pPr>
              <w:spacing w:line="360" w:lineRule="auto"/>
              <w:ind w:firstLine="480" w:firstLineChars="200"/>
              <w:rPr>
                <w:rFonts w:ascii="宋体" w:hAnsi="宋体" w:cs="宋体"/>
                <w:kern w:val="0"/>
                <w:sz w:val="24"/>
              </w:rPr>
            </w:pPr>
            <w:r>
              <w:rPr>
                <w:rFonts w:hint="eastAsia" w:ascii="宋体" w:hAnsi="宋体" w:cs="宋体"/>
                <w:kern w:val="0"/>
                <w:sz w:val="24"/>
              </w:rPr>
              <w:t>支持市场信息整合、市场投资情绪分析、投研报告撰写等功能。</w:t>
            </w:r>
          </w:p>
          <w:p w14:paraId="18D9874D">
            <w:pPr>
              <w:spacing w:line="360" w:lineRule="auto"/>
              <w:ind w:firstLine="240" w:firstLineChars="1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1</w:t>
            </w:r>
            <w:r>
              <w:rPr>
                <w:rFonts w:ascii="宋体" w:hAnsi="宋体" w:cs="宋体"/>
                <w:kern w:val="0"/>
                <w:sz w:val="24"/>
              </w:rPr>
              <w:t>4.3</w:t>
            </w:r>
            <w:r>
              <w:rPr>
                <w:rFonts w:hint="eastAsia" w:ascii="宋体" w:hAnsi="宋体" w:cs="宋体"/>
                <w:kern w:val="0"/>
                <w:sz w:val="24"/>
              </w:rPr>
              <w:t>程序化交易</w:t>
            </w:r>
          </w:p>
          <w:p w14:paraId="3EC9A501">
            <w:pPr>
              <w:spacing w:line="360" w:lineRule="auto"/>
              <w:ind w:firstLine="480" w:firstLineChars="200"/>
              <w:rPr>
                <w:rFonts w:ascii="宋体" w:hAnsi="宋体" w:cs="宋体"/>
                <w:kern w:val="0"/>
                <w:sz w:val="24"/>
              </w:rPr>
            </w:pPr>
            <w:r>
              <w:rPr>
                <w:rFonts w:hint="eastAsia" w:ascii="宋体" w:hAnsi="宋体" w:cs="宋体"/>
                <w:kern w:val="0"/>
                <w:sz w:val="24"/>
              </w:rPr>
              <w:t>支持制定交易策略、财务分析、条件选股、历史数据回测、参数优化、模拟应用检验、跟踪监测等功能。</w:t>
            </w:r>
          </w:p>
          <w:p w14:paraId="3FC653D4">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4.4</w:t>
            </w:r>
            <w:r>
              <w:rPr>
                <w:rFonts w:hint="eastAsia" w:ascii="宋体" w:hAnsi="宋体" w:cs="宋体"/>
                <w:kern w:val="0"/>
                <w:sz w:val="24"/>
              </w:rPr>
              <w:t>产品营销</w:t>
            </w:r>
          </w:p>
          <w:p w14:paraId="10464546">
            <w:pPr>
              <w:spacing w:line="360" w:lineRule="auto"/>
              <w:ind w:firstLine="480" w:firstLineChars="200"/>
              <w:rPr>
                <w:rFonts w:ascii="宋体" w:hAnsi="宋体" w:cs="宋体"/>
                <w:kern w:val="0"/>
                <w:sz w:val="24"/>
              </w:rPr>
            </w:pPr>
            <w:r>
              <w:rPr>
                <w:rFonts w:hint="eastAsia" w:ascii="宋体" w:hAnsi="宋体" w:cs="宋体"/>
                <w:kern w:val="0"/>
                <w:sz w:val="24"/>
              </w:rPr>
              <w:t>支持签订协议、制定计划、用户画像、精准营销等功能。</w:t>
            </w:r>
          </w:p>
          <w:p w14:paraId="517DAACE">
            <w:pPr>
              <w:keepNext/>
              <w:keepLines/>
              <w:spacing w:line="360" w:lineRule="auto"/>
              <w:outlineLvl w:val="3"/>
              <w:rPr>
                <w:rFonts w:ascii="宋体" w:hAnsi="宋体"/>
                <w:sz w:val="24"/>
              </w:rPr>
            </w:pPr>
            <w:r>
              <w:rPr>
                <w:rFonts w:ascii="宋体" w:hAnsi="宋体" w:cs="宋体"/>
                <w:kern w:val="0"/>
                <w:sz w:val="24"/>
              </w:rPr>
              <w:t>5.</w:t>
            </w:r>
            <w:r>
              <w:rPr>
                <w:rFonts w:hint="eastAsia" w:ascii="宋体" w:hAnsi="宋体"/>
                <w:sz w:val="24"/>
              </w:rPr>
              <w:t>1</w:t>
            </w:r>
            <w:r>
              <w:rPr>
                <w:rFonts w:ascii="宋体" w:hAnsi="宋体"/>
                <w:sz w:val="24"/>
              </w:rPr>
              <w:t>5.</w:t>
            </w:r>
            <w:r>
              <w:rPr>
                <w:rFonts w:hint="eastAsia" w:ascii="宋体" w:hAnsi="宋体"/>
                <w:sz w:val="24"/>
              </w:rPr>
              <w:t>保险业务数字化模块</w:t>
            </w:r>
          </w:p>
          <w:p w14:paraId="025B1F7E">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5.1</w:t>
            </w:r>
            <w:r>
              <w:rPr>
                <w:rFonts w:hint="eastAsia" w:ascii="宋体" w:hAnsi="宋体" w:cs="宋体"/>
                <w:kern w:val="0"/>
                <w:sz w:val="24"/>
              </w:rPr>
              <w:t>保险设计</w:t>
            </w:r>
          </w:p>
          <w:p w14:paraId="7A62888B">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5.2</w:t>
            </w:r>
            <w:r>
              <w:rPr>
                <w:rFonts w:hint="eastAsia" w:ascii="宋体" w:hAnsi="宋体" w:cs="宋体"/>
                <w:kern w:val="0"/>
                <w:sz w:val="24"/>
              </w:rPr>
              <w:t>保险营销</w:t>
            </w:r>
          </w:p>
          <w:p w14:paraId="67A09A46">
            <w:pPr>
              <w:spacing w:line="360" w:lineRule="auto"/>
              <w:ind w:firstLine="240" w:firstLineChars="100"/>
              <w:rPr>
                <w:rFonts w:ascii="宋体" w:hAnsi="宋体" w:cs="宋体"/>
                <w:kern w:val="0"/>
                <w:sz w:val="24"/>
              </w:rPr>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1</w:t>
            </w:r>
            <w:r>
              <w:rPr>
                <w:rFonts w:ascii="宋体" w:hAnsi="宋体" w:cs="宋体"/>
                <w:kern w:val="0"/>
                <w:sz w:val="24"/>
              </w:rPr>
              <w:t>5.3</w:t>
            </w:r>
            <w:r>
              <w:rPr>
                <w:rFonts w:hint="eastAsia" w:ascii="宋体" w:hAnsi="宋体" w:cs="宋体"/>
                <w:kern w:val="0"/>
                <w:sz w:val="24"/>
              </w:rPr>
              <w:t>保险管理</w:t>
            </w:r>
          </w:p>
          <w:p w14:paraId="6C9E928C">
            <w:pPr>
              <w:spacing w:line="360" w:lineRule="auto"/>
              <w:ind w:firstLine="480" w:firstLineChars="200"/>
              <w:rPr>
                <w:rFonts w:ascii="宋体" w:hAnsi="宋体" w:cs="宋体"/>
                <w:kern w:val="0"/>
                <w:sz w:val="24"/>
              </w:rPr>
            </w:pPr>
            <w:r>
              <w:rPr>
                <w:rFonts w:hint="eastAsia" w:ascii="宋体" w:hAnsi="宋体" w:cs="宋体"/>
                <w:kern w:val="0"/>
                <w:sz w:val="24"/>
              </w:rPr>
              <w:t>支持自动化核保、反欺诈识别、自动化理赔等功能。</w:t>
            </w:r>
          </w:p>
          <w:p w14:paraId="6E74A873">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5.4</w:t>
            </w:r>
            <w:r>
              <w:rPr>
                <w:rFonts w:hint="eastAsia" w:ascii="宋体" w:hAnsi="宋体" w:cs="宋体"/>
                <w:kern w:val="0"/>
                <w:sz w:val="24"/>
              </w:rPr>
              <w:t>保险客户服务</w:t>
            </w:r>
          </w:p>
          <w:p w14:paraId="3D5EE3F9">
            <w:pPr>
              <w:keepNext/>
              <w:keepLines/>
              <w:spacing w:line="360" w:lineRule="auto"/>
              <w:outlineLvl w:val="3"/>
              <w:rPr>
                <w:rFonts w:ascii="宋体" w:hAnsi="宋体"/>
                <w:sz w:val="24"/>
              </w:rPr>
            </w:pPr>
            <w:r>
              <w:rPr>
                <w:rFonts w:ascii="宋体" w:hAnsi="宋体"/>
                <w:sz w:val="24"/>
              </w:rPr>
              <w:t>5.</w:t>
            </w:r>
            <w:r>
              <w:rPr>
                <w:rFonts w:hint="eastAsia" w:ascii="宋体" w:hAnsi="宋体"/>
                <w:sz w:val="24"/>
              </w:rPr>
              <w:t>1</w:t>
            </w:r>
            <w:r>
              <w:rPr>
                <w:rFonts w:ascii="宋体" w:hAnsi="宋体"/>
                <w:sz w:val="24"/>
              </w:rPr>
              <w:t>6.</w:t>
            </w:r>
            <w:r>
              <w:rPr>
                <w:rFonts w:hint="eastAsia" w:ascii="宋体" w:hAnsi="宋体"/>
                <w:sz w:val="24"/>
              </w:rPr>
              <w:t>金融科技业务创新模块</w:t>
            </w:r>
          </w:p>
          <w:p w14:paraId="56DDC65B">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6.1</w:t>
            </w:r>
            <w:r>
              <w:rPr>
                <w:rFonts w:hint="eastAsia" w:ascii="宋体" w:hAnsi="宋体" w:cs="宋体"/>
                <w:kern w:val="0"/>
                <w:sz w:val="24"/>
              </w:rPr>
              <w:t>供应链金融</w:t>
            </w:r>
          </w:p>
          <w:p w14:paraId="7BCFF018">
            <w:pPr>
              <w:spacing w:line="360" w:lineRule="auto"/>
              <w:ind w:firstLine="480" w:firstLineChars="200"/>
              <w:rPr>
                <w:rFonts w:ascii="宋体" w:hAnsi="宋体" w:cs="宋体"/>
                <w:kern w:val="0"/>
                <w:sz w:val="24"/>
              </w:rPr>
            </w:pPr>
            <w:r>
              <w:rPr>
                <w:rFonts w:hint="eastAsia" w:ascii="宋体" w:hAnsi="宋体" w:cs="宋体"/>
                <w:kern w:val="0"/>
                <w:sz w:val="24"/>
              </w:rPr>
              <w:t>支持额度管理、出票管理、收票管理、背书转让、票据贴现、到期承兑、保理业务等功能。</w:t>
            </w:r>
          </w:p>
          <w:p w14:paraId="2E12A9B9">
            <w:pPr>
              <w:keepNext/>
              <w:keepLines/>
              <w:spacing w:line="360" w:lineRule="auto"/>
              <w:outlineLvl w:val="3"/>
              <w:rPr>
                <w:rFonts w:ascii="宋体" w:hAnsi="宋体"/>
                <w:sz w:val="24"/>
              </w:rPr>
            </w:pPr>
            <w:r>
              <w:rPr>
                <w:rFonts w:ascii="宋体" w:hAnsi="宋体" w:cs="宋体"/>
                <w:kern w:val="0"/>
                <w:sz w:val="24"/>
              </w:rPr>
              <w:t>5.</w:t>
            </w:r>
            <w:r>
              <w:rPr>
                <w:rFonts w:hint="eastAsia" w:ascii="宋体" w:hAnsi="宋体"/>
                <w:sz w:val="24"/>
              </w:rPr>
              <w:t>1</w:t>
            </w:r>
            <w:r>
              <w:rPr>
                <w:rFonts w:ascii="宋体" w:hAnsi="宋体"/>
                <w:sz w:val="24"/>
              </w:rPr>
              <w:t>7.</w:t>
            </w:r>
            <w:r>
              <w:rPr>
                <w:rFonts w:hint="eastAsia" w:ascii="宋体" w:hAnsi="宋体"/>
                <w:sz w:val="24"/>
              </w:rPr>
              <w:t>数字金融业务监管模块</w:t>
            </w:r>
          </w:p>
          <w:p w14:paraId="39463FD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7.1</w:t>
            </w:r>
            <w:r>
              <w:rPr>
                <w:rFonts w:hint="eastAsia" w:ascii="宋体" w:hAnsi="宋体" w:cs="宋体"/>
                <w:kern w:val="0"/>
                <w:sz w:val="24"/>
              </w:rPr>
              <w:t>监管沙盒</w:t>
            </w:r>
          </w:p>
          <w:p w14:paraId="7C7691E0">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7.2</w:t>
            </w:r>
            <w:r>
              <w:rPr>
                <w:rFonts w:hint="eastAsia" w:ascii="宋体" w:hAnsi="宋体" w:cs="宋体"/>
                <w:kern w:val="0"/>
                <w:sz w:val="24"/>
              </w:rPr>
              <w:t>非现场审计</w:t>
            </w:r>
          </w:p>
          <w:p w14:paraId="68C7F1FA">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1</w:t>
            </w:r>
            <w:r>
              <w:rPr>
                <w:rFonts w:ascii="宋体" w:hAnsi="宋体" w:cs="宋体"/>
                <w:kern w:val="0"/>
                <w:sz w:val="24"/>
              </w:rPr>
              <w:t>7.3</w:t>
            </w:r>
            <w:r>
              <w:rPr>
                <w:rFonts w:hint="eastAsia" w:ascii="宋体" w:hAnsi="宋体" w:cs="宋体"/>
                <w:kern w:val="0"/>
                <w:sz w:val="24"/>
              </w:rPr>
              <w:t>风险预警</w:t>
            </w:r>
          </w:p>
        </w:tc>
        <w:tc>
          <w:tcPr>
            <w:tcW w:w="900" w:type="dxa"/>
          </w:tcPr>
          <w:p w14:paraId="020126E1">
            <w:pPr>
              <w:spacing w:line="440" w:lineRule="exact"/>
              <w:jc w:val="center"/>
              <w:rPr>
                <w:rFonts w:ascii="宋体" w:hAnsi="宋体" w:cs="宋体"/>
                <w:sz w:val="24"/>
              </w:rPr>
            </w:pPr>
            <w:r>
              <w:rPr>
                <w:rFonts w:hint="eastAsia" w:ascii="宋体" w:hAnsi="宋体" w:cs="宋体"/>
                <w:sz w:val="24"/>
              </w:rPr>
              <w:t>1</w:t>
            </w:r>
          </w:p>
        </w:tc>
        <w:tc>
          <w:tcPr>
            <w:tcW w:w="877" w:type="dxa"/>
          </w:tcPr>
          <w:p w14:paraId="67E285C9">
            <w:pPr>
              <w:spacing w:line="440" w:lineRule="exact"/>
              <w:jc w:val="center"/>
              <w:rPr>
                <w:rFonts w:ascii="宋体" w:hAnsi="宋体" w:cs="宋体"/>
                <w:sz w:val="24"/>
              </w:rPr>
            </w:pPr>
            <w:r>
              <w:rPr>
                <w:rFonts w:hint="eastAsia" w:ascii="宋体" w:hAnsi="宋体" w:cs="宋体"/>
                <w:sz w:val="24"/>
              </w:rPr>
              <w:t>套</w:t>
            </w:r>
          </w:p>
        </w:tc>
      </w:tr>
    </w:tbl>
    <w:p w14:paraId="1FA2BBD8">
      <w:pPr>
        <w:keepNext/>
        <w:keepLines/>
        <w:spacing w:line="440" w:lineRule="exact"/>
        <w:ind w:firstLine="480" w:firstLineChars="200"/>
        <w:jc w:val="left"/>
        <w:outlineLvl w:val="2"/>
        <w:rPr>
          <w:rFonts w:ascii="宋体" w:hAnsi="宋体" w:cs="宋体"/>
          <w:b/>
          <w:sz w:val="24"/>
        </w:rPr>
      </w:pPr>
      <w:r>
        <w:rPr>
          <w:rFonts w:hint="eastAsia" w:ascii="宋体" w:hAnsi="宋体" w:cs="宋体"/>
          <w:b/>
          <w:sz w:val="24"/>
        </w:rPr>
        <w:t>二、供货期、质保期、付款方式、验收标准</w:t>
      </w:r>
    </w:p>
    <w:p w14:paraId="0124B810">
      <w:pPr>
        <w:spacing w:line="440" w:lineRule="exact"/>
        <w:ind w:firstLine="480" w:firstLineChars="200"/>
        <w:rPr>
          <w:rFonts w:ascii="宋体" w:hAnsi="宋体" w:cs="宋体"/>
          <w:sz w:val="24"/>
        </w:rPr>
      </w:pPr>
      <w:r>
        <w:rPr>
          <w:rFonts w:hint="eastAsia" w:ascii="宋体" w:hAnsi="宋体" w:cs="宋体"/>
          <w:sz w:val="24"/>
        </w:rPr>
        <w:t>1、交货期及交货地点</w:t>
      </w:r>
    </w:p>
    <w:p w14:paraId="39D77EBF">
      <w:pPr>
        <w:spacing w:line="440" w:lineRule="exact"/>
        <w:ind w:firstLine="480" w:firstLineChars="200"/>
        <w:rPr>
          <w:rFonts w:ascii="宋体" w:hAnsi="宋体" w:cs="宋体"/>
          <w:sz w:val="24"/>
        </w:rPr>
      </w:pPr>
      <w:r>
        <w:rPr>
          <w:rFonts w:hint="eastAsia" w:ascii="宋体" w:hAnsi="宋体" w:cs="宋体"/>
          <w:sz w:val="24"/>
        </w:rPr>
        <w:t>交货期：合同签订后1</w:t>
      </w:r>
      <w:r>
        <w:rPr>
          <w:rFonts w:hint="eastAsia" w:ascii="宋体" w:hAnsi="宋体" w:cs="宋体"/>
          <w:sz w:val="24"/>
          <w:lang w:val="en-US" w:eastAsia="zh-CN"/>
        </w:rPr>
        <w:t>5</w:t>
      </w:r>
      <w:r>
        <w:rPr>
          <w:rFonts w:hint="eastAsia" w:ascii="宋体" w:hAnsi="宋体" w:cs="宋体"/>
          <w:sz w:val="24"/>
        </w:rPr>
        <w:t>个工作日内完成供货。</w:t>
      </w:r>
    </w:p>
    <w:p w14:paraId="14A5885B">
      <w:pPr>
        <w:spacing w:line="440" w:lineRule="exact"/>
        <w:ind w:firstLine="480" w:firstLineChars="200"/>
        <w:rPr>
          <w:rFonts w:ascii="宋体" w:hAnsi="宋体" w:cs="宋体"/>
          <w:sz w:val="24"/>
        </w:rPr>
      </w:pPr>
      <w:r>
        <w:rPr>
          <w:rFonts w:hint="eastAsia" w:ascii="宋体" w:hAnsi="宋体" w:cs="宋体"/>
          <w:sz w:val="24"/>
        </w:rPr>
        <w:t>交货地点：采购人指定地点。</w:t>
      </w:r>
    </w:p>
    <w:p w14:paraId="166AB60E">
      <w:pPr>
        <w:spacing w:line="440" w:lineRule="exact"/>
        <w:ind w:firstLine="480" w:firstLineChars="200"/>
        <w:rPr>
          <w:rFonts w:ascii="宋体" w:hAnsi="宋体" w:cs="宋体"/>
          <w:sz w:val="24"/>
        </w:rPr>
      </w:pPr>
      <w:r>
        <w:rPr>
          <w:rFonts w:hint="eastAsia" w:ascii="宋体" w:hAnsi="宋体" w:cs="宋体"/>
          <w:sz w:val="24"/>
        </w:rPr>
        <w:t>2、质保期</w:t>
      </w:r>
    </w:p>
    <w:p w14:paraId="2556EA90">
      <w:pPr>
        <w:spacing w:line="440" w:lineRule="exact"/>
        <w:ind w:firstLine="480" w:firstLineChars="200"/>
        <w:rPr>
          <w:rFonts w:ascii="宋体" w:hAnsi="宋体" w:cs="宋体"/>
          <w:sz w:val="24"/>
        </w:rPr>
      </w:pPr>
      <w:r>
        <w:rPr>
          <w:rFonts w:hint="eastAsia" w:ascii="宋体" w:hAnsi="宋体" w:cs="宋体"/>
          <w:sz w:val="24"/>
        </w:rPr>
        <w:t>质保期3年。</w:t>
      </w:r>
    </w:p>
    <w:p w14:paraId="0102ED15">
      <w:pPr>
        <w:spacing w:line="440" w:lineRule="exact"/>
        <w:ind w:firstLine="480" w:firstLineChars="200"/>
        <w:rPr>
          <w:rFonts w:ascii="宋体" w:hAnsi="宋体" w:cs="宋体"/>
          <w:sz w:val="24"/>
        </w:rPr>
      </w:pPr>
      <w:r>
        <w:rPr>
          <w:rFonts w:hint="eastAsia" w:ascii="宋体" w:hAnsi="宋体" w:cs="宋体"/>
          <w:sz w:val="24"/>
        </w:rPr>
        <w:t>3、付款方式</w:t>
      </w:r>
    </w:p>
    <w:p w14:paraId="337AEA8D">
      <w:pPr>
        <w:spacing w:line="440" w:lineRule="exact"/>
        <w:ind w:firstLine="480" w:firstLineChars="200"/>
      </w:pPr>
      <w:r>
        <w:rPr>
          <w:rFonts w:ascii="宋体" w:hAnsi="宋体" w:cs="宋体"/>
          <w:sz w:val="24"/>
        </w:rPr>
        <w:t>安装完毕并验收合格后，采购人凭收讫货物的验收凭证、验收合格文件等材料，且收到中标人提供发票7个工作日</w:t>
      </w:r>
      <w:r>
        <w:rPr>
          <w:rFonts w:hint="eastAsia" w:ascii="宋体" w:hAnsi="宋体" w:cs="宋体"/>
          <w:sz w:val="24"/>
        </w:rPr>
        <w:t>内</w:t>
      </w:r>
      <w:r>
        <w:rPr>
          <w:rFonts w:ascii="宋体" w:hAnsi="宋体" w:cs="宋体"/>
          <w:sz w:val="24"/>
        </w:rPr>
        <w:t>，</w:t>
      </w:r>
      <w:r>
        <w:rPr>
          <w:rFonts w:hint="eastAsia" w:ascii="宋体" w:hAnsi="宋体" w:cs="宋体"/>
          <w:sz w:val="24"/>
        </w:rPr>
        <w:t>支付</w:t>
      </w:r>
      <w:r>
        <w:rPr>
          <w:rFonts w:ascii="宋体" w:hAnsi="宋体" w:cs="宋体"/>
          <w:sz w:val="24"/>
        </w:rPr>
        <w:t>合同金额的</w:t>
      </w:r>
      <w:r>
        <w:rPr>
          <w:rFonts w:hint="eastAsia" w:ascii="宋体" w:hAnsi="宋体" w:cs="宋体"/>
          <w:sz w:val="24"/>
        </w:rPr>
        <w:t>95</w:t>
      </w:r>
      <w:r>
        <w:rPr>
          <w:rFonts w:ascii="宋体" w:hAnsi="宋体" w:cs="宋体"/>
          <w:sz w:val="24"/>
        </w:rPr>
        <w:t>%</w:t>
      </w:r>
      <w:r>
        <w:rPr>
          <w:rFonts w:hint="eastAsia" w:ascii="宋体" w:hAnsi="宋体" w:cs="宋体"/>
          <w:sz w:val="24"/>
        </w:rPr>
        <w:t>，剩余5%将于产品验收合格后三年一次性付清。</w:t>
      </w:r>
    </w:p>
    <w:p w14:paraId="0EDA0CBC">
      <w:pPr>
        <w:spacing w:line="440" w:lineRule="exact"/>
        <w:ind w:firstLine="480" w:firstLineChars="200"/>
        <w:rPr>
          <w:rFonts w:ascii="宋体" w:hAnsi="宋体" w:cs="宋体"/>
          <w:sz w:val="24"/>
        </w:rPr>
      </w:pPr>
      <w:r>
        <w:rPr>
          <w:rFonts w:hint="eastAsia" w:ascii="宋体" w:hAnsi="宋体" w:cs="宋体"/>
          <w:sz w:val="24"/>
        </w:rPr>
        <w:t>4、验收要求</w:t>
      </w:r>
    </w:p>
    <w:p w14:paraId="07BC9632">
      <w:pPr>
        <w:spacing w:line="440" w:lineRule="exact"/>
        <w:ind w:firstLine="480" w:firstLineChars="200"/>
        <w:rPr>
          <w:rFonts w:ascii="宋体" w:hAnsi="宋体" w:cs="宋体"/>
          <w:sz w:val="24"/>
        </w:rPr>
      </w:pPr>
      <w:r>
        <w:rPr>
          <w:rFonts w:hint="eastAsia" w:ascii="宋体" w:hAnsi="宋体" w:cs="宋体"/>
          <w:sz w:val="24"/>
        </w:rPr>
        <w:t>（1）货到后，招标人对中标人提交的货物依据采购文件上的技术规格要求和国家有关质量标准进行现场初步验收，外观、说明书符合采购文件技术要求的，并进行相应的功能测试，符合要求后予以验收通过。</w:t>
      </w:r>
    </w:p>
    <w:p w14:paraId="039184B1">
      <w:pPr>
        <w:spacing w:line="440" w:lineRule="exact"/>
        <w:ind w:firstLine="480" w:firstLineChars="200"/>
        <w:rPr>
          <w:rFonts w:ascii="宋体" w:hAnsi="宋体" w:cs="宋体"/>
          <w:sz w:val="24"/>
        </w:rPr>
      </w:pPr>
      <w:r>
        <w:rPr>
          <w:rFonts w:hint="eastAsia" w:ascii="宋体" w:hAnsi="宋体" w:cs="宋体"/>
          <w:sz w:val="24"/>
        </w:rPr>
        <w:t>（2）中标人交货前应对产品作出全面检查和对验收文件进行整理，并列出清单，作为招标人收货验收和使用的技术条件依据，检验的结果应随货物交招标人。</w:t>
      </w:r>
    </w:p>
    <w:p w14:paraId="349726C0">
      <w:pPr>
        <w:spacing w:line="440" w:lineRule="exact"/>
        <w:ind w:firstLine="480" w:firstLineChars="200"/>
        <w:rPr>
          <w:rFonts w:ascii="宋体" w:hAnsi="宋体" w:cs="宋体"/>
          <w:sz w:val="24"/>
        </w:rPr>
      </w:pPr>
      <w:r>
        <w:rPr>
          <w:rFonts w:hint="eastAsia" w:ascii="宋体" w:hAnsi="宋体" w:cs="宋体"/>
          <w:sz w:val="24"/>
        </w:rPr>
        <w:t>（3）招标人对中标人提供的货物在使用前进行调试时，中标人需负责安装并培训招标人的使用操作人员，并协助招标人一起调试，直到符合技术要求，招标人才做最终验收。</w:t>
      </w:r>
    </w:p>
    <w:p w14:paraId="7C8FF54E">
      <w:pPr>
        <w:spacing w:line="460" w:lineRule="exact"/>
        <w:ind w:firstLine="480" w:firstLineChars="200"/>
        <w:rPr>
          <w:rFonts w:ascii="宋体" w:hAnsi="宋体" w:cs="宋体"/>
          <w:b/>
          <w:bCs/>
          <w:sz w:val="24"/>
        </w:rPr>
      </w:pPr>
      <w:r>
        <w:rPr>
          <w:rFonts w:hint="eastAsia" w:ascii="宋体" w:hAnsi="宋体" w:cs="宋体"/>
          <w:b/>
          <w:bCs/>
          <w:sz w:val="24"/>
        </w:rPr>
        <w:t>三、履约保证金</w:t>
      </w:r>
    </w:p>
    <w:p w14:paraId="1B7587C2">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5AF2F603">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4464FB0C">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51B6F50E">
      <w:pPr>
        <w:widowControl/>
        <w:spacing w:line="460" w:lineRule="exact"/>
        <w:ind w:firstLine="480" w:firstLineChars="200"/>
        <w:jc w:val="left"/>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0CB989F0">
      <w:pPr>
        <w:rPr>
          <w:rFonts w:ascii="宋体" w:hAnsi="宋体" w:cs="黑体"/>
          <w:b/>
          <w:bCs/>
          <w:sz w:val="32"/>
          <w:szCs w:val="32"/>
        </w:rPr>
      </w:pPr>
      <w:r>
        <w:rPr>
          <w:rFonts w:hint="eastAsia" w:ascii="宋体" w:hAnsi="宋体" w:cs="黑体"/>
          <w:b/>
          <w:bCs/>
          <w:sz w:val="32"/>
          <w:szCs w:val="32"/>
        </w:rPr>
        <w:br w:type="page"/>
      </w:r>
    </w:p>
    <w:p w14:paraId="4CF49D00">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26629F38">
      <w:pPr>
        <w:pStyle w:val="83"/>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一、开标</w:t>
      </w:r>
    </w:p>
    <w:p w14:paraId="64A0F985">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50F51987">
      <w:pPr>
        <w:pStyle w:val="83"/>
        <w:snapToGrid w:val="0"/>
        <w:spacing w:before="0" w:after="0" w:line="460" w:lineRule="exact"/>
        <w:ind w:left="0" w:right="0" w:firstLine="480" w:firstLineChars="200"/>
        <w:jc w:val="left"/>
        <w:rPr>
          <w:rFonts w:ascii="宋体" w:hAnsi="宋体" w:cs="宋体"/>
          <w:b/>
          <w:kern w:val="2"/>
        </w:rPr>
      </w:pPr>
      <w:r>
        <w:rPr>
          <w:rFonts w:hint="eastAsia" w:ascii="宋体" w:hAnsi="宋体" w:cs="宋体"/>
          <w:b/>
          <w:kern w:val="2"/>
        </w:rPr>
        <w:t>二、评标流程和评标标准</w:t>
      </w:r>
    </w:p>
    <w:p w14:paraId="173AB96F">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4DB343ED">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1491B92E">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65D1A53F">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525435BC">
      <w:pPr>
        <w:adjustRightInd w:val="0"/>
        <w:snapToGrid w:val="0"/>
        <w:spacing w:line="460" w:lineRule="exact"/>
        <w:ind w:firstLine="480" w:firstLineChars="200"/>
        <w:rPr>
          <w:rFonts w:ascii="宋体" w:hAnsi="宋体" w:cs="宋体"/>
          <w:b/>
          <w:sz w:val="24"/>
        </w:rPr>
      </w:pPr>
      <w:r>
        <w:rPr>
          <w:rFonts w:hint="eastAsia" w:ascii="宋体" w:hAnsi="宋体" w:cs="宋体"/>
          <w:b/>
          <w:sz w:val="24"/>
        </w:rPr>
        <w:t>（一）招标人（代表）对投标人资格进行审查。</w:t>
      </w:r>
    </w:p>
    <w:p w14:paraId="48A42526">
      <w:pPr>
        <w:pStyle w:val="87"/>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59290DA8">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3883A473">
      <w:pPr>
        <w:pStyle w:val="87"/>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2290A7D9">
      <w:pPr>
        <w:snapToGrid w:val="0"/>
        <w:spacing w:line="360" w:lineRule="auto"/>
        <w:ind w:firstLine="480"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70分</w:t>
      </w:r>
    </w:p>
    <w:tbl>
      <w:tblPr>
        <w:tblStyle w:val="39"/>
        <w:tblpPr w:leftFromText="180" w:rightFromText="180" w:vertAnchor="text" w:horzAnchor="margin" w:tblpXSpec="center" w:tblpY="163"/>
        <w:tblOverlap w:val="never"/>
        <w:tblW w:w="8755" w:type="dxa"/>
        <w:tblInd w:w="0" w:type="dxa"/>
        <w:tblLayout w:type="fixed"/>
        <w:tblCellMar>
          <w:top w:w="0" w:type="dxa"/>
          <w:left w:w="108" w:type="dxa"/>
          <w:bottom w:w="0" w:type="dxa"/>
          <w:right w:w="108" w:type="dxa"/>
        </w:tblCellMar>
      </w:tblPr>
      <w:tblGrid>
        <w:gridCol w:w="615"/>
        <w:gridCol w:w="769"/>
        <w:gridCol w:w="6804"/>
        <w:gridCol w:w="567"/>
      </w:tblGrid>
      <w:tr w14:paraId="61BE3FCD">
        <w:tblPrEx>
          <w:tblCellMar>
            <w:top w:w="0" w:type="dxa"/>
            <w:left w:w="108" w:type="dxa"/>
            <w:bottom w:w="0" w:type="dxa"/>
            <w:right w:w="108" w:type="dxa"/>
          </w:tblCellMar>
        </w:tblPrEx>
        <w:trPr>
          <w:trHeight w:val="343" w:hRule="atLeast"/>
        </w:trPr>
        <w:tc>
          <w:tcPr>
            <w:tcW w:w="615" w:type="dxa"/>
            <w:tcBorders>
              <w:top w:val="single" w:color="auto" w:sz="4" w:space="0"/>
              <w:left w:val="single" w:color="auto" w:sz="4" w:space="0"/>
              <w:bottom w:val="single" w:color="auto" w:sz="4" w:space="0"/>
              <w:right w:val="single" w:color="auto" w:sz="4" w:space="0"/>
            </w:tcBorders>
            <w:vAlign w:val="center"/>
          </w:tcPr>
          <w:p w14:paraId="340F0B88">
            <w:pPr>
              <w:jc w:val="center"/>
              <w:rPr>
                <w:rFonts w:ascii="宋体" w:hAnsi="宋体" w:cs="宋体"/>
                <w:b/>
                <w:color w:val="000000"/>
                <w:sz w:val="24"/>
              </w:rPr>
            </w:pPr>
            <w:r>
              <w:rPr>
                <w:rFonts w:hint="eastAsia" w:ascii="宋体" w:hAnsi="宋体" w:cs="宋体"/>
                <w:b/>
                <w:color w:val="000000"/>
                <w:sz w:val="24"/>
              </w:rPr>
              <w:t>序号</w:t>
            </w:r>
          </w:p>
        </w:tc>
        <w:tc>
          <w:tcPr>
            <w:tcW w:w="769" w:type="dxa"/>
            <w:tcBorders>
              <w:top w:val="single" w:color="auto" w:sz="4" w:space="0"/>
              <w:left w:val="nil"/>
              <w:bottom w:val="single" w:color="auto" w:sz="4" w:space="0"/>
              <w:right w:val="single" w:color="auto" w:sz="4" w:space="0"/>
            </w:tcBorders>
            <w:vAlign w:val="center"/>
          </w:tcPr>
          <w:p w14:paraId="33CAC8DE">
            <w:pPr>
              <w:jc w:val="center"/>
              <w:rPr>
                <w:rFonts w:ascii="宋体" w:hAnsi="宋体" w:cs="宋体"/>
                <w:b/>
                <w:color w:val="000000"/>
                <w:sz w:val="24"/>
              </w:rPr>
            </w:pPr>
            <w:r>
              <w:rPr>
                <w:rFonts w:hint="eastAsia" w:ascii="宋体" w:hAnsi="宋体" w:cs="宋体"/>
                <w:b/>
                <w:color w:val="000000"/>
                <w:sz w:val="24"/>
              </w:rPr>
              <w:t>评分依据</w:t>
            </w:r>
          </w:p>
        </w:tc>
        <w:tc>
          <w:tcPr>
            <w:tcW w:w="6804" w:type="dxa"/>
            <w:tcBorders>
              <w:top w:val="single" w:color="auto" w:sz="4" w:space="0"/>
              <w:left w:val="nil"/>
              <w:bottom w:val="single" w:color="auto" w:sz="4" w:space="0"/>
              <w:right w:val="single" w:color="auto" w:sz="4" w:space="0"/>
            </w:tcBorders>
            <w:vAlign w:val="center"/>
          </w:tcPr>
          <w:p w14:paraId="436B194C">
            <w:pPr>
              <w:ind w:left="247" w:leftChars="118" w:firstLine="141"/>
              <w:jc w:val="center"/>
              <w:rPr>
                <w:rFonts w:ascii="宋体" w:hAnsi="宋体" w:cs="宋体"/>
                <w:b/>
                <w:color w:val="000000"/>
                <w:sz w:val="24"/>
              </w:rPr>
            </w:pPr>
            <w:r>
              <w:rPr>
                <w:rFonts w:hint="eastAsia" w:ascii="宋体" w:hAnsi="宋体" w:cs="宋体"/>
                <w:b/>
                <w:color w:val="000000"/>
                <w:sz w:val="24"/>
              </w:rPr>
              <w:t>评价标准</w:t>
            </w:r>
          </w:p>
        </w:tc>
        <w:tc>
          <w:tcPr>
            <w:tcW w:w="567" w:type="dxa"/>
            <w:tcBorders>
              <w:top w:val="single" w:color="auto" w:sz="4" w:space="0"/>
              <w:left w:val="nil"/>
              <w:bottom w:val="single" w:color="auto" w:sz="4" w:space="0"/>
              <w:right w:val="single" w:color="auto" w:sz="4" w:space="0"/>
            </w:tcBorders>
            <w:vAlign w:val="center"/>
          </w:tcPr>
          <w:p w14:paraId="24B9862A">
            <w:pPr>
              <w:jc w:val="center"/>
              <w:rPr>
                <w:rFonts w:ascii="宋体" w:hAnsi="宋体" w:cs="宋体"/>
                <w:b/>
                <w:color w:val="000000"/>
                <w:sz w:val="24"/>
              </w:rPr>
            </w:pPr>
            <w:r>
              <w:rPr>
                <w:rFonts w:hint="eastAsia" w:ascii="宋体" w:hAnsi="宋体" w:cs="宋体"/>
                <w:b/>
                <w:color w:val="000000"/>
                <w:sz w:val="24"/>
              </w:rPr>
              <w:t>分值</w:t>
            </w:r>
          </w:p>
        </w:tc>
      </w:tr>
      <w:tr w14:paraId="7342588F">
        <w:tblPrEx>
          <w:tblCellMar>
            <w:top w:w="0" w:type="dxa"/>
            <w:left w:w="108" w:type="dxa"/>
            <w:bottom w:w="0" w:type="dxa"/>
            <w:right w:w="108" w:type="dxa"/>
          </w:tblCellMar>
        </w:tblPrEx>
        <w:trPr>
          <w:trHeight w:val="906" w:hRule="atLeast"/>
        </w:trPr>
        <w:tc>
          <w:tcPr>
            <w:tcW w:w="615" w:type="dxa"/>
            <w:tcBorders>
              <w:top w:val="nil"/>
              <w:left w:val="single" w:color="auto" w:sz="4" w:space="0"/>
              <w:bottom w:val="single" w:color="auto" w:sz="4" w:space="0"/>
              <w:right w:val="single" w:color="auto" w:sz="4" w:space="0"/>
            </w:tcBorders>
            <w:vAlign w:val="center"/>
          </w:tcPr>
          <w:p w14:paraId="10B6EB3B">
            <w:pPr>
              <w:jc w:val="center"/>
              <w:rPr>
                <w:rFonts w:ascii="宋体" w:hAnsi="宋体" w:cs="宋体"/>
                <w:color w:val="000000"/>
                <w:sz w:val="24"/>
              </w:rPr>
            </w:pPr>
            <w:r>
              <w:rPr>
                <w:rFonts w:hint="eastAsia" w:ascii="宋体" w:hAnsi="宋体" w:cs="宋体"/>
                <w:color w:val="000000"/>
                <w:sz w:val="24"/>
              </w:rPr>
              <w:t>1</w:t>
            </w:r>
          </w:p>
        </w:tc>
        <w:tc>
          <w:tcPr>
            <w:tcW w:w="769" w:type="dxa"/>
            <w:tcBorders>
              <w:top w:val="nil"/>
              <w:left w:val="nil"/>
              <w:bottom w:val="single" w:color="auto" w:sz="4" w:space="0"/>
              <w:right w:val="single" w:color="auto" w:sz="4" w:space="0"/>
            </w:tcBorders>
            <w:vAlign w:val="center"/>
          </w:tcPr>
          <w:p w14:paraId="28299A34">
            <w:pPr>
              <w:jc w:val="center"/>
              <w:rPr>
                <w:rFonts w:ascii="宋体" w:hAnsi="宋体" w:cs="宋体"/>
                <w:bCs/>
                <w:color w:val="000000"/>
                <w:sz w:val="24"/>
              </w:rPr>
            </w:pPr>
            <w:r>
              <w:rPr>
                <w:rFonts w:hint="eastAsia" w:ascii="宋体" w:hAnsi="宋体" w:cs="宋体"/>
                <w:bCs/>
                <w:color w:val="000000"/>
                <w:sz w:val="24"/>
              </w:rPr>
              <w:t>技术性能</w:t>
            </w:r>
          </w:p>
        </w:tc>
        <w:tc>
          <w:tcPr>
            <w:tcW w:w="6804" w:type="dxa"/>
            <w:tcBorders>
              <w:top w:val="nil"/>
              <w:left w:val="nil"/>
              <w:bottom w:val="single" w:color="auto" w:sz="4" w:space="0"/>
              <w:right w:val="single" w:color="auto" w:sz="4" w:space="0"/>
            </w:tcBorders>
            <w:vAlign w:val="center"/>
          </w:tcPr>
          <w:p w14:paraId="2B6A5947">
            <w:pPr>
              <w:pStyle w:val="16"/>
              <w:rPr>
                <w:rFonts w:ascii="宋体" w:hAnsi="宋体" w:cs="宋体"/>
                <w:color w:val="000000"/>
                <w:sz w:val="24"/>
              </w:rPr>
            </w:pPr>
            <w:r>
              <w:rPr>
                <w:rFonts w:hint="eastAsia" w:ascii="宋体" w:hAnsi="宋体" w:cs="宋体"/>
                <w:color w:val="000000"/>
                <w:sz w:val="24"/>
              </w:rPr>
              <w:t>投标人所投产品技术指标是否满足招标文件要求，全部满足得30分</w:t>
            </w:r>
            <w:r>
              <w:rPr>
                <w:rFonts w:hint="eastAsia" w:ascii="宋体" w:hAnsi="宋体" w:cs="宋体"/>
                <w:color w:val="000000"/>
                <w:sz w:val="24"/>
                <w:highlight w:val="none"/>
              </w:rPr>
              <w:t>。“★”标识不能满足的每项扣2分，其余技术指标不能满足的每项扣1分。</w:t>
            </w:r>
          </w:p>
          <w:p w14:paraId="2BC2EDD6">
            <w:pPr>
              <w:spacing w:line="260" w:lineRule="exact"/>
              <w:rPr>
                <w:rFonts w:ascii="宋体" w:hAnsi="宋体" w:cs="宋体"/>
                <w:sz w:val="24"/>
              </w:rPr>
            </w:pPr>
            <w:r>
              <w:rPr>
                <w:rFonts w:hint="eastAsia" w:ascii="宋体" w:hAnsi="宋体" w:cs="宋体"/>
                <w:color w:val="000000"/>
                <w:sz w:val="24"/>
              </w:rPr>
              <w:t>备注：“★”为重要指标，需提供相关证明材料。</w:t>
            </w:r>
          </w:p>
        </w:tc>
        <w:tc>
          <w:tcPr>
            <w:tcW w:w="567" w:type="dxa"/>
            <w:tcBorders>
              <w:top w:val="nil"/>
              <w:left w:val="nil"/>
              <w:bottom w:val="single" w:color="auto" w:sz="4" w:space="0"/>
              <w:right w:val="single" w:color="auto" w:sz="4" w:space="0"/>
            </w:tcBorders>
            <w:vAlign w:val="center"/>
          </w:tcPr>
          <w:p w14:paraId="49B53F3A">
            <w:pPr>
              <w:spacing w:line="260" w:lineRule="exact"/>
              <w:jc w:val="center"/>
              <w:rPr>
                <w:rFonts w:ascii="宋体" w:hAnsi="宋体" w:cs="宋体"/>
                <w:color w:val="000000"/>
                <w:sz w:val="24"/>
              </w:rPr>
            </w:pPr>
            <w:r>
              <w:rPr>
                <w:rFonts w:hint="eastAsia" w:ascii="宋体" w:hAnsi="宋体" w:cs="宋体"/>
                <w:bCs/>
                <w:color w:val="000000"/>
                <w:sz w:val="24"/>
              </w:rPr>
              <w:t>30</w:t>
            </w:r>
          </w:p>
        </w:tc>
      </w:tr>
      <w:tr w14:paraId="698B6DC5">
        <w:tblPrEx>
          <w:tblCellMar>
            <w:top w:w="0" w:type="dxa"/>
            <w:left w:w="108" w:type="dxa"/>
            <w:bottom w:w="0" w:type="dxa"/>
            <w:right w:w="108" w:type="dxa"/>
          </w:tblCellMar>
        </w:tblPrEx>
        <w:trPr>
          <w:trHeight w:val="1090" w:hRule="atLeast"/>
        </w:trPr>
        <w:tc>
          <w:tcPr>
            <w:tcW w:w="615" w:type="dxa"/>
            <w:tcBorders>
              <w:top w:val="nil"/>
              <w:left w:val="single" w:color="auto" w:sz="4" w:space="0"/>
              <w:bottom w:val="single" w:color="auto" w:sz="4" w:space="0"/>
              <w:right w:val="single" w:color="auto" w:sz="4" w:space="0"/>
            </w:tcBorders>
            <w:vAlign w:val="center"/>
          </w:tcPr>
          <w:p w14:paraId="4686E1CD">
            <w:pPr>
              <w:jc w:val="center"/>
              <w:rPr>
                <w:rFonts w:ascii="宋体" w:hAnsi="宋体" w:cs="宋体"/>
                <w:bCs/>
                <w:color w:val="000000"/>
                <w:sz w:val="24"/>
              </w:rPr>
            </w:pPr>
            <w:r>
              <w:rPr>
                <w:rFonts w:hint="eastAsia" w:ascii="宋体" w:hAnsi="宋体" w:cs="宋体"/>
                <w:bCs/>
                <w:color w:val="000000"/>
                <w:sz w:val="24"/>
              </w:rPr>
              <w:t>2</w:t>
            </w:r>
          </w:p>
        </w:tc>
        <w:tc>
          <w:tcPr>
            <w:tcW w:w="769" w:type="dxa"/>
            <w:tcBorders>
              <w:top w:val="nil"/>
              <w:left w:val="single" w:color="auto" w:sz="4" w:space="0"/>
              <w:bottom w:val="single" w:color="auto" w:sz="4" w:space="0"/>
              <w:right w:val="single" w:color="auto" w:sz="4" w:space="0"/>
            </w:tcBorders>
            <w:vAlign w:val="center"/>
          </w:tcPr>
          <w:p w14:paraId="4F05102A">
            <w:pPr>
              <w:jc w:val="center"/>
              <w:rPr>
                <w:rFonts w:ascii="宋体" w:hAnsi="宋体" w:cs="宋体"/>
                <w:color w:val="000000"/>
                <w:sz w:val="24"/>
              </w:rPr>
            </w:pPr>
            <w:r>
              <w:rPr>
                <w:rFonts w:hint="eastAsia" w:ascii="宋体" w:hAnsi="宋体" w:cs="宋体"/>
                <w:sz w:val="24"/>
              </w:rPr>
              <w:t>功能目标实现情况及演示</w:t>
            </w:r>
          </w:p>
        </w:tc>
        <w:tc>
          <w:tcPr>
            <w:tcW w:w="6804" w:type="dxa"/>
            <w:tcBorders>
              <w:top w:val="nil"/>
              <w:left w:val="nil"/>
              <w:bottom w:val="single" w:color="auto" w:sz="4" w:space="0"/>
              <w:right w:val="single" w:color="auto" w:sz="4" w:space="0"/>
            </w:tcBorders>
            <w:vAlign w:val="center"/>
          </w:tcPr>
          <w:p w14:paraId="248E044D">
            <w:pPr>
              <w:spacing w:line="260" w:lineRule="exact"/>
              <w:rPr>
                <w:rFonts w:ascii="宋体" w:hAnsi="宋体" w:cs="宋体"/>
                <w:color w:val="000000"/>
                <w:sz w:val="24"/>
              </w:rPr>
            </w:pPr>
            <w:r>
              <w:rPr>
                <w:rFonts w:hint="eastAsia" w:ascii="宋体" w:hAnsi="宋体" w:cs="宋体"/>
                <w:sz w:val="24"/>
              </w:rPr>
              <w:t>对技术指标参数里标“▲”的重要功能，需提供以真实软件平台进行演示的视频（演示不超过</w:t>
            </w:r>
            <w:r>
              <w:rPr>
                <w:rFonts w:ascii="宋体" w:hAnsi="宋体" w:cs="宋体"/>
                <w:sz w:val="24"/>
              </w:rPr>
              <w:t>10</w:t>
            </w:r>
            <w:r>
              <w:rPr>
                <w:rFonts w:hint="eastAsia" w:ascii="宋体" w:hAnsi="宋体" w:cs="宋体"/>
                <w:sz w:val="24"/>
              </w:rPr>
              <w:t>分钟），在满足采购人招标功能的前提下，评委根据演示情况进行综合判定，全部满足者，得</w:t>
            </w:r>
            <w:r>
              <w:rPr>
                <w:rFonts w:ascii="宋体" w:hAnsi="宋体" w:cs="宋体"/>
                <w:sz w:val="24"/>
              </w:rPr>
              <w:t>18</w:t>
            </w:r>
            <w:r>
              <w:rPr>
                <w:rFonts w:hint="eastAsia" w:ascii="宋体" w:hAnsi="宋体" w:cs="宋体"/>
                <w:sz w:val="24"/>
              </w:rPr>
              <w:t>分，每缺一项，扣2分，扣完为止。（不演示、无效演示或演示内容不符合要求即视为不满足，使用PPT、操作手册等形式文件资料的演示无效。投标人演示的内容不得与本项目采购内容无关。为了保证交付质量，演示内容须与后期交付内容保持一致）。</w:t>
            </w:r>
          </w:p>
        </w:tc>
        <w:tc>
          <w:tcPr>
            <w:tcW w:w="567" w:type="dxa"/>
            <w:tcBorders>
              <w:top w:val="nil"/>
              <w:left w:val="nil"/>
              <w:bottom w:val="single" w:color="auto" w:sz="4" w:space="0"/>
              <w:right w:val="single" w:color="auto" w:sz="4" w:space="0"/>
            </w:tcBorders>
            <w:vAlign w:val="center"/>
          </w:tcPr>
          <w:p w14:paraId="6AF66DA7">
            <w:pPr>
              <w:spacing w:line="260" w:lineRule="exact"/>
              <w:jc w:val="center"/>
              <w:rPr>
                <w:rFonts w:ascii="宋体" w:hAnsi="宋体" w:cs="宋体"/>
                <w:bCs/>
                <w:color w:val="000000"/>
                <w:sz w:val="24"/>
              </w:rPr>
            </w:pPr>
            <w:r>
              <w:rPr>
                <w:rFonts w:hint="eastAsia" w:ascii="宋体" w:hAnsi="宋体" w:cs="宋体"/>
                <w:bCs/>
                <w:color w:val="000000"/>
                <w:sz w:val="24"/>
              </w:rPr>
              <w:t>18</w:t>
            </w:r>
          </w:p>
        </w:tc>
      </w:tr>
      <w:tr w14:paraId="7087D812">
        <w:tblPrEx>
          <w:tblCellMar>
            <w:top w:w="0" w:type="dxa"/>
            <w:left w:w="108" w:type="dxa"/>
            <w:bottom w:w="0" w:type="dxa"/>
            <w:right w:w="108" w:type="dxa"/>
          </w:tblCellMar>
        </w:tblPrEx>
        <w:trPr>
          <w:trHeight w:val="1413" w:hRule="atLeast"/>
        </w:trPr>
        <w:tc>
          <w:tcPr>
            <w:tcW w:w="615" w:type="dxa"/>
            <w:tcBorders>
              <w:top w:val="nil"/>
              <w:left w:val="single" w:color="auto" w:sz="4" w:space="0"/>
              <w:bottom w:val="single" w:color="auto" w:sz="4" w:space="0"/>
              <w:right w:val="single" w:color="auto" w:sz="4" w:space="0"/>
            </w:tcBorders>
            <w:vAlign w:val="center"/>
          </w:tcPr>
          <w:p w14:paraId="2F08CE2F">
            <w:pPr>
              <w:jc w:val="center"/>
              <w:rPr>
                <w:rFonts w:ascii="宋体" w:hAnsi="宋体" w:cs="宋体"/>
                <w:color w:val="000000"/>
                <w:sz w:val="24"/>
              </w:rPr>
            </w:pPr>
            <w:r>
              <w:rPr>
                <w:rFonts w:hint="eastAsia" w:ascii="宋体" w:hAnsi="宋体" w:cs="宋体"/>
                <w:color w:val="000000"/>
                <w:sz w:val="24"/>
              </w:rPr>
              <w:t>3</w:t>
            </w:r>
          </w:p>
        </w:tc>
        <w:tc>
          <w:tcPr>
            <w:tcW w:w="769" w:type="dxa"/>
            <w:tcBorders>
              <w:top w:val="nil"/>
              <w:left w:val="nil"/>
              <w:bottom w:val="single" w:color="auto" w:sz="4" w:space="0"/>
              <w:right w:val="single" w:color="auto" w:sz="4" w:space="0"/>
            </w:tcBorders>
            <w:vAlign w:val="center"/>
          </w:tcPr>
          <w:p w14:paraId="4199999B">
            <w:pPr>
              <w:jc w:val="center"/>
              <w:rPr>
                <w:rFonts w:ascii="宋体" w:hAnsi="宋体" w:cs="宋体"/>
                <w:bCs/>
                <w:color w:val="000000"/>
                <w:sz w:val="24"/>
              </w:rPr>
            </w:pPr>
            <w:r>
              <w:rPr>
                <w:rFonts w:hint="eastAsia" w:ascii="宋体" w:hAnsi="宋体" w:cs="宋体"/>
                <w:bCs/>
                <w:sz w:val="24"/>
              </w:rPr>
              <w:t>实施方案</w:t>
            </w:r>
          </w:p>
        </w:tc>
        <w:tc>
          <w:tcPr>
            <w:tcW w:w="6804" w:type="dxa"/>
            <w:tcBorders>
              <w:top w:val="nil"/>
              <w:left w:val="nil"/>
              <w:bottom w:val="single" w:color="auto" w:sz="4" w:space="0"/>
              <w:right w:val="single" w:color="auto" w:sz="4" w:space="0"/>
            </w:tcBorders>
            <w:vAlign w:val="center"/>
          </w:tcPr>
          <w:p w14:paraId="27188D9C">
            <w:pPr>
              <w:rPr>
                <w:rFonts w:ascii="宋体" w:hAnsi="宋体" w:cs="宋体"/>
                <w:bCs/>
                <w:sz w:val="24"/>
              </w:rPr>
            </w:pPr>
            <w:r>
              <w:rPr>
                <w:rFonts w:hint="eastAsia" w:ascii="宋体" w:hAnsi="宋体" w:cs="宋体"/>
                <w:bCs/>
                <w:sz w:val="24"/>
              </w:rPr>
              <w:t>投标人提供详细的实施方案，包括但不限于项目实施方案、质量保证措施、风险管理措施、项目进度方案、所供产品对接方案等。项目实施方案、质量保证及风险管理措施、时间进度计划安排及对接方案等。</w:t>
            </w:r>
          </w:p>
          <w:p w14:paraId="547795BF">
            <w:pPr>
              <w:rPr>
                <w:rFonts w:ascii="宋体" w:hAnsi="宋体"/>
                <w:bCs/>
                <w:sz w:val="24"/>
              </w:rPr>
            </w:pPr>
            <w:r>
              <w:rPr>
                <w:rFonts w:hint="eastAsia" w:ascii="宋体" w:hAnsi="宋体" w:cs="宋体"/>
                <w:bCs/>
                <w:sz w:val="24"/>
              </w:rPr>
              <w:t>完全满足项目要求，内容完整、时间紧凑交货期短、切实可行、科学规范、针对性强得</w:t>
            </w:r>
            <w:r>
              <w:rPr>
                <w:rFonts w:ascii="宋体" w:hAnsi="宋体" w:cs="宋体"/>
                <w:bCs/>
                <w:sz w:val="24"/>
              </w:rPr>
              <w:t>5</w:t>
            </w:r>
            <w:r>
              <w:rPr>
                <w:rFonts w:hint="eastAsia" w:ascii="宋体" w:hAnsi="宋体" w:cs="宋体"/>
                <w:bCs/>
                <w:sz w:val="24"/>
              </w:rPr>
              <w:t>分;</w:t>
            </w:r>
          </w:p>
          <w:p w14:paraId="41431D8F">
            <w:pPr>
              <w:rPr>
                <w:rFonts w:ascii="宋体" w:hAnsi="宋体"/>
                <w:bCs/>
                <w:sz w:val="24"/>
              </w:rPr>
            </w:pPr>
            <w:r>
              <w:rPr>
                <w:rFonts w:hint="eastAsia" w:ascii="宋体" w:hAnsi="宋体" w:cs="宋体"/>
                <w:bCs/>
                <w:sz w:val="24"/>
              </w:rPr>
              <w:t>项目实施方案、质量保证及风险管理措施、时间进度计划安排及对接方案等基本满足项目要求，但方案全责不清晰、具体执行可行性不足、整体进度控制性不强得</w:t>
            </w:r>
            <w:r>
              <w:rPr>
                <w:rFonts w:ascii="宋体" w:hAnsi="宋体" w:cs="宋体"/>
                <w:bCs/>
                <w:sz w:val="24"/>
              </w:rPr>
              <w:t>3</w:t>
            </w:r>
            <w:r>
              <w:rPr>
                <w:rFonts w:hint="eastAsia" w:ascii="宋体" w:hAnsi="宋体" w:cs="宋体"/>
                <w:bCs/>
                <w:sz w:val="24"/>
              </w:rPr>
              <w:t>分;</w:t>
            </w:r>
          </w:p>
          <w:p w14:paraId="1E2AF100">
            <w:pPr>
              <w:spacing w:line="260" w:lineRule="exact"/>
              <w:rPr>
                <w:rFonts w:ascii="宋体" w:hAnsi="宋体" w:cs="宋体"/>
                <w:color w:val="000000"/>
                <w:sz w:val="24"/>
              </w:rPr>
            </w:pPr>
            <w:r>
              <w:rPr>
                <w:rFonts w:hint="eastAsia" w:ascii="宋体" w:hAnsi="宋体" w:cs="宋体"/>
                <w:bCs/>
                <w:sz w:val="24"/>
              </w:rPr>
              <w:t>项目实施方案、质量保证及风险管理措施、时间进度计划安排及对接方案达不到项目要求，方案简单、不具有可执行性得1分。</w:t>
            </w:r>
          </w:p>
        </w:tc>
        <w:tc>
          <w:tcPr>
            <w:tcW w:w="567" w:type="dxa"/>
            <w:tcBorders>
              <w:top w:val="nil"/>
              <w:left w:val="nil"/>
              <w:bottom w:val="single" w:color="auto" w:sz="4" w:space="0"/>
              <w:right w:val="single" w:color="auto" w:sz="4" w:space="0"/>
            </w:tcBorders>
            <w:vAlign w:val="center"/>
          </w:tcPr>
          <w:p w14:paraId="116512EC">
            <w:pPr>
              <w:spacing w:line="260" w:lineRule="exact"/>
              <w:jc w:val="center"/>
              <w:rPr>
                <w:rFonts w:ascii="宋体" w:hAnsi="宋体" w:cs="宋体"/>
                <w:color w:val="000000"/>
                <w:sz w:val="24"/>
              </w:rPr>
            </w:pPr>
            <w:r>
              <w:rPr>
                <w:rFonts w:ascii="宋体" w:hAnsi="宋体" w:cs="宋体"/>
                <w:bCs/>
                <w:color w:val="000000"/>
                <w:sz w:val="24"/>
              </w:rPr>
              <w:t>5</w:t>
            </w:r>
          </w:p>
        </w:tc>
      </w:tr>
      <w:tr w14:paraId="6298A867">
        <w:tblPrEx>
          <w:tblCellMar>
            <w:top w:w="0" w:type="dxa"/>
            <w:left w:w="108" w:type="dxa"/>
            <w:bottom w:w="0" w:type="dxa"/>
            <w:right w:w="108" w:type="dxa"/>
          </w:tblCellMar>
        </w:tblPrEx>
        <w:trPr>
          <w:trHeight w:val="2263" w:hRule="atLeast"/>
        </w:trPr>
        <w:tc>
          <w:tcPr>
            <w:tcW w:w="615" w:type="dxa"/>
            <w:tcBorders>
              <w:top w:val="nil"/>
              <w:left w:val="single" w:color="auto" w:sz="4" w:space="0"/>
              <w:bottom w:val="single" w:color="auto" w:sz="4" w:space="0"/>
              <w:right w:val="single" w:color="auto" w:sz="4" w:space="0"/>
            </w:tcBorders>
            <w:vAlign w:val="center"/>
          </w:tcPr>
          <w:p w14:paraId="10CB82CF">
            <w:pPr>
              <w:jc w:val="center"/>
              <w:rPr>
                <w:rFonts w:ascii="宋体" w:hAnsi="宋体" w:cs="宋体"/>
                <w:color w:val="000000"/>
                <w:sz w:val="24"/>
              </w:rPr>
            </w:pPr>
            <w:r>
              <w:rPr>
                <w:rFonts w:ascii="宋体" w:hAnsi="宋体" w:cs="宋体"/>
                <w:color w:val="000000"/>
                <w:sz w:val="24"/>
              </w:rPr>
              <w:t>4</w:t>
            </w:r>
          </w:p>
        </w:tc>
        <w:tc>
          <w:tcPr>
            <w:tcW w:w="769" w:type="dxa"/>
            <w:tcBorders>
              <w:top w:val="nil"/>
              <w:left w:val="nil"/>
              <w:bottom w:val="single" w:color="auto" w:sz="4" w:space="0"/>
              <w:right w:val="single" w:color="auto" w:sz="4" w:space="0"/>
            </w:tcBorders>
            <w:vAlign w:val="center"/>
          </w:tcPr>
          <w:p w14:paraId="3F3499DE">
            <w:pPr>
              <w:jc w:val="center"/>
              <w:rPr>
                <w:rFonts w:ascii="宋体" w:hAnsi="宋体" w:cs="宋体"/>
                <w:color w:val="000000"/>
                <w:sz w:val="24"/>
              </w:rPr>
            </w:pPr>
            <w:r>
              <w:rPr>
                <w:rFonts w:hint="eastAsia" w:ascii="宋体" w:hAnsi="宋体" w:cs="宋体"/>
                <w:bCs/>
                <w:sz w:val="24"/>
              </w:rPr>
              <w:t>培训方案</w:t>
            </w:r>
          </w:p>
        </w:tc>
        <w:tc>
          <w:tcPr>
            <w:tcW w:w="6804" w:type="dxa"/>
            <w:tcBorders>
              <w:top w:val="nil"/>
              <w:left w:val="nil"/>
              <w:bottom w:val="single" w:color="auto" w:sz="4" w:space="0"/>
              <w:right w:val="single" w:color="auto" w:sz="4" w:space="0"/>
            </w:tcBorders>
            <w:vAlign w:val="center"/>
          </w:tcPr>
          <w:p w14:paraId="0C16BB97">
            <w:pPr>
              <w:rPr>
                <w:rFonts w:ascii="宋体" w:hAnsi="宋体"/>
                <w:bCs/>
                <w:sz w:val="24"/>
              </w:rPr>
            </w:pPr>
            <w:r>
              <w:rPr>
                <w:rFonts w:hint="eastAsia" w:ascii="宋体" w:hAnsi="宋体" w:cs="宋体"/>
                <w:bCs/>
                <w:sz w:val="24"/>
              </w:rPr>
              <w:t>投标人提供针对本项目的培训方案，包括但不限于培训方案、培训内容、培训师资、培训频次、培训资料等。</w:t>
            </w:r>
          </w:p>
          <w:p w14:paraId="6ED923DB">
            <w:pPr>
              <w:rPr>
                <w:rFonts w:ascii="宋体" w:hAnsi="宋体"/>
                <w:bCs/>
                <w:sz w:val="24"/>
              </w:rPr>
            </w:pPr>
            <w:r>
              <w:rPr>
                <w:rFonts w:hint="eastAsia" w:ascii="宋体" w:hAnsi="宋体" w:cs="宋体"/>
                <w:bCs/>
                <w:sz w:val="24"/>
              </w:rPr>
              <w:t>项目培训方案、培训内容、培训师资、培训频次、培训资料等等完全满足项目要求，内容完整、切实可行、有针对性、可操作性强得5分;</w:t>
            </w:r>
          </w:p>
          <w:p w14:paraId="60266E4B">
            <w:pPr>
              <w:rPr>
                <w:rFonts w:ascii="宋体" w:hAnsi="宋体"/>
                <w:bCs/>
                <w:sz w:val="24"/>
              </w:rPr>
            </w:pPr>
            <w:r>
              <w:rPr>
                <w:rFonts w:hint="eastAsia" w:ascii="宋体" w:hAnsi="宋体" w:cs="宋体"/>
                <w:bCs/>
                <w:sz w:val="24"/>
              </w:rPr>
              <w:t>项目培训方案、培训内容、培训师资、培训频次、培训资料等等基本满足项目要求，内容完整、有针对性但方案可操作性不强得3分;</w:t>
            </w:r>
          </w:p>
          <w:p w14:paraId="034DD9C3">
            <w:pPr>
              <w:rPr>
                <w:rFonts w:ascii="宋体" w:hAnsi="宋体" w:cs="宋体"/>
                <w:bCs/>
                <w:sz w:val="24"/>
              </w:rPr>
            </w:pPr>
            <w:r>
              <w:rPr>
                <w:rFonts w:hint="eastAsia" w:ascii="宋体" w:hAnsi="宋体" w:cs="宋体"/>
                <w:bCs/>
                <w:sz w:val="24"/>
              </w:rPr>
              <w:t>项目培训方案、培训内容、培训师资、培训频次、培训资料等达不到项目要求，方案简单、不具有可操作性得1分。</w:t>
            </w:r>
          </w:p>
        </w:tc>
        <w:tc>
          <w:tcPr>
            <w:tcW w:w="567" w:type="dxa"/>
            <w:tcBorders>
              <w:top w:val="nil"/>
              <w:left w:val="nil"/>
              <w:bottom w:val="single" w:color="auto" w:sz="4" w:space="0"/>
              <w:right w:val="single" w:color="auto" w:sz="4" w:space="0"/>
            </w:tcBorders>
            <w:vAlign w:val="center"/>
          </w:tcPr>
          <w:p w14:paraId="46E0A789">
            <w:pPr>
              <w:spacing w:line="260" w:lineRule="exact"/>
              <w:jc w:val="center"/>
              <w:rPr>
                <w:rFonts w:ascii="宋体" w:hAnsi="宋体" w:cs="宋体"/>
                <w:bCs/>
                <w:color w:val="000000"/>
                <w:sz w:val="24"/>
              </w:rPr>
            </w:pPr>
            <w:r>
              <w:rPr>
                <w:rFonts w:hint="eastAsia" w:ascii="宋体" w:hAnsi="宋体" w:cs="宋体"/>
                <w:bCs/>
                <w:color w:val="000000"/>
                <w:sz w:val="24"/>
              </w:rPr>
              <w:t>5</w:t>
            </w:r>
          </w:p>
        </w:tc>
      </w:tr>
      <w:tr w14:paraId="0E2F1D2D">
        <w:tblPrEx>
          <w:tblCellMar>
            <w:top w:w="0" w:type="dxa"/>
            <w:left w:w="108" w:type="dxa"/>
            <w:bottom w:w="0" w:type="dxa"/>
            <w:right w:w="108" w:type="dxa"/>
          </w:tblCellMar>
        </w:tblPrEx>
        <w:trPr>
          <w:trHeight w:val="2263" w:hRule="atLeast"/>
        </w:trPr>
        <w:tc>
          <w:tcPr>
            <w:tcW w:w="615" w:type="dxa"/>
            <w:tcBorders>
              <w:top w:val="nil"/>
              <w:left w:val="single" w:color="auto" w:sz="4" w:space="0"/>
              <w:bottom w:val="single" w:color="auto" w:sz="4" w:space="0"/>
              <w:right w:val="single" w:color="auto" w:sz="4" w:space="0"/>
            </w:tcBorders>
            <w:vAlign w:val="center"/>
          </w:tcPr>
          <w:p w14:paraId="74F5B18A">
            <w:pPr>
              <w:jc w:val="center"/>
              <w:rPr>
                <w:rFonts w:ascii="宋体" w:hAnsi="宋体" w:cs="宋体"/>
                <w:color w:val="000000"/>
                <w:sz w:val="24"/>
              </w:rPr>
            </w:pPr>
            <w:r>
              <w:rPr>
                <w:rFonts w:hint="eastAsia" w:ascii="宋体" w:hAnsi="宋体" w:cs="宋体"/>
                <w:color w:val="000000"/>
                <w:sz w:val="24"/>
              </w:rPr>
              <w:t>5</w:t>
            </w:r>
          </w:p>
        </w:tc>
        <w:tc>
          <w:tcPr>
            <w:tcW w:w="769" w:type="dxa"/>
            <w:tcBorders>
              <w:top w:val="nil"/>
              <w:left w:val="nil"/>
              <w:bottom w:val="single" w:color="auto" w:sz="4" w:space="0"/>
              <w:right w:val="single" w:color="auto" w:sz="4" w:space="0"/>
            </w:tcBorders>
            <w:vAlign w:val="center"/>
          </w:tcPr>
          <w:p w14:paraId="577A5036">
            <w:pPr>
              <w:jc w:val="center"/>
              <w:rPr>
                <w:rFonts w:ascii="宋体" w:hAnsi="宋体" w:cs="宋体"/>
                <w:color w:val="000000"/>
                <w:sz w:val="24"/>
              </w:rPr>
            </w:pPr>
            <w:r>
              <w:rPr>
                <w:rFonts w:hint="eastAsia" w:ascii="宋体" w:hAnsi="宋体" w:cs="宋体"/>
                <w:color w:val="000000"/>
                <w:sz w:val="24"/>
              </w:rPr>
              <w:t>售后保障</w:t>
            </w:r>
          </w:p>
        </w:tc>
        <w:tc>
          <w:tcPr>
            <w:tcW w:w="6804" w:type="dxa"/>
            <w:tcBorders>
              <w:top w:val="nil"/>
              <w:left w:val="nil"/>
              <w:bottom w:val="single" w:color="auto" w:sz="4" w:space="0"/>
              <w:right w:val="single" w:color="auto" w:sz="4" w:space="0"/>
            </w:tcBorders>
            <w:vAlign w:val="center"/>
          </w:tcPr>
          <w:p w14:paraId="1F0B17E4">
            <w:pPr>
              <w:rPr>
                <w:rFonts w:ascii="宋体" w:hAnsi="宋体"/>
                <w:bCs/>
                <w:sz w:val="24"/>
              </w:rPr>
            </w:pPr>
            <w:r>
              <w:rPr>
                <w:rFonts w:hint="eastAsia" w:ascii="宋体" w:hAnsi="宋体" w:cs="宋体"/>
                <w:sz w:val="24"/>
              </w:rPr>
              <w:t>投标人</w:t>
            </w:r>
            <w:r>
              <w:rPr>
                <w:rFonts w:hint="eastAsia" w:ascii="宋体" w:hAnsi="宋体" w:cs="宋体"/>
                <w:bCs/>
                <w:sz w:val="24"/>
              </w:rPr>
              <w:t>提供针对本项目的售后服务方案，包括但不限于售后服务方案、服务范围以及故障解决方案、响应时间、应急处理方案、售后服务电话等。</w:t>
            </w:r>
          </w:p>
          <w:p w14:paraId="2C42C6BD">
            <w:pPr>
              <w:rPr>
                <w:rFonts w:ascii="宋体" w:hAnsi="宋体"/>
                <w:sz w:val="24"/>
              </w:rPr>
            </w:pPr>
            <w:r>
              <w:rPr>
                <w:rFonts w:hint="eastAsia" w:ascii="宋体" w:hAnsi="宋体" w:cs="宋体"/>
                <w:sz w:val="24"/>
              </w:rPr>
              <w:t>方案详细完整、有针对性、可操作性强得5分；</w:t>
            </w:r>
          </w:p>
          <w:p w14:paraId="1113062E">
            <w:pPr>
              <w:rPr>
                <w:rFonts w:ascii="宋体" w:hAnsi="宋体"/>
                <w:sz w:val="24"/>
              </w:rPr>
            </w:pPr>
            <w:r>
              <w:rPr>
                <w:rFonts w:hint="eastAsia" w:ascii="宋体" w:hAnsi="宋体" w:cs="宋体"/>
                <w:sz w:val="24"/>
              </w:rPr>
              <w:t>方案较完整、较有针对性、可操作性较强的得3分；</w:t>
            </w:r>
          </w:p>
          <w:p w14:paraId="5EF9E8A0">
            <w:pPr>
              <w:rPr>
                <w:rFonts w:ascii="宋体" w:hAnsi="宋体"/>
                <w:sz w:val="24"/>
              </w:rPr>
            </w:pPr>
            <w:r>
              <w:rPr>
                <w:rFonts w:hint="eastAsia" w:ascii="宋体" w:hAnsi="宋体" w:cs="宋体"/>
                <w:sz w:val="24"/>
              </w:rPr>
              <w:t>方案完整性、针对性、可操作性一般的得1分；</w:t>
            </w:r>
          </w:p>
          <w:p w14:paraId="724A90B5">
            <w:pPr>
              <w:rPr>
                <w:rFonts w:ascii="宋体" w:hAnsi="宋体" w:cs="宋体"/>
                <w:bCs/>
                <w:sz w:val="24"/>
              </w:rPr>
            </w:pPr>
            <w:r>
              <w:rPr>
                <w:rFonts w:hint="eastAsia" w:ascii="宋体" w:hAnsi="宋体" w:cs="宋体"/>
                <w:sz w:val="24"/>
              </w:rPr>
              <w:t>未提供售后服务方案的不得分。</w:t>
            </w:r>
          </w:p>
        </w:tc>
        <w:tc>
          <w:tcPr>
            <w:tcW w:w="567" w:type="dxa"/>
            <w:tcBorders>
              <w:top w:val="nil"/>
              <w:left w:val="nil"/>
              <w:bottom w:val="single" w:color="auto" w:sz="4" w:space="0"/>
              <w:right w:val="single" w:color="auto" w:sz="4" w:space="0"/>
            </w:tcBorders>
            <w:vAlign w:val="center"/>
          </w:tcPr>
          <w:p w14:paraId="3B076A1F">
            <w:pPr>
              <w:spacing w:line="260" w:lineRule="exact"/>
              <w:jc w:val="center"/>
              <w:rPr>
                <w:rFonts w:ascii="宋体" w:hAnsi="宋体" w:cs="宋体"/>
                <w:bCs/>
                <w:color w:val="000000"/>
                <w:sz w:val="24"/>
              </w:rPr>
            </w:pPr>
            <w:r>
              <w:rPr>
                <w:rFonts w:hint="eastAsia" w:ascii="宋体" w:hAnsi="宋体" w:cs="宋体"/>
                <w:bCs/>
                <w:color w:val="000000"/>
                <w:sz w:val="24"/>
              </w:rPr>
              <w:t>5</w:t>
            </w:r>
          </w:p>
        </w:tc>
      </w:tr>
      <w:tr w14:paraId="79C6281D">
        <w:tblPrEx>
          <w:tblCellMar>
            <w:top w:w="0" w:type="dxa"/>
            <w:left w:w="108" w:type="dxa"/>
            <w:bottom w:w="0" w:type="dxa"/>
            <w:right w:w="108" w:type="dxa"/>
          </w:tblCellMar>
        </w:tblPrEx>
        <w:trPr>
          <w:trHeight w:val="2263" w:hRule="atLeast"/>
        </w:trPr>
        <w:tc>
          <w:tcPr>
            <w:tcW w:w="615" w:type="dxa"/>
            <w:tcBorders>
              <w:top w:val="nil"/>
              <w:left w:val="single" w:color="auto" w:sz="4" w:space="0"/>
              <w:bottom w:val="single" w:color="auto" w:sz="4" w:space="0"/>
              <w:right w:val="single" w:color="auto" w:sz="4" w:space="0"/>
            </w:tcBorders>
            <w:vAlign w:val="center"/>
          </w:tcPr>
          <w:p w14:paraId="7C3CA5B2">
            <w:pPr>
              <w:jc w:val="center"/>
              <w:rPr>
                <w:rFonts w:ascii="宋体" w:hAnsi="宋体" w:cs="宋体"/>
                <w:color w:val="000000"/>
                <w:sz w:val="24"/>
              </w:rPr>
            </w:pPr>
            <w:r>
              <w:rPr>
                <w:rFonts w:hint="eastAsia" w:ascii="宋体" w:hAnsi="宋体" w:cs="宋体"/>
                <w:color w:val="000000"/>
                <w:sz w:val="24"/>
              </w:rPr>
              <w:t>6</w:t>
            </w:r>
          </w:p>
        </w:tc>
        <w:tc>
          <w:tcPr>
            <w:tcW w:w="769" w:type="dxa"/>
            <w:tcBorders>
              <w:top w:val="nil"/>
              <w:left w:val="nil"/>
              <w:bottom w:val="single" w:color="auto" w:sz="4" w:space="0"/>
              <w:right w:val="single" w:color="auto" w:sz="4" w:space="0"/>
            </w:tcBorders>
            <w:vAlign w:val="center"/>
          </w:tcPr>
          <w:p w14:paraId="636249B3">
            <w:pPr>
              <w:jc w:val="center"/>
              <w:rPr>
                <w:rFonts w:ascii="宋体" w:hAnsi="宋体" w:cs="宋体"/>
                <w:bCs/>
                <w:color w:val="000000"/>
                <w:sz w:val="24"/>
                <w:highlight w:val="yellow"/>
              </w:rPr>
            </w:pPr>
            <w:r>
              <w:rPr>
                <w:rFonts w:hint="eastAsia" w:ascii="宋体" w:hAnsi="宋体" w:cs="宋体"/>
                <w:bCs/>
                <w:color w:val="000000"/>
                <w:sz w:val="24"/>
              </w:rPr>
              <w:t>供应商实力</w:t>
            </w:r>
          </w:p>
        </w:tc>
        <w:tc>
          <w:tcPr>
            <w:tcW w:w="6804" w:type="dxa"/>
            <w:tcBorders>
              <w:top w:val="nil"/>
              <w:left w:val="nil"/>
              <w:bottom w:val="single" w:color="auto" w:sz="4" w:space="0"/>
              <w:right w:val="single" w:color="auto" w:sz="4" w:space="0"/>
            </w:tcBorders>
            <w:vAlign w:val="center"/>
          </w:tcPr>
          <w:p w14:paraId="57138911">
            <w:pPr>
              <w:rPr>
                <w:rFonts w:ascii="宋体" w:hAnsi="宋体"/>
                <w:sz w:val="24"/>
              </w:rPr>
            </w:pPr>
            <w:r>
              <w:rPr>
                <w:rFonts w:hint="eastAsia" w:ascii="宋体" w:hAnsi="宋体" w:cs="宋体"/>
                <w:sz w:val="24"/>
              </w:rPr>
              <w:t>1、投标人或所投产品生产厂商具有</w:t>
            </w:r>
            <w:r>
              <w:rPr>
                <w:rFonts w:ascii="宋体" w:hAnsi="宋体" w:cs="Arial"/>
                <w:bCs/>
                <w:sz w:val="24"/>
              </w:rPr>
              <w:t>ISO9001</w:t>
            </w:r>
            <w:r>
              <w:rPr>
                <w:rFonts w:hint="eastAsia" w:ascii="宋体" w:hAnsi="宋体" w:cs="Arial"/>
                <w:bCs/>
                <w:sz w:val="24"/>
              </w:rPr>
              <w:t>质量管理体系认证资质、</w:t>
            </w:r>
            <w:r>
              <w:rPr>
                <w:rFonts w:ascii="宋体" w:hAnsi="宋体" w:cs="Arial"/>
                <w:bCs/>
                <w:sz w:val="24"/>
              </w:rPr>
              <w:t>ISO14001</w:t>
            </w:r>
            <w:r>
              <w:rPr>
                <w:rFonts w:hint="eastAsia" w:ascii="宋体" w:hAnsi="宋体" w:cs="Arial"/>
                <w:bCs/>
                <w:sz w:val="24"/>
              </w:rPr>
              <w:t>环境管理体系认证资质、</w:t>
            </w:r>
            <w:r>
              <w:rPr>
                <w:rFonts w:ascii="宋体" w:hAnsi="宋体" w:cs="Arial"/>
                <w:bCs/>
                <w:sz w:val="24"/>
              </w:rPr>
              <w:t>ISO45001</w:t>
            </w:r>
            <w:r>
              <w:rPr>
                <w:rFonts w:hint="eastAsia" w:ascii="宋体" w:hAnsi="宋体" w:cs="Arial"/>
                <w:bCs/>
                <w:sz w:val="24"/>
              </w:rPr>
              <w:t>职业健康安全管理体系认证资质的，</w:t>
            </w:r>
            <w:r>
              <w:rPr>
                <w:rFonts w:hint="eastAsia" w:ascii="宋体" w:hAnsi="宋体" w:cs="宋体"/>
                <w:sz w:val="24"/>
              </w:rPr>
              <w:t>提供一项得</w:t>
            </w:r>
            <w:r>
              <w:rPr>
                <w:rFonts w:ascii="宋体" w:hAnsi="宋体" w:cs="宋体"/>
                <w:sz w:val="24"/>
              </w:rPr>
              <w:t>1</w:t>
            </w:r>
            <w:r>
              <w:rPr>
                <w:rFonts w:hint="eastAsia" w:ascii="宋体" w:hAnsi="宋体" w:cs="宋体"/>
                <w:sz w:val="24"/>
              </w:rPr>
              <w:t>分，最高得</w:t>
            </w:r>
            <w:r>
              <w:rPr>
                <w:rFonts w:ascii="宋体" w:hAnsi="宋体" w:cs="宋体"/>
                <w:sz w:val="24"/>
              </w:rPr>
              <w:t>3</w:t>
            </w:r>
            <w:r>
              <w:rPr>
                <w:rFonts w:hint="eastAsia" w:ascii="宋体" w:hAnsi="宋体" w:cs="宋体"/>
                <w:sz w:val="24"/>
              </w:rPr>
              <w:t>分，未提供不得分。（提供有效证明原件复印件并</w:t>
            </w:r>
            <w:r>
              <w:rPr>
                <w:rFonts w:hint="eastAsia" w:ascii="宋体" w:hAnsi="宋体" w:cs="Arial"/>
                <w:bCs/>
                <w:sz w:val="24"/>
              </w:rPr>
              <w:t>加盖公章</w:t>
            </w:r>
            <w:r>
              <w:rPr>
                <w:rFonts w:hint="eastAsia" w:ascii="宋体" w:hAnsi="宋体" w:cs="宋体"/>
                <w:sz w:val="24"/>
              </w:rPr>
              <w:t>）</w:t>
            </w:r>
          </w:p>
          <w:p w14:paraId="4788E637">
            <w:pPr>
              <w:rPr>
                <w:rFonts w:ascii="宋体" w:hAnsi="宋体"/>
                <w:sz w:val="24"/>
              </w:rPr>
            </w:pPr>
            <w:r>
              <w:rPr>
                <w:rFonts w:ascii="宋体" w:hAnsi="宋体"/>
                <w:sz w:val="24"/>
              </w:rPr>
              <w:t>2</w:t>
            </w:r>
            <w:r>
              <w:rPr>
                <w:rFonts w:hint="eastAsia" w:ascii="宋体" w:hAnsi="宋体"/>
                <w:sz w:val="24"/>
              </w:rPr>
              <w:t>、为确保有效承托该项目，</w:t>
            </w:r>
            <w:r>
              <w:rPr>
                <w:rFonts w:hint="eastAsia" w:ascii="宋体" w:hAnsi="宋体" w:cs="宋体"/>
                <w:sz w:val="24"/>
              </w:rPr>
              <w:t>投标人或所投产品生产厂商</w:t>
            </w:r>
            <w:r>
              <w:rPr>
                <w:rFonts w:hint="eastAsia" w:ascii="宋体" w:hAnsi="宋体"/>
                <w:sz w:val="24"/>
              </w:rPr>
              <w:t>的项目实施人员须具备能够监督监督进度、发现问题、组建团队、并在合作中对项目维护的不断优化的作用。</w:t>
            </w:r>
            <w:r>
              <w:rPr>
                <w:rFonts w:hint="eastAsia" w:ascii="宋体" w:hAnsi="宋体" w:cs="宋体"/>
                <w:sz w:val="24"/>
              </w:rPr>
              <w:t>投标人或所投产品生产厂商</w:t>
            </w:r>
            <w:r>
              <w:rPr>
                <w:rFonts w:hint="eastAsia" w:ascii="宋体" w:hAnsi="宋体"/>
                <w:sz w:val="24"/>
              </w:rPr>
              <w:t>的项目实施人员投标时具有本项目相关专业的高级技师职业技能等级证书的，提供一份得2分；最高得4分。（获证书人员须在所投单位缴纳</w:t>
            </w:r>
            <w:r>
              <w:rPr>
                <w:rFonts w:hint="eastAsia" w:ascii="宋体" w:hAnsi="宋体"/>
                <w:color w:val="auto"/>
                <w:sz w:val="24"/>
              </w:rPr>
              <w:t>近六个月任意一个月社保</w:t>
            </w:r>
            <w:r>
              <w:rPr>
                <w:rFonts w:hint="eastAsia" w:ascii="宋体" w:hAnsi="宋体"/>
                <w:sz w:val="24"/>
              </w:rPr>
              <w:t>，并加盖投标人公章）</w:t>
            </w:r>
          </w:p>
        </w:tc>
        <w:tc>
          <w:tcPr>
            <w:tcW w:w="567" w:type="dxa"/>
            <w:tcBorders>
              <w:top w:val="nil"/>
              <w:left w:val="nil"/>
              <w:bottom w:val="single" w:color="auto" w:sz="4" w:space="0"/>
              <w:right w:val="single" w:color="auto" w:sz="4" w:space="0"/>
            </w:tcBorders>
            <w:vAlign w:val="center"/>
          </w:tcPr>
          <w:p w14:paraId="3FF5D4FE">
            <w:pPr>
              <w:spacing w:line="260" w:lineRule="exact"/>
              <w:jc w:val="center"/>
              <w:rPr>
                <w:rFonts w:ascii="宋体" w:hAnsi="宋体" w:cs="宋体"/>
                <w:sz w:val="24"/>
              </w:rPr>
            </w:pPr>
            <w:r>
              <w:rPr>
                <w:rFonts w:ascii="宋体" w:hAnsi="宋体" w:cs="宋体"/>
                <w:color w:val="000000"/>
                <w:sz w:val="24"/>
              </w:rPr>
              <w:t>7</w:t>
            </w:r>
          </w:p>
        </w:tc>
      </w:tr>
    </w:tbl>
    <w:p w14:paraId="6CD8CCFB">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30分</w:t>
      </w:r>
    </w:p>
    <w:p w14:paraId="2322D4CF">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52F1DA62">
      <w:pPr>
        <w:adjustRightInd w:val="0"/>
        <w:snapToGrid w:val="0"/>
        <w:spacing w:line="460" w:lineRule="exact"/>
        <w:ind w:firstLine="480" w:firstLineChars="200"/>
        <w:rPr>
          <w:rFonts w:ascii="宋体" w:hAnsi="宋体" w:cs="宋体"/>
          <w:b/>
          <w:sz w:val="24"/>
        </w:rPr>
      </w:pPr>
      <w:r>
        <w:rPr>
          <w:rFonts w:hint="eastAsia" w:ascii="宋体" w:hAnsi="宋体" w:cs="宋体"/>
          <w:b/>
          <w:sz w:val="24"/>
        </w:rPr>
        <w:t>投标报价得分=（评标基准价/投标报价）×价格权值×100（小数点后保留两位，第三位四舍五入）</w:t>
      </w:r>
    </w:p>
    <w:p w14:paraId="633DF7A5">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369EA08A">
      <w:pPr>
        <w:adjustRightInd w:val="0"/>
        <w:snapToGrid w:val="0"/>
        <w:spacing w:line="460" w:lineRule="exact"/>
        <w:ind w:firstLine="480" w:firstLineChars="200"/>
        <w:rPr>
          <w:rFonts w:ascii="宋体" w:hAnsi="宋体" w:cs="宋体"/>
          <w:sz w:val="24"/>
        </w:rPr>
      </w:pPr>
      <w:r>
        <w:rPr>
          <w:rFonts w:hint="eastAsia" w:ascii="宋体" w:hAnsi="宋体" w:cs="宋体"/>
          <w:sz w:val="24"/>
        </w:rPr>
        <w:t>4.1评审过程中出现下列情形之一的，评审委员会应当启动异常低价投标（响应）审查程序：</w:t>
      </w:r>
    </w:p>
    <w:p w14:paraId="4F5A5960">
      <w:pPr>
        <w:adjustRightInd w:val="0"/>
        <w:snapToGrid w:val="0"/>
        <w:spacing w:line="460" w:lineRule="exact"/>
        <w:ind w:firstLine="480" w:firstLineChars="200"/>
        <w:rPr>
          <w:rFonts w:ascii="宋体" w:hAnsi="宋体" w:cs="宋体"/>
          <w:sz w:val="24"/>
        </w:rPr>
      </w:pPr>
      <w:r>
        <w:rPr>
          <w:rFonts w:hint="eastAsia" w:ascii="宋体" w:hAnsi="宋体" w:cs="宋体"/>
          <w:sz w:val="24"/>
        </w:rPr>
        <w:t>4.1.1投标（响应）报价低于采购项目预算 50% 的，即投标（响应）报价&lt;采购项目预算×50% ；</w:t>
      </w:r>
    </w:p>
    <w:p w14:paraId="74B39024">
      <w:pPr>
        <w:adjustRightInd w:val="0"/>
        <w:snapToGrid w:val="0"/>
        <w:spacing w:line="460" w:lineRule="exact"/>
        <w:ind w:firstLine="480" w:firstLineChars="200"/>
        <w:rPr>
          <w:rFonts w:ascii="宋体" w:hAnsi="宋体" w:cs="宋体"/>
          <w:sz w:val="24"/>
        </w:rPr>
      </w:pPr>
      <w:r>
        <w:rPr>
          <w:rFonts w:hint="eastAsia" w:ascii="宋体" w:hAnsi="宋体" w:cs="宋体"/>
          <w:sz w:val="24"/>
        </w:rPr>
        <w:t>4.1.2投标（响应）报价低于采购项目最高限价 45% 的，即投标（响应）报价&lt;采购项目最高限价×45% ；</w:t>
      </w:r>
    </w:p>
    <w:p w14:paraId="489A6F4B">
      <w:pPr>
        <w:adjustRightInd w:val="0"/>
        <w:snapToGrid w:val="0"/>
        <w:spacing w:line="460" w:lineRule="exact"/>
        <w:ind w:firstLine="480" w:firstLineChars="200"/>
        <w:rPr>
          <w:rFonts w:ascii="宋体" w:hAnsi="宋体" w:cs="宋体"/>
          <w:sz w:val="24"/>
        </w:rPr>
      </w:pPr>
      <w:r>
        <w:rPr>
          <w:rFonts w:hint="eastAsia" w:ascii="宋体" w:hAnsi="宋体" w:cs="宋体"/>
          <w:sz w:val="24"/>
        </w:rPr>
        <w:t>4.1.3评审委员会认定的供应商报价过低、有可能影响产品质量或者不能诚信履约的其他情形。</w:t>
      </w:r>
    </w:p>
    <w:p w14:paraId="78BCDDFD">
      <w:pPr>
        <w:adjustRightInd w:val="0"/>
        <w:snapToGrid w:val="0"/>
        <w:spacing w:line="460" w:lineRule="exact"/>
        <w:ind w:firstLine="480" w:firstLineChars="200"/>
        <w:rPr>
          <w:rFonts w:ascii="宋体" w:hAnsi="宋体" w:cs="宋体"/>
          <w:sz w:val="24"/>
        </w:rPr>
      </w:pPr>
      <w:r>
        <w:rPr>
          <w:rFonts w:hint="eastAsia" w:ascii="宋体" w:hAnsi="宋体" w:cs="宋体"/>
          <w:sz w:val="24"/>
        </w:rPr>
        <w:t>4.2启动异常低价投标（响应）审查后，评审委员会应当要求相关供应商在30分钟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3E3087CB">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0017166B">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53C6978E">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62BF5294">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6516DF2E">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1B89AAB0">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3D872AC6">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02758A0C">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279CDDAB">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67ABE9DF">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07307CFB">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248CAF5B">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028550A7">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353B80F4">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59671B14">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52BE503A">
      <w:pPr>
        <w:adjustRightInd w:val="0"/>
        <w:snapToGrid w:val="0"/>
        <w:spacing w:line="460" w:lineRule="exact"/>
        <w:ind w:firstLine="480" w:firstLineChars="200"/>
        <w:rPr>
          <w:rFonts w:ascii="宋体" w:hAnsi="宋体" w:cs="宋体"/>
          <w:bCs/>
          <w:sz w:val="24"/>
        </w:rPr>
      </w:pPr>
      <w:r>
        <w:rPr>
          <w:rFonts w:hint="eastAsia" w:ascii="宋体" w:hAnsi="宋体" w:cs="宋体"/>
          <w:b/>
          <w:sz w:val="24"/>
        </w:rPr>
        <w:t>（六）中标人的确定</w:t>
      </w:r>
    </w:p>
    <w:p w14:paraId="274F6BD8">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23A74A99">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0E4EE680">
      <w:pPr>
        <w:adjustRightInd w:val="0"/>
        <w:snapToGrid w:val="0"/>
        <w:spacing w:line="460" w:lineRule="exact"/>
        <w:ind w:firstLine="480" w:firstLineChars="200"/>
        <w:rPr>
          <w:rFonts w:ascii="宋体" w:hAnsi="宋体" w:cs="宋体"/>
          <w:b/>
          <w:sz w:val="24"/>
        </w:rPr>
      </w:pPr>
      <w:r>
        <w:rPr>
          <w:rFonts w:hint="eastAsia" w:ascii="宋体" w:hAnsi="宋体" w:cs="宋体"/>
          <w:b/>
          <w:sz w:val="24"/>
        </w:rPr>
        <w:t>（七）招标人代表宣布评标结果。</w:t>
      </w:r>
    </w:p>
    <w:p w14:paraId="69ED41A1">
      <w:pPr>
        <w:adjustRightInd w:val="0"/>
        <w:snapToGrid w:val="0"/>
        <w:spacing w:line="460" w:lineRule="exact"/>
        <w:ind w:firstLine="480" w:firstLineChars="200"/>
        <w:rPr>
          <w:rFonts w:ascii="宋体" w:hAnsi="宋体" w:cs="宋体"/>
          <w:b/>
          <w:sz w:val="24"/>
        </w:rPr>
      </w:pPr>
      <w:r>
        <w:rPr>
          <w:rFonts w:hint="eastAsia" w:ascii="宋体" w:hAnsi="宋体" w:cs="宋体"/>
          <w:b/>
          <w:sz w:val="24"/>
        </w:rPr>
        <w:t>（八）公告中标结果</w:t>
      </w:r>
    </w:p>
    <w:p w14:paraId="4CA318B3">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3BAE3C81">
      <w:pPr>
        <w:adjustRightInd w:val="0"/>
        <w:snapToGrid w:val="0"/>
        <w:spacing w:line="460" w:lineRule="exact"/>
        <w:ind w:firstLine="480"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565C9297">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56A9F40C">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634061B4">
      <w:pPr>
        <w:adjustRightInd w:val="0"/>
        <w:snapToGrid w:val="0"/>
        <w:spacing w:line="460" w:lineRule="exact"/>
        <w:ind w:firstLine="480" w:firstLineChars="200"/>
        <w:rPr>
          <w:rFonts w:ascii="宋体" w:hAnsi="宋体" w:cs="宋体"/>
          <w:b/>
          <w:sz w:val="24"/>
        </w:rPr>
      </w:pPr>
      <w:r>
        <w:rPr>
          <w:rFonts w:hint="eastAsia" w:ascii="宋体" w:hAnsi="宋体" w:cs="宋体"/>
          <w:b/>
          <w:sz w:val="24"/>
        </w:rPr>
        <w:t>（十）其他</w:t>
      </w:r>
    </w:p>
    <w:p w14:paraId="1A848ECF">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31305E3">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0D3584C7">
      <w:pPr>
        <w:spacing w:after="60" w:line="440" w:lineRule="exact"/>
        <w:rPr>
          <w:rFonts w:ascii="宋体" w:hAnsi="宋体" w:cs="仿宋"/>
          <w:sz w:val="24"/>
        </w:rPr>
      </w:pPr>
    </w:p>
    <w:p w14:paraId="651D9EB8">
      <w:pPr>
        <w:spacing w:after="60" w:line="440" w:lineRule="exact"/>
        <w:rPr>
          <w:rFonts w:ascii="宋体" w:hAnsi="宋体" w:cs="仿宋"/>
          <w:sz w:val="24"/>
          <w:u w:val="single"/>
        </w:rPr>
      </w:pPr>
      <w:r>
        <w:rPr>
          <w:rFonts w:hint="eastAsia" w:ascii="宋体" w:hAnsi="宋体" w:cs="仿宋"/>
          <w:sz w:val="24"/>
        </w:rPr>
        <w:t>采购人（或称甲方）：</w:t>
      </w:r>
      <w:r>
        <w:rPr>
          <w:rFonts w:hint="eastAsia" w:ascii="宋体" w:hAnsi="宋体" w:cs="仿宋"/>
          <w:sz w:val="24"/>
          <w:u w:val="single"/>
        </w:rPr>
        <w:t>江苏商贸职业学院</w:t>
      </w:r>
    </w:p>
    <w:p w14:paraId="22FE02FE">
      <w:pPr>
        <w:spacing w:after="60" w:line="440" w:lineRule="exact"/>
        <w:rPr>
          <w:rFonts w:ascii="宋体" w:hAnsi="宋体" w:cs="仿宋"/>
          <w:sz w:val="24"/>
        </w:rPr>
      </w:pPr>
      <w:r>
        <w:rPr>
          <w:rFonts w:hint="eastAsia" w:ascii="宋体" w:hAnsi="宋体" w:cs="仿宋"/>
          <w:sz w:val="24"/>
        </w:rPr>
        <w:t>成交供应商（或称乙方）：</w:t>
      </w:r>
    </w:p>
    <w:p w14:paraId="5219954E">
      <w:pPr>
        <w:spacing w:after="60" w:line="440" w:lineRule="exact"/>
        <w:rPr>
          <w:rFonts w:ascii="宋体" w:hAnsi="宋体" w:cs="仿宋"/>
          <w:sz w:val="24"/>
        </w:rPr>
      </w:pPr>
      <w:r>
        <w:rPr>
          <w:rFonts w:hint="eastAsia" w:ascii="宋体" w:hAnsi="宋体" w:cs="仿宋"/>
          <w:sz w:val="24"/>
        </w:rPr>
        <w:t>签订时间：</w:t>
      </w:r>
      <w:r>
        <w:rPr>
          <w:rFonts w:hint="eastAsia" w:ascii="宋体" w:hAnsi="宋体" w:cs="仿宋"/>
          <w:sz w:val="24"/>
          <w:u w:val="single"/>
        </w:rPr>
        <w:t xml:space="preserve">   年  月   日  </w:t>
      </w:r>
    </w:p>
    <w:p w14:paraId="7264C6F1">
      <w:pPr>
        <w:spacing w:after="60" w:line="440" w:lineRule="exact"/>
        <w:rPr>
          <w:rFonts w:ascii="宋体" w:hAnsi="宋体" w:cs="仿宋"/>
          <w:sz w:val="24"/>
        </w:rPr>
      </w:pPr>
      <w:r>
        <w:rPr>
          <w:rFonts w:hint="eastAsia" w:ascii="宋体" w:hAnsi="宋体" w:cs="仿宋"/>
          <w:sz w:val="24"/>
        </w:rPr>
        <w:t>签订地点：</w:t>
      </w:r>
    </w:p>
    <w:p w14:paraId="0BC0E88C">
      <w:pPr>
        <w:spacing w:line="440" w:lineRule="exact"/>
        <w:ind w:firstLine="480" w:firstLineChars="200"/>
        <w:rPr>
          <w:rFonts w:ascii="宋体" w:hAnsi="宋体" w:cs="仿宋"/>
          <w:sz w:val="24"/>
        </w:rPr>
      </w:pPr>
      <w:r>
        <w:rPr>
          <w:rFonts w:hint="eastAsia" w:ascii="宋体" w:hAnsi="宋体" w:cs="仿宋"/>
          <w:sz w:val="24"/>
        </w:rPr>
        <w:t>根据《民法典》及  年  月 日(采购编号：    )的采购结果、采购文件、中标通知书及乙方的投标响应文件，经甲乙双方协商一致，签订本合同书。</w:t>
      </w:r>
    </w:p>
    <w:p w14:paraId="6BC0197B">
      <w:pPr>
        <w:spacing w:line="440" w:lineRule="exact"/>
        <w:ind w:firstLine="480" w:firstLineChars="200"/>
        <w:rPr>
          <w:rFonts w:ascii="宋体" w:hAnsi="宋体" w:cs="仿宋"/>
          <w:kern w:val="0"/>
          <w:sz w:val="24"/>
        </w:rPr>
      </w:pPr>
      <w:r>
        <w:rPr>
          <w:rFonts w:hint="eastAsia" w:ascii="宋体" w:hAnsi="宋体" w:cs="仿宋"/>
          <w:kern w:val="0"/>
          <w:sz w:val="24"/>
        </w:rPr>
        <w:t>一、合同的标的物</w:t>
      </w:r>
    </w:p>
    <w:p w14:paraId="064135B9">
      <w:pPr>
        <w:spacing w:line="440" w:lineRule="exact"/>
        <w:ind w:firstLine="480" w:firstLineChars="200"/>
        <w:rPr>
          <w:rFonts w:ascii="宋体" w:hAnsi="宋体" w:cs="仿宋"/>
          <w:kern w:val="0"/>
          <w:sz w:val="24"/>
        </w:rPr>
      </w:pPr>
      <w:r>
        <w:rPr>
          <w:rFonts w:hint="eastAsia" w:ascii="宋体" w:hAnsi="宋体" w:cs="仿宋"/>
          <w:kern w:val="0"/>
          <w:sz w:val="24"/>
        </w:rPr>
        <w:t>1.1甲方向乙方采购服务，具体的品种、规格要求详见采购文件。</w:t>
      </w:r>
    </w:p>
    <w:p w14:paraId="6EE85FCB">
      <w:pPr>
        <w:spacing w:line="440" w:lineRule="exact"/>
        <w:ind w:firstLine="480" w:firstLineChars="200"/>
        <w:rPr>
          <w:rFonts w:ascii="宋体" w:hAnsi="宋体" w:cs="仿宋"/>
          <w:kern w:val="0"/>
          <w:sz w:val="24"/>
        </w:rPr>
      </w:pPr>
      <w:r>
        <w:rPr>
          <w:rFonts w:hint="eastAsia" w:ascii="宋体" w:hAnsi="宋体" w:cs="仿宋"/>
          <w:kern w:val="0"/>
          <w:sz w:val="24"/>
        </w:rPr>
        <w:t>1.2 乙方对提供的标的物应当拥有完整的物权，并且负有保证第三人不得向甲方主张任何权利（包括知识产权）的义务。</w:t>
      </w:r>
    </w:p>
    <w:p w14:paraId="0F5E0C98">
      <w:pPr>
        <w:spacing w:line="440" w:lineRule="exact"/>
        <w:ind w:firstLine="484" w:firstLineChars="202"/>
        <w:rPr>
          <w:rFonts w:ascii="宋体" w:hAnsi="宋体" w:cs="仿宋"/>
          <w:kern w:val="0"/>
          <w:sz w:val="24"/>
        </w:rPr>
      </w:pPr>
      <w:r>
        <w:rPr>
          <w:rFonts w:hint="eastAsia" w:ascii="宋体" w:hAnsi="宋体" w:cs="仿宋"/>
          <w:kern w:val="0"/>
          <w:sz w:val="24"/>
        </w:rPr>
        <w:t>二、合同价格与支付</w:t>
      </w:r>
    </w:p>
    <w:p w14:paraId="217B913D">
      <w:pPr>
        <w:snapToGrid w:val="0"/>
        <w:spacing w:line="440" w:lineRule="exact"/>
        <w:ind w:firstLine="480" w:firstLineChars="200"/>
        <w:rPr>
          <w:rFonts w:ascii="宋体" w:hAnsi="宋体" w:cs="仿宋"/>
          <w:kern w:val="0"/>
          <w:sz w:val="24"/>
        </w:rPr>
      </w:pPr>
      <w:r>
        <w:rPr>
          <w:rFonts w:hint="eastAsia" w:ascii="宋体" w:hAnsi="宋体" w:cs="仿宋"/>
          <w:kern w:val="0"/>
          <w:sz w:val="24"/>
        </w:rPr>
        <w:t xml:space="preserve">2.1 </w:t>
      </w:r>
    </w:p>
    <w:tbl>
      <w:tblPr>
        <w:tblStyle w:val="39"/>
        <w:tblW w:w="8760"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794"/>
        <w:gridCol w:w="1175"/>
        <w:gridCol w:w="1341"/>
        <w:gridCol w:w="962"/>
        <w:gridCol w:w="962"/>
      </w:tblGrid>
      <w:tr w14:paraId="3AB07A01">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F9F6CB0">
            <w:pPr>
              <w:spacing w:line="440" w:lineRule="exact"/>
              <w:jc w:val="center"/>
              <w:rPr>
                <w:rFonts w:ascii="宋体" w:hAnsi="宋体" w:cs="仿宋"/>
                <w:sz w:val="24"/>
              </w:rPr>
            </w:pPr>
            <w:r>
              <w:rPr>
                <w:rFonts w:hint="eastAsia" w:ascii="宋体" w:hAnsi="宋体"/>
                <w:color w:val="000000"/>
                <w:sz w:val="24"/>
                <w:szCs w:val="21"/>
              </w:rPr>
              <w:t>序号</w:t>
            </w:r>
          </w:p>
        </w:tc>
        <w:tc>
          <w:tcPr>
            <w:tcW w:w="878" w:type="dxa"/>
            <w:tcBorders>
              <w:top w:val="single" w:color="auto" w:sz="4" w:space="0"/>
              <w:left w:val="single" w:color="auto" w:sz="4" w:space="0"/>
              <w:bottom w:val="single" w:color="auto" w:sz="4" w:space="0"/>
              <w:right w:val="single" w:color="auto" w:sz="4" w:space="0"/>
            </w:tcBorders>
            <w:vAlign w:val="center"/>
          </w:tcPr>
          <w:p w14:paraId="47CF8DA7">
            <w:pPr>
              <w:spacing w:line="440" w:lineRule="exact"/>
              <w:jc w:val="center"/>
              <w:rPr>
                <w:rFonts w:ascii="宋体" w:hAnsi="宋体" w:cs="仿宋"/>
                <w:sz w:val="24"/>
              </w:rPr>
            </w:pPr>
            <w:r>
              <w:rPr>
                <w:rFonts w:hint="eastAsia" w:ascii="宋体" w:hAnsi="宋体"/>
                <w:color w:val="000000"/>
                <w:sz w:val="24"/>
                <w:szCs w:val="21"/>
              </w:rPr>
              <w:t>品名</w:t>
            </w: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E6D0E9">
            <w:pPr>
              <w:spacing w:line="440" w:lineRule="exact"/>
              <w:jc w:val="center"/>
              <w:rPr>
                <w:rFonts w:ascii="宋体" w:hAnsi="宋体" w:cs="仿宋"/>
                <w:sz w:val="24"/>
              </w:rPr>
            </w:pPr>
            <w:r>
              <w:rPr>
                <w:rFonts w:hint="eastAsia" w:ascii="宋体" w:hAnsi="宋体"/>
                <w:color w:val="000000"/>
                <w:sz w:val="24"/>
                <w:szCs w:val="21"/>
              </w:rPr>
              <w:t>规格型号</w:t>
            </w: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34DF17">
            <w:pPr>
              <w:spacing w:line="440" w:lineRule="exact"/>
              <w:jc w:val="center"/>
              <w:rPr>
                <w:rFonts w:ascii="宋体" w:hAnsi="宋体" w:cs="仿宋"/>
                <w:sz w:val="24"/>
              </w:rPr>
            </w:pPr>
            <w:r>
              <w:rPr>
                <w:rFonts w:hint="eastAsia" w:ascii="宋体" w:hAnsi="宋体"/>
                <w:color w:val="000000"/>
                <w:sz w:val="24"/>
                <w:szCs w:val="21"/>
              </w:rPr>
              <w:t>数量</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158047">
            <w:pPr>
              <w:spacing w:line="440" w:lineRule="exact"/>
              <w:jc w:val="center"/>
              <w:rPr>
                <w:rFonts w:ascii="宋体" w:hAnsi="宋体" w:cs="仿宋"/>
                <w:sz w:val="24"/>
              </w:rPr>
            </w:pPr>
            <w:r>
              <w:rPr>
                <w:rFonts w:ascii="宋体" w:hAnsi="宋体"/>
                <w:color w:val="000000"/>
                <w:sz w:val="24"/>
                <w:szCs w:val="21"/>
              </w:rPr>
              <w:t>单位</w:t>
            </w:r>
          </w:p>
        </w:tc>
        <w:tc>
          <w:tcPr>
            <w:tcW w:w="962" w:type="dxa"/>
            <w:tcBorders>
              <w:top w:val="single" w:color="auto" w:sz="4" w:space="0"/>
              <w:left w:val="single" w:color="auto" w:sz="4" w:space="0"/>
              <w:bottom w:val="single" w:color="auto" w:sz="4" w:space="0"/>
              <w:right w:val="single" w:color="auto" w:sz="4" w:space="0"/>
            </w:tcBorders>
            <w:vAlign w:val="center"/>
          </w:tcPr>
          <w:p w14:paraId="7A2CCF93">
            <w:pPr>
              <w:spacing w:line="440" w:lineRule="exact"/>
              <w:jc w:val="center"/>
              <w:rPr>
                <w:rFonts w:ascii="宋体" w:hAnsi="宋体" w:cs="仿宋"/>
                <w:sz w:val="24"/>
              </w:rPr>
            </w:pPr>
            <w:r>
              <w:rPr>
                <w:rFonts w:hint="eastAsia" w:ascii="宋体" w:hAnsi="宋体"/>
                <w:color w:val="000000"/>
                <w:sz w:val="24"/>
                <w:szCs w:val="21"/>
              </w:rPr>
              <w:t>单价（元）</w:t>
            </w:r>
          </w:p>
        </w:tc>
        <w:tc>
          <w:tcPr>
            <w:tcW w:w="962" w:type="dxa"/>
            <w:tcBorders>
              <w:top w:val="single" w:color="auto" w:sz="4" w:space="0"/>
              <w:left w:val="single" w:color="auto" w:sz="4" w:space="0"/>
              <w:bottom w:val="single" w:color="auto" w:sz="4" w:space="0"/>
              <w:right w:val="single" w:color="auto" w:sz="4" w:space="0"/>
            </w:tcBorders>
            <w:vAlign w:val="center"/>
          </w:tcPr>
          <w:p w14:paraId="392E6D38">
            <w:pPr>
              <w:spacing w:line="440" w:lineRule="exact"/>
              <w:jc w:val="center"/>
              <w:rPr>
                <w:rFonts w:ascii="宋体" w:hAnsi="宋体" w:cs="仿宋"/>
                <w:sz w:val="24"/>
              </w:rPr>
            </w:pPr>
            <w:r>
              <w:rPr>
                <w:rFonts w:hint="eastAsia" w:ascii="宋体" w:hAnsi="宋体"/>
                <w:color w:val="000000"/>
                <w:sz w:val="24"/>
                <w:szCs w:val="21"/>
              </w:rPr>
              <w:t>总价（元）</w:t>
            </w:r>
          </w:p>
        </w:tc>
      </w:tr>
      <w:tr w14:paraId="42A58140">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0B846C75">
            <w:pPr>
              <w:spacing w:line="440" w:lineRule="exact"/>
              <w:jc w:val="center"/>
              <w:rPr>
                <w:rFonts w:ascii="宋体" w:hAnsi="宋体" w:cs="仿宋"/>
                <w:sz w:val="24"/>
              </w:rPr>
            </w:pPr>
          </w:p>
        </w:tc>
        <w:tc>
          <w:tcPr>
            <w:tcW w:w="878" w:type="dxa"/>
            <w:tcBorders>
              <w:top w:val="single" w:color="auto" w:sz="4" w:space="0"/>
              <w:left w:val="single" w:color="auto" w:sz="8" w:space="0"/>
              <w:bottom w:val="single" w:color="auto" w:sz="4" w:space="0"/>
              <w:right w:val="single" w:color="auto" w:sz="4" w:space="0"/>
            </w:tcBorders>
            <w:vAlign w:val="center"/>
          </w:tcPr>
          <w:p w14:paraId="5F71E3FF">
            <w:pPr>
              <w:spacing w:line="440" w:lineRule="exact"/>
              <w:jc w:val="center"/>
              <w:rPr>
                <w:rFonts w:ascii="宋体" w:hAnsi="宋体" w:cs="仿宋"/>
                <w:sz w:val="24"/>
              </w:rPr>
            </w:pP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5A19B11">
            <w:pPr>
              <w:spacing w:line="440" w:lineRule="exact"/>
              <w:rPr>
                <w:rFonts w:ascii="宋体" w:hAnsi="宋体" w:cs="仿宋"/>
                <w:sz w:val="24"/>
              </w:rPr>
            </w:pP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2DBADFC">
            <w:pPr>
              <w:spacing w:line="440" w:lineRule="exact"/>
              <w:jc w:val="center"/>
              <w:rPr>
                <w:rFonts w:ascii="宋体" w:hAnsi="宋体" w:cs="仿宋"/>
                <w:sz w:val="24"/>
              </w:rPr>
            </w:pP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33AE23">
            <w:pPr>
              <w:spacing w:line="440" w:lineRule="exact"/>
              <w:jc w:val="center"/>
              <w:rPr>
                <w:rFonts w:ascii="宋体" w:hAnsi="宋体" w:cs="仿宋"/>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03FF7CD4">
            <w:pPr>
              <w:spacing w:line="440" w:lineRule="exact"/>
              <w:jc w:val="center"/>
              <w:rPr>
                <w:rFonts w:ascii="宋体" w:hAnsi="宋体" w:cs="仿宋"/>
                <w:sz w:val="24"/>
              </w:rPr>
            </w:pPr>
          </w:p>
        </w:tc>
        <w:tc>
          <w:tcPr>
            <w:tcW w:w="962" w:type="dxa"/>
            <w:tcBorders>
              <w:top w:val="single" w:color="auto" w:sz="4" w:space="0"/>
              <w:left w:val="single" w:color="auto" w:sz="4" w:space="0"/>
              <w:bottom w:val="single" w:color="auto" w:sz="4" w:space="0"/>
              <w:right w:val="single" w:color="auto" w:sz="4" w:space="0"/>
            </w:tcBorders>
            <w:vAlign w:val="center"/>
          </w:tcPr>
          <w:p w14:paraId="5777749D">
            <w:pPr>
              <w:spacing w:line="440" w:lineRule="exact"/>
              <w:jc w:val="center"/>
              <w:rPr>
                <w:rFonts w:ascii="宋体" w:hAnsi="宋体" w:cs="仿宋"/>
                <w:sz w:val="24"/>
              </w:rPr>
            </w:pPr>
          </w:p>
        </w:tc>
      </w:tr>
      <w:tr w14:paraId="098A67CE">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77EE7FC0">
            <w:pPr>
              <w:spacing w:line="440" w:lineRule="exact"/>
              <w:jc w:val="left"/>
              <w:rPr>
                <w:rFonts w:ascii="宋体" w:hAnsi="宋体" w:cs="仿宋"/>
                <w:sz w:val="24"/>
              </w:rPr>
            </w:pPr>
            <w:r>
              <w:rPr>
                <w:rFonts w:hint="eastAsia" w:ascii="宋体" w:hAnsi="宋体" w:cs="仿宋"/>
                <w:sz w:val="24"/>
              </w:rPr>
              <w:t>总计金额大写：                            小写：</w:t>
            </w:r>
          </w:p>
        </w:tc>
      </w:tr>
    </w:tbl>
    <w:p w14:paraId="69D80AA9">
      <w:pPr>
        <w:snapToGrid w:val="0"/>
        <w:spacing w:line="440" w:lineRule="exact"/>
        <w:ind w:firstLine="480" w:firstLineChars="200"/>
        <w:rPr>
          <w:rFonts w:ascii="宋体" w:hAnsi="宋体" w:cs="仿宋"/>
          <w:b/>
          <w:sz w:val="24"/>
        </w:rPr>
      </w:pPr>
      <w:r>
        <w:rPr>
          <w:rFonts w:hint="eastAsia" w:ascii="宋体" w:hAnsi="宋体" w:cs="仿宋"/>
          <w:kern w:val="0"/>
          <w:sz w:val="24"/>
        </w:rPr>
        <w:t>合同价格按此次中标价格执行，合同总金额为人民币</w:t>
      </w:r>
      <w:r>
        <w:rPr>
          <w:rFonts w:hint="eastAsia" w:ascii="宋体" w:hAnsi="宋体" w:cs="仿宋"/>
          <w:kern w:val="0"/>
          <w:sz w:val="24"/>
          <w:u w:val="single"/>
        </w:rPr>
        <w:t xml:space="preserve">       元</w:t>
      </w:r>
      <w:r>
        <w:rPr>
          <w:rFonts w:hint="eastAsia" w:ascii="宋体" w:hAnsi="宋体" w:cs="仿宋"/>
          <w:kern w:val="0"/>
          <w:sz w:val="24"/>
        </w:rPr>
        <w:t>整</w:t>
      </w:r>
      <w:r>
        <w:rPr>
          <w:rFonts w:hint="eastAsia" w:ascii="宋体" w:hAnsi="宋体" w:cs="仿宋"/>
          <w:b/>
          <w:sz w:val="24"/>
        </w:rPr>
        <w:t>(合同价应包含</w:t>
      </w:r>
      <w:r>
        <w:rPr>
          <w:rFonts w:hint="eastAsia" w:ascii="宋体" w:hAnsi="宋体" w:cs="宋体"/>
          <w:b/>
          <w:sz w:val="24"/>
        </w:rPr>
        <w:t>完成本项目的一切费用</w:t>
      </w:r>
      <w:r>
        <w:rPr>
          <w:rFonts w:hint="eastAsia" w:ascii="宋体" w:hAnsi="宋体" w:cs="仿宋"/>
          <w:b/>
          <w:sz w:val="24"/>
        </w:rPr>
        <w:t>)。</w:t>
      </w:r>
    </w:p>
    <w:p w14:paraId="7035E06D">
      <w:pPr>
        <w:snapToGrid w:val="0"/>
        <w:spacing w:line="440" w:lineRule="exact"/>
        <w:ind w:firstLine="480" w:firstLineChars="200"/>
        <w:rPr>
          <w:rFonts w:ascii="宋体" w:hAnsi="宋体" w:cs="仿宋"/>
          <w:sz w:val="24"/>
        </w:rPr>
      </w:pPr>
      <w:r>
        <w:rPr>
          <w:rFonts w:hint="eastAsia" w:ascii="宋体" w:hAnsi="宋体" w:cs="仿宋"/>
          <w:sz w:val="24"/>
        </w:rPr>
        <w:t>2.2付款方式：</w:t>
      </w:r>
    </w:p>
    <w:p w14:paraId="7B53376B">
      <w:pPr>
        <w:spacing w:line="440" w:lineRule="exact"/>
        <w:ind w:firstLine="480" w:firstLineChars="200"/>
      </w:pPr>
      <w:r>
        <w:rPr>
          <w:rFonts w:ascii="宋体" w:hAnsi="宋体" w:cs="宋体"/>
          <w:sz w:val="24"/>
        </w:rPr>
        <w:t>安装完毕并验收合格后，</w:t>
      </w:r>
      <w:r>
        <w:rPr>
          <w:rFonts w:hint="eastAsia" w:ascii="宋体" w:hAnsi="宋体" w:cs="宋体"/>
          <w:sz w:val="24"/>
        </w:rPr>
        <w:t>甲方</w:t>
      </w:r>
      <w:r>
        <w:rPr>
          <w:rFonts w:ascii="宋体" w:hAnsi="宋体" w:cs="宋体"/>
          <w:sz w:val="24"/>
        </w:rPr>
        <w:t>凭收讫货物的验收凭证、验收合格文件等材料，且收到</w:t>
      </w:r>
      <w:r>
        <w:rPr>
          <w:rFonts w:hint="eastAsia" w:ascii="宋体" w:hAnsi="宋体" w:cs="宋体"/>
          <w:sz w:val="24"/>
        </w:rPr>
        <w:t>乙方</w:t>
      </w:r>
      <w:r>
        <w:rPr>
          <w:rFonts w:ascii="宋体" w:hAnsi="宋体" w:cs="宋体"/>
          <w:sz w:val="24"/>
        </w:rPr>
        <w:t>提供发票7个工作日</w:t>
      </w:r>
      <w:r>
        <w:rPr>
          <w:rFonts w:hint="eastAsia" w:ascii="宋体" w:hAnsi="宋体" w:cs="宋体"/>
          <w:sz w:val="24"/>
        </w:rPr>
        <w:t>内</w:t>
      </w:r>
      <w:r>
        <w:rPr>
          <w:rFonts w:ascii="宋体" w:hAnsi="宋体" w:cs="宋体"/>
          <w:sz w:val="24"/>
        </w:rPr>
        <w:t>，</w:t>
      </w:r>
      <w:r>
        <w:rPr>
          <w:rFonts w:hint="eastAsia" w:ascii="宋体" w:hAnsi="宋体" w:cs="宋体"/>
          <w:sz w:val="24"/>
        </w:rPr>
        <w:t>支付</w:t>
      </w:r>
      <w:r>
        <w:rPr>
          <w:rFonts w:ascii="宋体" w:hAnsi="宋体" w:cs="宋体"/>
          <w:sz w:val="24"/>
        </w:rPr>
        <w:t>合同金额的</w:t>
      </w:r>
      <w:r>
        <w:rPr>
          <w:rFonts w:hint="eastAsia" w:ascii="宋体" w:hAnsi="宋体" w:cs="宋体"/>
          <w:sz w:val="24"/>
        </w:rPr>
        <w:t>95</w:t>
      </w:r>
      <w:r>
        <w:rPr>
          <w:rFonts w:ascii="宋体" w:hAnsi="宋体" w:cs="宋体"/>
          <w:sz w:val="24"/>
        </w:rPr>
        <w:t>%</w:t>
      </w:r>
      <w:r>
        <w:rPr>
          <w:rFonts w:hint="eastAsia" w:ascii="宋体" w:hAnsi="宋体" w:cs="宋体"/>
          <w:sz w:val="24"/>
        </w:rPr>
        <w:t>，</w:t>
      </w:r>
      <w:bookmarkStart w:id="110" w:name="OLE_LINK2"/>
      <w:bookmarkStart w:id="111" w:name="OLE_LINK1"/>
      <w:r>
        <w:rPr>
          <w:rFonts w:hint="eastAsia" w:ascii="宋体" w:hAnsi="宋体" w:cs="宋体"/>
          <w:sz w:val="24"/>
        </w:rPr>
        <w:t>剩余5%将于产品验收合格后三年一次性付清</w:t>
      </w:r>
      <w:bookmarkEnd w:id="110"/>
      <w:bookmarkEnd w:id="111"/>
      <w:r>
        <w:rPr>
          <w:rFonts w:ascii="宋体" w:hAnsi="宋体" w:cs="宋体"/>
          <w:sz w:val="24"/>
        </w:rPr>
        <w:t>。</w:t>
      </w:r>
    </w:p>
    <w:p w14:paraId="6CF3537B">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款项由甲方按相关财务支付规定办理支付手续。每次付款供货商均需提供正规发票。以上付款均不计利息。</w:t>
      </w:r>
    </w:p>
    <w:p w14:paraId="037A0248">
      <w:pPr>
        <w:snapToGrid w:val="0"/>
        <w:spacing w:line="440" w:lineRule="exact"/>
        <w:ind w:firstLine="480" w:firstLineChars="200"/>
        <w:rPr>
          <w:rFonts w:ascii="宋体" w:hAnsi="宋体" w:cs="仿宋"/>
          <w:sz w:val="24"/>
        </w:rPr>
      </w:pPr>
      <w:r>
        <w:rPr>
          <w:rFonts w:hint="eastAsia" w:ascii="宋体" w:hAnsi="宋体" w:cs="仿宋"/>
          <w:sz w:val="24"/>
        </w:rPr>
        <w:t>2.3 乙方按期交货后向甲方结算货款时须提供甲方盖章验收合格证明。</w:t>
      </w:r>
    </w:p>
    <w:p w14:paraId="5EDD5E0D">
      <w:pPr>
        <w:spacing w:line="440" w:lineRule="exact"/>
        <w:ind w:firstLine="484" w:firstLineChars="202"/>
        <w:rPr>
          <w:rFonts w:ascii="宋体" w:hAnsi="宋体" w:cs="仿宋"/>
          <w:kern w:val="0"/>
          <w:sz w:val="24"/>
        </w:rPr>
      </w:pPr>
      <w:r>
        <w:rPr>
          <w:rFonts w:hint="eastAsia" w:ascii="宋体" w:hAnsi="宋体" w:cs="仿宋"/>
          <w:kern w:val="0"/>
          <w:sz w:val="24"/>
        </w:rPr>
        <w:t>2.4 根据现行税法对甲方征收的与本合同有关的一切税费均由甲方承担；根据现行税法对乙方征收的与本合同有关的一切税费均由乙方承担。</w:t>
      </w:r>
    </w:p>
    <w:p w14:paraId="6FBED49A">
      <w:pPr>
        <w:snapToGrid w:val="0"/>
        <w:spacing w:line="440" w:lineRule="exact"/>
        <w:ind w:firstLine="480" w:firstLineChars="200"/>
        <w:rPr>
          <w:rFonts w:ascii="宋体" w:hAnsi="宋体" w:cs="仿宋"/>
          <w:color w:val="0000FF"/>
          <w:kern w:val="0"/>
          <w:sz w:val="24"/>
        </w:rPr>
      </w:pPr>
      <w:r>
        <w:rPr>
          <w:rFonts w:hint="eastAsia" w:ascii="宋体" w:hAnsi="宋体" w:cs="仿宋"/>
          <w:kern w:val="0"/>
          <w:sz w:val="24"/>
        </w:rPr>
        <w:t>三、质量要求</w:t>
      </w:r>
    </w:p>
    <w:p w14:paraId="7CDBF5AD">
      <w:pPr>
        <w:autoSpaceDE w:val="0"/>
        <w:autoSpaceDN w:val="0"/>
        <w:adjustRightInd w:val="0"/>
        <w:spacing w:line="460" w:lineRule="exact"/>
        <w:ind w:firstLine="480" w:firstLineChars="200"/>
        <w:jc w:val="left"/>
        <w:rPr>
          <w:rFonts w:ascii="宋体" w:hAnsi="宋体" w:cs="宋体"/>
          <w:color w:val="000000"/>
          <w:sz w:val="24"/>
        </w:rPr>
      </w:pPr>
      <w:r>
        <w:rPr>
          <w:rFonts w:hint="eastAsia" w:ascii="宋体" w:hAnsi="宋体" w:cs="宋体"/>
          <w:kern w:val="0"/>
          <w:sz w:val="24"/>
        </w:rPr>
        <w:t>3.</w:t>
      </w:r>
      <w:r>
        <w:rPr>
          <w:rFonts w:hint="eastAsia" w:ascii="宋体" w:hAnsi="宋体" w:cs="仿宋"/>
          <w:kern w:val="0"/>
          <w:sz w:val="24"/>
        </w:rPr>
        <w:t>1乙方应按招标文件的要求提供相关软件及服务。验收时</w:t>
      </w:r>
      <w:r>
        <w:rPr>
          <w:rFonts w:hint="eastAsia" w:ascii="宋体" w:hAnsi="宋体" w:cs="仿宋"/>
          <w:kern w:val="0"/>
          <w:sz w:val="24"/>
          <w:lang w:val="zh-CN"/>
        </w:rPr>
        <w:t>由</w:t>
      </w:r>
      <w:r>
        <w:rPr>
          <w:rFonts w:hint="eastAsia" w:ascii="宋体" w:hAnsi="宋体" w:cs="仿宋"/>
          <w:kern w:val="0"/>
          <w:sz w:val="24"/>
        </w:rPr>
        <w:t>甲方</w:t>
      </w:r>
      <w:r>
        <w:rPr>
          <w:rFonts w:hint="eastAsia" w:ascii="宋体" w:hAnsi="宋体" w:cs="仿宋"/>
          <w:kern w:val="0"/>
          <w:sz w:val="24"/>
          <w:lang w:val="zh-CN"/>
        </w:rPr>
        <w:t>进行验收，</w:t>
      </w:r>
      <w:r>
        <w:rPr>
          <w:rFonts w:hint="eastAsia" w:ascii="宋体" w:hAnsi="宋体" w:cs="仿宋"/>
          <w:kern w:val="0"/>
          <w:sz w:val="24"/>
        </w:rPr>
        <w:t>乙方</w:t>
      </w:r>
      <w:r>
        <w:rPr>
          <w:rFonts w:hint="eastAsia" w:ascii="宋体" w:hAnsi="宋体" w:cs="仿宋"/>
          <w:kern w:val="0"/>
          <w:sz w:val="24"/>
          <w:lang w:val="zh-CN"/>
        </w:rPr>
        <w:t>需配合使用方完成验收工作</w:t>
      </w:r>
      <w:r>
        <w:rPr>
          <w:rFonts w:hint="eastAsia" w:ascii="宋体" w:hAnsi="宋体" w:cs="宋体"/>
          <w:kern w:val="0"/>
          <w:sz w:val="24"/>
          <w:lang w:val="zh-CN"/>
        </w:rPr>
        <w:t>。</w:t>
      </w:r>
    </w:p>
    <w:p w14:paraId="7BB81348">
      <w:pPr>
        <w:autoSpaceDE w:val="0"/>
        <w:autoSpaceDN w:val="0"/>
        <w:adjustRightInd w:val="0"/>
        <w:spacing w:line="460" w:lineRule="exact"/>
        <w:ind w:firstLine="480" w:firstLineChars="200"/>
        <w:jc w:val="left"/>
        <w:rPr>
          <w:rFonts w:ascii="宋体" w:hAnsi="宋体"/>
          <w:color w:val="000000"/>
          <w:sz w:val="24"/>
        </w:rPr>
      </w:pPr>
      <w:r>
        <w:rPr>
          <w:rFonts w:hint="eastAsia" w:ascii="宋体" w:hAnsi="宋体"/>
          <w:color w:val="000000"/>
          <w:sz w:val="24"/>
        </w:rPr>
        <w:t>3.2</w:t>
      </w:r>
      <w:r>
        <w:rPr>
          <w:rFonts w:hint="eastAsia" w:ascii="宋体" w:hAnsi="宋体" w:cs="仿宋"/>
          <w:sz w:val="24"/>
        </w:rPr>
        <w:t>乙方</w:t>
      </w:r>
      <w:r>
        <w:rPr>
          <w:rFonts w:hint="eastAsia" w:ascii="宋体" w:hAnsi="宋体"/>
          <w:sz w:val="24"/>
        </w:rPr>
        <w:t>所</w:t>
      </w:r>
      <w:r>
        <w:rPr>
          <w:rFonts w:hint="eastAsia" w:ascii="宋体" w:hAnsi="宋体"/>
          <w:color w:val="000000"/>
          <w:sz w:val="24"/>
        </w:rPr>
        <w:t>提供的货物的技术规格应与招标文件规定的技术规格及投标文件要求的相一致；若技术性能无特殊说明，则按国家有关部门最新颁布的标准及规范为准。</w:t>
      </w:r>
    </w:p>
    <w:p w14:paraId="5C2E14C7">
      <w:pPr>
        <w:autoSpaceDE w:val="0"/>
        <w:autoSpaceDN w:val="0"/>
        <w:adjustRightInd w:val="0"/>
        <w:spacing w:line="460" w:lineRule="exact"/>
        <w:ind w:firstLine="480" w:firstLineChars="200"/>
        <w:jc w:val="left"/>
        <w:rPr>
          <w:rFonts w:ascii="宋体" w:hAnsi="宋体"/>
          <w:color w:val="000000"/>
          <w:sz w:val="24"/>
        </w:rPr>
      </w:pPr>
      <w:r>
        <w:rPr>
          <w:rFonts w:hint="eastAsia" w:ascii="宋体" w:hAnsi="宋体"/>
          <w:color w:val="000000"/>
          <w:sz w:val="24"/>
        </w:rPr>
        <w:t>3.3</w:t>
      </w:r>
      <w:r>
        <w:rPr>
          <w:rFonts w:hint="eastAsia" w:ascii="宋体" w:hAnsi="宋体" w:cs="仿宋"/>
          <w:sz w:val="24"/>
        </w:rPr>
        <w:t>乙方</w:t>
      </w:r>
      <w:r>
        <w:rPr>
          <w:rFonts w:hint="eastAsia" w:ascii="宋体" w:hAnsi="宋体"/>
          <w:color w:val="000000"/>
          <w:sz w:val="24"/>
        </w:rPr>
        <w:t>应保证货物是全新、未使用过的原装合格正品，并完全符合合同规定的质量、规格和性能的要求。</w:t>
      </w:r>
      <w:r>
        <w:rPr>
          <w:rFonts w:hint="eastAsia" w:ascii="宋体" w:hAnsi="宋体" w:cs="仿宋"/>
          <w:sz w:val="24"/>
        </w:rPr>
        <w:t>乙方</w:t>
      </w:r>
      <w:r>
        <w:rPr>
          <w:rFonts w:hint="eastAsia" w:ascii="宋体" w:hAnsi="宋体"/>
          <w:color w:val="000000"/>
          <w:sz w:val="24"/>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sz w:val="24"/>
        </w:rPr>
        <w:t>乙方</w:t>
      </w:r>
      <w:r>
        <w:rPr>
          <w:rFonts w:hint="eastAsia" w:ascii="宋体" w:hAnsi="宋体"/>
          <w:color w:val="000000"/>
          <w:sz w:val="24"/>
        </w:rPr>
        <w:t>承担。</w:t>
      </w:r>
    </w:p>
    <w:p w14:paraId="27134423">
      <w:pPr>
        <w:snapToGrid w:val="0"/>
        <w:spacing w:line="440" w:lineRule="exact"/>
        <w:ind w:firstLine="480" w:firstLineChars="200"/>
        <w:rPr>
          <w:rFonts w:ascii="宋体" w:hAnsi="宋体" w:cs="仿宋"/>
          <w:sz w:val="24"/>
        </w:rPr>
      </w:pPr>
      <w:r>
        <w:rPr>
          <w:rFonts w:hint="eastAsia" w:ascii="宋体" w:hAnsi="宋体" w:cs="仿宋"/>
          <w:sz w:val="24"/>
        </w:rPr>
        <w:t>四、售后服务及其他</w:t>
      </w:r>
    </w:p>
    <w:p w14:paraId="5479031C">
      <w:pPr>
        <w:spacing w:line="440" w:lineRule="exact"/>
        <w:ind w:firstLine="480" w:firstLineChars="200"/>
        <w:rPr>
          <w:rFonts w:ascii="宋体" w:hAnsi="宋体" w:cs="仿宋"/>
          <w:sz w:val="24"/>
        </w:rPr>
      </w:pPr>
      <w:r>
        <w:rPr>
          <w:rFonts w:hint="eastAsia" w:ascii="宋体" w:hAnsi="宋体" w:cs="仿宋"/>
          <w:sz w:val="24"/>
        </w:rPr>
        <w:t>4.1乙方负责运输、安装、调试、验收、培训及保险，并承担因此发生的一切费用。</w:t>
      </w:r>
    </w:p>
    <w:p w14:paraId="28700C19">
      <w:pPr>
        <w:spacing w:line="440" w:lineRule="exact"/>
        <w:ind w:firstLine="480" w:firstLineChars="200"/>
        <w:rPr>
          <w:rFonts w:ascii="宋体" w:hAnsi="宋体" w:cs="仿宋"/>
          <w:sz w:val="24"/>
        </w:rPr>
      </w:pPr>
      <w:r>
        <w:rPr>
          <w:rFonts w:hint="eastAsia" w:ascii="宋体" w:hAnsi="宋体" w:cs="仿宋"/>
          <w:sz w:val="24"/>
        </w:rPr>
        <w:t>4.2质保期自验收合格之日起计算，本项目乙方提供免费质保及升级服务。</w:t>
      </w:r>
    </w:p>
    <w:p w14:paraId="62C36CB7">
      <w:pPr>
        <w:spacing w:line="440" w:lineRule="exact"/>
        <w:ind w:firstLine="480" w:firstLineChars="200"/>
        <w:rPr>
          <w:rFonts w:ascii="宋体" w:hAnsi="宋体" w:cs="仿宋"/>
          <w:color w:val="0000FF"/>
          <w:kern w:val="0"/>
          <w:sz w:val="24"/>
        </w:rPr>
      </w:pPr>
      <w:r>
        <w:rPr>
          <w:rFonts w:hint="eastAsia" w:ascii="宋体" w:hAnsi="宋体" w:cs="仿宋"/>
          <w:sz w:val="24"/>
        </w:rPr>
        <w:t>4.3产品安装验收合格后，</w:t>
      </w:r>
      <w:r>
        <w:rPr>
          <w:rFonts w:hint="eastAsia" w:ascii="宋体" w:hAnsi="宋体" w:cs="宋体"/>
          <w:color w:val="000000"/>
          <w:kern w:val="0"/>
          <w:sz w:val="24"/>
        </w:rPr>
        <w:t>免费提供系统管理员的系统维护培训及必要的支撑技术培训。提供至少2次以上使用操作培训，保证学校不同的使用人员能够完全掌握对平台和系统的全部运行、操作、维护和故障分析等工作。</w:t>
      </w:r>
      <w:r>
        <w:rPr>
          <w:rFonts w:hint="eastAsia" w:ascii="宋体" w:hAnsi="宋体" w:cs="宋体"/>
          <w:kern w:val="0"/>
          <w:sz w:val="24"/>
          <w:lang w:val="zh-CN"/>
        </w:rPr>
        <w:t>若有产品质量问题，由</w:t>
      </w:r>
      <w:r>
        <w:rPr>
          <w:rFonts w:hint="eastAsia" w:ascii="宋体" w:hAnsi="宋体" w:cs="宋体"/>
          <w:kern w:val="0"/>
          <w:sz w:val="24"/>
        </w:rPr>
        <w:t>乙方</w:t>
      </w:r>
      <w:r>
        <w:rPr>
          <w:rFonts w:hint="eastAsia" w:ascii="宋体" w:hAnsi="宋体" w:cs="宋体"/>
          <w:kern w:val="0"/>
          <w:sz w:val="24"/>
          <w:lang w:val="zh-CN"/>
        </w:rPr>
        <w:t>负责免费更换或维修。产品使用中，接到</w:t>
      </w:r>
      <w:r>
        <w:rPr>
          <w:rFonts w:hint="eastAsia" w:ascii="宋体" w:hAnsi="宋体" w:cs="宋体"/>
          <w:kern w:val="0"/>
          <w:sz w:val="24"/>
        </w:rPr>
        <w:t>甲方</w:t>
      </w:r>
      <w:r>
        <w:rPr>
          <w:rFonts w:hint="eastAsia" w:ascii="宋体" w:hAnsi="宋体" w:cs="宋体"/>
          <w:kern w:val="0"/>
          <w:sz w:val="24"/>
          <w:lang w:val="zh-CN"/>
        </w:rPr>
        <w:t>维修电话通知后，在一小时内提供技术指导或远程维护，如需要在24小时（省外单位48小时）内派出技术人员到达用户现场进行相关服务，售后服务未能达到要求每次扣</w:t>
      </w:r>
      <w:r>
        <w:rPr>
          <w:rFonts w:hint="eastAsia" w:ascii="宋体" w:hAnsi="宋体" w:cs="宋体"/>
          <w:kern w:val="0"/>
          <w:sz w:val="24"/>
        </w:rPr>
        <w:t>尾款</w:t>
      </w:r>
      <w:r>
        <w:rPr>
          <w:rFonts w:hint="eastAsia" w:ascii="宋体" w:hAnsi="宋体" w:cs="宋体"/>
          <w:kern w:val="0"/>
          <w:sz w:val="24"/>
          <w:lang w:val="zh-CN"/>
        </w:rPr>
        <w:t>25%。</w:t>
      </w:r>
    </w:p>
    <w:p w14:paraId="44E1D479">
      <w:pPr>
        <w:spacing w:line="440" w:lineRule="exact"/>
        <w:ind w:firstLine="480" w:firstLineChars="200"/>
        <w:rPr>
          <w:rFonts w:ascii="宋体" w:hAnsi="宋体" w:cs="仿宋"/>
          <w:sz w:val="24"/>
        </w:rPr>
      </w:pPr>
      <w:r>
        <w:rPr>
          <w:rFonts w:hint="eastAsia" w:ascii="宋体" w:hAnsi="宋体" w:cs="仿宋"/>
          <w:sz w:val="24"/>
        </w:rPr>
        <w:t>五、交货及安装调试</w:t>
      </w:r>
    </w:p>
    <w:p w14:paraId="5FAA2DF0">
      <w:pPr>
        <w:spacing w:line="440" w:lineRule="exact"/>
        <w:ind w:firstLine="480" w:firstLineChars="200"/>
        <w:rPr>
          <w:rFonts w:ascii="宋体" w:hAnsi="宋体" w:cs="仿宋"/>
          <w:sz w:val="24"/>
        </w:rPr>
      </w:pPr>
      <w:r>
        <w:rPr>
          <w:rFonts w:hint="eastAsia" w:ascii="宋体" w:hAnsi="宋体" w:cs="仿宋"/>
          <w:sz w:val="24"/>
        </w:rPr>
        <w:t>5.1交货时间为合同签订之日起</w:t>
      </w:r>
      <w:r>
        <w:rPr>
          <w:rFonts w:hint="eastAsia" w:ascii="宋体" w:hAnsi="宋体" w:cs="仿宋"/>
          <w:sz w:val="24"/>
          <w:u w:val="single"/>
        </w:rPr>
        <w:t>1</w:t>
      </w:r>
      <w:r>
        <w:rPr>
          <w:rFonts w:hint="eastAsia" w:ascii="宋体" w:hAnsi="宋体" w:cs="仿宋"/>
          <w:sz w:val="24"/>
          <w:u w:val="single"/>
          <w:lang w:val="en-US" w:eastAsia="zh-CN"/>
        </w:rPr>
        <w:t>5</w:t>
      </w:r>
      <w:bookmarkStart w:id="113" w:name="_GoBack"/>
      <w:bookmarkEnd w:id="113"/>
      <w:r>
        <w:rPr>
          <w:rFonts w:hint="eastAsia" w:ascii="宋体" w:hAnsi="宋体" w:cs="仿宋"/>
          <w:sz w:val="24"/>
          <w:u w:val="single"/>
        </w:rPr>
        <w:t>个工作日</w:t>
      </w:r>
      <w:r>
        <w:rPr>
          <w:rFonts w:hint="eastAsia" w:ascii="宋体" w:hAnsi="宋体" w:cs="仿宋"/>
          <w:sz w:val="24"/>
        </w:rPr>
        <w:t>内安装调试结束。</w:t>
      </w:r>
    </w:p>
    <w:p w14:paraId="7626322F">
      <w:pPr>
        <w:spacing w:line="440" w:lineRule="exact"/>
        <w:ind w:firstLine="480" w:firstLineChars="200"/>
        <w:rPr>
          <w:rFonts w:ascii="宋体" w:hAnsi="宋体" w:cs="仿宋"/>
          <w:sz w:val="24"/>
        </w:rPr>
      </w:pPr>
      <w:r>
        <w:rPr>
          <w:rFonts w:hint="eastAsia" w:ascii="宋体" w:hAnsi="宋体" w:cs="仿宋"/>
          <w:sz w:val="24"/>
        </w:rPr>
        <w:t>5.2所有货物须按合同指定地点、时间前安装调试合格并交付使用。</w:t>
      </w:r>
    </w:p>
    <w:p w14:paraId="045E0673">
      <w:pPr>
        <w:spacing w:line="440" w:lineRule="exact"/>
        <w:ind w:firstLine="480" w:firstLineChars="200"/>
        <w:rPr>
          <w:rFonts w:ascii="宋体" w:hAnsi="宋体" w:cs="仿宋"/>
          <w:sz w:val="24"/>
        </w:rPr>
      </w:pPr>
      <w:r>
        <w:rPr>
          <w:rFonts w:hint="eastAsia" w:ascii="宋体" w:hAnsi="宋体" w:cs="仿宋"/>
          <w:sz w:val="24"/>
        </w:rPr>
        <w:t>①交货地点：送至甲方指定的地点并负责安装、调试。</w:t>
      </w:r>
    </w:p>
    <w:p w14:paraId="7FBB4973">
      <w:pPr>
        <w:spacing w:line="440" w:lineRule="exact"/>
        <w:ind w:firstLine="480" w:firstLineChars="200"/>
        <w:rPr>
          <w:rFonts w:ascii="宋体" w:hAnsi="宋体" w:cs="仿宋"/>
          <w:sz w:val="24"/>
        </w:rPr>
      </w:pPr>
      <w:r>
        <w:rPr>
          <w:rFonts w:hint="eastAsia" w:ascii="宋体" w:hAnsi="宋体" w:cs="仿宋"/>
          <w:sz w:val="24"/>
        </w:rPr>
        <w:t>②发货到甲方指定地点时应先用函、电通告甲方。</w:t>
      </w:r>
    </w:p>
    <w:p w14:paraId="348FC5D7">
      <w:pPr>
        <w:spacing w:line="440" w:lineRule="exact"/>
        <w:ind w:firstLine="480" w:firstLineChars="200"/>
        <w:rPr>
          <w:rFonts w:ascii="宋体" w:hAnsi="宋体" w:cs="仿宋"/>
          <w:sz w:val="24"/>
        </w:rPr>
      </w:pPr>
      <w:r>
        <w:rPr>
          <w:rFonts w:hint="eastAsia" w:ascii="宋体" w:hAnsi="宋体" w:cs="仿宋"/>
          <w:sz w:val="24"/>
        </w:rPr>
        <w:t>5.3货物交货时，应提供到货的清单，具体还包括但不限于以下的内容：</w:t>
      </w:r>
    </w:p>
    <w:p w14:paraId="2F0DD4A6">
      <w:pPr>
        <w:spacing w:line="440" w:lineRule="exact"/>
        <w:ind w:firstLine="480" w:firstLineChars="200"/>
        <w:rPr>
          <w:rFonts w:ascii="宋体" w:hAnsi="宋体" w:cs="仿宋"/>
          <w:sz w:val="24"/>
        </w:rPr>
      </w:pPr>
      <w:r>
        <w:rPr>
          <w:rFonts w:hint="eastAsia" w:ascii="宋体" w:hAnsi="宋体" w:cs="仿宋"/>
          <w:sz w:val="24"/>
        </w:rPr>
        <w:t>①产品出厂检验合格证，制造商全称、配套件的名称、型号、规格等。</w:t>
      </w:r>
    </w:p>
    <w:p w14:paraId="371E60F0">
      <w:pPr>
        <w:spacing w:line="440" w:lineRule="exact"/>
        <w:ind w:firstLine="480" w:firstLineChars="200"/>
        <w:rPr>
          <w:rFonts w:ascii="宋体" w:hAnsi="宋体" w:cs="仿宋"/>
          <w:sz w:val="24"/>
        </w:rPr>
      </w:pPr>
      <w:r>
        <w:rPr>
          <w:rFonts w:hint="eastAsia" w:ascii="宋体" w:hAnsi="宋体" w:cs="仿宋"/>
          <w:sz w:val="24"/>
        </w:rPr>
        <w:t>②完备的使用说明书。</w:t>
      </w:r>
    </w:p>
    <w:p w14:paraId="2ACD8CEF">
      <w:pPr>
        <w:spacing w:line="440" w:lineRule="exact"/>
        <w:ind w:firstLine="480" w:firstLineChars="200"/>
        <w:rPr>
          <w:rFonts w:ascii="宋体" w:hAnsi="宋体" w:cs="仿宋"/>
          <w:sz w:val="24"/>
        </w:rPr>
      </w:pPr>
      <w:r>
        <w:rPr>
          <w:rFonts w:hint="eastAsia" w:ascii="宋体" w:hAnsi="宋体" w:cs="仿宋"/>
          <w:sz w:val="24"/>
        </w:rPr>
        <w:t>5.4乙方须负责进行设备安装调试服务并承担因此发生的一切费用。</w:t>
      </w:r>
    </w:p>
    <w:p w14:paraId="790562F3">
      <w:pPr>
        <w:spacing w:line="440" w:lineRule="exact"/>
        <w:ind w:firstLine="480" w:firstLineChars="200"/>
        <w:rPr>
          <w:rFonts w:ascii="宋体" w:hAnsi="宋体" w:cs="仿宋"/>
          <w:sz w:val="24"/>
        </w:rPr>
      </w:pPr>
      <w:r>
        <w:rPr>
          <w:rFonts w:hint="eastAsia" w:ascii="宋体" w:hAnsi="宋体" w:cs="仿宋"/>
          <w:sz w:val="24"/>
        </w:rPr>
        <w:t>5.5乙方应注意项目实施过程以及后期维修过程中的安全，乙方应采取相应措施，并注意安装地及学院其他资产、设施及人员安全，如有损失及意外由乙方负责赔偿，并对由此造成的其他后果承担责任，与甲方无关。</w:t>
      </w:r>
    </w:p>
    <w:p w14:paraId="67F11FCF">
      <w:pPr>
        <w:spacing w:line="440" w:lineRule="exact"/>
        <w:ind w:firstLine="480" w:firstLineChars="200"/>
        <w:rPr>
          <w:rFonts w:ascii="宋体" w:hAnsi="宋体" w:cs="仿宋"/>
          <w:sz w:val="24"/>
        </w:rPr>
      </w:pPr>
      <w:r>
        <w:rPr>
          <w:rFonts w:hint="eastAsia" w:ascii="宋体" w:hAnsi="宋体" w:cs="仿宋"/>
          <w:sz w:val="24"/>
        </w:rPr>
        <w:t>六、验收要求</w:t>
      </w:r>
    </w:p>
    <w:p w14:paraId="4B2F2799">
      <w:pPr>
        <w:spacing w:line="440" w:lineRule="exact"/>
        <w:ind w:firstLine="480" w:firstLineChars="200"/>
        <w:rPr>
          <w:rFonts w:ascii="宋体" w:hAnsi="宋体" w:cs="仿宋"/>
          <w:sz w:val="24"/>
        </w:rPr>
      </w:pPr>
      <w:r>
        <w:rPr>
          <w:rFonts w:hint="eastAsia" w:ascii="宋体" w:hAnsi="宋体" w:cs="仿宋"/>
          <w:sz w:val="24"/>
        </w:rPr>
        <w:t>6.1利用现有硬件环境能实现实训室功能，设备、软件能正常使用。</w:t>
      </w:r>
    </w:p>
    <w:p w14:paraId="130ED319">
      <w:pPr>
        <w:spacing w:line="440" w:lineRule="exact"/>
        <w:ind w:firstLine="480" w:firstLineChars="200"/>
        <w:rPr>
          <w:rFonts w:ascii="宋体" w:hAnsi="宋体" w:cs="仿宋"/>
          <w:sz w:val="24"/>
        </w:rPr>
      </w:pPr>
      <w:r>
        <w:rPr>
          <w:rFonts w:hint="eastAsia" w:ascii="宋体" w:hAnsi="宋体" w:cs="仿宋"/>
          <w:sz w:val="24"/>
        </w:rPr>
        <w:t>6.2能正常完成相应实验、实训项目。</w:t>
      </w:r>
    </w:p>
    <w:p w14:paraId="7C5E7608">
      <w:pPr>
        <w:spacing w:line="440" w:lineRule="exact"/>
        <w:ind w:firstLine="480" w:firstLineChars="200"/>
        <w:rPr>
          <w:rFonts w:ascii="宋体" w:hAnsi="宋体" w:cs="仿宋"/>
          <w:sz w:val="24"/>
        </w:rPr>
      </w:pPr>
      <w:r>
        <w:rPr>
          <w:rFonts w:hint="eastAsia" w:ascii="宋体" w:hAnsi="宋体" w:cs="仿宋"/>
          <w:sz w:val="24"/>
        </w:rPr>
        <w:t>6.3能完全按照参数演示相关的功能，且能正常进行相关业务的操作。</w:t>
      </w:r>
    </w:p>
    <w:p w14:paraId="5E1B99BF">
      <w:pPr>
        <w:spacing w:line="440" w:lineRule="exact"/>
        <w:ind w:firstLine="480" w:firstLineChars="200"/>
        <w:rPr>
          <w:rFonts w:ascii="宋体" w:hAnsi="宋体" w:cs="仿宋"/>
          <w:sz w:val="24"/>
        </w:rPr>
      </w:pPr>
      <w:r>
        <w:rPr>
          <w:rFonts w:hint="eastAsia" w:ascii="宋体" w:hAnsi="宋体" w:cs="仿宋"/>
          <w:sz w:val="24"/>
        </w:rPr>
        <w:t>6.4配备相应实训教学辅助资料电子版和纸质版，包括不限于软件操作说手册、实验指导、实验操作视频、课时安排文档等，纸质实训指导书的数量应能满足一个基本教学班的需要。</w:t>
      </w:r>
    </w:p>
    <w:p w14:paraId="67D20E2F">
      <w:pPr>
        <w:spacing w:line="440" w:lineRule="exact"/>
        <w:ind w:firstLine="480" w:firstLineChars="200"/>
        <w:rPr>
          <w:rFonts w:ascii="宋体" w:hAnsi="宋体" w:cs="仿宋"/>
          <w:sz w:val="24"/>
        </w:rPr>
      </w:pPr>
      <w:r>
        <w:rPr>
          <w:rFonts w:hint="eastAsia" w:ascii="宋体" w:hAnsi="宋体" w:cs="仿宋"/>
          <w:sz w:val="24"/>
        </w:rPr>
        <w:t>6.5开展对教师的系统操作培训。</w:t>
      </w:r>
    </w:p>
    <w:p w14:paraId="6D0014AF">
      <w:pPr>
        <w:spacing w:line="440" w:lineRule="exact"/>
        <w:ind w:firstLine="484" w:firstLineChars="202"/>
        <w:rPr>
          <w:rFonts w:ascii="宋体" w:hAnsi="宋体" w:cs="仿宋"/>
          <w:kern w:val="0"/>
          <w:sz w:val="24"/>
        </w:rPr>
      </w:pPr>
      <w:r>
        <w:rPr>
          <w:rFonts w:hint="eastAsia" w:ascii="宋体" w:hAnsi="宋体" w:cs="仿宋"/>
          <w:kern w:val="0"/>
          <w:sz w:val="24"/>
        </w:rPr>
        <w:t>七、违约责任</w:t>
      </w:r>
    </w:p>
    <w:p w14:paraId="3A304186">
      <w:pPr>
        <w:spacing w:line="440" w:lineRule="exact"/>
        <w:ind w:firstLine="484" w:firstLineChars="202"/>
        <w:rPr>
          <w:rFonts w:ascii="宋体" w:hAnsi="宋体" w:cs="仿宋"/>
          <w:kern w:val="0"/>
          <w:sz w:val="24"/>
        </w:rPr>
      </w:pPr>
      <w:r>
        <w:rPr>
          <w:rFonts w:hint="eastAsia" w:ascii="宋体" w:hAnsi="宋体" w:cs="仿宋"/>
          <w:kern w:val="0"/>
          <w:sz w:val="24"/>
        </w:rPr>
        <w:t>合同一方不履行合同义务或者履行合同义务不符合约定的，应当承担继续履行、采取补救措施或赔偿损失等违约责任。</w:t>
      </w:r>
    </w:p>
    <w:p w14:paraId="41534D98">
      <w:pPr>
        <w:spacing w:line="440" w:lineRule="exact"/>
        <w:ind w:firstLine="484" w:firstLineChars="202"/>
        <w:rPr>
          <w:rFonts w:ascii="宋体" w:hAnsi="宋体" w:cs="仿宋"/>
          <w:kern w:val="0"/>
          <w:sz w:val="24"/>
        </w:rPr>
      </w:pPr>
      <w:r>
        <w:rPr>
          <w:rFonts w:hint="eastAsia" w:ascii="宋体" w:hAnsi="宋体" w:cs="仿宋"/>
          <w:kern w:val="0"/>
          <w:sz w:val="24"/>
        </w:rPr>
        <w:t>7.1甲方违约责任</w:t>
      </w:r>
    </w:p>
    <w:p w14:paraId="18619523">
      <w:pPr>
        <w:spacing w:line="440" w:lineRule="exact"/>
        <w:ind w:firstLine="484" w:firstLineChars="202"/>
        <w:rPr>
          <w:rFonts w:ascii="宋体" w:hAnsi="宋体" w:cs="仿宋"/>
          <w:kern w:val="0"/>
          <w:sz w:val="24"/>
        </w:rPr>
      </w:pPr>
      <w:r>
        <w:rPr>
          <w:rFonts w:hint="eastAsia" w:ascii="宋体" w:hAnsi="宋体" w:cs="仿宋"/>
          <w:kern w:val="0"/>
          <w:sz w:val="24"/>
        </w:rPr>
        <w:t>7.1.1在合同生效后，非乙方原因甲方要求退货的，应向乙方偿付合同总价款的</w:t>
      </w:r>
      <w:r>
        <w:rPr>
          <w:rFonts w:hint="eastAsia" w:ascii="宋体" w:hAnsi="宋体" w:cs="仿宋"/>
          <w:kern w:val="0"/>
          <w:sz w:val="24"/>
          <w:u w:val="single"/>
        </w:rPr>
        <w:t xml:space="preserve"> 5 </w:t>
      </w:r>
      <w:r>
        <w:rPr>
          <w:rFonts w:hint="eastAsia" w:ascii="宋体" w:hAnsi="宋体" w:cs="仿宋"/>
          <w:kern w:val="0"/>
          <w:sz w:val="24"/>
        </w:rPr>
        <w:t>%，作为违约金，违约金不足以补偿损失的，乙方有权要求甲方补足。</w:t>
      </w:r>
    </w:p>
    <w:p w14:paraId="7B64DCEF">
      <w:pPr>
        <w:spacing w:line="440" w:lineRule="exact"/>
        <w:ind w:firstLine="484" w:firstLineChars="202"/>
        <w:rPr>
          <w:rFonts w:ascii="宋体" w:hAnsi="宋体" w:cs="仿宋"/>
          <w:kern w:val="0"/>
          <w:sz w:val="24"/>
        </w:rPr>
      </w:pPr>
      <w:r>
        <w:rPr>
          <w:rFonts w:hint="eastAsia" w:ascii="宋体" w:hAnsi="宋体" w:cs="仿宋"/>
          <w:kern w:val="0"/>
          <w:sz w:val="24"/>
        </w:rPr>
        <w:t>7.1.2甲方违反合同规定，拒绝接收乙方交付的合格标的物，应当承担乙方由此造成的损失。</w:t>
      </w:r>
    </w:p>
    <w:p w14:paraId="33D291D8">
      <w:pPr>
        <w:spacing w:line="440" w:lineRule="exact"/>
        <w:ind w:firstLine="484" w:firstLineChars="202"/>
        <w:rPr>
          <w:rFonts w:ascii="宋体" w:hAnsi="宋体" w:cs="仿宋"/>
          <w:kern w:val="0"/>
          <w:sz w:val="24"/>
        </w:rPr>
      </w:pPr>
      <w:r>
        <w:rPr>
          <w:rFonts w:hint="eastAsia" w:ascii="宋体" w:hAnsi="宋体" w:cs="仿宋"/>
          <w:kern w:val="0"/>
          <w:sz w:val="24"/>
        </w:rPr>
        <w:t>7.2乙方违约责任</w:t>
      </w:r>
    </w:p>
    <w:p w14:paraId="6399CBB0">
      <w:pPr>
        <w:spacing w:line="440" w:lineRule="exact"/>
        <w:ind w:firstLine="484" w:firstLineChars="202"/>
        <w:rPr>
          <w:rFonts w:ascii="宋体" w:hAnsi="宋体" w:cs="仿宋"/>
          <w:kern w:val="0"/>
          <w:sz w:val="24"/>
        </w:rPr>
      </w:pPr>
      <w:r>
        <w:rPr>
          <w:rFonts w:hint="eastAsia" w:ascii="宋体" w:hAnsi="宋体" w:cs="仿宋"/>
          <w:kern w:val="0"/>
          <w:sz w:val="24"/>
        </w:rPr>
        <w:t>7.2.1乙方不能交货，或交货不合格从而影响甲方按期正常使用的，应向甲方偿付合同总价款</w:t>
      </w:r>
      <w:r>
        <w:rPr>
          <w:rFonts w:hint="eastAsia" w:ascii="宋体" w:hAnsi="宋体" w:cs="仿宋"/>
          <w:kern w:val="0"/>
          <w:sz w:val="24"/>
          <w:u w:val="single"/>
        </w:rPr>
        <w:t xml:space="preserve"> 5 </w:t>
      </w:r>
      <w:r>
        <w:rPr>
          <w:rFonts w:hint="eastAsia" w:ascii="宋体" w:hAnsi="宋体" w:cs="仿宋"/>
          <w:kern w:val="0"/>
          <w:sz w:val="24"/>
        </w:rPr>
        <w:t>%的违约金，违约金不足以补偿损失的，甲方有权要求乙方补足。</w:t>
      </w:r>
    </w:p>
    <w:p w14:paraId="2D7467AA">
      <w:pPr>
        <w:spacing w:line="440" w:lineRule="exact"/>
        <w:ind w:firstLine="484" w:firstLineChars="202"/>
        <w:rPr>
          <w:rFonts w:ascii="宋体" w:hAnsi="宋体" w:cs="仿宋"/>
          <w:kern w:val="0"/>
          <w:sz w:val="24"/>
        </w:rPr>
      </w:pPr>
      <w:r>
        <w:rPr>
          <w:rFonts w:hint="eastAsia" w:ascii="宋体" w:hAnsi="宋体" w:cs="仿宋"/>
          <w:kern w:val="0"/>
          <w:sz w:val="24"/>
        </w:rPr>
        <w:t>7.2.2乙方逾期交货的，每超过1天，中标单位应支付货款总额0.5%的违约金。应在发货前与甲方协商，甲方仍需求的，乙方应立即发货，按照逾期交货部分货款的每天</w:t>
      </w:r>
      <w:r>
        <w:rPr>
          <w:rFonts w:hint="eastAsia" w:ascii="宋体" w:hAnsi="宋体" w:cs="仿宋"/>
          <w:kern w:val="0"/>
          <w:sz w:val="24"/>
          <w:u w:val="single"/>
        </w:rPr>
        <w:t xml:space="preserve"> 5% </w:t>
      </w:r>
      <w:r>
        <w:rPr>
          <w:rFonts w:hint="eastAsia" w:ascii="宋体" w:hAnsi="宋体" w:cs="仿宋"/>
          <w:kern w:val="0"/>
          <w:sz w:val="24"/>
        </w:rPr>
        <w:t>支付逾期交货违约金，同时承担甲方因此遭致的损失费用。</w:t>
      </w:r>
    </w:p>
    <w:p w14:paraId="45911C32">
      <w:pPr>
        <w:spacing w:line="440" w:lineRule="exact"/>
        <w:ind w:firstLine="484" w:firstLineChars="202"/>
        <w:rPr>
          <w:rFonts w:ascii="宋体" w:hAnsi="宋体" w:cs="仿宋"/>
          <w:kern w:val="0"/>
          <w:sz w:val="24"/>
        </w:rPr>
      </w:pPr>
      <w:r>
        <w:rPr>
          <w:rFonts w:hint="eastAsia" w:ascii="宋体" w:hAnsi="宋体" w:cs="仿宋"/>
          <w:kern w:val="0"/>
          <w:sz w:val="24"/>
        </w:rPr>
        <w:t>八、不可抗力</w:t>
      </w:r>
    </w:p>
    <w:p w14:paraId="6C04E103">
      <w:pPr>
        <w:spacing w:line="440" w:lineRule="exact"/>
        <w:ind w:firstLine="484" w:firstLineChars="202"/>
        <w:rPr>
          <w:rFonts w:ascii="宋体" w:hAnsi="宋体" w:cs="仿宋"/>
          <w:kern w:val="0"/>
          <w:sz w:val="24"/>
        </w:rPr>
      </w:pPr>
      <w:r>
        <w:rPr>
          <w:rFonts w:hint="eastAsia" w:ascii="宋体" w:hAnsi="宋体" w:cs="仿宋"/>
          <w:kern w:val="0"/>
          <w:sz w:val="24"/>
        </w:rPr>
        <w:t>8.1因不可抗力不能履行合同的，根据不可抗力的影响，部分或者全部免除责任。但合同一方延迟履行后发生不可抗力的，不能免除责任。</w:t>
      </w:r>
    </w:p>
    <w:p w14:paraId="2C7418AB">
      <w:pPr>
        <w:spacing w:line="440" w:lineRule="exact"/>
        <w:ind w:firstLine="484" w:firstLineChars="202"/>
        <w:rPr>
          <w:rFonts w:ascii="宋体" w:hAnsi="宋体" w:cs="仿宋"/>
          <w:kern w:val="0"/>
          <w:sz w:val="24"/>
        </w:rPr>
      </w:pPr>
      <w:r>
        <w:rPr>
          <w:rFonts w:hint="eastAsia" w:ascii="宋体" w:hAnsi="宋体" w:cs="仿宋"/>
          <w:kern w:val="0"/>
          <w:sz w:val="24"/>
        </w:rPr>
        <w:t>8.2合同一方因不可抗力不能履行合同的，应当及时通知对方，以减轻可能给对方造成的损失，并应当在合理期限内提供证明。</w:t>
      </w:r>
    </w:p>
    <w:p w14:paraId="76EFCB42">
      <w:pPr>
        <w:spacing w:line="440" w:lineRule="exact"/>
        <w:ind w:firstLine="484" w:firstLineChars="202"/>
        <w:rPr>
          <w:rFonts w:ascii="宋体" w:hAnsi="宋体" w:cs="仿宋"/>
          <w:kern w:val="0"/>
          <w:sz w:val="24"/>
        </w:rPr>
      </w:pPr>
      <w:r>
        <w:rPr>
          <w:rFonts w:hint="eastAsia" w:ascii="宋体" w:hAnsi="宋体" w:cs="仿宋"/>
          <w:kern w:val="0"/>
          <w:sz w:val="24"/>
        </w:rPr>
        <w:t>九、索赔</w:t>
      </w:r>
    </w:p>
    <w:p w14:paraId="46191890">
      <w:pPr>
        <w:spacing w:line="440" w:lineRule="exact"/>
        <w:ind w:firstLine="484" w:firstLineChars="202"/>
        <w:rPr>
          <w:rFonts w:ascii="宋体" w:hAnsi="宋体" w:cs="仿宋"/>
          <w:kern w:val="0"/>
          <w:sz w:val="24"/>
        </w:rPr>
      </w:pPr>
      <w:r>
        <w:rPr>
          <w:rFonts w:hint="eastAsia" w:ascii="宋体" w:hAnsi="宋体" w:cs="仿宋"/>
          <w:kern w:val="0"/>
          <w:sz w:val="24"/>
        </w:rPr>
        <w:t>9.1甲方有权根据当地产品质量检验机构或其他有权部门出具的检验证书向乙方提出索赔。</w:t>
      </w:r>
    </w:p>
    <w:p w14:paraId="74CBEE02">
      <w:pPr>
        <w:spacing w:line="440" w:lineRule="exact"/>
        <w:ind w:firstLine="484" w:firstLineChars="202"/>
        <w:rPr>
          <w:rFonts w:ascii="宋体" w:hAnsi="宋体" w:cs="仿宋"/>
          <w:kern w:val="0"/>
          <w:sz w:val="24"/>
        </w:rPr>
      </w:pPr>
      <w:r>
        <w:rPr>
          <w:rFonts w:hint="eastAsia" w:ascii="宋体" w:hAnsi="宋体" w:cs="仿宋"/>
          <w:kern w:val="0"/>
          <w:sz w:val="24"/>
        </w:rPr>
        <w:t>9.2在本合同规定的检验期限和质保期内，如果乙方对甲方提出的索赔或差异有责任，则乙方应按甲方同意的下列一种或多种方式解决索赔事宜：</w:t>
      </w:r>
    </w:p>
    <w:p w14:paraId="4A782328">
      <w:pPr>
        <w:spacing w:line="440" w:lineRule="exact"/>
        <w:ind w:firstLine="484" w:firstLineChars="202"/>
        <w:rPr>
          <w:rFonts w:ascii="宋体" w:hAnsi="宋体" w:cs="仿宋"/>
          <w:kern w:val="0"/>
          <w:sz w:val="24"/>
        </w:rPr>
      </w:pPr>
      <w:r>
        <w:rPr>
          <w:rFonts w:hint="eastAsia" w:ascii="宋体" w:hAnsi="宋体" w:cs="仿宋"/>
          <w:kern w:val="0"/>
          <w:sz w:val="24"/>
        </w:rPr>
        <w:t>9.2.1乙方同意退货，并按合同规定的货币将货款退还给甲方，并且承担由此发生的一切损失和费用，包括利息、银行手续费、运费、保险费、检验费、仓储费、装卸费以及为保护退回标的物所需的其他必要费用。</w:t>
      </w:r>
    </w:p>
    <w:p w14:paraId="03025B80">
      <w:pPr>
        <w:spacing w:line="440" w:lineRule="exact"/>
        <w:ind w:firstLine="484" w:firstLineChars="202"/>
        <w:rPr>
          <w:rFonts w:ascii="宋体" w:hAnsi="宋体" w:cs="仿宋"/>
          <w:kern w:val="0"/>
          <w:sz w:val="24"/>
        </w:rPr>
      </w:pPr>
      <w:r>
        <w:rPr>
          <w:rFonts w:hint="eastAsia" w:ascii="宋体" w:hAnsi="宋体" w:cs="仿宋"/>
          <w:kern w:val="0"/>
          <w:sz w:val="24"/>
        </w:rPr>
        <w:t>9.2.2根据标的物的低劣程度、损坏程度以及甲方遭受损失的数额，经双方协商确定降低标的物的价格。</w:t>
      </w:r>
    </w:p>
    <w:p w14:paraId="735A7AFB">
      <w:pPr>
        <w:spacing w:line="440" w:lineRule="exact"/>
        <w:ind w:firstLine="484" w:firstLineChars="202"/>
        <w:rPr>
          <w:rFonts w:ascii="宋体" w:hAnsi="宋体" w:cs="仿宋"/>
          <w:kern w:val="0"/>
          <w:sz w:val="24"/>
        </w:rPr>
      </w:pPr>
      <w:r>
        <w:rPr>
          <w:rFonts w:hint="eastAsia" w:ascii="宋体" w:hAnsi="宋体" w:cs="仿宋"/>
          <w:kern w:val="0"/>
          <w:sz w:val="24"/>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0E7B7A17">
      <w:pPr>
        <w:spacing w:line="440" w:lineRule="exact"/>
        <w:ind w:firstLine="484" w:firstLineChars="202"/>
        <w:rPr>
          <w:rFonts w:ascii="宋体" w:hAnsi="宋体" w:cs="仿宋"/>
          <w:kern w:val="0"/>
          <w:sz w:val="24"/>
        </w:rPr>
      </w:pPr>
      <w:r>
        <w:rPr>
          <w:rFonts w:hint="eastAsia" w:ascii="宋体" w:hAnsi="宋体" w:cs="仿宋"/>
          <w:kern w:val="0"/>
          <w:sz w:val="24"/>
        </w:rPr>
        <w:t>十、履约保证金</w:t>
      </w:r>
    </w:p>
    <w:p w14:paraId="40C58C3E">
      <w:pPr>
        <w:snapToGrid w:val="0"/>
        <w:spacing w:line="440" w:lineRule="exact"/>
        <w:ind w:firstLine="494" w:firstLineChars="206"/>
        <w:rPr>
          <w:rFonts w:ascii="宋体" w:hAnsi="宋体" w:cs="仿宋"/>
          <w:sz w:val="24"/>
        </w:rPr>
      </w:pPr>
      <w:r>
        <w:rPr>
          <w:rFonts w:hint="eastAsia" w:ascii="宋体" w:hAnsi="宋体" w:cs="仿宋"/>
          <w:sz w:val="24"/>
        </w:rPr>
        <w:t>10.1乙方按采购文件规定缴纳了</w:t>
      </w:r>
      <w:r>
        <w:rPr>
          <w:rFonts w:ascii="宋体" w:hAnsi="宋体" w:cs="Calibri"/>
          <w:sz w:val="24"/>
          <w:u w:val="single"/>
        </w:rPr>
        <w:t>   </w:t>
      </w:r>
      <w:r>
        <w:rPr>
          <w:rFonts w:hint="eastAsia" w:ascii="宋体" w:hAnsi="宋体" w:cs="仿宋"/>
          <w:sz w:val="24"/>
        </w:rPr>
        <w:t>元的履约保证金，在按要求保质保量的完成该项目合同并通过验收后，甲方凭乙方提交的申请，一次性无息退还该合同项目的履约保证金。</w:t>
      </w:r>
    </w:p>
    <w:p w14:paraId="7F146383">
      <w:pPr>
        <w:snapToGrid w:val="0"/>
        <w:spacing w:line="440" w:lineRule="exact"/>
        <w:ind w:firstLine="494" w:firstLineChars="206"/>
        <w:rPr>
          <w:rFonts w:ascii="宋体" w:hAnsi="宋体" w:cs="仿宋"/>
          <w:sz w:val="24"/>
        </w:rPr>
      </w:pPr>
      <w:r>
        <w:rPr>
          <w:rFonts w:hint="eastAsia" w:ascii="宋体" w:hAnsi="宋体" w:cs="仿宋"/>
          <w:sz w:val="24"/>
        </w:rPr>
        <w:t>10.2由于乙方原因，在签订合同后出现不按合同履行的情况，甲方有权将履约保证金作为违约金，全额不予退还，同时甲方亦有权终止合同，乙方还须承担相应的法律赔偿责任。</w:t>
      </w:r>
    </w:p>
    <w:p w14:paraId="3F0F1FDA">
      <w:pPr>
        <w:spacing w:line="440" w:lineRule="exact"/>
        <w:ind w:firstLine="484" w:firstLineChars="202"/>
        <w:rPr>
          <w:rFonts w:ascii="宋体" w:hAnsi="宋体" w:cs="仿宋"/>
          <w:kern w:val="0"/>
          <w:sz w:val="24"/>
        </w:rPr>
      </w:pPr>
      <w:r>
        <w:rPr>
          <w:rFonts w:hint="eastAsia" w:ascii="宋体" w:hAnsi="宋体" w:cs="仿宋"/>
          <w:kern w:val="0"/>
          <w:sz w:val="24"/>
        </w:rPr>
        <w:t>十一、合同的解除和转让</w:t>
      </w:r>
    </w:p>
    <w:p w14:paraId="107F9BC4">
      <w:pPr>
        <w:spacing w:line="440" w:lineRule="exact"/>
        <w:ind w:firstLine="484" w:firstLineChars="202"/>
        <w:rPr>
          <w:rFonts w:ascii="宋体" w:hAnsi="宋体" w:cs="仿宋"/>
          <w:kern w:val="0"/>
          <w:sz w:val="24"/>
        </w:rPr>
      </w:pPr>
      <w:r>
        <w:rPr>
          <w:rFonts w:hint="eastAsia" w:ascii="宋体" w:hAnsi="宋体" w:cs="仿宋"/>
          <w:kern w:val="0"/>
          <w:sz w:val="24"/>
        </w:rPr>
        <w:t>11.1甲方和乙方协商一致，可以解除合同。</w:t>
      </w:r>
    </w:p>
    <w:p w14:paraId="7953C795">
      <w:pPr>
        <w:spacing w:line="440" w:lineRule="exact"/>
        <w:ind w:firstLine="484" w:firstLineChars="202"/>
        <w:rPr>
          <w:rFonts w:ascii="宋体" w:hAnsi="宋体" w:cs="仿宋"/>
          <w:kern w:val="0"/>
          <w:sz w:val="24"/>
        </w:rPr>
      </w:pPr>
      <w:r>
        <w:rPr>
          <w:rFonts w:hint="eastAsia" w:ascii="宋体" w:hAnsi="宋体" w:cs="仿宋"/>
          <w:kern w:val="0"/>
          <w:sz w:val="24"/>
        </w:rPr>
        <w:t>11.2有下列情形之一，合同一方可以解除合同：</w:t>
      </w:r>
    </w:p>
    <w:p w14:paraId="5CDA54E3">
      <w:pPr>
        <w:spacing w:line="440" w:lineRule="exact"/>
        <w:ind w:firstLine="484" w:firstLineChars="202"/>
        <w:rPr>
          <w:rFonts w:ascii="宋体" w:hAnsi="宋体" w:cs="仿宋"/>
          <w:kern w:val="0"/>
          <w:sz w:val="24"/>
        </w:rPr>
      </w:pPr>
      <w:r>
        <w:rPr>
          <w:rFonts w:hint="eastAsia" w:ascii="宋体" w:hAnsi="宋体" w:cs="仿宋"/>
          <w:kern w:val="0"/>
          <w:sz w:val="24"/>
        </w:rPr>
        <w:t>11.2.1因不可抗力致使不能实现合同目的，未受不可抗力影响的一方有权解除合同；</w:t>
      </w:r>
    </w:p>
    <w:p w14:paraId="01994FFE">
      <w:pPr>
        <w:spacing w:line="440" w:lineRule="exact"/>
        <w:ind w:firstLine="480" w:firstLineChars="200"/>
        <w:rPr>
          <w:rFonts w:ascii="宋体" w:hAnsi="宋体" w:cs="仿宋"/>
          <w:kern w:val="0"/>
          <w:sz w:val="24"/>
        </w:rPr>
      </w:pPr>
      <w:r>
        <w:rPr>
          <w:rFonts w:hint="eastAsia" w:ascii="宋体" w:hAnsi="宋体" w:cs="仿宋"/>
          <w:kern w:val="0"/>
          <w:sz w:val="24"/>
        </w:rPr>
        <w:t>11.2.2因合同一方违约导致合同不能履行，另一方有权解除合同；</w:t>
      </w:r>
    </w:p>
    <w:p w14:paraId="029FA497">
      <w:pPr>
        <w:spacing w:line="440" w:lineRule="exact"/>
        <w:ind w:firstLine="484" w:firstLineChars="202"/>
        <w:rPr>
          <w:rFonts w:ascii="宋体" w:hAnsi="宋体" w:cs="仿宋"/>
          <w:kern w:val="0"/>
          <w:sz w:val="24"/>
        </w:rPr>
      </w:pPr>
      <w:r>
        <w:rPr>
          <w:rFonts w:hint="eastAsia" w:ascii="宋体" w:hAnsi="宋体" w:cs="仿宋"/>
          <w:kern w:val="0"/>
          <w:sz w:val="24"/>
        </w:rPr>
        <w:t>11.2.3有权解除合同的一方，应当在违约事实或不可抗力发生之后三十天内书面通知对方以主张解除合同，合同在书面通知到达对方时解除。</w:t>
      </w:r>
    </w:p>
    <w:p w14:paraId="5C78AB07">
      <w:pPr>
        <w:spacing w:line="440" w:lineRule="exact"/>
        <w:ind w:firstLine="484" w:firstLineChars="202"/>
        <w:rPr>
          <w:rFonts w:ascii="宋体" w:hAnsi="宋体" w:cs="仿宋"/>
          <w:kern w:val="0"/>
          <w:sz w:val="24"/>
        </w:rPr>
      </w:pPr>
      <w:r>
        <w:rPr>
          <w:rFonts w:hint="eastAsia" w:ascii="宋体" w:hAnsi="宋体" w:cs="仿宋"/>
          <w:kern w:val="0"/>
          <w:sz w:val="24"/>
        </w:rPr>
        <w:t>11.3合同的部分和全部都不得转让。</w:t>
      </w:r>
    </w:p>
    <w:p w14:paraId="6D33EC3F">
      <w:pPr>
        <w:spacing w:line="440" w:lineRule="exact"/>
        <w:ind w:firstLine="484" w:firstLineChars="202"/>
        <w:rPr>
          <w:rFonts w:ascii="宋体" w:hAnsi="宋体" w:cs="仿宋"/>
          <w:kern w:val="0"/>
          <w:sz w:val="24"/>
        </w:rPr>
      </w:pPr>
      <w:r>
        <w:rPr>
          <w:rFonts w:hint="eastAsia" w:ascii="宋体" w:hAnsi="宋体" w:cs="仿宋"/>
          <w:kern w:val="0"/>
          <w:sz w:val="24"/>
        </w:rPr>
        <w:t>十二、合同的生效</w:t>
      </w:r>
    </w:p>
    <w:p w14:paraId="1FDA8B22">
      <w:pPr>
        <w:spacing w:line="440" w:lineRule="exact"/>
        <w:ind w:firstLine="484" w:firstLineChars="202"/>
        <w:rPr>
          <w:rFonts w:ascii="宋体" w:hAnsi="宋体" w:cs="仿宋"/>
          <w:kern w:val="0"/>
          <w:sz w:val="24"/>
        </w:rPr>
      </w:pPr>
      <w:r>
        <w:rPr>
          <w:rFonts w:hint="eastAsia" w:ascii="宋体" w:hAnsi="宋体" w:cs="仿宋"/>
          <w:kern w:val="0"/>
          <w:sz w:val="24"/>
        </w:rPr>
        <w:t>本合同在乙方按规定缴纳了履约保证金且甲乙双方签字盖章后即生效。</w:t>
      </w:r>
    </w:p>
    <w:p w14:paraId="3CB81E4D">
      <w:pPr>
        <w:spacing w:line="440" w:lineRule="exact"/>
        <w:ind w:firstLine="484" w:firstLineChars="202"/>
        <w:rPr>
          <w:rFonts w:ascii="宋体" w:hAnsi="宋体" w:cs="仿宋"/>
          <w:kern w:val="0"/>
          <w:sz w:val="24"/>
        </w:rPr>
      </w:pPr>
      <w:r>
        <w:rPr>
          <w:rFonts w:hint="eastAsia" w:ascii="宋体" w:hAnsi="宋体" w:cs="仿宋"/>
          <w:kern w:val="0"/>
          <w:sz w:val="24"/>
        </w:rPr>
        <w:t>十三、争议的解决</w:t>
      </w:r>
    </w:p>
    <w:p w14:paraId="72F72910">
      <w:pPr>
        <w:spacing w:line="440" w:lineRule="exact"/>
        <w:ind w:firstLine="484" w:firstLineChars="202"/>
        <w:rPr>
          <w:rFonts w:ascii="宋体" w:hAnsi="宋体" w:cs="仿宋"/>
          <w:kern w:val="0"/>
          <w:sz w:val="24"/>
        </w:rPr>
      </w:pPr>
      <w:r>
        <w:rPr>
          <w:rFonts w:hint="eastAsia" w:ascii="宋体" w:hAnsi="宋体" w:cs="仿宋"/>
          <w:kern w:val="0"/>
          <w:sz w:val="24"/>
        </w:rPr>
        <w:t>甲乙双方因合同发生争议，应在采购人的主持下进行调解，协商不成，任何一方可以向南通仲裁委员会申请仲裁解决。</w:t>
      </w:r>
    </w:p>
    <w:p w14:paraId="24FDDCA0">
      <w:pPr>
        <w:spacing w:line="440" w:lineRule="exact"/>
        <w:ind w:firstLine="484" w:firstLineChars="202"/>
        <w:rPr>
          <w:rFonts w:ascii="宋体" w:hAnsi="宋体" w:cs="仿宋"/>
          <w:kern w:val="0"/>
          <w:sz w:val="24"/>
        </w:rPr>
      </w:pPr>
      <w:r>
        <w:rPr>
          <w:rFonts w:hint="eastAsia" w:ascii="宋体" w:hAnsi="宋体" w:cs="仿宋"/>
          <w:kern w:val="0"/>
          <w:sz w:val="24"/>
        </w:rPr>
        <w:t>十四、附则</w:t>
      </w:r>
    </w:p>
    <w:p w14:paraId="51265EBC">
      <w:pPr>
        <w:spacing w:line="440" w:lineRule="exact"/>
        <w:ind w:firstLine="484" w:firstLineChars="202"/>
        <w:rPr>
          <w:rFonts w:ascii="宋体" w:hAnsi="宋体" w:cs="仿宋"/>
          <w:sz w:val="24"/>
        </w:rPr>
      </w:pPr>
      <w:r>
        <w:rPr>
          <w:rFonts w:hint="eastAsia" w:ascii="宋体" w:hAnsi="宋体" w:cs="仿宋"/>
          <w:kern w:val="0"/>
          <w:sz w:val="24"/>
        </w:rPr>
        <w:t>14.1</w:t>
      </w:r>
      <w:r>
        <w:rPr>
          <w:rFonts w:hint="eastAsia" w:ascii="宋体" w:hAnsi="宋体" w:cs="仿宋"/>
          <w:sz w:val="24"/>
        </w:rPr>
        <w:t>合同份数：本合同一式陆份，甲方伍份，乙方壹份。</w:t>
      </w:r>
    </w:p>
    <w:p w14:paraId="6AA580B4">
      <w:pPr>
        <w:spacing w:line="440" w:lineRule="exact"/>
        <w:ind w:firstLine="484" w:firstLineChars="202"/>
        <w:rPr>
          <w:rFonts w:ascii="宋体" w:hAnsi="宋体" w:cs="仿宋"/>
          <w:kern w:val="0"/>
          <w:sz w:val="24"/>
        </w:rPr>
      </w:pPr>
      <w:r>
        <w:rPr>
          <w:rFonts w:hint="eastAsia" w:ascii="宋体" w:hAnsi="宋体" w:cs="仿宋"/>
          <w:kern w:val="0"/>
          <w:sz w:val="24"/>
        </w:rPr>
        <w:t>14.2本合同文件使用中文书写、解释和说明。</w:t>
      </w:r>
    </w:p>
    <w:p w14:paraId="1C637BC1">
      <w:pPr>
        <w:spacing w:line="440" w:lineRule="exact"/>
        <w:ind w:firstLine="484" w:firstLineChars="202"/>
        <w:rPr>
          <w:rFonts w:ascii="宋体" w:hAnsi="宋体" w:cs="仿宋"/>
          <w:kern w:val="0"/>
          <w:sz w:val="24"/>
        </w:rPr>
      </w:pPr>
      <w:r>
        <w:rPr>
          <w:rFonts w:hint="eastAsia" w:ascii="宋体" w:hAnsi="宋体" w:cs="仿宋"/>
          <w:kern w:val="0"/>
          <w:sz w:val="24"/>
        </w:rPr>
        <w:t>14.3本合同履行过程中产生的纪要、协议以及中标通知书、询价响应文件和采购文件为本合同的附件，与合同具有同等效力。</w:t>
      </w:r>
    </w:p>
    <w:p w14:paraId="6653C1D7">
      <w:pPr>
        <w:spacing w:line="440" w:lineRule="exact"/>
        <w:ind w:firstLine="484" w:firstLineChars="202"/>
        <w:rPr>
          <w:rFonts w:ascii="宋体" w:hAnsi="宋体" w:cs="仿宋"/>
          <w:kern w:val="0"/>
          <w:sz w:val="24"/>
        </w:rPr>
      </w:pPr>
      <w:r>
        <w:rPr>
          <w:rFonts w:hint="eastAsia" w:ascii="宋体" w:hAnsi="宋体" w:cs="仿宋"/>
          <w:kern w:val="0"/>
          <w:sz w:val="24"/>
        </w:rPr>
        <w:t>14.4未尽事宜</w:t>
      </w:r>
    </w:p>
    <w:p w14:paraId="666C598E">
      <w:pPr>
        <w:spacing w:line="440" w:lineRule="exact"/>
        <w:ind w:firstLine="484" w:firstLineChars="202"/>
        <w:rPr>
          <w:rFonts w:ascii="宋体" w:hAnsi="宋体" w:cs="仿宋"/>
          <w:kern w:val="0"/>
          <w:sz w:val="24"/>
        </w:rPr>
      </w:pPr>
      <w:r>
        <w:rPr>
          <w:rFonts w:hint="eastAsia" w:ascii="宋体" w:hAnsi="宋体" w:cs="仿宋"/>
          <w:kern w:val="0"/>
          <w:sz w:val="24"/>
        </w:rPr>
        <w:t>本合同未尽事宜应按照《中华人民共和国民法典》、《中华人民共和国产品质量法》及其相关配套法律法规之规定解释。</w:t>
      </w:r>
    </w:p>
    <w:p w14:paraId="22130C5E">
      <w:pPr>
        <w:spacing w:line="440" w:lineRule="exact"/>
        <w:ind w:firstLine="484" w:firstLineChars="202"/>
        <w:rPr>
          <w:rFonts w:ascii="宋体" w:hAnsi="宋体" w:cs="仿宋"/>
          <w:kern w:val="0"/>
          <w:sz w:val="24"/>
        </w:rPr>
      </w:pPr>
    </w:p>
    <w:p w14:paraId="712E7A04">
      <w:pPr>
        <w:spacing w:after="60" w:line="440" w:lineRule="exact"/>
        <w:rPr>
          <w:rFonts w:ascii="宋体" w:hAnsi="宋体" w:cs="仿宋"/>
          <w:sz w:val="24"/>
        </w:rPr>
      </w:pPr>
      <w:r>
        <w:rPr>
          <w:rFonts w:hint="eastAsia" w:ascii="宋体" w:hAnsi="宋体" w:cs="仿宋"/>
          <w:sz w:val="24"/>
        </w:rPr>
        <w:t>采购人（或甲方）：            成交供应商（或乙方）：</w:t>
      </w:r>
    </w:p>
    <w:p w14:paraId="376C9377">
      <w:pPr>
        <w:spacing w:after="60" w:line="440" w:lineRule="exact"/>
        <w:rPr>
          <w:rFonts w:ascii="宋体" w:hAnsi="宋体" w:cs="仿宋"/>
          <w:sz w:val="24"/>
        </w:rPr>
      </w:pPr>
      <w:r>
        <w:rPr>
          <w:rFonts w:hint="eastAsia" w:ascii="宋体" w:hAnsi="宋体" w:cs="仿宋"/>
          <w:sz w:val="24"/>
        </w:rPr>
        <w:t>法定代表人：                  法定代表人：</w:t>
      </w:r>
    </w:p>
    <w:p w14:paraId="2C450BD4">
      <w:pPr>
        <w:pStyle w:val="2"/>
        <w:jc w:val="both"/>
      </w:pPr>
      <w:r>
        <w:rPr>
          <w:rFonts w:hint="eastAsia" w:ascii="宋体" w:hAnsi="宋体" w:cs="仿宋"/>
          <w:sz w:val="24"/>
        </w:rPr>
        <w:t>委托代理人：                  委托代理人：</w:t>
      </w:r>
    </w:p>
    <w:p w14:paraId="0660BE3B">
      <w:pPr>
        <w:spacing w:line="440" w:lineRule="exact"/>
        <w:jc w:val="left"/>
        <w:sectPr>
          <w:headerReference r:id="rId3" w:type="default"/>
          <w:pgSz w:w="11906" w:h="16838"/>
          <w:pgMar w:top="1134" w:right="1134" w:bottom="1134" w:left="1134" w:header="851" w:footer="992" w:gutter="0"/>
          <w:cols w:space="720" w:num="1"/>
          <w:docGrid w:type="linesAndChars" w:linePitch="312" w:charSpace="0"/>
        </w:sectPr>
      </w:pPr>
    </w:p>
    <w:p w14:paraId="2F09E169">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1E1FED9D">
      <w:pPr>
        <w:adjustRightInd w:val="0"/>
        <w:snapToGrid w:val="0"/>
        <w:spacing w:line="460" w:lineRule="exact"/>
        <w:ind w:firstLine="480" w:firstLineChars="200"/>
        <w:rPr>
          <w:rFonts w:ascii="宋体" w:hAnsi="宋体" w:cs="仿宋"/>
          <w:sz w:val="24"/>
        </w:rPr>
      </w:pPr>
      <w:r>
        <w:rPr>
          <w:rFonts w:hint="eastAsia" w:ascii="宋体" w:hAnsi="宋体" w:cs="仿宋"/>
          <w:sz w:val="24"/>
        </w:rPr>
        <w:t>一、质疑的提出</w:t>
      </w:r>
    </w:p>
    <w:p w14:paraId="201105EA">
      <w:pPr>
        <w:adjustRightInd w:val="0"/>
        <w:snapToGrid w:val="0"/>
        <w:spacing w:line="460" w:lineRule="exact"/>
        <w:ind w:firstLine="480" w:firstLineChars="200"/>
        <w:rPr>
          <w:rFonts w:ascii="宋体" w:hAnsi="宋体" w:cs="仿宋"/>
          <w:sz w:val="24"/>
        </w:rPr>
      </w:pPr>
      <w:r>
        <w:rPr>
          <w:rFonts w:hint="eastAsia" w:ascii="宋体" w:hAnsi="宋体" w:cs="仿宋"/>
          <w:sz w:val="24"/>
        </w:rPr>
        <w:t>1.质疑人必须是直接参加本次投标活动的当事人。</w:t>
      </w:r>
    </w:p>
    <w:p w14:paraId="3B6CFF74">
      <w:pPr>
        <w:adjustRightInd w:val="0"/>
        <w:snapToGrid w:val="0"/>
        <w:spacing w:line="460" w:lineRule="exact"/>
        <w:ind w:firstLine="480" w:firstLineChars="200"/>
        <w:rPr>
          <w:rFonts w:ascii="宋体" w:hAnsi="宋体" w:cs="仿宋"/>
          <w:sz w:val="24"/>
        </w:rPr>
      </w:pPr>
      <w:r>
        <w:rPr>
          <w:rFonts w:hint="eastAsia" w:ascii="宋体" w:hAnsi="宋体" w:cs="仿宋"/>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45786551">
      <w:pPr>
        <w:adjustRightInd w:val="0"/>
        <w:snapToGrid w:val="0"/>
        <w:spacing w:line="460" w:lineRule="exact"/>
        <w:ind w:firstLine="480" w:firstLineChars="200"/>
        <w:rPr>
          <w:rFonts w:ascii="宋体" w:hAnsi="宋体" w:cs="仿宋"/>
          <w:sz w:val="24"/>
        </w:rPr>
      </w:pPr>
      <w:r>
        <w:rPr>
          <w:rFonts w:hint="eastAsia" w:ascii="宋体" w:hAnsi="宋体" w:cs="仿宋"/>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594C50EE">
      <w:pPr>
        <w:adjustRightInd w:val="0"/>
        <w:snapToGrid w:val="0"/>
        <w:spacing w:line="460" w:lineRule="exact"/>
        <w:ind w:firstLine="480" w:firstLineChars="200"/>
        <w:rPr>
          <w:rFonts w:ascii="宋体" w:hAnsi="宋体" w:cs="仿宋"/>
          <w:sz w:val="24"/>
        </w:rPr>
      </w:pPr>
      <w:r>
        <w:rPr>
          <w:rFonts w:hint="eastAsia" w:ascii="宋体" w:hAnsi="宋体" w:cs="仿宋"/>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02D2D79">
      <w:pPr>
        <w:adjustRightInd w:val="0"/>
        <w:snapToGrid w:val="0"/>
        <w:spacing w:line="460" w:lineRule="exact"/>
        <w:ind w:firstLine="480" w:firstLineChars="200"/>
        <w:rPr>
          <w:rFonts w:ascii="宋体" w:hAnsi="宋体" w:cs="仿宋"/>
          <w:sz w:val="24"/>
        </w:rPr>
      </w:pPr>
      <w:r>
        <w:rPr>
          <w:rFonts w:hint="eastAsia" w:ascii="宋体" w:hAnsi="宋体" w:cs="仿宋"/>
          <w:sz w:val="24"/>
        </w:rPr>
        <w:t>对不能提供相关佐证材料的、涉及商业秘密的、非书面形式的、非送达的、匿名的《质疑函》将不予受理。</w:t>
      </w:r>
    </w:p>
    <w:p w14:paraId="2327EAD2">
      <w:pPr>
        <w:adjustRightInd w:val="0"/>
        <w:snapToGrid w:val="0"/>
        <w:spacing w:line="460" w:lineRule="exact"/>
        <w:ind w:firstLine="480" w:firstLineChars="200"/>
        <w:rPr>
          <w:rFonts w:ascii="宋体" w:hAnsi="宋体" w:cs="仿宋"/>
          <w:sz w:val="24"/>
        </w:rPr>
      </w:pPr>
      <w:r>
        <w:rPr>
          <w:rFonts w:hint="eastAsia" w:ascii="宋体" w:hAnsi="宋体" w:cs="仿宋"/>
          <w:sz w:val="24"/>
        </w:rPr>
        <w:t>相关佐证材料要具备客观性、关联性、合法性，无法查实的（如宣传册、媒体报道、猜测、推理等）不能作为佐证材料。</w:t>
      </w:r>
    </w:p>
    <w:p w14:paraId="560830E0">
      <w:pPr>
        <w:adjustRightInd w:val="0"/>
        <w:snapToGrid w:val="0"/>
        <w:spacing w:line="460" w:lineRule="exact"/>
        <w:ind w:firstLine="480" w:firstLineChars="200"/>
        <w:rPr>
          <w:rFonts w:ascii="宋体" w:hAnsi="宋体" w:cs="仿宋"/>
          <w:sz w:val="24"/>
        </w:rPr>
      </w:pPr>
      <w:r>
        <w:rPr>
          <w:rFonts w:hint="eastAsia" w:ascii="宋体" w:hAnsi="宋体" w:cs="仿宋"/>
          <w:sz w:val="24"/>
        </w:rPr>
        <w:t>招标单位或代理机构不负责搜集相关佐证材料等工作。</w:t>
      </w:r>
    </w:p>
    <w:p w14:paraId="4432C6BE">
      <w:pPr>
        <w:adjustRightInd w:val="0"/>
        <w:snapToGrid w:val="0"/>
        <w:spacing w:line="460" w:lineRule="exact"/>
        <w:ind w:firstLine="480" w:firstLineChars="200"/>
        <w:rPr>
          <w:rFonts w:ascii="宋体" w:hAnsi="宋体" w:cs="仿宋"/>
          <w:sz w:val="24"/>
        </w:rPr>
      </w:pPr>
      <w:r>
        <w:rPr>
          <w:rFonts w:hint="eastAsia" w:ascii="宋体" w:hAnsi="宋体" w:cs="仿宋"/>
          <w:sz w:val="24"/>
        </w:rPr>
        <w:t>二、《质疑函》的受理和回复</w:t>
      </w:r>
    </w:p>
    <w:p w14:paraId="3E7585E9">
      <w:pPr>
        <w:adjustRightInd w:val="0"/>
        <w:snapToGrid w:val="0"/>
        <w:spacing w:line="460" w:lineRule="exact"/>
        <w:ind w:firstLine="480" w:firstLineChars="200"/>
        <w:rPr>
          <w:rFonts w:ascii="宋体" w:hAnsi="宋体" w:cs="仿宋"/>
          <w:sz w:val="24"/>
        </w:rPr>
      </w:pPr>
      <w:r>
        <w:rPr>
          <w:rFonts w:hint="eastAsia" w:ascii="宋体" w:hAnsi="宋体" w:cs="仿宋"/>
          <w:sz w:val="24"/>
        </w:rPr>
        <w:t>1.《质疑函》须由质疑人的法定代表人或参加本次投标授权人送达招标单位和代理机构。</w:t>
      </w:r>
    </w:p>
    <w:p w14:paraId="53364343">
      <w:pPr>
        <w:adjustRightInd w:val="0"/>
        <w:snapToGrid w:val="0"/>
        <w:spacing w:line="460" w:lineRule="exact"/>
        <w:ind w:firstLine="480" w:firstLineChars="200"/>
        <w:rPr>
          <w:rFonts w:ascii="宋体" w:hAnsi="宋体" w:cs="仿宋"/>
          <w:sz w:val="24"/>
        </w:rPr>
      </w:pPr>
      <w:r>
        <w:rPr>
          <w:rFonts w:hint="eastAsia" w:ascii="宋体" w:hAnsi="宋体" w:cs="仿宋"/>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0CE1E63">
      <w:pPr>
        <w:adjustRightInd w:val="0"/>
        <w:snapToGrid w:val="0"/>
        <w:spacing w:line="460" w:lineRule="exact"/>
        <w:ind w:firstLine="480" w:firstLineChars="200"/>
        <w:rPr>
          <w:rFonts w:ascii="宋体" w:hAnsi="宋体" w:cs="仿宋"/>
          <w:sz w:val="24"/>
        </w:rPr>
      </w:pPr>
      <w:r>
        <w:rPr>
          <w:rFonts w:hint="eastAsia" w:ascii="宋体" w:hAnsi="宋体" w:cs="仿宋"/>
          <w:sz w:val="24"/>
        </w:rPr>
        <w:t>3.对不符合提出质疑要求的，出具《质疑退回通知书》并提出相关补充材料要求，质疑人未在规定的时间内提供补充佐证材料的，视同放弃质疑。</w:t>
      </w:r>
    </w:p>
    <w:p w14:paraId="1CC4D410">
      <w:pPr>
        <w:adjustRightInd w:val="0"/>
        <w:snapToGrid w:val="0"/>
        <w:spacing w:line="460" w:lineRule="exact"/>
        <w:ind w:firstLine="480" w:firstLineChars="200"/>
        <w:rPr>
          <w:rFonts w:ascii="宋体" w:hAnsi="宋体" w:cs="仿宋"/>
          <w:sz w:val="24"/>
        </w:rPr>
      </w:pPr>
      <w:r>
        <w:rPr>
          <w:rFonts w:hint="eastAsia" w:ascii="宋体" w:hAnsi="宋体" w:cs="仿宋"/>
          <w:sz w:val="24"/>
        </w:rPr>
        <w:t>4.招标单位、代理机构负责将质疑人提出的质疑相关材料提供给相关专家或评标小组审核，并将审核意见回复质疑人。</w:t>
      </w:r>
    </w:p>
    <w:p w14:paraId="68AE168A">
      <w:pPr>
        <w:adjustRightInd w:val="0"/>
        <w:snapToGrid w:val="0"/>
        <w:spacing w:line="460" w:lineRule="exact"/>
        <w:ind w:firstLine="480" w:firstLineChars="200"/>
        <w:rPr>
          <w:rFonts w:ascii="宋体" w:hAnsi="宋体" w:cs="仿宋"/>
          <w:sz w:val="24"/>
        </w:rPr>
      </w:pPr>
      <w:r>
        <w:rPr>
          <w:rFonts w:hint="eastAsia" w:ascii="宋体" w:hAnsi="宋体" w:cs="仿宋"/>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01F3E905">
      <w:pPr>
        <w:adjustRightInd w:val="0"/>
        <w:snapToGrid w:val="0"/>
        <w:spacing w:line="460" w:lineRule="exact"/>
        <w:ind w:firstLine="480" w:firstLineChars="200"/>
        <w:rPr>
          <w:rFonts w:ascii="宋体" w:hAnsi="宋体" w:cs="仿宋"/>
          <w:sz w:val="24"/>
        </w:rPr>
      </w:pPr>
      <w:r>
        <w:rPr>
          <w:rFonts w:hint="eastAsia" w:ascii="宋体" w:hAnsi="宋体" w:cs="仿宋"/>
          <w:sz w:val="24"/>
        </w:rPr>
        <w:t>5.因质疑情况复杂，组织论证或审查时间较长的，招标人、代理机构以书面形式通知质疑人，可适当延长质疑回复处理时间。</w:t>
      </w:r>
    </w:p>
    <w:p w14:paraId="7FC7749D">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三、质疑处理</w:t>
      </w:r>
    </w:p>
    <w:p w14:paraId="2E30365D">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1.质疑成立的处理。招标人或代理机构终止招标，并建议有关部门给相关当事人予以处理。</w:t>
      </w:r>
    </w:p>
    <w:p w14:paraId="47C9709C">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2.质疑不成立的处理。</w:t>
      </w:r>
    </w:p>
    <w:p w14:paraId="5FB23D43">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1）质疑人书面《申请撤回质疑函》的，不作违约处理。</w:t>
      </w:r>
    </w:p>
    <w:p w14:paraId="1A78B34B">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2）质疑人在规定的时间内不配合进行质疑调查处理的，按自动撤回《质疑函》处理。</w:t>
      </w:r>
    </w:p>
    <w:p w14:paraId="144FA34F">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3）质疑人不按《质疑函》格式就提出质疑的，作违约处理。同时，视情列入不良投标人名单。</w:t>
      </w:r>
    </w:p>
    <w:p w14:paraId="7E3A017F">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4）质疑人虽提供了相关佐证材料，但不能证明其质疑成立的，招标人或代理机构请质疑人补充相关佐证材料，仍不能证明其质疑成立的，作违约处理。</w:t>
      </w:r>
    </w:p>
    <w:p w14:paraId="7D996BBE">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5）质疑人不能提供相关佐证材料的，招标人、代理机构已指出，质疑人仍然坚持提出质疑的，作违约处理。</w:t>
      </w:r>
    </w:p>
    <w:p w14:paraId="114247B1">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6）对明显有违事实的、经相关专家或评标小组认定无依据的、经其他投标人举证无依据的质疑，作违约处理，视情在招标人官网媒体予以披露。</w:t>
      </w:r>
    </w:p>
    <w:p w14:paraId="5E9C9AFB">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7）质疑人承担使用虚假材料或恶意方式质疑的法律责任。</w:t>
      </w:r>
    </w:p>
    <w:p w14:paraId="3B4549CB">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四、无佐证材料的举报作违约处理。投标人不得进行不提供相关佐证材料（含无法查实的如宣传册、媒体报道、猜测、推理等）向有关部门的举报，否则作违约处理。</w:t>
      </w:r>
    </w:p>
    <w:p w14:paraId="1EECC691">
      <w:pPr>
        <w:adjustRightInd w:val="0"/>
        <w:snapToGrid w:val="0"/>
        <w:spacing w:line="460" w:lineRule="exact"/>
        <w:ind w:firstLine="480" w:firstLineChars="200"/>
        <w:contextualSpacing/>
        <w:rPr>
          <w:rFonts w:ascii="宋体" w:hAnsi="宋体" w:cs="仿宋"/>
          <w:sz w:val="24"/>
        </w:rPr>
      </w:pPr>
      <w:r>
        <w:rPr>
          <w:rFonts w:hint="eastAsia" w:ascii="宋体" w:hAnsi="宋体" w:cs="仿宋"/>
          <w:sz w:val="24"/>
        </w:rPr>
        <w:t>五、投诉不成立的作违约处理。投标人进行质疑后，招标人回复质疑不成立，投标人仍进行投诉的，并最终投诉不成立的，作违约处理。</w:t>
      </w:r>
    </w:p>
    <w:p w14:paraId="72A72096">
      <w:pPr>
        <w:adjustRightInd w:val="0"/>
        <w:snapToGrid w:val="0"/>
        <w:spacing w:line="460" w:lineRule="exact"/>
        <w:ind w:firstLine="480" w:firstLineChars="200"/>
        <w:rPr>
          <w:rFonts w:ascii="宋体" w:hAnsi="宋体" w:cs="仿宋"/>
          <w:sz w:val="24"/>
        </w:rPr>
      </w:pPr>
      <w:r>
        <w:rPr>
          <w:rFonts w:hint="eastAsia" w:ascii="宋体" w:hAnsi="宋体" w:cs="仿宋"/>
          <w:sz w:val="24"/>
        </w:rPr>
        <w:t>六、《质疑函》、《质疑回复函》，质疑、举报、投诉不成立的等相关情况，视情在招标人官网等相关媒体予以披露。</w:t>
      </w:r>
    </w:p>
    <w:p w14:paraId="76B3B0CE">
      <w:pPr>
        <w:adjustRightInd w:val="0"/>
        <w:snapToGrid w:val="0"/>
        <w:spacing w:line="460" w:lineRule="exact"/>
        <w:ind w:firstLine="480" w:firstLineChars="200"/>
        <w:jc w:val="left"/>
        <w:rPr>
          <w:rFonts w:ascii="宋体" w:hAnsi="宋体" w:cs="仿宋"/>
          <w:sz w:val="24"/>
        </w:rPr>
      </w:pPr>
      <w:r>
        <w:rPr>
          <w:rFonts w:hint="eastAsia" w:ascii="宋体" w:hAnsi="宋体" w:cs="仿宋"/>
          <w:sz w:val="24"/>
        </w:rPr>
        <w:t>七、质疑人对招标人或代理机构的答复不满意或者招标人、代理机构未在规定的时间内作出答复的，可以在答复期满后15个工作日内向相关监督管理部门投诉。</w:t>
      </w:r>
    </w:p>
    <w:p w14:paraId="3E171464">
      <w:pPr>
        <w:adjustRightInd w:val="0"/>
        <w:snapToGrid w:val="0"/>
        <w:spacing w:line="460" w:lineRule="exact"/>
        <w:ind w:firstLine="480"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73AF4BA8">
      <w:pPr>
        <w:adjustRightInd w:val="0"/>
        <w:snapToGrid w:val="0"/>
        <w:spacing w:line="460" w:lineRule="exact"/>
        <w:ind w:firstLine="480" w:firstLineChars="200"/>
        <w:jc w:val="left"/>
        <w:rPr>
          <w:rFonts w:ascii="宋体" w:hAnsi="宋体" w:cs="宋体"/>
          <w:b/>
          <w:sz w:val="24"/>
        </w:rPr>
      </w:pPr>
      <w:r>
        <w:rPr>
          <w:rFonts w:hint="eastAsia" w:ascii="宋体" w:hAnsi="宋体" w:cs="宋体"/>
          <w:b/>
          <w:sz w:val="24"/>
        </w:rPr>
        <w:t>投标文件由资格审查文件、商务技术标、价格标、电子投标文件四部分组成。</w:t>
      </w:r>
    </w:p>
    <w:p w14:paraId="50A047FF">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562261B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74508BD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1B62C0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7C484A3A">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48F227A2">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623C1513">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6451C36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6071141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1BBD54A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3.商务技术评分标准中须提供的相关得分佐证材料；</w:t>
      </w:r>
    </w:p>
    <w:p w14:paraId="5D99FFC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7202F06D">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三、价格标</w:t>
      </w:r>
    </w:p>
    <w:p w14:paraId="0E979C2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392C21A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6985738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3.中小企业声明函（格式见附件10）或残疾人福利性单位声明函（格式见附件11）或监狱和戒毒企业证明材料（格式见附件12）（如有）。</w:t>
      </w:r>
    </w:p>
    <w:p w14:paraId="43712EE1">
      <w:pPr>
        <w:adjustRightInd w:val="0"/>
        <w:snapToGrid w:val="0"/>
        <w:spacing w:line="460" w:lineRule="exact"/>
        <w:ind w:firstLine="480"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1D2A6F9C">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演示视频（如有））。</w:t>
      </w:r>
    </w:p>
    <w:p w14:paraId="3F21B111">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64D7FC0F">
      <w:pPr>
        <w:spacing w:line="460" w:lineRule="exact"/>
        <w:jc w:val="center"/>
        <w:rPr>
          <w:rFonts w:ascii="宋体" w:hAnsi="宋体" w:cs="仿宋"/>
          <w:b/>
          <w:sz w:val="30"/>
          <w:szCs w:val="30"/>
        </w:rPr>
      </w:pPr>
    </w:p>
    <w:p w14:paraId="32D02AC6">
      <w:pPr>
        <w:spacing w:line="460" w:lineRule="exact"/>
        <w:jc w:val="center"/>
        <w:rPr>
          <w:rFonts w:ascii="宋体" w:hAnsi="宋体" w:cs="仿宋"/>
          <w:b/>
          <w:sz w:val="30"/>
          <w:szCs w:val="30"/>
        </w:rPr>
      </w:pPr>
    </w:p>
    <w:p w14:paraId="6B13F238">
      <w:pPr>
        <w:spacing w:line="460" w:lineRule="exact"/>
        <w:jc w:val="center"/>
        <w:rPr>
          <w:rFonts w:ascii="宋体" w:hAnsi="宋体" w:cs="仿宋"/>
          <w:b/>
          <w:sz w:val="30"/>
          <w:szCs w:val="30"/>
        </w:rPr>
      </w:pPr>
      <w:r>
        <w:rPr>
          <w:rFonts w:hint="eastAsia" w:ascii="宋体" w:hAnsi="宋体" w:cs="仿宋"/>
          <w:b/>
          <w:sz w:val="30"/>
          <w:szCs w:val="30"/>
        </w:rPr>
        <w:t>符合投标人资格要求的承诺函</w:t>
      </w:r>
    </w:p>
    <w:p w14:paraId="12C0B993">
      <w:pPr>
        <w:spacing w:line="460" w:lineRule="exact"/>
        <w:rPr>
          <w:rFonts w:ascii="宋体" w:hAnsi="宋体" w:cs="仿宋"/>
          <w:b/>
          <w:bCs/>
          <w:sz w:val="44"/>
          <w:szCs w:val="44"/>
        </w:rPr>
      </w:pPr>
    </w:p>
    <w:p w14:paraId="074D16F4">
      <w:pPr>
        <w:spacing w:line="460" w:lineRule="exact"/>
        <w:ind w:firstLine="480" w:firstLineChars="200"/>
        <w:rPr>
          <w:rFonts w:ascii="宋体" w:hAnsi="宋体" w:cs="仿宋"/>
          <w:b/>
          <w:bCs/>
          <w:sz w:val="24"/>
        </w:rPr>
      </w:pPr>
      <w:r>
        <w:rPr>
          <w:rFonts w:hint="eastAsia" w:ascii="宋体" w:hAnsi="宋体" w:cs="仿宋"/>
          <w:bCs/>
          <w:sz w:val="24"/>
        </w:rPr>
        <w:t>我单位参加</w:t>
      </w:r>
      <w:r>
        <w:rPr>
          <w:rFonts w:hint="eastAsia" w:ascii="宋体" w:hAnsi="宋体" w:cs="仿宋"/>
          <w:bCs/>
          <w:sz w:val="24"/>
          <w:szCs w:val="21"/>
          <w:u w:val="single"/>
        </w:rPr>
        <w:t>________________ _</w:t>
      </w:r>
      <w:r>
        <w:rPr>
          <w:rFonts w:hint="eastAsia" w:ascii="宋体" w:hAnsi="宋体" w:cs="仿宋"/>
          <w:bCs/>
          <w:sz w:val="24"/>
          <w:szCs w:val="21"/>
        </w:rPr>
        <w:t>（项目名称），</w:t>
      </w:r>
      <w:r>
        <w:rPr>
          <w:rFonts w:hint="eastAsia" w:ascii="宋体" w:hAnsi="宋体" w:cs="仿宋"/>
          <w:bCs/>
          <w:sz w:val="24"/>
          <w:szCs w:val="21"/>
          <w:u w:val="single"/>
        </w:rPr>
        <w:t>_______ __________</w:t>
      </w:r>
      <w:r>
        <w:rPr>
          <w:rFonts w:hint="eastAsia" w:ascii="宋体" w:hAnsi="宋体" w:cs="仿宋"/>
          <w:bCs/>
          <w:sz w:val="24"/>
          <w:szCs w:val="21"/>
        </w:rPr>
        <w:t>（项目编号）投标活动。现做出如下承诺：</w:t>
      </w:r>
    </w:p>
    <w:p w14:paraId="15EDA4A6">
      <w:pPr>
        <w:spacing w:line="460" w:lineRule="exact"/>
        <w:ind w:firstLine="480" w:firstLineChars="200"/>
        <w:rPr>
          <w:rFonts w:ascii="宋体" w:hAnsi="宋体" w:cs="仿宋"/>
          <w:sz w:val="24"/>
        </w:rPr>
      </w:pPr>
      <w:r>
        <w:rPr>
          <w:rFonts w:hint="eastAsia" w:ascii="宋体" w:hAnsi="宋体" w:cs="仿宋"/>
          <w:bCs/>
          <w:sz w:val="24"/>
          <w:szCs w:val="21"/>
        </w:rPr>
        <w:t>1.我单位具有独立承担民事责任的能力；</w:t>
      </w:r>
    </w:p>
    <w:p w14:paraId="2FB868E5">
      <w:pPr>
        <w:spacing w:line="460" w:lineRule="exact"/>
        <w:ind w:firstLine="480" w:firstLineChars="200"/>
        <w:rPr>
          <w:rFonts w:ascii="宋体" w:hAnsi="宋体" w:cs="仿宋"/>
          <w:sz w:val="24"/>
        </w:rPr>
      </w:pPr>
      <w:r>
        <w:rPr>
          <w:rFonts w:hint="eastAsia" w:ascii="宋体" w:hAnsi="宋体" w:cs="仿宋"/>
          <w:sz w:val="24"/>
        </w:rPr>
        <w:t>2.我单位具有良好的商业信誉和健全的财务会计制度；</w:t>
      </w:r>
    </w:p>
    <w:p w14:paraId="65DB5046">
      <w:pPr>
        <w:spacing w:line="460" w:lineRule="exact"/>
        <w:ind w:firstLine="480" w:firstLineChars="200"/>
        <w:rPr>
          <w:rFonts w:ascii="宋体" w:hAnsi="宋体" w:cs="仿宋"/>
          <w:sz w:val="24"/>
        </w:rPr>
      </w:pPr>
      <w:r>
        <w:rPr>
          <w:rFonts w:hint="eastAsia" w:ascii="宋体" w:hAnsi="宋体" w:cs="仿宋"/>
          <w:sz w:val="24"/>
        </w:rPr>
        <w:t>3.我单位具有履行合同所必需的设备和专业技术能力；</w:t>
      </w:r>
    </w:p>
    <w:p w14:paraId="32972C15">
      <w:pPr>
        <w:spacing w:line="460" w:lineRule="exact"/>
        <w:ind w:firstLine="480" w:firstLineChars="200"/>
        <w:rPr>
          <w:rFonts w:ascii="宋体" w:hAnsi="宋体" w:cs="仿宋"/>
          <w:sz w:val="24"/>
        </w:rPr>
      </w:pPr>
      <w:r>
        <w:rPr>
          <w:rFonts w:hint="eastAsia" w:ascii="宋体" w:hAnsi="宋体" w:cs="仿宋"/>
          <w:sz w:val="24"/>
        </w:rPr>
        <w:t>4.我单位有依法缴纳税收和社会保障资金的良好记录；</w:t>
      </w:r>
    </w:p>
    <w:p w14:paraId="4963EC04">
      <w:pPr>
        <w:spacing w:line="460" w:lineRule="exact"/>
        <w:ind w:firstLine="480" w:firstLineChars="200"/>
        <w:rPr>
          <w:rFonts w:ascii="宋体" w:hAnsi="宋体" w:cs="仿宋"/>
          <w:sz w:val="24"/>
        </w:rPr>
      </w:pPr>
      <w:r>
        <w:rPr>
          <w:rFonts w:hint="eastAsia" w:ascii="宋体" w:hAnsi="宋体" w:cs="仿宋"/>
          <w:sz w:val="24"/>
        </w:rPr>
        <w:t>5.我单位参加采购活动前三年内，在经营活动中没有重大违法记录。</w:t>
      </w:r>
    </w:p>
    <w:p w14:paraId="52368DA0">
      <w:pPr>
        <w:spacing w:line="460" w:lineRule="exact"/>
        <w:ind w:firstLine="480" w:firstLineChars="200"/>
        <w:rPr>
          <w:rFonts w:ascii="宋体" w:hAnsi="宋体" w:cs="仿宋"/>
          <w:sz w:val="24"/>
        </w:rPr>
      </w:pPr>
      <w:r>
        <w:rPr>
          <w:rFonts w:hint="eastAsia" w:ascii="宋体" w:hAnsi="宋体" w:cs="仿宋"/>
          <w:sz w:val="24"/>
        </w:rPr>
        <w:t>6.我单位满足法律、行政法规规定的其他条件。</w:t>
      </w:r>
    </w:p>
    <w:p w14:paraId="64697FCC">
      <w:pPr>
        <w:spacing w:line="460" w:lineRule="exact"/>
        <w:ind w:firstLine="480" w:firstLineChars="200"/>
        <w:rPr>
          <w:rFonts w:ascii="宋体" w:hAnsi="宋体" w:cs="仿宋"/>
          <w:sz w:val="24"/>
        </w:rPr>
      </w:pPr>
    </w:p>
    <w:p w14:paraId="5314C680">
      <w:pPr>
        <w:spacing w:line="460" w:lineRule="exact"/>
        <w:ind w:firstLine="480" w:firstLineChars="200"/>
        <w:rPr>
          <w:rFonts w:ascii="宋体" w:hAnsi="宋体" w:cs="仿宋"/>
          <w:sz w:val="24"/>
        </w:rPr>
      </w:pPr>
    </w:p>
    <w:p w14:paraId="426930FC">
      <w:pPr>
        <w:spacing w:line="460" w:lineRule="exact"/>
        <w:ind w:firstLine="480" w:firstLineChars="200"/>
        <w:rPr>
          <w:rFonts w:ascii="宋体" w:hAnsi="宋体" w:cs="仿宋"/>
          <w:bCs/>
          <w:sz w:val="24"/>
          <w:szCs w:val="21"/>
        </w:rPr>
      </w:pPr>
    </w:p>
    <w:p w14:paraId="04F5AF6E">
      <w:pPr>
        <w:spacing w:line="460" w:lineRule="exact"/>
        <w:ind w:firstLine="480" w:firstLineChars="200"/>
        <w:rPr>
          <w:rFonts w:ascii="宋体" w:hAnsi="宋体" w:cs="仿宋"/>
          <w:bCs/>
          <w:sz w:val="24"/>
          <w:szCs w:val="21"/>
        </w:rPr>
      </w:pPr>
    </w:p>
    <w:p w14:paraId="6484360B">
      <w:pPr>
        <w:spacing w:line="460" w:lineRule="exact"/>
        <w:ind w:firstLine="480" w:firstLineChars="200"/>
        <w:rPr>
          <w:rFonts w:ascii="宋体" w:hAnsi="宋体" w:cs="仿宋"/>
          <w:bCs/>
          <w:sz w:val="24"/>
          <w:szCs w:val="21"/>
        </w:rPr>
      </w:pPr>
    </w:p>
    <w:p w14:paraId="1F0A7776">
      <w:pPr>
        <w:spacing w:line="460" w:lineRule="exact"/>
        <w:ind w:firstLine="480" w:firstLineChars="200"/>
        <w:jc w:val="center"/>
        <w:rPr>
          <w:rFonts w:ascii="宋体" w:hAnsi="宋体" w:cs="仿宋"/>
          <w:bCs/>
          <w:sz w:val="24"/>
          <w:szCs w:val="21"/>
        </w:rPr>
      </w:pPr>
      <w:r>
        <w:rPr>
          <w:rFonts w:hint="eastAsia" w:ascii="宋体" w:hAnsi="宋体" w:cs="仿宋"/>
          <w:bCs/>
          <w:sz w:val="24"/>
          <w:szCs w:val="21"/>
        </w:rPr>
        <w:t xml:space="preserve">                                             承诺人名称（公章）：</w:t>
      </w:r>
    </w:p>
    <w:p w14:paraId="744232F1">
      <w:pPr>
        <w:spacing w:line="460" w:lineRule="exact"/>
        <w:ind w:firstLine="480" w:firstLineChars="200"/>
        <w:jc w:val="right"/>
        <w:rPr>
          <w:rFonts w:ascii="宋体" w:hAnsi="宋体" w:cs="仿宋"/>
          <w:bCs/>
          <w:sz w:val="24"/>
          <w:szCs w:val="21"/>
        </w:rPr>
      </w:pPr>
    </w:p>
    <w:p w14:paraId="6381581B">
      <w:pPr>
        <w:spacing w:line="460" w:lineRule="exact"/>
        <w:ind w:firstLine="480" w:firstLineChars="200"/>
        <w:jc w:val="right"/>
        <w:rPr>
          <w:rFonts w:ascii="宋体" w:hAnsi="宋体" w:cs="仿宋"/>
          <w:bCs/>
          <w:sz w:val="24"/>
          <w:szCs w:val="21"/>
        </w:rPr>
      </w:pPr>
      <w:r>
        <w:rPr>
          <w:rFonts w:hint="eastAsia" w:ascii="宋体" w:hAnsi="宋体" w:cs="仿宋"/>
          <w:bCs/>
          <w:sz w:val="24"/>
          <w:szCs w:val="21"/>
        </w:rPr>
        <w:t xml:space="preserve">                                 日期：</w:t>
      </w:r>
      <w:r>
        <w:rPr>
          <w:rFonts w:hint="eastAsia" w:ascii="宋体" w:hAnsi="宋体" w:cs="仿宋"/>
          <w:bCs/>
          <w:sz w:val="24"/>
          <w:szCs w:val="21"/>
          <w:u w:val="single"/>
        </w:rPr>
        <w:t>______</w:t>
      </w:r>
      <w:r>
        <w:rPr>
          <w:rFonts w:hint="eastAsia" w:ascii="宋体" w:hAnsi="宋体" w:cs="仿宋"/>
          <w:bCs/>
          <w:sz w:val="24"/>
          <w:szCs w:val="21"/>
        </w:rPr>
        <w:t>年月日</w:t>
      </w:r>
    </w:p>
    <w:p w14:paraId="38698348">
      <w:pPr>
        <w:snapToGrid w:val="0"/>
        <w:spacing w:line="400" w:lineRule="exact"/>
        <w:contextualSpacing/>
        <w:rPr>
          <w:rFonts w:ascii="宋体" w:hAnsi="宋体" w:cs="宋体"/>
          <w:b/>
          <w:kern w:val="0"/>
          <w:sz w:val="28"/>
          <w:szCs w:val="28"/>
          <w:lang w:val="zh-CN"/>
        </w:rPr>
      </w:pPr>
    </w:p>
    <w:p w14:paraId="25B72722">
      <w:pPr>
        <w:pStyle w:val="13"/>
        <w:rPr>
          <w:rFonts w:ascii="宋体" w:hAnsi="宋体" w:cs="宋体"/>
          <w:b/>
          <w:kern w:val="0"/>
          <w:sz w:val="28"/>
          <w:szCs w:val="28"/>
          <w:lang w:val="zh-CN"/>
        </w:rPr>
      </w:pPr>
    </w:p>
    <w:p w14:paraId="01F00519">
      <w:pPr>
        <w:rPr>
          <w:rFonts w:ascii="宋体" w:hAnsi="宋体" w:cs="宋体"/>
          <w:b/>
          <w:kern w:val="0"/>
          <w:sz w:val="28"/>
          <w:szCs w:val="28"/>
          <w:lang w:val="zh-CN"/>
        </w:rPr>
      </w:pPr>
    </w:p>
    <w:p w14:paraId="7416B3DE">
      <w:pPr>
        <w:snapToGrid w:val="0"/>
        <w:spacing w:line="400" w:lineRule="exact"/>
        <w:contextualSpacing/>
        <w:rPr>
          <w:rFonts w:ascii="宋体" w:hAnsi="宋体" w:cs="宋体"/>
          <w:b/>
          <w:kern w:val="0"/>
          <w:sz w:val="28"/>
          <w:szCs w:val="28"/>
          <w:lang w:val="zh-CN"/>
        </w:rPr>
      </w:pPr>
    </w:p>
    <w:p w14:paraId="59B28797">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2F029766">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46ADBA93">
      <w:pPr>
        <w:spacing w:line="360" w:lineRule="auto"/>
        <w:jc w:val="center"/>
        <w:rPr>
          <w:rFonts w:ascii="宋体" w:hAnsi="宋体" w:cs="宋体"/>
          <w:sz w:val="24"/>
        </w:rPr>
      </w:pPr>
      <w:r>
        <w:rPr>
          <w:rFonts w:hint="eastAsia" w:ascii="宋体" w:hAnsi="宋体" w:cs="宋体"/>
          <w:sz w:val="24"/>
          <w:u w:val="single"/>
        </w:rPr>
        <w:t>（法定代表人参加投标时，须出示此证明）</w:t>
      </w:r>
    </w:p>
    <w:p w14:paraId="0E5B29A1">
      <w:pPr>
        <w:spacing w:line="360" w:lineRule="auto"/>
        <w:rPr>
          <w:rFonts w:ascii="宋体" w:hAnsi="宋体" w:cs="宋体"/>
          <w:sz w:val="24"/>
        </w:rPr>
      </w:pPr>
      <w:r>
        <w:rPr>
          <w:rFonts w:hint="eastAsia" w:ascii="宋体" w:hAnsi="宋体" w:cs="宋体"/>
          <w:sz w:val="24"/>
        </w:rPr>
        <w:t>江苏商贸职业学院：</w:t>
      </w:r>
    </w:p>
    <w:p w14:paraId="7DD097CF">
      <w:pPr>
        <w:spacing w:line="360" w:lineRule="auto"/>
        <w:ind w:firstLine="480" w:firstLineChars="200"/>
        <w:rPr>
          <w:rFonts w:ascii="宋体" w:hAnsi="宋体" w:cs="宋体"/>
          <w:sz w:val="24"/>
        </w:rPr>
      </w:pPr>
      <w:r>
        <w:rPr>
          <w:rFonts w:hint="eastAsia" w:ascii="宋体" w:hAnsi="宋体" w:cs="宋体"/>
          <w:sz w:val="24"/>
        </w:rPr>
        <w:t>我公司法定代表人参加贵单位组织的（采购项目名称及项目编号)项目公开招标采购活动，全权代表我公司处理投标的有关事宜。</w:t>
      </w:r>
    </w:p>
    <w:p w14:paraId="5BBFB04B">
      <w:pPr>
        <w:spacing w:line="360" w:lineRule="auto"/>
        <w:ind w:firstLine="480" w:firstLineChars="200"/>
        <w:rPr>
          <w:rFonts w:ascii="宋体" w:hAnsi="宋体" w:cs="宋体"/>
          <w:sz w:val="24"/>
        </w:rPr>
      </w:pPr>
    </w:p>
    <w:p w14:paraId="49AAC5C2">
      <w:pPr>
        <w:spacing w:line="360" w:lineRule="auto"/>
        <w:rPr>
          <w:rFonts w:ascii="宋体" w:hAnsi="宋体" w:cs="宋体"/>
          <w:sz w:val="24"/>
        </w:rPr>
      </w:pPr>
      <w:r>
        <w:rPr>
          <w:rFonts w:hint="eastAsia" w:ascii="宋体" w:hAnsi="宋体" w:cs="宋体"/>
          <w:sz w:val="24"/>
        </w:rPr>
        <w:t>附：法定代表人情况：</w:t>
      </w:r>
    </w:p>
    <w:p w14:paraId="6D05F912">
      <w:pPr>
        <w:spacing w:line="360" w:lineRule="auto"/>
        <w:rPr>
          <w:rFonts w:ascii="宋体" w:hAnsi="宋体" w:cs="宋体"/>
          <w:sz w:val="24"/>
          <w:u w:val="single"/>
        </w:rPr>
      </w:pPr>
      <w:r>
        <w:rPr>
          <w:rFonts w:hint="eastAsia" w:ascii="宋体" w:hAnsi="宋体" w:cs="宋体"/>
          <w:sz w:val="24"/>
        </w:rPr>
        <w:t>姓名：性别：年龄：职务：</w:t>
      </w:r>
    </w:p>
    <w:p w14:paraId="54C7488B">
      <w:pPr>
        <w:spacing w:line="360" w:lineRule="auto"/>
        <w:rPr>
          <w:rFonts w:ascii="宋体" w:hAnsi="宋体" w:cs="宋体"/>
          <w:sz w:val="24"/>
        </w:rPr>
      </w:pPr>
      <w:r>
        <w:rPr>
          <w:rFonts w:hint="eastAsia" w:ascii="宋体" w:hAnsi="宋体" w:cs="宋体"/>
          <w:sz w:val="24"/>
        </w:rPr>
        <w:t>身份证号码：</w:t>
      </w:r>
    </w:p>
    <w:p w14:paraId="3F6DB980">
      <w:pPr>
        <w:spacing w:line="360" w:lineRule="auto"/>
        <w:rPr>
          <w:rFonts w:ascii="宋体" w:hAnsi="宋体" w:cs="宋体"/>
          <w:sz w:val="24"/>
        </w:rPr>
      </w:pPr>
      <w:r>
        <w:rPr>
          <w:rFonts w:hint="eastAsia" w:ascii="宋体" w:hAnsi="宋体" w:cs="宋体"/>
          <w:sz w:val="24"/>
        </w:rPr>
        <w:t>手机：传真：</w:t>
      </w:r>
    </w:p>
    <w:p w14:paraId="72FF0E7A">
      <w:pPr>
        <w:spacing w:line="360" w:lineRule="auto"/>
        <w:rPr>
          <w:rFonts w:ascii="宋体" w:hAnsi="宋体" w:cs="宋体"/>
          <w:sz w:val="24"/>
        </w:rPr>
      </w:pPr>
      <w:r>
        <w:rPr>
          <w:rFonts w:hint="eastAsia" w:ascii="宋体" w:hAnsi="宋体" w:cs="宋体"/>
          <w:sz w:val="24"/>
        </w:rPr>
        <w:t>单位名称（公章）法定代表人（签字或盖章）</w:t>
      </w:r>
    </w:p>
    <w:p w14:paraId="6E727DB4">
      <w:pPr>
        <w:spacing w:line="360" w:lineRule="auto"/>
        <w:ind w:firstLine="1200" w:firstLineChars="500"/>
        <w:rPr>
          <w:rFonts w:ascii="宋体" w:hAnsi="宋体" w:cs="宋体"/>
          <w:sz w:val="24"/>
        </w:rPr>
      </w:pPr>
      <w:r>
        <w:rPr>
          <w:rFonts w:hint="eastAsia" w:ascii="宋体" w:hAnsi="宋体" w:cs="宋体"/>
          <w:sz w:val="24"/>
        </w:rPr>
        <w:t>年月日年月日</w:t>
      </w:r>
    </w:p>
    <w:p w14:paraId="2841F156">
      <w:pPr>
        <w:spacing w:line="360" w:lineRule="auto"/>
        <w:rPr>
          <w:rFonts w:ascii="宋体" w:hAnsi="宋体" w:cs="宋体"/>
          <w:sz w:val="24"/>
        </w:rPr>
      </w:pPr>
    </w:p>
    <w:p w14:paraId="662B0231">
      <w:pPr>
        <w:spacing w:line="360" w:lineRule="auto"/>
        <w:rPr>
          <w:rFonts w:ascii="宋体" w:hAnsi="宋体" w:cs="宋体"/>
          <w:sz w:val="24"/>
        </w:rPr>
      </w:pPr>
    </w:p>
    <w:p w14:paraId="7368F65C">
      <w:pPr>
        <w:spacing w:line="360" w:lineRule="auto"/>
        <w:rPr>
          <w:rFonts w:ascii="宋体" w:hAnsi="宋体" w:cs="宋体"/>
          <w:sz w:val="24"/>
        </w:rPr>
      </w:pPr>
      <w:r>
        <w:rPr>
          <w:rFonts w:hint="eastAsia" w:ascii="宋体" w:hAnsi="宋体" w:cs="宋体"/>
          <w:sz w:val="24"/>
        </w:rPr>
        <w:t>法定代表人身份证复印件</w:t>
      </w:r>
    </w:p>
    <w:p w14:paraId="0C942207">
      <w:pPr>
        <w:spacing w:line="360" w:lineRule="auto"/>
        <w:rPr>
          <w:rFonts w:ascii="宋体" w:hAnsi="宋体" w:cs="宋体"/>
          <w:sz w:val="24"/>
        </w:rPr>
      </w:pPr>
    </w:p>
    <w:p w14:paraId="4378249D">
      <w:pPr>
        <w:spacing w:line="360" w:lineRule="auto"/>
        <w:ind w:firstLine="2280" w:firstLineChars="950"/>
        <w:rPr>
          <w:rFonts w:ascii="宋体" w:hAnsi="宋体" w:cs="宋体"/>
          <w:sz w:val="24"/>
        </w:rPr>
      </w:pPr>
      <w:r>
        <w:rPr>
          <w:rFonts w:hint="eastAsia" w:ascii="宋体" w:hAnsi="宋体" w:cs="宋体"/>
          <w:sz w:val="24"/>
        </w:rPr>
        <w:t>（粘贴此处）</w:t>
      </w:r>
    </w:p>
    <w:p w14:paraId="67B3087A">
      <w:pPr>
        <w:pStyle w:val="127"/>
        <w:spacing w:line="600" w:lineRule="exact"/>
        <w:rPr>
          <w:rFonts w:ascii="宋体" w:hAnsi="宋体"/>
          <w:b/>
          <w:sz w:val="24"/>
        </w:rPr>
      </w:pPr>
    </w:p>
    <w:p w14:paraId="4EBF3727">
      <w:pPr>
        <w:spacing w:line="480" w:lineRule="exact"/>
        <w:ind w:firstLine="480" w:firstLineChars="200"/>
        <w:rPr>
          <w:rFonts w:ascii="宋体" w:hAnsi="宋体"/>
          <w:sz w:val="24"/>
        </w:rPr>
      </w:pPr>
    </w:p>
    <w:p w14:paraId="23560FFE">
      <w:pPr>
        <w:rPr>
          <w:rFonts w:ascii="宋体" w:hAnsi="宋体"/>
        </w:rPr>
      </w:pPr>
    </w:p>
    <w:p w14:paraId="1AAE9012">
      <w:pPr>
        <w:snapToGrid w:val="0"/>
        <w:spacing w:line="400" w:lineRule="exact"/>
        <w:ind w:firstLine="537" w:firstLineChars="192"/>
        <w:contextualSpacing/>
        <w:rPr>
          <w:rFonts w:ascii="宋体" w:hAnsi="宋体" w:cs="宋体"/>
          <w:b/>
          <w:kern w:val="0"/>
          <w:sz w:val="28"/>
          <w:szCs w:val="28"/>
        </w:rPr>
      </w:pPr>
    </w:p>
    <w:p w14:paraId="2890F0FF">
      <w:pPr>
        <w:snapToGrid w:val="0"/>
        <w:spacing w:line="400" w:lineRule="exact"/>
        <w:ind w:firstLine="537" w:firstLineChars="192"/>
        <w:contextualSpacing/>
        <w:rPr>
          <w:rFonts w:ascii="宋体" w:hAnsi="宋体" w:cs="宋体"/>
          <w:b/>
          <w:kern w:val="0"/>
          <w:sz w:val="28"/>
          <w:szCs w:val="28"/>
          <w:lang w:val="zh-CN"/>
        </w:rPr>
      </w:pPr>
    </w:p>
    <w:p w14:paraId="727998A4">
      <w:pPr>
        <w:snapToGrid w:val="0"/>
        <w:spacing w:line="400" w:lineRule="exact"/>
        <w:ind w:firstLine="537" w:firstLineChars="192"/>
        <w:contextualSpacing/>
        <w:rPr>
          <w:rFonts w:ascii="宋体" w:hAnsi="宋体" w:cs="宋体"/>
          <w:b/>
          <w:kern w:val="0"/>
          <w:sz w:val="28"/>
          <w:szCs w:val="28"/>
          <w:lang w:val="zh-CN"/>
        </w:rPr>
      </w:pPr>
    </w:p>
    <w:p w14:paraId="2EEA26FF">
      <w:pPr>
        <w:snapToGrid w:val="0"/>
        <w:spacing w:line="400" w:lineRule="exact"/>
        <w:ind w:firstLine="537" w:firstLineChars="192"/>
        <w:contextualSpacing/>
        <w:rPr>
          <w:rFonts w:ascii="宋体" w:hAnsi="宋体" w:cs="宋体"/>
          <w:b/>
          <w:kern w:val="0"/>
          <w:sz w:val="28"/>
          <w:szCs w:val="28"/>
          <w:lang w:val="zh-CN"/>
        </w:rPr>
      </w:pPr>
    </w:p>
    <w:p w14:paraId="58D410BF">
      <w:pPr>
        <w:snapToGrid w:val="0"/>
        <w:spacing w:line="400" w:lineRule="exact"/>
        <w:ind w:firstLine="537" w:firstLineChars="192"/>
        <w:contextualSpacing/>
        <w:rPr>
          <w:rFonts w:ascii="宋体" w:hAnsi="宋体" w:cs="宋体"/>
          <w:b/>
          <w:kern w:val="0"/>
          <w:sz w:val="28"/>
          <w:szCs w:val="28"/>
          <w:lang w:val="zh-CN"/>
        </w:rPr>
      </w:pPr>
    </w:p>
    <w:p w14:paraId="42BB6E82">
      <w:pPr>
        <w:snapToGrid w:val="0"/>
        <w:spacing w:line="400" w:lineRule="exact"/>
        <w:ind w:firstLine="537" w:firstLineChars="192"/>
        <w:contextualSpacing/>
        <w:rPr>
          <w:rFonts w:ascii="宋体" w:hAnsi="宋体" w:cs="宋体"/>
          <w:b/>
          <w:kern w:val="0"/>
          <w:sz w:val="28"/>
          <w:szCs w:val="28"/>
          <w:lang w:val="zh-CN"/>
        </w:rPr>
      </w:pPr>
    </w:p>
    <w:p w14:paraId="0482CA95">
      <w:pPr>
        <w:snapToGrid w:val="0"/>
        <w:spacing w:line="400" w:lineRule="exact"/>
        <w:contextualSpacing/>
        <w:rPr>
          <w:rFonts w:ascii="宋体" w:hAnsi="宋体" w:cs="宋体"/>
          <w:b/>
          <w:kern w:val="0"/>
          <w:sz w:val="28"/>
          <w:szCs w:val="28"/>
          <w:lang w:val="zh-CN"/>
        </w:rPr>
      </w:pPr>
    </w:p>
    <w:p w14:paraId="0A04F18C">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5895C53D">
      <w:pPr>
        <w:jc w:val="center"/>
        <w:rPr>
          <w:rFonts w:ascii="宋体" w:hAnsi="宋体" w:cs="宋体"/>
          <w:sz w:val="32"/>
          <w:szCs w:val="32"/>
        </w:rPr>
      </w:pPr>
      <w:r>
        <w:rPr>
          <w:rFonts w:hint="eastAsia" w:ascii="宋体" w:hAnsi="宋体" w:cs="宋体"/>
          <w:sz w:val="32"/>
          <w:szCs w:val="32"/>
        </w:rPr>
        <w:t>法定代表人授权委托书</w:t>
      </w:r>
    </w:p>
    <w:p w14:paraId="36C1D17E">
      <w:pPr>
        <w:jc w:val="center"/>
        <w:rPr>
          <w:rFonts w:ascii="宋体" w:hAnsi="宋体" w:cs="宋体"/>
          <w:sz w:val="32"/>
          <w:szCs w:val="32"/>
        </w:rPr>
      </w:pPr>
      <w:r>
        <w:rPr>
          <w:rFonts w:hint="eastAsia" w:ascii="宋体" w:hAnsi="宋体" w:cs="宋体"/>
          <w:sz w:val="28"/>
          <w:szCs w:val="28"/>
        </w:rPr>
        <w:t>（如法人参加投标，无需提供）</w:t>
      </w:r>
    </w:p>
    <w:p w14:paraId="0FC4ABA4">
      <w:pPr>
        <w:snapToGrid w:val="0"/>
        <w:spacing w:line="360" w:lineRule="auto"/>
        <w:rPr>
          <w:rFonts w:ascii="宋体" w:hAnsi="宋体" w:cs="宋体"/>
          <w:sz w:val="24"/>
        </w:rPr>
      </w:pPr>
      <w:r>
        <w:rPr>
          <w:rFonts w:hint="eastAsia" w:ascii="宋体" w:hAnsi="宋体" w:cs="宋体"/>
          <w:sz w:val="24"/>
        </w:rPr>
        <w:t>江苏商贸职业学院：</w:t>
      </w:r>
    </w:p>
    <w:p w14:paraId="300B8639">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w:t>
      </w:r>
      <w:r>
        <w:rPr>
          <w:rFonts w:hint="eastAsia" w:ascii="宋体" w:hAnsi="宋体" w:cs="宋体"/>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129F6A2A">
      <w:pPr>
        <w:pStyle w:val="9"/>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33A37B6B">
      <w:pPr>
        <w:pStyle w:val="9"/>
        <w:adjustRightInd w:val="0"/>
        <w:snapToGrid w:val="0"/>
        <w:spacing w:line="360" w:lineRule="auto"/>
        <w:ind w:firstLine="480" w:firstLineChars="200"/>
        <w:jc w:val="left"/>
        <w:rPr>
          <w:rFonts w:hAnsi="宋体" w:cs="宋体"/>
          <w:sz w:val="24"/>
          <w:szCs w:val="24"/>
        </w:rPr>
      </w:pPr>
    </w:p>
    <w:p w14:paraId="3C6AD511">
      <w:pPr>
        <w:spacing w:line="360" w:lineRule="auto"/>
        <w:rPr>
          <w:rFonts w:ascii="宋体" w:hAnsi="宋体" w:cs="宋体"/>
          <w:sz w:val="24"/>
        </w:rPr>
      </w:pPr>
      <w:r>
        <w:rPr>
          <w:rFonts w:hint="eastAsia" w:ascii="宋体" w:hAnsi="宋体" w:cs="宋体"/>
          <w:sz w:val="24"/>
        </w:rPr>
        <w:t>附：被授权人情况：</w:t>
      </w:r>
    </w:p>
    <w:p w14:paraId="1EB91E88">
      <w:pPr>
        <w:spacing w:line="360" w:lineRule="auto"/>
        <w:rPr>
          <w:rFonts w:ascii="宋体" w:hAnsi="宋体" w:cs="宋体"/>
          <w:sz w:val="24"/>
          <w:u w:val="single"/>
        </w:rPr>
      </w:pPr>
      <w:r>
        <w:rPr>
          <w:rFonts w:hint="eastAsia" w:ascii="宋体" w:hAnsi="宋体" w:cs="宋体"/>
          <w:sz w:val="24"/>
        </w:rPr>
        <w:t>姓名：性别：年龄：职务：</w:t>
      </w:r>
    </w:p>
    <w:p w14:paraId="40DFA35D">
      <w:pPr>
        <w:spacing w:line="360" w:lineRule="auto"/>
        <w:rPr>
          <w:rFonts w:ascii="宋体" w:hAnsi="宋体" w:cs="宋体"/>
          <w:sz w:val="24"/>
        </w:rPr>
      </w:pPr>
      <w:r>
        <w:rPr>
          <w:rFonts w:hint="eastAsia" w:ascii="宋体" w:hAnsi="宋体" w:cs="宋体"/>
          <w:sz w:val="24"/>
        </w:rPr>
        <w:t>身份证号码：</w:t>
      </w:r>
    </w:p>
    <w:p w14:paraId="142A45E1">
      <w:pPr>
        <w:spacing w:line="360" w:lineRule="auto"/>
        <w:rPr>
          <w:rFonts w:ascii="宋体" w:hAnsi="宋体" w:cs="宋体"/>
          <w:sz w:val="24"/>
        </w:rPr>
      </w:pPr>
      <w:r>
        <w:rPr>
          <w:rFonts w:hint="eastAsia" w:ascii="宋体" w:hAnsi="宋体" w:cs="宋体"/>
          <w:sz w:val="24"/>
        </w:rPr>
        <w:t>手机：传真：</w:t>
      </w:r>
    </w:p>
    <w:p w14:paraId="5DB069BE">
      <w:pPr>
        <w:spacing w:line="360" w:lineRule="auto"/>
        <w:rPr>
          <w:rFonts w:ascii="宋体" w:hAnsi="宋体" w:cs="宋体"/>
          <w:sz w:val="24"/>
        </w:rPr>
      </w:pPr>
      <w:r>
        <w:rPr>
          <w:rFonts w:hint="eastAsia" w:ascii="宋体" w:hAnsi="宋体" w:cs="宋体"/>
          <w:sz w:val="24"/>
        </w:rPr>
        <w:t>单位名称（公章）法定代表人（签字或盖章）</w:t>
      </w:r>
    </w:p>
    <w:p w14:paraId="3633F9E9">
      <w:pPr>
        <w:spacing w:line="360" w:lineRule="auto"/>
        <w:ind w:firstLine="1200" w:firstLineChars="500"/>
        <w:rPr>
          <w:rFonts w:ascii="宋体" w:hAnsi="宋体" w:cs="宋体"/>
          <w:sz w:val="24"/>
        </w:rPr>
      </w:pPr>
      <w:r>
        <w:rPr>
          <w:rFonts w:hint="eastAsia" w:ascii="宋体" w:hAnsi="宋体" w:cs="宋体"/>
          <w:sz w:val="24"/>
        </w:rPr>
        <w:t>年月日年月日</w:t>
      </w:r>
    </w:p>
    <w:p w14:paraId="486898E3">
      <w:pPr>
        <w:spacing w:line="360" w:lineRule="auto"/>
        <w:rPr>
          <w:rFonts w:ascii="宋体" w:hAnsi="宋体" w:cs="宋体"/>
          <w:sz w:val="24"/>
        </w:rPr>
      </w:pPr>
    </w:p>
    <w:p w14:paraId="0FCBC704">
      <w:pPr>
        <w:spacing w:line="360" w:lineRule="auto"/>
        <w:rPr>
          <w:rFonts w:ascii="宋体" w:hAnsi="宋体" w:cs="宋体"/>
          <w:sz w:val="24"/>
        </w:rPr>
      </w:pPr>
    </w:p>
    <w:p w14:paraId="2BE9FC4B">
      <w:pPr>
        <w:spacing w:line="360" w:lineRule="auto"/>
        <w:rPr>
          <w:rFonts w:ascii="宋体" w:hAnsi="宋体" w:cs="宋体"/>
          <w:sz w:val="24"/>
        </w:rPr>
      </w:pPr>
      <w:r>
        <w:rPr>
          <w:rFonts w:hint="eastAsia" w:ascii="宋体" w:hAnsi="宋体" w:cs="宋体"/>
          <w:sz w:val="24"/>
        </w:rPr>
        <w:t>法定代表人身份证复印件</w:t>
      </w:r>
    </w:p>
    <w:p w14:paraId="229F5B1A">
      <w:pPr>
        <w:spacing w:line="360" w:lineRule="auto"/>
        <w:rPr>
          <w:rFonts w:ascii="宋体" w:hAnsi="宋体" w:cs="宋体"/>
          <w:sz w:val="24"/>
        </w:rPr>
      </w:pPr>
    </w:p>
    <w:p w14:paraId="611ECC53">
      <w:pPr>
        <w:spacing w:line="360" w:lineRule="auto"/>
        <w:rPr>
          <w:rFonts w:ascii="宋体" w:hAnsi="宋体" w:cs="宋体"/>
          <w:sz w:val="24"/>
        </w:rPr>
      </w:pPr>
    </w:p>
    <w:p w14:paraId="788DD9B7">
      <w:pPr>
        <w:spacing w:line="360" w:lineRule="auto"/>
        <w:rPr>
          <w:rFonts w:ascii="宋体" w:hAnsi="宋体" w:cs="宋体"/>
          <w:sz w:val="24"/>
        </w:rPr>
      </w:pPr>
    </w:p>
    <w:p w14:paraId="624B4494">
      <w:pPr>
        <w:spacing w:line="360" w:lineRule="auto"/>
        <w:rPr>
          <w:rFonts w:ascii="宋体" w:hAnsi="宋体" w:cs="宋体"/>
          <w:sz w:val="24"/>
        </w:rPr>
      </w:pPr>
    </w:p>
    <w:p w14:paraId="416FD05A">
      <w:pPr>
        <w:spacing w:line="360" w:lineRule="auto"/>
        <w:rPr>
          <w:rFonts w:ascii="宋体" w:hAnsi="宋体" w:cs="宋体"/>
          <w:sz w:val="24"/>
        </w:rPr>
      </w:pPr>
      <w:r>
        <w:rPr>
          <w:rFonts w:hint="eastAsia" w:ascii="宋体" w:hAnsi="宋体" w:cs="宋体"/>
          <w:sz w:val="24"/>
        </w:rPr>
        <w:t>被授权人身份证复印件</w:t>
      </w:r>
    </w:p>
    <w:p w14:paraId="0C8033E7">
      <w:pPr>
        <w:spacing w:line="360" w:lineRule="auto"/>
        <w:rPr>
          <w:rFonts w:ascii="宋体" w:hAnsi="宋体" w:cs="宋体"/>
          <w:sz w:val="24"/>
        </w:rPr>
      </w:pPr>
    </w:p>
    <w:p w14:paraId="051D5292">
      <w:pPr>
        <w:spacing w:line="360" w:lineRule="auto"/>
        <w:rPr>
          <w:rFonts w:ascii="宋体" w:hAnsi="宋体" w:cs="宋体"/>
          <w:sz w:val="24"/>
        </w:rPr>
      </w:pPr>
    </w:p>
    <w:p w14:paraId="4615B3D3">
      <w:pPr>
        <w:spacing w:line="360" w:lineRule="auto"/>
        <w:ind w:firstLine="2280" w:firstLineChars="950"/>
        <w:rPr>
          <w:rFonts w:ascii="宋体" w:hAnsi="宋体" w:cs="宋体"/>
          <w:sz w:val="24"/>
        </w:rPr>
      </w:pPr>
      <w:r>
        <w:rPr>
          <w:rFonts w:hint="eastAsia" w:ascii="宋体" w:hAnsi="宋体" w:cs="宋体"/>
          <w:sz w:val="24"/>
        </w:rPr>
        <w:t>（粘贴此处）</w:t>
      </w:r>
    </w:p>
    <w:p w14:paraId="5CEAB94C">
      <w:pPr>
        <w:snapToGrid w:val="0"/>
        <w:spacing w:line="400" w:lineRule="exact"/>
        <w:ind w:firstLine="460" w:firstLineChars="192"/>
        <w:contextualSpacing/>
        <w:rPr>
          <w:rFonts w:ascii="宋体" w:hAnsi="宋体" w:cs="宋体"/>
          <w:b/>
          <w:kern w:val="0"/>
          <w:sz w:val="24"/>
        </w:rPr>
      </w:pPr>
    </w:p>
    <w:p w14:paraId="69575805">
      <w:pPr>
        <w:snapToGrid w:val="0"/>
        <w:spacing w:line="400" w:lineRule="exact"/>
        <w:ind w:firstLine="537" w:firstLineChars="192"/>
        <w:contextualSpacing/>
        <w:rPr>
          <w:rFonts w:ascii="宋体" w:hAnsi="宋体" w:cs="宋体"/>
          <w:b/>
          <w:kern w:val="0"/>
          <w:sz w:val="28"/>
          <w:szCs w:val="28"/>
        </w:rPr>
      </w:pPr>
    </w:p>
    <w:p w14:paraId="71FBC9FE">
      <w:pPr>
        <w:snapToGrid w:val="0"/>
        <w:spacing w:line="400" w:lineRule="exact"/>
        <w:ind w:firstLine="537" w:firstLineChars="192"/>
        <w:contextualSpacing/>
        <w:rPr>
          <w:rFonts w:ascii="宋体" w:hAnsi="宋体" w:cs="宋体"/>
          <w:b/>
          <w:kern w:val="0"/>
          <w:sz w:val="28"/>
          <w:szCs w:val="28"/>
        </w:rPr>
      </w:pPr>
    </w:p>
    <w:p w14:paraId="0334CA99">
      <w:pPr>
        <w:snapToGrid w:val="0"/>
        <w:spacing w:line="400" w:lineRule="exact"/>
        <w:ind w:firstLine="537" w:firstLineChars="192"/>
        <w:contextualSpacing/>
        <w:rPr>
          <w:rFonts w:ascii="宋体" w:hAnsi="宋体" w:cs="宋体"/>
          <w:b/>
          <w:kern w:val="0"/>
          <w:sz w:val="28"/>
          <w:szCs w:val="28"/>
        </w:rPr>
      </w:pPr>
    </w:p>
    <w:p w14:paraId="78998DBF">
      <w:pPr>
        <w:snapToGrid w:val="0"/>
        <w:spacing w:line="400" w:lineRule="exact"/>
        <w:ind w:firstLine="537" w:firstLineChars="192"/>
        <w:contextualSpacing/>
        <w:rPr>
          <w:rFonts w:ascii="宋体" w:hAnsi="宋体" w:cs="宋体"/>
          <w:b/>
          <w:kern w:val="0"/>
          <w:sz w:val="28"/>
          <w:szCs w:val="28"/>
        </w:rPr>
      </w:pPr>
    </w:p>
    <w:p w14:paraId="5E5F6E2D">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55A5DEE7">
      <w:pPr>
        <w:snapToGrid w:val="0"/>
        <w:spacing w:line="460" w:lineRule="exact"/>
        <w:jc w:val="center"/>
        <w:outlineLvl w:val="1"/>
        <w:rPr>
          <w:rFonts w:ascii="宋体" w:hAnsi="宋体" w:cs="仿宋"/>
          <w:b/>
          <w:sz w:val="28"/>
          <w:szCs w:val="28"/>
        </w:rPr>
      </w:pPr>
      <w:r>
        <w:rPr>
          <w:rFonts w:hint="eastAsia" w:ascii="宋体" w:hAnsi="宋体" w:cs="仿宋"/>
          <w:b/>
          <w:bCs/>
          <w:sz w:val="28"/>
          <w:szCs w:val="28"/>
        </w:rPr>
        <w:t>具备履行合同所必需的设备和专业技术能力的书面声明</w:t>
      </w:r>
    </w:p>
    <w:p w14:paraId="042E3724">
      <w:pPr>
        <w:snapToGrid w:val="0"/>
        <w:spacing w:line="460" w:lineRule="exact"/>
        <w:ind w:firstLine="560" w:firstLineChars="200"/>
        <w:rPr>
          <w:rFonts w:ascii="宋体" w:hAnsi="宋体" w:cs="仿宋"/>
          <w:sz w:val="28"/>
          <w:szCs w:val="28"/>
        </w:rPr>
      </w:pPr>
    </w:p>
    <w:p w14:paraId="7A50DFEC">
      <w:pPr>
        <w:snapToGrid w:val="0"/>
        <w:spacing w:line="460" w:lineRule="exact"/>
        <w:rPr>
          <w:rFonts w:ascii="宋体" w:hAnsi="宋体" w:cs="仿宋"/>
          <w:sz w:val="28"/>
          <w:szCs w:val="28"/>
        </w:rPr>
      </w:pPr>
      <w:r>
        <w:rPr>
          <w:rFonts w:hint="eastAsia" w:ascii="宋体" w:hAnsi="宋体" w:cs="仿宋"/>
          <w:sz w:val="28"/>
          <w:szCs w:val="28"/>
        </w:rPr>
        <w:t>江苏商贸职业学院：</w:t>
      </w:r>
    </w:p>
    <w:p w14:paraId="60F32513">
      <w:pPr>
        <w:snapToGrid w:val="0"/>
        <w:spacing w:line="460" w:lineRule="exact"/>
        <w:ind w:firstLine="560" w:firstLineChars="200"/>
        <w:rPr>
          <w:rFonts w:ascii="宋体" w:hAnsi="宋体" w:cs="仿宋"/>
          <w:sz w:val="28"/>
          <w:szCs w:val="28"/>
        </w:rPr>
      </w:pPr>
      <w:r>
        <w:rPr>
          <w:rFonts w:hint="eastAsia" w:ascii="宋体" w:hAnsi="宋体" w:cs="仿宋"/>
          <w:sz w:val="28"/>
          <w:szCs w:val="28"/>
        </w:rPr>
        <w:t>我单位</w:t>
      </w:r>
      <w:r>
        <w:rPr>
          <w:rFonts w:hint="eastAsia" w:ascii="宋体" w:hAnsi="宋体" w:cs="仿宋"/>
          <w:sz w:val="28"/>
          <w:szCs w:val="28"/>
          <w:u w:val="single"/>
        </w:rPr>
        <w:t xml:space="preserve"> （投标单位名称） </w:t>
      </w:r>
      <w:r>
        <w:rPr>
          <w:rFonts w:hint="eastAsia" w:ascii="宋体" w:hAnsi="宋体" w:cs="仿宋"/>
          <w:sz w:val="28"/>
          <w:szCs w:val="28"/>
        </w:rPr>
        <w:t>郑重承诺：</w:t>
      </w:r>
    </w:p>
    <w:p w14:paraId="42A3D4A7">
      <w:pPr>
        <w:snapToGrid w:val="0"/>
        <w:spacing w:line="460" w:lineRule="exact"/>
        <w:ind w:firstLine="560" w:firstLineChars="200"/>
        <w:rPr>
          <w:rFonts w:ascii="宋体" w:hAnsi="宋体" w:cs="仿宋"/>
          <w:sz w:val="28"/>
          <w:szCs w:val="28"/>
        </w:rPr>
      </w:pPr>
      <w:r>
        <w:rPr>
          <w:rFonts w:hint="eastAsia" w:ascii="宋体" w:hAnsi="宋体" w:cs="仿宋"/>
          <w:sz w:val="28"/>
          <w:szCs w:val="28"/>
        </w:rPr>
        <w:t>贵方组织的</w:t>
      </w:r>
      <w:r>
        <w:rPr>
          <w:rFonts w:hint="eastAsia" w:ascii="宋体" w:hAnsi="宋体" w:cs="仿宋"/>
          <w:sz w:val="28"/>
          <w:szCs w:val="28"/>
          <w:u w:val="single"/>
        </w:rPr>
        <w:t xml:space="preserve"> (项目名称） </w:t>
      </w:r>
      <w:r>
        <w:rPr>
          <w:rFonts w:hint="eastAsia" w:ascii="宋体" w:hAnsi="宋体" w:cs="仿宋"/>
          <w:sz w:val="28"/>
          <w:szCs w:val="28"/>
        </w:rPr>
        <w:t>，我单位</w:t>
      </w:r>
      <w:r>
        <w:rPr>
          <w:rFonts w:hint="eastAsia" w:ascii="宋体" w:hAnsi="宋体" w:cs="仿宋"/>
          <w:sz w:val="28"/>
          <w:szCs w:val="28"/>
          <w:u w:val="single"/>
        </w:rPr>
        <w:t xml:space="preserve"> (在下划线上如实填写：有或没有） </w:t>
      </w:r>
      <w:r>
        <w:rPr>
          <w:rFonts w:hint="eastAsia" w:ascii="宋体" w:hAnsi="宋体" w:cs="仿宋"/>
          <w:sz w:val="28"/>
          <w:szCs w:val="28"/>
        </w:rPr>
        <w:t>履行合同所必需的</w:t>
      </w:r>
      <w:r>
        <w:rPr>
          <w:rFonts w:hint="eastAsia" w:ascii="宋体" w:hAnsi="宋体" w:cs="仿宋"/>
          <w:bCs/>
          <w:sz w:val="28"/>
          <w:szCs w:val="28"/>
        </w:rPr>
        <w:t>设备和</w:t>
      </w:r>
      <w:r>
        <w:rPr>
          <w:rFonts w:hint="eastAsia" w:ascii="宋体" w:hAnsi="宋体" w:cs="仿宋"/>
          <w:sz w:val="28"/>
          <w:szCs w:val="28"/>
        </w:rPr>
        <w:t>专业技术能力。</w:t>
      </w:r>
    </w:p>
    <w:p w14:paraId="6759A82D">
      <w:pPr>
        <w:spacing w:line="460" w:lineRule="exact"/>
        <w:rPr>
          <w:rFonts w:ascii="宋体" w:hAnsi="宋体" w:cs="仿宋"/>
          <w:b/>
          <w:bCs/>
          <w:sz w:val="32"/>
          <w:szCs w:val="32"/>
        </w:rPr>
      </w:pPr>
    </w:p>
    <w:p w14:paraId="3CC2BC1B">
      <w:pPr>
        <w:spacing w:line="460" w:lineRule="exact"/>
        <w:rPr>
          <w:rFonts w:ascii="宋体" w:hAnsi="宋体" w:cs="仿宋"/>
          <w:b/>
          <w:bCs/>
          <w:sz w:val="32"/>
          <w:szCs w:val="32"/>
        </w:rPr>
      </w:pPr>
    </w:p>
    <w:p w14:paraId="7209387A">
      <w:pPr>
        <w:spacing w:line="460" w:lineRule="exact"/>
        <w:rPr>
          <w:rFonts w:ascii="宋体" w:hAnsi="宋体" w:cs="仿宋"/>
          <w:b/>
          <w:bCs/>
          <w:sz w:val="32"/>
          <w:szCs w:val="32"/>
        </w:rPr>
      </w:pPr>
    </w:p>
    <w:p w14:paraId="5CEB2FCB">
      <w:pPr>
        <w:spacing w:line="460" w:lineRule="exact"/>
        <w:rPr>
          <w:rFonts w:ascii="宋体" w:hAnsi="宋体" w:cs="仿宋"/>
          <w:b/>
          <w:bCs/>
          <w:sz w:val="32"/>
          <w:szCs w:val="32"/>
        </w:rPr>
      </w:pPr>
    </w:p>
    <w:p w14:paraId="473D8502">
      <w:pPr>
        <w:spacing w:line="460" w:lineRule="exact"/>
        <w:ind w:firstLine="560" w:firstLineChars="200"/>
        <w:jc w:val="right"/>
        <w:rPr>
          <w:rFonts w:ascii="宋体" w:hAnsi="宋体" w:cs="仿宋"/>
          <w:sz w:val="28"/>
          <w:szCs w:val="28"/>
        </w:rPr>
      </w:pPr>
      <w:r>
        <w:rPr>
          <w:rFonts w:hint="eastAsia" w:ascii="宋体" w:hAnsi="宋体" w:cs="仿宋"/>
          <w:sz w:val="28"/>
          <w:szCs w:val="28"/>
        </w:rPr>
        <w:t>投标人：（加盖公章）</w:t>
      </w:r>
    </w:p>
    <w:p w14:paraId="6B4FED66">
      <w:pPr>
        <w:spacing w:line="460" w:lineRule="exact"/>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0E8D5A51">
      <w:pPr>
        <w:spacing w:line="360" w:lineRule="auto"/>
        <w:jc w:val="right"/>
        <w:outlineLvl w:val="2"/>
        <w:rPr>
          <w:rFonts w:ascii="宋体" w:hAnsi="宋体" w:cs="仿宋"/>
          <w:sz w:val="28"/>
          <w:szCs w:val="28"/>
        </w:rPr>
      </w:pPr>
      <w:r>
        <w:rPr>
          <w:rFonts w:hint="eastAsia" w:ascii="宋体" w:hAnsi="宋体" w:cs="仿宋"/>
          <w:sz w:val="28"/>
          <w:szCs w:val="28"/>
        </w:rPr>
        <w:t>年      月     日</w:t>
      </w:r>
    </w:p>
    <w:p w14:paraId="34DE9EC4">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3641EA41">
      <w:pPr>
        <w:snapToGrid w:val="0"/>
        <w:spacing w:line="360" w:lineRule="auto"/>
        <w:jc w:val="center"/>
        <w:outlineLvl w:val="4"/>
        <w:rPr>
          <w:rFonts w:ascii="宋体" w:hAnsi="宋体" w:cs="仿宋"/>
          <w:b/>
          <w:bCs/>
          <w:sz w:val="28"/>
          <w:szCs w:val="28"/>
        </w:rPr>
      </w:pPr>
      <w:r>
        <w:rPr>
          <w:rFonts w:hint="eastAsia" w:ascii="宋体" w:hAnsi="宋体" w:cs="仿宋"/>
          <w:b/>
          <w:bCs/>
          <w:sz w:val="28"/>
          <w:szCs w:val="28"/>
        </w:rPr>
        <w:t>无重大违法记录声明</w:t>
      </w:r>
    </w:p>
    <w:p w14:paraId="76EFCE3E">
      <w:pPr>
        <w:spacing w:line="360" w:lineRule="auto"/>
        <w:rPr>
          <w:rFonts w:ascii="宋体" w:hAnsi="宋体" w:cs="仿宋"/>
          <w:sz w:val="28"/>
          <w:szCs w:val="28"/>
        </w:rPr>
      </w:pPr>
      <w:r>
        <w:rPr>
          <w:rFonts w:hint="eastAsia" w:ascii="宋体" w:hAnsi="宋体" w:cs="仿宋"/>
          <w:sz w:val="28"/>
          <w:szCs w:val="28"/>
        </w:rPr>
        <w:t>江苏商贸职业学院：</w:t>
      </w:r>
    </w:p>
    <w:p w14:paraId="19C13BE4">
      <w:pPr>
        <w:spacing w:line="360" w:lineRule="auto"/>
        <w:rPr>
          <w:rFonts w:ascii="宋体" w:hAnsi="宋体" w:cs="仿宋"/>
          <w:sz w:val="28"/>
          <w:szCs w:val="28"/>
        </w:rPr>
      </w:pPr>
      <w:r>
        <w:rPr>
          <w:rFonts w:hint="eastAsia" w:ascii="宋体" w:hAnsi="宋体" w:cs="仿宋"/>
          <w:sz w:val="28"/>
          <w:szCs w:val="28"/>
        </w:rPr>
        <w:t xml:space="preserve">    我单位（投标人名称）郑重声明：</w:t>
      </w:r>
    </w:p>
    <w:p w14:paraId="1C68FE50">
      <w:pPr>
        <w:spacing w:line="360" w:lineRule="auto"/>
        <w:rPr>
          <w:rFonts w:ascii="宋体" w:hAnsi="宋体" w:cs="仿宋"/>
          <w:sz w:val="28"/>
          <w:szCs w:val="28"/>
        </w:rPr>
      </w:pPr>
      <w:r>
        <w:rPr>
          <w:rFonts w:hint="eastAsia" w:ascii="宋体" w:hAnsi="宋体" w:cs="仿宋"/>
          <w:sz w:val="28"/>
          <w:szCs w:val="28"/>
        </w:rPr>
        <w:t xml:space="preserve">    参加政府采购活动前3年内在经营活动中（在下划线上如实填写：有或没有）重大违法记录。</w:t>
      </w:r>
    </w:p>
    <w:p w14:paraId="2EC76ED8">
      <w:pPr>
        <w:spacing w:line="360" w:lineRule="auto"/>
        <w:ind w:firstLine="480"/>
        <w:rPr>
          <w:rFonts w:ascii="宋体" w:hAnsi="宋体" w:cs="仿宋"/>
          <w:sz w:val="28"/>
          <w:szCs w:val="28"/>
        </w:rPr>
      </w:pPr>
      <w:r>
        <w:rPr>
          <w:rFonts w:hint="eastAsia" w:ascii="宋体" w:hAnsi="宋体" w:cs="仿宋"/>
          <w:sz w:val="28"/>
          <w:szCs w:val="28"/>
        </w:rPr>
        <w:t>在投标截止时间节点，没有被“信用中国”（www.creditchina.gov.cn）、“中国政府采购网”（www.ccgp.gov.cn）网站列入失信被执行人、重大税收违法案件当事人名单、政府采购严重违法失信行为记录名单。</w:t>
      </w:r>
    </w:p>
    <w:p w14:paraId="71E54F58">
      <w:pPr>
        <w:spacing w:line="360" w:lineRule="auto"/>
        <w:ind w:firstLine="480"/>
        <w:rPr>
          <w:rFonts w:ascii="宋体" w:hAnsi="宋体" w:cs="仿宋"/>
          <w:sz w:val="28"/>
          <w:szCs w:val="28"/>
        </w:rPr>
      </w:pPr>
    </w:p>
    <w:p w14:paraId="15DD07AE">
      <w:pPr>
        <w:spacing w:line="360" w:lineRule="auto"/>
        <w:ind w:firstLine="480"/>
        <w:rPr>
          <w:rFonts w:ascii="宋体" w:hAnsi="宋体" w:cs="仿宋"/>
          <w:sz w:val="28"/>
          <w:szCs w:val="28"/>
        </w:rPr>
      </w:pPr>
      <w:r>
        <w:rPr>
          <w:rFonts w:hint="eastAsia" w:ascii="宋体" w:hAnsi="宋体" w:cs="仿宋"/>
          <w:sz w:val="28"/>
          <w:szCs w:val="28"/>
        </w:rPr>
        <w:t>（说明：政府采购法第二十二条第一款第五项所称重大违法记录，是指供应商因违法经营受到刑事处罚或者责令停产停业、吊销许可证或者执照、较大数额罚款等行政处罚。）</w:t>
      </w:r>
    </w:p>
    <w:p w14:paraId="6B59D7F0">
      <w:pPr>
        <w:spacing w:line="360" w:lineRule="auto"/>
        <w:ind w:firstLine="560" w:firstLineChars="200"/>
        <w:jc w:val="right"/>
        <w:rPr>
          <w:rFonts w:ascii="宋体" w:hAnsi="宋体" w:cs="仿宋"/>
          <w:sz w:val="28"/>
          <w:szCs w:val="28"/>
        </w:rPr>
      </w:pPr>
      <w:r>
        <w:rPr>
          <w:rFonts w:hint="eastAsia" w:ascii="宋体" w:hAnsi="宋体" w:cs="仿宋"/>
          <w:sz w:val="28"/>
          <w:szCs w:val="28"/>
        </w:rPr>
        <w:t xml:space="preserve">                                  投标人：（加盖公章）</w:t>
      </w:r>
    </w:p>
    <w:p w14:paraId="241A17A0">
      <w:pPr>
        <w:spacing w:line="360" w:lineRule="auto"/>
        <w:ind w:firstLine="560" w:firstLineChars="200"/>
        <w:jc w:val="right"/>
        <w:rPr>
          <w:rFonts w:ascii="宋体" w:hAnsi="宋体" w:cs="仿宋"/>
          <w:sz w:val="28"/>
          <w:szCs w:val="28"/>
        </w:rPr>
      </w:pPr>
      <w:r>
        <w:rPr>
          <w:rFonts w:hint="eastAsia" w:ascii="宋体" w:hAnsi="宋体" w:cs="仿宋"/>
          <w:sz w:val="28"/>
          <w:szCs w:val="28"/>
        </w:rPr>
        <w:t>法定代表人或被授权人：（签字或盖章）</w:t>
      </w:r>
    </w:p>
    <w:p w14:paraId="4C96F0CB">
      <w:pPr>
        <w:spacing w:line="360" w:lineRule="auto"/>
        <w:ind w:firstLine="1540" w:firstLineChars="550"/>
        <w:jc w:val="right"/>
        <w:rPr>
          <w:rFonts w:ascii="宋体" w:hAnsi="宋体" w:cs="仿宋"/>
          <w:sz w:val="28"/>
          <w:szCs w:val="28"/>
        </w:rPr>
      </w:pPr>
      <w:r>
        <w:rPr>
          <w:rFonts w:hint="eastAsia" w:ascii="宋体" w:hAnsi="宋体" w:cs="仿宋"/>
          <w:sz w:val="28"/>
          <w:szCs w:val="28"/>
        </w:rPr>
        <w:t>年      月     日</w:t>
      </w:r>
    </w:p>
    <w:p w14:paraId="4FD4B075">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55415011">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3952D460">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4695C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9EF1362">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7E96CF8">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A5911C1">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6DB5DD3B">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0CDE2EB">
            <w:pPr>
              <w:spacing w:line="340" w:lineRule="exact"/>
              <w:jc w:val="center"/>
              <w:rPr>
                <w:rFonts w:ascii="宋体" w:hAnsi="宋体"/>
                <w:sz w:val="24"/>
              </w:rPr>
            </w:pPr>
          </w:p>
          <w:p w14:paraId="0D6BB9D5">
            <w:pPr>
              <w:spacing w:line="340" w:lineRule="exact"/>
              <w:jc w:val="center"/>
              <w:rPr>
                <w:rFonts w:ascii="宋体" w:hAnsi="宋体"/>
                <w:sz w:val="24"/>
              </w:rPr>
            </w:pPr>
            <w:r>
              <w:rPr>
                <w:rFonts w:hint="eastAsia" w:ascii="宋体" w:hAnsi="宋体"/>
                <w:sz w:val="24"/>
              </w:rPr>
              <w:t>偏离说明</w:t>
            </w:r>
          </w:p>
        </w:tc>
      </w:tr>
      <w:tr w14:paraId="5FDB2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B623820">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46B655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4F642D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EC37F2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81EAB7B">
            <w:pPr>
              <w:spacing w:line="340" w:lineRule="exact"/>
              <w:jc w:val="left"/>
              <w:rPr>
                <w:rFonts w:ascii="宋体" w:hAnsi="宋体"/>
                <w:sz w:val="24"/>
              </w:rPr>
            </w:pPr>
          </w:p>
        </w:tc>
      </w:tr>
      <w:tr w14:paraId="163D3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AB55EFA">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29D3A53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6A5AB89">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0B321FF">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FD72CB0">
            <w:pPr>
              <w:spacing w:line="340" w:lineRule="exact"/>
              <w:jc w:val="left"/>
              <w:rPr>
                <w:rFonts w:ascii="宋体" w:hAnsi="宋体"/>
                <w:sz w:val="24"/>
              </w:rPr>
            </w:pPr>
          </w:p>
        </w:tc>
      </w:tr>
      <w:tr w14:paraId="6E2D7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FDEBFAA">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0BF157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5ABDBD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6369E8D">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F5AA3F6">
            <w:pPr>
              <w:spacing w:line="340" w:lineRule="exact"/>
              <w:jc w:val="left"/>
              <w:rPr>
                <w:rFonts w:ascii="宋体" w:hAnsi="宋体"/>
                <w:sz w:val="24"/>
              </w:rPr>
            </w:pPr>
          </w:p>
        </w:tc>
      </w:tr>
      <w:tr w14:paraId="163A3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4E82D2E">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F514B3E">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7A278CD">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22F626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5DFE3FC">
            <w:pPr>
              <w:spacing w:line="340" w:lineRule="exact"/>
              <w:jc w:val="left"/>
              <w:rPr>
                <w:rFonts w:ascii="宋体" w:hAnsi="宋体"/>
                <w:sz w:val="24"/>
              </w:rPr>
            </w:pPr>
          </w:p>
        </w:tc>
      </w:tr>
    </w:tbl>
    <w:p w14:paraId="1EE8378C">
      <w:pPr>
        <w:snapToGrid w:val="0"/>
        <w:spacing w:line="300" w:lineRule="auto"/>
        <w:contextualSpacing/>
        <w:rPr>
          <w:rFonts w:ascii="宋体" w:hAnsi="宋体"/>
          <w:b/>
          <w:sz w:val="24"/>
        </w:rPr>
      </w:pPr>
      <w:r>
        <w:rPr>
          <w:rFonts w:hint="eastAsia" w:ascii="宋体" w:hAnsi="宋体"/>
          <w:b/>
          <w:sz w:val="24"/>
        </w:rPr>
        <w:t>注：</w:t>
      </w:r>
    </w:p>
    <w:p w14:paraId="61E7B0A1">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5340FE83">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422A72B5">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709B4D60">
      <w:pPr>
        <w:snapToGrid w:val="0"/>
        <w:spacing w:line="400" w:lineRule="exact"/>
        <w:ind w:firstLine="537" w:firstLineChars="192"/>
        <w:contextualSpacing/>
        <w:rPr>
          <w:rFonts w:ascii="宋体" w:hAnsi="宋体" w:cs="宋体"/>
          <w:b/>
          <w:kern w:val="0"/>
          <w:sz w:val="28"/>
          <w:szCs w:val="28"/>
        </w:rPr>
      </w:pPr>
    </w:p>
    <w:p w14:paraId="04866D12">
      <w:pPr>
        <w:snapToGrid w:val="0"/>
        <w:spacing w:line="400" w:lineRule="exact"/>
        <w:ind w:firstLine="537" w:firstLineChars="192"/>
        <w:contextualSpacing/>
        <w:rPr>
          <w:rFonts w:ascii="宋体" w:hAnsi="宋体" w:cs="宋体"/>
          <w:b/>
          <w:kern w:val="0"/>
          <w:sz w:val="28"/>
          <w:szCs w:val="28"/>
        </w:rPr>
      </w:pPr>
    </w:p>
    <w:p w14:paraId="3BCB731C">
      <w:pPr>
        <w:snapToGrid w:val="0"/>
        <w:spacing w:line="400" w:lineRule="exact"/>
        <w:ind w:firstLine="537" w:firstLineChars="192"/>
        <w:contextualSpacing/>
        <w:rPr>
          <w:rFonts w:ascii="宋体" w:hAnsi="宋体" w:cs="宋体"/>
          <w:b/>
          <w:kern w:val="0"/>
          <w:sz w:val="28"/>
          <w:szCs w:val="28"/>
        </w:rPr>
      </w:pPr>
    </w:p>
    <w:p w14:paraId="0C11734E">
      <w:pPr>
        <w:snapToGrid w:val="0"/>
        <w:spacing w:line="400" w:lineRule="exact"/>
        <w:ind w:firstLine="537" w:firstLineChars="192"/>
        <w:contextualSpacing/>
        <w:rPr>
          <w:rFonts w:ascii="宋体" w:hAnsi="宋体" w:cs="宋体"/>
          <w:b/>
          <w:kern w:val="0"/>
          <w:sz w:val="28"/>
          <w:szCs w:val="28"/>
        </w:rPr>
      </w:pPr>
    </w:p>
    <w:p w14:paraId="1B3C9B2D">
      <w:pPr>
        <w:snapToGrid w:val="0"/>
        <w:spacing w:line="400" w:lineRule="exact"/>
        <w:ind w:firstLine="537" w:firstLineChars="192"/>
        <w:contextualSpacing/>
        <w:rPr>
          <w:rFonts w:ascii="宋体" w:hAnsi="宋体" w:cs="宋体"/>
          <w:b/>
          <w:kern w:val="0"/>
          <w:sz w:val="28"/>
          <w:szCs w:val="28"/>
        </w:rPr>
      </w:pPr>
    </w:p>
    <w:p w14:paraId="3729CA2A">
      <w:pPr>
        <w:snapToGrid w:val="0"/>
        <w:spacing w:line="400" w:lineRule="exact"/>
        <w:ind w:firstLine="537" w:firstLineChars="192"/>
        <w:contextualSpacing/>
        <w:rPr>
          <w:rFonts w:ascii="宋体" w:hAnsi="宋体" w:cs="宋体"/>
          <w:b/>
          <w:kern w:val="0"/>
          <w:sz w:val="28"/>
          <w:szCs w:val="28"/>
        </w:rPr>
      </w:pPr>
    </w:p>
    <w:p w14:paraId="1FFD2253">
      <w:pPr>
        <w:snapToGrid w:val="0"/>
        <w:spacing w:line="400" w:lineRule="exact"/>
        <w:ind w:firstLine="537" w:firstLineChars="192"/>
        <w:contextualSpacing/>
        <w:rPr>
          <w:rFonts w:ascii="宋体" w:hAnsi="宋体" w:cs="宋体"/>
          <w:b/>
          <w:kern w:val="0"/>
          <w:sz w:val="28"/>
          <w:szCs w:val="28"/>
        </w:rPr>
      </w:pPr>
    </w:p>
    <w:p w14:paraId="0992A976">
      <w:pPr>
        <w:snapToGrid w:val="0"/>
        <w:spacing w:line="400" w:lineRule="exact"/>
        <w:ind w:firstLine="537" w:firstLineChars="192"/>
        <w:contextualSpacing/>
        <w:rPr>
          <w:rFonts w:ascii="宋体" w:hAnsi="宋体" w:cs="宋体"/>
          <w:b/>
          <w:kern w:val="0"/>
          <w:sz w:val="28"/>
          <w:szCs w:val="28"/>
        </w:rPr>
      </w:pPr>
    </w:p>
    <w:p w14:paraId="0F090AF4">
      <w:pPr>
        <w:snapToGrid w:val="0"/>
        <w:spacing w:line="400" w:lineRule="exact"/>
        <w:ind w:firstLine="537" w:firstLineChars="192"/>
        <w:contextualSpacing/>
        <w:rPr>
          <w:rFonts w:ascii="宋体" w:hAnsi="宋体" w:cs="宋体"/>
          <w:b/>
          <w:kern w:val="0"/>
          <w:sz w:val="28"/>
          <w:szCs w:val="28"/>
        </w:rPr>
      </w:pPr>
    </w:p>
    <w:p w14:paraId="450B6AB4">
      <w:pPr>
        <w:snapToGrid w:val="0"/>
        <w:spacing w:line="400" w:lineRule="exact"/>
        <w:ind w:firstLine="537" w:firstLineChars="192"/>
        <w:contextualSpacing/>
        <w:rPr>
          <w:rFonts w:ascii="宋体" w:hAnsi="宋体" w:cs="宋体"/>
          <w:b/>
          <w:kern w:val="0"/>
          <w:sz w:val="28"/>
          <w:szCs w:val="28"/>
        </w:rPr>
      </w:pPr>
    </w:p>
    <w:p w14:paraId="2344975A">
      <w:pPr>
        <w:snapToGrid w:val="0"/>
        <w:spacing w:line="400" w:lineRule="exact"/>
        <w:ind w:firstLine="537" w:firstLineChars="192"/>
        <w:contextualSpacing/>
        <w:rPr>
          <w:rFonts w:ascii="宋体" w:hAnsi="宋体" w:cs="宋体"/>
          <w:b/>
          <w:kern w:val="0"/>
          <w:sz w:val="28"/>
          <w:szCs w:val="28"/>
        </w:rPr>
      </w:pPr>
    </w:p>
    <w:p w14:paraId="6E8072C8">
      <w:pPr>
        <w:snapToGrid w:val="0"/>
        <w:spacing w:line="400" w:lineRule="exact"/>
        <w:ind w:firstLine="537" w:firstLineChars="192"/>
        <w:contextualSpacing/>
        <w:rPr>
          <w:rFonts w:ascii="宋体" w:hAnsi="宋体" w:cs="宋体"/>
          <w:b/>
          <w:kern w:val="0"/>
          <w:sz w:val="28"/>
          <w:szCs w:val="28"/>
        </w:rPr>
      </w:pPr>
    </w:p>
    <w:p w14:paraId="52E167C3">
      <w:pPr>
        <w:snapToGrid w:val="0"/>
        <w:spacing w:line="400" w:lineRule="exact"/>
        <w:ind w:firstLine="537" w:firstLineChars="192"/>
        <w:contextualSpacing/>
        <w:rPr>
          <w:rFonts w:ascii="宋体" w:hAnsi="宋体" w:cs="宋体"/>
          <w:b/>
          <w:kern w:val="0"/>
          <w:sz w:val="28"/>
          <w:szCs w:val="28"/>
        </w:rPr>
      </w:pPr>
    </w:p>
    <w:p w14:paraId="6C687FAE">
      <w:pPr>
        <w:snapToGrid w:val="0"/>
        <w:spacing w:line="400" w:lineRule="exact"/>
        <w:ind w:firstLine="537" w:firstLineChars="192"/>
        <w:contextualSpacing/>
        <w:rPr>
          <w:rFonts w:ascii="宋体" w:hAnsi="宋体" w:cs="宋体"/>
          <w:b/>
          <w:kern w:val="0"/>
          <w:sz w:val="28"/>
          <w:szCs w:val="28"/>
        </w:rPr>
      </w:pPr>
    </w:p>
    <w:p w14:paraId="05B2F6D2">
      <w:pPr>
        <w:snapToGrid w:val="0"/>
        <w:spacing w:line="400" w:lineRule="exact"/>
        <w:ind w:firstLine="537" w:firstLineChars="192"/>
        <w:contextualSpacing/>
        <w:rPr>
          <w:rFonts w:ascii="宋体" w:hAnsi="宋体" w:cs="宋体"/>
          <w:b/>
          <w:kern w:val="0"/>
          <w:sz w:val="28"/>
          <w:szCs w:val="28"/>
        </w:rPr>
      </w:pPr>
    </w:p>
    <w:p w14:paraId="66ABE40E">
      <w:pPr>
        <w:snapToGrid w:val="0"/>
        <w:spacing w:line="400" w:lineRule="exact"/>
        <w:contextualSpacing/>
        <w:rPr>
          <w:rFonts w:ascii="宋体" w:hAnsi="宋体" w:cs="宋体"/>
          <w:kern w:val="0"/>
          <w:sz w:val="28"/>
          <w:szCs w:val="28"/>
        </w:rPr>
      </w:pPr>
    </w:p>
    <w:p w14:paraId="6D8C9A25">
      <w:pPr>
        <w:pStyle w:val="2"/>
      </w:pPr>
    </w:p>
    <w:p w14:paraId="71D7DB01">
      <w:pPr>
        <w:snapToGrid w:val="0"/>
        <w:spacing w:line="300" w:lineRule="auto"/>
        <w:contextualSpacing/>
        <w:jc w:val="center"/>
        <w:rPr>
          <w:rFonts w:ascii="宋体" w:hAnsi="宋体"/>
          <w:b/>
          <w:sz w:val="32"/>
          <w:szCs w:val="32"/>
        </w:rPr>
      </w:pPr>
    </w:p>
    <w:p w14:paraId="640009B1">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44BAD6C3">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13C06659">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6C492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AC2F89D">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EB611CE">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A1046FC">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5E805E88">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35670D70">
            <w:pPr>
              <w:spacing w:line="340" w:lineRule="exact"/>
              <w:jc w:val="center"/>
              <w:rPr>
                <w:rFonts w:ascii="宋体" w:hAnsi="宋体"/>
                <w:sz w:val="24"/>
              </w:rPr>
            </w:pPr>
          </w:p>
          <w:p w14:paraId="593EE364">
            <w:pPr>
              <w:spacing w:line="340" w:lineRule="exact"/>
              <w:jc w:val="center"/>
              <w:rPr>
                <w:rFonts w:ascii="宋体" w:hAnsi="宋体"/>
                <w:sz w:val="24"/>
              </w:rPr>
            </w:pPr>
            <w:r>
              <w:rPr>
                <w:rFonts w:hint="eastAsia" w:ascii="宋体" w:hAnsi="宋体"/>
                <w:sz w:val="24"/>
              </w:rPr>
              <w:t>偏离说明</w:t>
            </w:r>
          </w:p>
        </w:tc>
      </w:tr>
      <w:tr w14:paraId="1B72C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A27921D">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528B06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995F9E1">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5E6786B">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8D7DDF5">
            <w:pPr>
              <w:spacing w:line="340" w:lineRule="exact"/>
              <w:jc w:val="left"/>
              <w:rPr>
                <w:rFonts w:ascii="宋体" w:hAnsi="宋体"/>
                <w:sz w:val="24"/>
              </w:rPr>
            </w:pPr>
          </w:p>
        </w:tc>
      </w:tr>
      <w:tr w14:paraId="06107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ED2CCA3">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B3C184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8254FBF">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2F90F3B">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9372491">
            <w:pPr>
              <w:spacing w:line="340" w:lineRule="exact"/>
              <w:jc w:val="left"/>
              <w:rPr>
                <w:rFonts w:ascii="宋体" w:hAnsi="宋体"/>
                <w:sz w:val="24"/>
              </w:rPr>
            </w:pPr>
          </w:p>
        </w:tc>
      </w:tr>
      <w:tr w14:paraId="647F2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F2B3929">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49D73565">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05BE18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8BB6AB1">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1846144">
            <w:pPr>
              <w:spacing w:line="340" w:lineRule="exact"/>
              <w:jc w:val="left"/>
              <w:rPr>
                <w:rFonts w:ascii="宋体" w:hAnsi="宋体"/>
                <w:sz w:val="24"/>
              </w:rPr>
            </w:pPr>
          </w:p>
        </w:tc>
      </w:tr>
      <w:tr w14:paraId="51360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6EF7B94">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7D5916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CAF3891">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10C2B0D">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790629D">
            <w:pPr>
              <w:spacing w:line="340" w:lineRule="exact"/>
              <w:jc w:val="left"/>
              <w:rPr>
                <w:rFonts w:ascii="宋体" w:hAnsi="宋体"/>
                <w:sz w:val="24"/>
              </w:rPr>
            </w:pPr>
          </w:p>
        </w:tc>
      </w:tr>
    </w:tbl>
    <w:p w14:paraId="32201A0E">
      <w:pPr>
        <w:snapToGrid w:val="0"/>
        <w:spacing w:line="300" w:lineRule="auto"/>
        <w:contextualSpacing/>
        <w:rPr>
          <w:rFonts w:ascii="宋体" w:hAnsi="宋体"/>
          <w:b/>
          <w:sz w:val="24"/>
        </w:rPr>
      </w:pPr>
      <w:r>
        <w:rPr>
          <w:rFonts w:hint="eastAsia" w:ascii="宋体" w:hAnsi="宋体"/>
          <w:b/>
          <w:sz w:val="24"/>
        </w:rPr>
        <w:t>注：</w:t>
      </w:r>
    </w:p>
    <w:p w14:paraId="09247B1A">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0A7521BD">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059979DB">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3A50A1BB">
      <w:pPr>
        <w:pStyle w:val="19"/>
        <w:rPr>
          <w:rFonts w:ascii="宋体" w:hAnsi="宋体"/>
          <w:color w:val="auto"/>
        </w:rPr>
        <w:sectPr>
          <w:headerReference r:id="rId4" w:type="default"/>
          <w:pgSz w:w="11906" w:h="16838"/>
          <w:pgMar w:top="1134" w:right="1134" w:bottom="1134" w:left="1134" w:header="851" w:footer="992" w:gutter="0"/>
          <w:cols w:space="720" w:num="1"/>
          <w:docGrid w:type="linesAndChars" w:linePitch="312" w:charSpace="0"/>
        </w:sectPr>
      </w:pPr>
    </w:p>
    <w:p w14:paraId="3BE84281">
      <w:pPr>
        <w:pStyle w:val="76"/>
        <w:ind w:left="0"/>
        <w:rPr>
          <w:rFonts w:ascii="宋体" w:hAnsi="宋体"/>
          <w:sz w:val="32"/>
          <w:szCs w:val="32"/>
          <w:lang w:eastAsia="zh-CN"/>
        </w:rPr>
      </w:pPr>
      <w:r>
        <w:rPr>
          <w:rFonts w:hint="eastAsia" w:ascii="宋体" w:hAnsi="宋体"/>
          <w:sz w:val="32"/>
          <w:szCs w:val="32"/>
          <w:lang w:eastAsia="zh-CN"/>
        </w:rPr>
        <w:t>附件8：</w:t>
      </w:r>
    </w:p>
    <w:p w14:paraId="1CA7D812">
      <w:pPr>
        <w:pStyle w:val="76"/>
        <w:rPr>
          <w:rFonts w:ascii="宋体" w:hAnsi="宋体"/>
          <w:sz w:val="32"/>
          <w:szCs w:val="32"/>
        </w:rPr>
      </w:pPr>
    </w:p>
    <w:p w14:paraId="1745A551">
      <w:pPr>
        <w:pStyle w:val="76"/>
        <w:rPr>
          <w:rFonts w:ascii="宋体" w:hAnsi="宋体"/>
          <w:sz w:val="32"/>
          <w:szCs w:val="32"/>
        </w:rPr>
      </w:pPr>
    </w:p>
    <w:p w14:paraId="04C8B87D">
      <w:pPr>
        <w:pStyle w:val="87"/>
        <w:snapToGrid w:val="0"/>
        <w:spacing w:line="300" w:lineRule="auto"/>
        <w:ind w:firstLine="640" w:firstLineChars="200"/>
        <w:jc w:val="center"/>
        <w:outlineLvl w:val="0"/>
        <w:rPr>
          <w:rFonts w:ascii="宋体" w:eastAsia="宋体" w:cs="仿宋"/>
          <w:b/>
          <w:bCs/>
          <w:sz w:val="32"/>
          <w:szCs w:val="32"/>
        </w:rPr>
      </w:pPr>
      <w:bookmarkStart w:id="112" w:name="_Toc23203"/>
      <w:r>
        <w:rPr>
          <w:rFonts w:hint="eastAsia" w:ascii="宋体" w:eastAsia="宋体" w:cs="仿宋"/>
          <w:b/>
          <w:bCs/>
          <w:sz w:val="32"/>
          <w:szCs w:val="32"/>
        </w:rPr>
        <w:t>价格标响应文件</w:t>
      </w:r>
      <w:bookmarkEnd w:id="112"/>
    </w:p>
    <w:tbl>
      <w:tblPr>
        <w:tblStyle w:val="39"/>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40F43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533B466C">
            <w:pPr>
              <w:kinsoku w:val="0"/>
              <w:topLinePunct/>
              <w:spacing w:line="440" w:lineRule="exact"/>
              <w:jc w:val="center"/>
              <w:rPr>
                <w:rFonts w:ascii="宋体" w:hAnsi="宋体" w:cs="仿宋"/>
                <w:sz w:val="24"/>
              </w:rPr>
            </w:pPr>
            <w:r>
              <w:rPr>
                <w:rFonts w:hint="eastAsia" w:ascii="宋体" w:hAnsi="宋体" w:cs="仿宋"/>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39A063F8">
            <w:pPr>
              <w:kinsoku w:val="0"/>
              <w:topLinePunct/>
              <w:spacing w:line="440" w:lineRule="exact"/>
              <w:jc w:val="center"/>
              <w:rPr>
                <w:rFonts w:ascii="宋体" w:hAnsi="宋体" w:cs="仿宋"/>
                <w:sz w:val="24"/>
              </w:rPr>
            </w:pPr>
            <w:r>
              <w:rPr>
                <w:rFonts w:hint="eastAsia" w:ascii="宋体" w:hAnsi="宋体" w:cs="仿宋"/>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49E2D477">
            <w:pPr>
              <w:kinsoku w:val="0"/>
              <w:topLinePunct/>
              <w:spacing w:line="440" w:lineRule="exact"/>
              <w:jc w:val="center"/>
              <w:rPr>
                <w:rFonts w:ascii="宋体" w:hAnsi="宋体" w:cs="仿宋"/>
                <w:sz w:val="24"/>
              </w:rPr>
            </w:pPr>
            <w:r>
              <w:rPr>
                <w:rFonts w:hint="eastAsia" w:ascii="宋体" w:hAnsi="宋体" w:cs="仿宋"/>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6A0FC7A8">
            <w:pPr>
              <w:kinsoku w:val="0"/>
              <w:topLinePunct/>
              <w:spacing w:line="440" w:lineRule="exact"/>
              <w:jc w:val="center"/>
              <w:rPr>
                <w:rFonts w:ascii="宋体" w:hAnsi="宋体" w:cs="仿宋"/>
                <w:sz w:val="24"/>
              </w:rPr>
            </w:pPr>
            <w:r>
              <w:rPr>
                <w:rFonts w:hint="eastAsia" w:ascii="宋体" w:hAnsi="宋体" w:cs="仿宋"/>
                <w:sz w:val="24"/>
              </w:rPr>
              <w:t>付款方式</w:t>
            </w:r>
          </w:p>
        </w:tc>
      </w:tr>
      <w:tr w14:paraId="654595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3D17DF00">
            <w:pPr>
              <w:kinsoku w:val="0"/>
              <w:topLinePunct/>
              <w:spacing w:line="440" w:lineRule="exact"/>
              <w:rPr>
                <w:rFonts w:ascii="宋体" w:hAnsi="宋体" w:cs="仿宋"/>
                <w:b/>
                <w:bCs/>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6209B6D0">
            <w:pPr>
              <w:kinsoku w:val="0"/>
              <w:topLinePunct/>
              <w:spacing w:line="440" w:lineRule="exact"/>
              <w:ind w:left="960" w:hanging="960" w:hangingChars="400"/>
              <w:rPr>
                <w:rFonts w:ascii="宋体" w:hAnsi="宋体"/>
                <w:sz w:val="24"/>
                <w:u w:val="single"/>
              </w:rPr>
            </w:pPr>
            <w:r>
              <w:rPr>
                <w:rFonts w:hint="eastAsia" w:ascii="宋体" w:hAnsi="宋体" w:cs="仿宋"/>
                <w:sz w:val="24"/>
              </w:rPr>
              <w:t>大写：</w:t>
            </w:r>
            <w:r>
              <w:rPr>
                <w:rFonts w:hint="eastAsia" w:ascii="宋体" w:hAnsi="宋体" w:cs="仿宋"/>
                <w:sz w:val="24"/>
                <w:u w:val="single"/>
              </w:rPr>
              <w:t xml:space="preserve">     元</w:t>
            </w:r>
          </w:p>
          <w:p w14:paraId="0DA297A3">
            <w:pPr>
              <w:pStyle w:val="77"/>
              <w:rPr>
                <w:rFonts w:ascii="宋体" w:hAnsi="宋体"/>
                <w:sz w:val="24"/>
                <w:szCs w:val="24"/>
              </w:rPr>
            </w:pPr>
            <w:r>
              <w:rPr>
                <w:rFonts w:hint="eastAsia" w:ascii="宋体" w:hAnsi="宋体" w:cs="仿宋"/>
                <w:sz w:val="24"/>
                <w:szCs w:val="24"/>
              </w:rPr>
              <w:t>小写：</w:t>
            </w:r>
            <w:r>
              <w:rPr>
                <w:rFonts w:hint="eastAsia" w:ascii="宋体" w:hAnsi="宋体" w:cs="仿宋"/>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720FFE57">
            <w:pPr>
              <w:kinsoku w:val="0"/>
              <w:topLinePunct/>
              <w:spacing w:line="440" w:lineRule="exact"/>
              <w:rPr>
                <w:rFonts w:ascii="宋体" w:hAnsi="宋体" w:cs="仿宋"/>
                <w:sz w:val="24"/>
              </w:rPr>
            </w:pPr>
            <w:r>
              <w:rPr>
                <w:rFonts w:hint="eastAsia" w:ascii="宋体" w:hAnsi="宋体" w:cs="仿宋"/>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20BB084A">
            <w:pPr>
              <w:kinsoku w:val="0"/>
              <w:topLinePunct/>
              <w:spacing w:line="440" w:lineRule="exact"/>
              <w:rPr>
                <w:rFonts w:ascii="宋体" w:hAnsi="宋体" w:cs="仿宋"/>
                <w:sz w:val="24"/>
              </w:rPr>
            </w:pPr>
            <w:r>
              <w:rPr>
                <w:rFonts w:hint="eastAsia" w:ascii="宋体" w:hAnsi="宋体" w:cs="仿宋"/>
                <w:sz w:val="24"/>
              </w:rPr>
              <w:t>完全响应招标文件要求的付款方式</w:t>
            </w:r>
          </w:p>
        </w:tc>
      </w:tr>
    </w:tbl>
    <w:p w14:paraId="62C1ECCE">
      <w:pPr>
        <w:widowControl/>
        <w:spacing w:line="440" w:lineRule="exact"/>
        <w:jc w:val="left"/>
        <w:rPr>
          <w:rFonts w:ascii="宋体" w:hAnsi="宋体" w:cs="仿宋"/>
          <w:kern w:val="0"/>
          <w:sz w:val="28"/>
          <w:szCs w:val="28"/>
        </w:rPr>
      </w:pPr>
    </w:p>
    <w:p w14:paraId="0D57D31A">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5F384291">
      <w:pPr>
        <w:spacing w:line="480" w:lineRule="exact"/>
        <w:rPr>
          <w:rFonts w:ascii="宋体" w:hAnsi="宋体" w:cs="仿宋"/>
          <w:b/>
          <w:bCs/>
          <w:spacing w:val="7"/>
          <w:kern w:val="0"/>
          <w:sz w:val="24"/>
        </w:rPr>
      </w:pPr>
    </w:p>
    <w:p w14:paraId="2ABBB67B">
      <w:pPr>
        <w:spacing w:line="480" w:lineRule="exact"/>
        <w:rPr>
          <w:rFonts w:ascii="宋体" w:hAnsi="宋体" w:cs="仿宋"/>
          <w:kern w:val="0"/>
          <w:sz w:val="24"/>
        </w:rPr>
      </w:pPr>
    </w:p>
    <w:p w14:paraId="4874D4A2">
      <w:pPr>
        <w:snapToGrid w:val="0"/>
        <w:spacing w:line="480" w:lineRule="exact"/>
        <w:ind w:firstLine="460" w:firstLineChars="192"/>
        <w:contextualSpacing/>
        <w:rPr>
          <w:rFonts w:ascii="宋体" w:hAnsi="宋体" w:cs="仿宋"/>
          <w:b/>
          <w:kern w:val="0"/>
          <w:sz w:val="24"/>
        </w:rPr>
      </w:pPr>
    </w:p>
    <w:p w14:paraId="51E3D121">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7E665425">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2858801F">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2999600E">
      <w:pPr>
        <w:snapToGrid w:val="0"/>
        <w:spacing w:line="400" w:lineRule="exact"/>
        <w:ind w:firstLine="537" w:firstLineChars="192"/>
        <w:contextualSpacing/>
        <w:rPr>
          <w:rFonts w:ascii="宋体" w:hAnsi="宋体" w:cs="宋体"/>
          <w:b/>
          <w:kern w:val="0"/>
          <w:sz w:val="28"/>
          <w:szCs w:val="28"/>
        </w:rPr>
      </w:pPr>
    </w:p>
    <w:p w14:paraId="4D3B1CC9">
      <w:pPr>
        <w:snapToGrid w:val="0"/>
        <w:spacing w:line="400" w:lineRule="exact"/>
        <w:ind w:firstLine="537" w:firstLineChars="192"/>
        <w:contextualSpacing/>
        <w:rPr>
          <w:rFonts w:ascii="宋体" w:hAnsi="宋体" w:cs="宋体"/>
          <w:b/>
          <w:kern w:val="0"/>
          <w:sz w:val="28"/>
          <w:szCs w:val="28"/>
        </w:rPr>
      </w:pPr>
    </w:p>
    <w:p w14:paraId="02286D8A">
      <w:pPr>
        <w:snapToGrid w:val="0"/>
        <w:spacing w:line="400" w:lineRule="exact"/>
        <w:ind w:firstLine="537" w:firstLineChars="192"/>
        <w:contextualSpacing/>
        <w:rPr>
          <w:rFonts w:ascii="宋体" w:hAnsi="宋体" w:cs="宋体"/>
          <w:b/>
          <w:kern w:val="0"/>
          <w:sz w:val="28"/>
          <w:szCs w:val="28"/>
        </w:rPr>
      </w:pPr>
    </w:p>
    <w:p w14:paraId="79A16956">
      <w:pPr>
        <w:snapToGrid w:val="0"/>
        <w:spacing w:line="400" w:lineRule="exact"/>
        <w:ind w:firstLine="537" w:firstLineChars="192"/>
        <w:contextualSpacing/>
        <w:rPr>
          <w:rFonts w:ascii="宋体" w:hAnsi="宋体" w:cs="宋体"/>
          <w:b/>
          <w:kern w:val="0"/>
          <w:sz w:val="28"/>
          <w:szCs w:val="28"/>
        </w:rPr>
      </w:pPr>
    </w:p>
    <w:p w14:paraId="2053EFCC">
      <w:pPr>
        <w:pStyle w:val="13"/>
        <w:rPr>
          <w:rFonts w:ascii="宋体" w:hAnsi="宋体"/>
        </w:rPr>
      </w:pPr>
    </w:p>
    <w:p w14:paraId="01FC4581">
      <w:pPr>
        <w:snapToGrid w:val="0"/>
        <w:spacing w:line="400" w:lineRule="exact"/>
        <w:ind w:firstLine="537" w:firstLineChars="192"/>
        <w:contextualSpacing/>
        <w:rPr>
          <w:rFonts w:ascii="宋体" w:hAnsi="宋体" w:cs="宋体"/>
          <w:b/>
          <w:kern w:val="0"/>
          <w:sz w:val="28"/>
          <w:szCs w:val="28"/>
        </w:rPr>
      </w:pPr>
    </w:p>
    <w:p w14:paraId="24513D13">
      <w:pPr>
        <w:widowControl/>
        <w:shd w:val="clear" w:color="auto" w:fill="FFFFFF"/>
        <w:spacing w:line="315" w:lineRule="atLeast"/>
        <w:ind w:firstLine="480"/>
        <w:jc w:val="left"/>
        <w:rPr>
          <w:rFonts w:ascii="宋体" w:hAnsi="宋体"/>
          <w:sz w:val="32"/>
          <w:szCs w:val="32"/>
        </w:rPr>
      </w:pPr>
    </w:p>
    <w:p w14:paraId="11C8C743">
      <w:pPr>
        <w:widowControl/>
        <w:shd w:val="clear" w:color="auto" w:fill="FFFFFF"/>
        <w:spacing w:line="315" w:lineRule="atLeast"/>
        <w:ind w:firstLine="480"/>
        <w:jc w:val="left"/>
        <w:rPr>
          <w:rFonts w:ascii="宋体" w:hAnsi="宋体"/>
          <w:sz w:val="32"/>
          <w:szCs w:val="32"/>
        </w:rPr>
      </w:pPr>
    </w:p>
    <w:p w14:paraId="0DDC1618">
      <w:pPr>
        <w:widowControl/>
        <w:shd w:val="clear" w:color="auto" w:fill="FFFFFF"/>
        <w:spacing w:line="315" w:lineRule="atLeast"/>
        <w:ind w:firstLine="480"/>
        <w:jc w:val="left"/>
        <w:rPr>
          <w:rFonts w:ascii="宋体" w:hAnsi="宋体"/>
          <w:sz w:val="32"/>
          <w:szCs w:val="32"/>
        </w:rPr>
      </w:pPr>
    </w:p>
    <w:p w14:paraId="5BC39B55">
      <w:pPr>
        <w:widowControl/>
        <w:shd w:val="clear" w:color="auto" w:fill="FFFFFF"/>
        <w:spacing w:line="315" w:lineRule="atLeast"/>
        <w:ind w:firstLine="480"/>
        <w:jc w:val="left"/>
        <w:rPr>
          <w:rFonts w:ascii="宋体" w:hAnsi="宋体"/>
          <w:sz w:val="32"/>
          <w:szCs w:val="32"/>
        </w:rPr>
      </w:pPr>
    </w:p>
    <w:p w14:paraId="46BE26C9">
      <w:pPr>
        <w:widowControl/>
        <w:shd w:val="clear" w:color="auto" w:fill="FFFFFF"/>
        <w:spacing w:line="315" w:lineRule="atLeast"/>
        <w:ind w:firstLine="480"/>
        <w:jc w:val="left"/>
        <w:rPr>
          <w:rFonts w:ascii="宋体" w:hAnsi="宋体"/>
          <w:sz w:val="32"/>
          <w:szCs w:val="32"/>
        </w:rPr>
      </w:pPr>
    </w:p>
    <w:p w14:paraId="5674080A">
      <w:pPr>
        <w:pStyle w:val="76"/>
        <w:ind w:left="0"/>
        <w:rPr>
          <w:rFonts w:ascii="宋体" w:hAnsi="宋体" w:cs="宋体"/>
          <w:sz w:val="32"/>
          <w:szCs w:val="32"/>
          <w:lang w:eastAsia="zh-CN"/>
        </w:rPr>
      </w:pPr>
      <w:r>
        <w:rPr>
          <w:rFonts w:hint="eastAsia" w:ascii="宋体" w:hAnsi="宋体" w:cs="宋体"/>
          <w:sz w:val="32"/>
          <w:szCs w:val="32"/>
          <w:lang w:eastAsia="zh-CN"/>
        </w:rPr>
        <w:t>附件9</w:t>
      </w:r>
    </w:p>
    <w:p w14:paraId="22AD39FB">
      <w:pPr>
        <w:pStyle w:val="37"/>
        <w:ind w:firstLine="0" w:firstLineChars="0"/>
        <w:jc w:val="center"/>
        <w:rPr>
          <w:rFonts w:ascii="宋体" w:hAnsi="宋体" w:cs="宋体"/>
          <w:sz w:val="32"/>
          <w:szCs w:val="32"/>
        </w:rPr>
      </w:pPr>
      <w:r>
        <w:rPr>
          <w:rFonts w:hint="eastAsia" w:ascii="宋体" w:hAnsi="宋体" w:cs="仿宋"/>
          <w:sz w:val="32"/>
          <w:szCs w:val="32"/>
        </w:rPr>
        <w:t>报价明细表</w:t>
      </w:r>
    </w:p>
    <w:tbl>
      <w:tblPr>
        <w:tblStyle w:val="39"/>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0"/>
        <w:gridCol w:w="3158"/>
        <w:gridCol w:w="495"/>
        <w:gridCol w:w="465"/>
        <w:gridCol w:w="480"/>
        <w:gridCol w:w="884"/>
        <w:gridCol w:w="884"/>
      </w:tblGrid>
      <w:tr w14:paraId="6F4E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0AB79B1A">
            <w:pPr>
              <w:widowControl/>
              <w:spacing w:line="460" w:lineRule="exact"/>
              <w:jc w:val="center"/>
              <w:rPr>
                <w:rFonts w:ascii="宋体" w:hAnsi="宋体" w:cs="宋体"/>
                <w:b/>
                <w:bCs/>
                <w:kern w:val="0"/>
                <w:sz w:val="24"/>
              </w:rPr>
            </w:pPr>
            <w:r>
              <w:rPr>
                <w:rFonts w:hint="eastAsia" w:ascii="宋体" w:hAnsi="宋体" w:cs="宋体"/>
                <w:b/>
                <w:bCs/>
                <w:kern w:val="0"/>
                <w:sz w:val="24"/>
              </w:rPr>
              <w:t>序号</w:t>
            </w:r>
          </w:p>
        </w:tc>
        <w:tc>
          <w:tcPr>
            <w:tcW w:w="1140" w:type="dxa"/>
            <w:tcBorders>
              <w:tl2br w:val="nil"/>
              <w:tr2bl w:val="nil"/>
            </w:tcBorders>
            <w:vAlign w:val="center"/>
          </w:tcPr>
          <w:p w14:paraId="3C7B2F6B">
            <w:pPr>
              <w:widowControl/>
              <w:spacing w:line="460" w:lineRule="exact"/>
              <w:jc w:val="center"/>
              <w:rPr>
                <w:rFonts w:ascii="宋体" w:hAnsi="宋体" w:cs="宋体"/>
                <w:b/>
                <w:bCs/>
                <w:kern w:val="0"/>
                <w:sz w:val="24"/>
              </w:rPr>
            </w:pPr>
            <w:r>
              <w:rPr>
                <w:rFonts w:hint="eastAsia" w:ascii="宋体" w:hAnsi="宋体" w:cs="宋体"/>
                <w:b/>
                <w:bCs/>
                <w:kern w:val="0"/>
                <w:sz w:val="24"/>
              </w:rPr>
              <w:t>名称</w:t>
            </w:r>
          </w:p>
        </w:tc>
        <w:tc>
          <w:tcPr>
            <w:tcW w:w="3158" w:type="dxa"/>
            <w:tcBorders>
              <w:tl2br w:val="nil"/>
              <w:tr2bl w:val="nil"/>
            </w:tcBorders>
          </w:tcPr>
          <w:p w14:paraId="6D6FCDB4">
            <w:pPr>
              <w:widowControl/>
              <w:spacing w:line="460" w:lineRule="exact"/>
              <w:jc w:val="center"/>
              <w:rPr>
                <w:rFonts w:ascii="宋体" w:hAnsi="宋体" w:cs="宋体"/>
                <w:b/>
                <w:bCs/>
                <w:kern w:val="0"/>
                <w:sz w:val="24"/>
              </w:rPr>
            </w:pPr>
          </w:p>
          <w:p w14:paraId="113EE2C4">
            <w:pPr>
              <w:widowControl/>
              <w:spacing w:line="460" w:lineRule="exact"/>
              <w:jc w:val="center"/>
              <w:rPr>
                <w:rFonts w:ascii="宋体" w:hAnsi="宋体" w:cs="宋体"/>
                <w:b/>
                <w:bCs/>
                <w:kern w:val="0"/>
                <w:sz w:val="24"/>
              </w:rPr>
            </w:pPr>
            <w:r>
              <w:rPr>
                <w:rFonts w:hint="eastAsia" w:ascii="宋体" w:hAnsi="宋体" w:cs="宋体"/>
                <w:b/>
                <w:bCs/>
                <w:kern w:val="0"/>
                <w:sz w:val="24"/>
              </w:rPr>
              <w:t>规格型号</w:t>
            </w:r>
          </w:p>
        </w:tc>
        <w:tc>
          <w:tcPr>
            <w:tcW w:w="495" w:type="dxa"/>
            <w:tcBorders>
              <w:tl2br w:val="nil"/>
              <w:tr2bl w:val="nil"/>
            </w:tcBorders>
            <w:vAlign w:val="center"/>
          </w:tcPr>
          <w:p w14:paraId="2E3AFF84">
            <w:pPr>
              <w:widowControl/>
              <w:spacing w:line="460" w:lineRule="exact"/>
              <w:jc w:val="center"/>
              <w:rPr>
                <w:rFonts w:ascii="宋体" w:hAnsi="宋体" w:cs="宋体"/>
                <w:b/>
                <w:bCs/>
                <w:kern w:val="0"/>
                <w:sz w:val="24"/>
              </w:rPr>
            </w:pPr>
            <w:r>
              <w:rPr>
                <w:rFonts w:hint="eastAsia" w:ascii="宋体" w:hAnsi="宋体" w:cs="宋体"/>
                <w:b/>
                <w:bCs/>
                <w:kern w:val="0"/>
                <w:sz w:val="24"/>
              </w:rPr>
              <w:t>单位</w:t>
            </w:r>
          </w:p>
        </w:tc>
        <w:tc>
          <w:tcPr>
            <w:tcW w:w="465" w:type="dxa"/>
            <w:tcBorders>
              <w:tl2br w:val="nil"/>
              <w:tr2bl w:val="nil"/>
            </w:tcBorders>
            <w:vAlign w:val="center"/>
          </w:tcPr>
          <w:p w14:paraId="54C7123E">
            <w:pPr>
              <w:widowControl/>
              <w:spacing w:line="460" w:lineRule="exact"/>
              <w:jc w:val="center"/>
              <w:rPr>
                <w:rFonts w:ascii="宋体" w:hAnsi="宋体" w:cs="宋体"/>
                <w:b/>
                <w:bCs/>
                <w:kern w:val="0"/>
                <w:sz w:val="24"/>
              </w:rPr>
            </w:pPr>
            <w:r>
              <w:rPr>
                <w:rFonts w:hint="eastAsia" w:ascii="宋体" w:hAnsi="宋体" w:cs="宋体"/>
                <w:b/>
                <w:bCs/>
                <w:kern w:val="0"/>
                <w:sz w:val="24"/>
              </w:rPr>
              <w:t>数量</w:t>
            </w:r>
          </w:p>
        </w:tc>
        <w:tc>
          <w:tcPr>
            <w:tcW w:w="480" w:type="dxa"/>
            <w:tcBorders>
              <w:tl2br w:val="nil"/>
              <w:tr2bl w:val="nil"/>
            </w:tcBorders>
            <w:vAlign w:val="center"/>
          </w:tcPr>
          <w:p w14:paraId="2B9D030D">
            <w:pPr>
              <w:widowControl/>
              <w:spacing w:line="460" w:lineRule="exact"/>
              <w:jc w:val="center"/>
              <w:rPr>
                <w:rFonts w:ascii="宋体" w:hAnsi="宋体" w:cs="宋体"/>
                <w:b/>
                <w:bCs/>
                <w:kern w:val="0"/>
                <w:sz w:val="24"/>
              </w:rPr>
            </w:pPr>
            <w:r>
              <w:rPr>
                <w:rFonts w:hint="eastAsia" w:ascii="宋体" w:hAnsi="宋体" w:cs="宋体"/>
                <w:b/>
                <w:bCs/>
                <w:kern w:val="0"/>
                <w:sz w:val="24"/>
              </w:rPr>
              <w:t>备注</w:t>
            </w:r>
          </w:p>
        </w:tc>
        <w:tc>
          <w:tcPr>
            <w:tcW w:w="884" w:type="dxa"/>
            <w:tcBorders>
              <w:tl2br w:val="nil"/>
              <w:tr2bl w:val="nil"/>
            </w:tcBorders>
            <w:vAlign w:val="center"/>
          </w:tcPr>
          <w:p w14:paraId="364274A0">
            <w:pPr>
              <w:widowControl/>
              <w:spacing w:line="460" w:lineRule="exact"/>
              <w:jc w:val="center"/>
              <w:rPr>
                <w:rFonts w:ascii="宋体" w:hAnsi="宋体" w:cs="宋体"/>
                <w:b/>
                <w:bCs/>
                <w:kern w:val="0"/>
                <w:sz w:val="24"/>
              </w:rPr>
            </w:pPr>
            <w:r>
              <w:rPr>
                <w:rFonts w:hint="eastAsia" w:ascii="宋体" w:hAnsi="宋体" w:cs="宋体"/>
                <w:b/>
                <w:bCs/>
                <w:kern w:val="0"/>
                <w:sz w:val="24"/>
              </w:rPr>
              <w:t>投标单价（元）</w:t>
            </w:r>
          </w:p>
        </w:tc>
        <w:tc>
          <w:tcPr>
            <w:tcW w:w="884" w:type="dxa"/>
            <w:tcBorders>
              <w:tl2br w:val="nil"/>
              <w:tr2bl w:val="nil"/>
            </w:tcBorders>
            <w:vAlign w:val="center"/>
          </w:tcPr>
          <w:p w14:paraId="179A23A9">
            <w:pPr>
              <w:widowControl/>
              <w:spacing w:line="460" w:lineRule="exact"/>
              <w:jc w:val="center"/>
              <w:rPr>
                <w:rFonts w:ascii="宋体" w:hAnsi="宋体" w:cs="宋体"/>
                <w:b/>
                <w:bCs/>
                <w:kern w:val="0"/>
                <w:sz w:val="24"/>
              </w:rPr>
            </w:pPr>
            <w:r>
              <w:rPr>
                <w:rFonts w:hint="eastAsia" w:ascii="宋体" w:hAnsi="宋体" w:cs="宋体"/>
                <w:b/>
                <w:bCs/>
                <w:kern w:val="0"/>
                <w:sz w:val="24"/>
              </w:rPr>
              <w:t>投标总价（元）</w:t>
            </w:r>
          </w:p>
        </w:tc>
      </w:tr>
      <w:tr w14:paraId="4AA9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549F3C0">
            <w:pPr>
              <w:widowControl/>
              <w:spacing w:line="460" w:lineRule="exact"/>
              <w:jc w:val="center"/>
              <w:rPr>
                <w:rFonts w:ascii="宋体" w:hAnsi="宋体" w:cs="宋体"/>
                <w:kern w:val="0"/>
                <w:sz w:val="24"/>
              </w:rPr>
            </w:pPr>
          </w:p>
        </w:tc>
        <w:tc>
          <w:tcPr>
            <w:tcW w:w="1140" w:type="dxa"/>
            <w:tcBorders>
              <w:tl2br w:val="nil"/>
              <w:tr2bl w:val="nil"/>
            </w:tcBorders>
            <w:vAlign w:val="center"/>
          </w:tcPr>
          <w:p w14:paraId="2D9886CE">
            <w:pPr>
              <w:widowControl/>
              <w:spacing w:line="460" w:lineRule="exact"/>
              <w:jc w:val="center"/>
              <w:rPr>
                <w:rFonts w:ascii="宋体" w:hAnsi="宋体" w:cs="宋体"/>
                <w:kern w:val="0"/>
                <w:sz w:val="24"/>
              </w:rPr>
            </w:pPr>
          </w:p>
        </w:tc>
        <w:tc>
          <w:tcPr>
            <w:tcW w:w="3158" w:type="dxa"/>
            <w:tcBorders>
              <w:tl2br w:val="nil"/>
              <w:tr2bl w:val="nil"/>
            </w:tcBorders>
          </w:tcPr>
          <w:p w14:paraId="46374A29">
            <w:pPr>
              <w:widowControl/>
              <w:spacing w:line="460" w:lineRule="exact"/>
              <w:jc w:val="left"/>
              <w:rPr>
                <w:rFonts w:ascii="宋体" w:hAnsi="宋体" w:cs="宋体"/>
                <w:kern w:val="0"/>
                <w:sz w:val="24"/>
              </w:rPr>
            </w:pPr>
          </w:p>
        </w:tc>
        <w:tc>
          <w:tcPr>
            <w:tcW w:w="495" w:type="dxa"/>
            <w:tcBorders>
              <w:tl2br w:val="nil"/>
              <w:tr2bl w:val="nil"/>
            </w:tcBorders>
            <w:vAlign w:val="center"/>
          </w:tcPr>
          <w:p w14:paraId="388B015B">
            <w:pPr>
              <w:widowControl/>
              <w:spacing w:line="460" w:lineRule="exact"/>
              <w:jc w:val="center"/>
              <w:rPr>
                <w:rFonts w:ascii="宋体" w:hAnsi="宋体" w:cs="宋体"/>
                <w:kern w:val="0"/>
                <w:sz w:val="24"/>
              </w:rPr>
            </w:pPr>
          </w:p>
        </w:tc>
        <w:tc>
          <w:tcPr>
            <w:tcW w:w="465" w:type="dxa"/>
            <w:tcBorders>
              <w:tl2br w:val="nil"/>
              <w:tr2bl w:val="nil"/>
            </w:tcBorders>
            <w:vAlign w:val="center"/>
          </w:tcPr>
          <w:p w14:paraId="35FC11C3">
            <w:pPr>
              <w:widowControl/>
              <w:spacing w:line="460" w:lineRule="exact"/>
              <w:jc w:val="center"/>
              <w:rPr>
                <w:rFonts w:ascii="宋体" w:hAnsi="宋体" w:cs="宋体"/>
                <w:kern w:val="0"/>
                <w:sz w:val="24"/>
              </w:rPr>
            </w:pPr>
          </w:p>
        </w:tc>
        <w:tc>
          <w:tcPr>
            <w:tcW w:w="480" w:type="dxa"/>
            <w:tcBorders>
              <w:tl2br w:val="nil"/>
              <w:tr2bl w:val="nil"/>
            </w:tcBorders>
            <w:vAlign w:val="center"/>
          </w:tcPr>
          <w:p w14:paraId="7D0F55F6">
            <w:pPr>
              <w:widowControl/>
              <w:spacing w:line="460" w:lineRule="exact"/>
              <w:jc w:val="center"/>
              <w:rPr>
                <w:rFonts w:ascii="宋体" w:hAnsi="宋体" w:cs="宋体"/>
                <w:kern w:val="0"/>
                <w:sz w:val="24"/>
              </w:rPr>
            </w:pPr>
          </w:p>
        </w:tc>
        <w:tc>
          <w:tcPr>
            <w:tcW w:w="884" w:type="dxa"/>
            <w:tcBorders>
              <w:tl2br w:val="nil"/>
              <w:tr2bl w:val="nil"/>
            </w:tcBorders>
            <w:vAlign w:val="center"/>
          </w:tcPr>
          <w:p w14:paraId="6CF8B470">
            <w:pPr>
              <w:widowControl/>
              <w:spacing w:line="460" w:lineRule="exact"/>
              <w:jc w:val="center"/>
              <w:rPr>
                <w:rFonts w:ascii="宋体" w:hAnsi="宋体" w:cs="宋体"/>
                <w:kern w:val="0"/>
                <w:sz w:val="24"/>
              </w:rPr>
            </w:pPr>
          </w:p>
        </w:tc>
        <w:tc>
          <w:tcPr>
            <w:tcW w:w="884" w:type="dxa"/>
            <w:tcBorders>
              <w:tl2br w:val="nil"/>
              <w:tr2bl w:val="nil"/>
            </w:tcBorders>
            <w:vAlign w:val="center"/>
          </w:tcPr>
          <w:p w14:paraId="3D0ACBB6">
            <w:pPr>
              <w:widowControl/>
              <w:spacing w:line="460" w:lineRule="exact"/>
              <w:jc w:val="center"/>
              <w:rPr>
                <w:rFonts w:ascii="宋体" w:hAnsi="宋体" w:cs="宋体"/>
                <w:kern w:val="0"/>
                <w:sz w:val="24"/>
              </w:rPr>
            </w:pPr>
          </w:p>
        </w:tc>
      </w:tr>
      <w:tr w14:paraId="6536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1CBE97C1">
            <w:pPr>
              <w:widowControl/>
              <w:spacing w:line="460" w:lineRule="exact"/>
              <w:jc w:val="center"/>
              <w:rPr>
                <w:rFonts w:ascii="宋体" w:hAnsi="宋体" w:cs="宋体"/>
                <w:kern w:val="0"/>
                <w:sz w:val="24"/>
              </w:rPr>
            </w:pPr>
          </w:p>
        </w:tc>
        <w:tc>
          <w:tcPr>
            <w:tcW w:w="1140" w:type="dxa"/>
            <w:tcBorders>
              <w:tl2br w:val="nil"/>
              <w:tr2bl w:val="nil"/>
            </w:tcBorders>
            <w:vAlign w:val="center"/>
          </w:tcPr>
          <w:p w14:paraId="3A2A58CC">
            <w:pPr>
              <w:widowControl/>
              <w:spacing w:line="460" w:lineRule="exact"/>
              <w:jc w:val="center"/>
              <w:rPr>
                <w:rFonts w:ascii="宋体" w:hAnsi="宋体" w:cs="宋体"/>
                <w:kern w:val="0"/>
                <w:sz w:val="24"/>
              </w:rPr>
            </w:pPr>
          </w:p>
        </w:tc>
        <w:tc>
          <w:tcPr>
            <w:tcW w:w="3158" w:type="dxa"/>
            <w:tcBorders>
              <w:tl2br w:val="nil"/>
              <w:tr2bl w:val="nil"/>
            </w:tcBorders>
          </w:tcPr>
          <w:p w14:paraId="5410BAA8">
            <w:pPr>
              <w:widowControl/>
              <w:spacing w:line="460" w:lineRule="exact"/>
              <w:rPr>
                <w:rFonts w:ascii="宋体" w:hAnsi="宋体" w:cs="宋体"/>
                <w:kern w:val="0"/>
                <w:sz w:val="24"/>
              </w:rPr>
            </w:pPr>
          </w:p>
        </w:tc>
        <w:tc>
          <w:tcPr>
            <w:tcW w:w="495" w:type="dxa"/>
            <w:tcBorders>
              <w:tl2br w:val="nil"/>
              <w:tr2bl w:val="nil"/>
            </w:tcBorders>
            <w:vAlign w:val="center"/>
          </w:tcPr>
          <w:p w14:paraId="09AA0886">
            <w:pPr>
              <w:widowControl/>
              <w:spacing w:line="460" w:lineRule="exact"/>
              <w:jc w:val="center"/>
              <w:rPr>
                <w:rFonts w:ascii="宋体" w:hAnsi="宋体" w:cs="宋体"/>
                <w:kern w:val="0"/>
                <w:sz w:val="24"/>
              </w:rPr>
            </w:pPr>
          </w:p>
        </w:tc>
        <w:tc>
          <w:tcPr>
            <w:tcW w:w="465" w:type="dxa"/>
            <w:tcBorders>
              <w:tl2br w:val="nil"/>
              <w:tr2bl w:val="nil"/>
            </w:tcBorders>
            <w:vAlign w:val="center"/>
          </w:tcPr>
          <w:p w14:paraId="709B2627">
            <w:pPr>
              <w:widowControl/>
              <w:spacing w:line="460" w:lineRule="exact"/>
              <w:jc w:val="center"/>
              <w:rPr>
                <w:rFonts w:ascii="宋体" w:hAnsi="宋体" w:cs="宋体"/>
                <w:kern w:val="0"/>
                <w:sz w:val="24"/>
              </w:rPr>
            </w:pPr>
          </w:p>
        </w:tc>
        <w:tc>
          <w:tcPr>
            <w:tcW w:w="480" w:type="dxa"/>
            <w:tcBorders>
              <w:tl2br w:val="nil"/>
              <w:tr2bl w:val="nil"/>
            </w:tcBorders>
            <w:vAlign w:val="center"/>
          </w:tcPr>
          <w:p w14:paraId="170433EF">
            <w:pPr>
              <w:widowControl/>
              <w:spacing w:line="460" w:lineRule="exact"/>
              <w:jc w:val="center"/>
              <w:rPr>
                <w:rFonts w:ascii="宋体" w:hAnsi="宋体" w:cs="宋体"/>
                <w:kern w:val="0"/>
                <w:sz w:val="24"/>
              </w:rPr>
            </w:pPr>
          </w:p>
        </w:tc>
        <w:tc>
          <w:tcPr>
            <w:tcW w:w="884" w:type="dxa"/>
            <w:tcBorders>
              <w:tl2br w:val="nil"/>
              <w:tr2bl w:val="nil"/>
            </w:tcBorders>
            <w:vAlign w:val="center"/>
          </w:tcPr>
          <w:p w14:paraId="0C193856">
            <w:pPr>
              <w:widowControl/>
              <w:spacing w:line="460" w:lineRule="exact"/>
              <w:jc w:val="center"/>
              <w:rPr>
                <w:rFonts w:ascii="宋体" w:hAnsi="宋体" w:cs="宋体"/>
                <w:kern w:val="0"/>
                <w:sz w:val="24"/>
              </w:rPr>
            </w:pPr>
          </w:p>
        </w:tc>
        <w:tc>
          <w:tcPr>
            <w:tcW w:w="884" w:type="dxa"/>
            <w:tcBorders>
              <w:tl2br w:val="nil"/>
              <w:tr2bl w:val="nil"/>
            </w:tcBorders>
            <w:vAlign w:val="center"/>
          </w:tcPr>
          <w:p w14:paraId="335BEE1B">
            <w:pPr>
              <w:widowControl/>
              <w:spacing w:line="460" w:lineRule="exact"/>
              <w:jc w:val="center"/>
              <w:rPr>
                <w:rFonts w:ascii="宋体" w:hAnsi="宋体" w:cs="宋体"/>
                <w:kern w:val="0"/>
                <w:sz w:val="24"/>
              </w:rPr>
            </w:pPr>
          </w:p>
        </w:tc>
      </w:tr>
      <w:tr w14:paraId="2EDF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42F34E6A">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0556E89C">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64E90475">
            <w:pPr>
              <w:widowControl/>
              <w:spacing w:line="460" w:lineRule="exact"/>
              <w:rPr>
                <w:rFonts w:ascii="宋体" w:hAnsi="宋体" w:cs="宋体"/>
                <w:kern w:val="0"/>
                <w:sz w:val="24"/>
              </w:rPr>
            </w:pPr>
          </w:p>
        </w:tc>
        <w:tc>
          <w:tcPr>
            <w:tcW w:w="495" w:type="dxa"/>
            <w:tcBorders>
              <w:tl2br w:val="nil"/>
              <w:tr2bl w:val="nil"/>
            </w:tcBorders>
            <w:noWrap/>
            <w:vAlign w:val="center"/>
          </w:tcPr>
          <w:p w14:paraId="5798BA5D">
            <w:pPr>
              <w:widowControl/>
              <w:spacing w:line="460" w:lineRule="exact"/>
              <w:jc w:val="center"/>
              <w:rPr>
                <w:rFonts w:ascii="宋体" w:hAnsi="宋体" w:cs="宋体"/>
                <w:kern w:val="0"/>
                <w:sz w:val="24"/>
              </w:rPr>
            </w:pPr>
          </w:p>
        </w:tc>
        <w:tc>
          <w:tcPr>
            <w:tcW w:w="465" w:type="dxa"/>
            <w:tcBorders>
              <w:tl2br w:val="nil"/>
              <w:tr2bl w:val="nil"/>
            </w:tcBorders>
            <w:noWrap/>
            <w:vAlign w:val="center"/>
          </w:tcPr>
          <w:p w14:paraId="725EB3D7">
            <w:pPr>
              <w:widowControl/>
              <w:spacing w:line="460" w:lineRule="exact"/>
              <w:jc w:val="center"/>
              <w:rPr>
                <w:rFonts w:ascii="宋体" w:hAnsi="宋体" w:cs="宋体"/>
                <w:kern w:val="0"/>
                <w:sz w:val="24"/>
              </w:rPr>
            </w:pPr>
          </w:p>
        </w:tc>
        <w:tc>
          <w:tcPr>
            <w:tcW w:w="480" w:type="dxa"/>
            <w:tcBorders>
              <w:tl2br w:val="nil"/>
              <w:tr2bl w:val="nil"/>
            </w:tcBorders>
            <w:vAlign w:val="center"/>
          </w:tcPr>
          <w:p w14:paraId="6AF948E3">
            <w:pPr>
              <w:widowControl/>
              <w:spacing w:line="460" w:lineRule="exact"/>
              <w:jc w:val="center"/>
              <w:rPr>
                <w:rFonts w:ascii="宋体" w:hAnsi="宋体" w:cs="宋体"/>
                <w:kern w:val="0"/>
                <w:sz w:val="24"/>
              </w:rPr>
            </w:pPr>
          </w:p>
        </w:tc>
        <w:tc>
          <w:tcPr>
            <w:tcW w:w="884" w:type="dxa"/>
            <w:tcBorders>
              <w:tl2br w:val="nil"/>
              <w:tr2bl w:val="nil"/>
            </w:tcBorders>
            <w:vAlign w:val="center"/>
          </w:tcPr>
          <w:p w14:paraId="55C7A260">
            <w:pPr>
              <w:widowControl/>
              <w:spacing w:line="460" w:lineRule="exact"/>
              <w:jc w:val="center"/>
              <w:rPr>
                <w:rFonts w:ascii="宋体" w:hAnsi="宋体" w:cs="宋体"/>
                <w:kern w:val="0"/>
                <w:sz w:val="24"/>
              </w:rPr>
            </w:pPr>
          </w:p>
        </w:tc>
        <w:tc>
          <w:tcPr>
            <w:tcW w:w="884" w:type="dxa"/>
            <w:tcBorders>
              <w:tl2br w:val="nil"/>
              <w:tr2bl w:val="nil"/>
            </w:tcBorders>
            <w:vAlign w:val="center"/>
          </w:tcPr>
          <w:p w14:paraId="32318D7F">
            <w:pPr>
              <w:widowControl/>
              <w:spacing w:line="460" w:lineRule="exact"/>
              <w:jc w:val="center"/>
              <w:rPr>
                <w:rFonts w:ascii="宋体" w:hAnsi="宋体" w:cs="宋体"/>
                <w:kern w:val="0"/>
                <w:sz w:val="24"/>
              </w:rPr>
            </w:pPr>
          </w:p>
        </w:tc>
      </w:tr>
      <w:tr w14:paraId="088B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476F2ACC">
            <w:pPr>
              <w:widowControl/>
              <w:spacing w:line="460" w:lineRule="exact"/>
              <w:jc w:val="center"/>
              <w:rPr>
                <w:rFonts w:ascii="宋体" w:hAnsi="宋体" w:cs="宋体"/>
                <w:kern w:val="0"/>
                <w:sz w:val="24"/>
              </w:rPr>
            </w:pPr>
          </w:p>
        </w:tc>
        <w:tc>
          <w:tcPr>
            <w:tcW w:w="1140" w:type="dxa"/>
            <w:tcBorders>
              <w:tl2br w:val="nil"/>
              <w:tr2bl w:val="nil"/>
            </w:tcBorders>
            <w:vAlign w:val="center"/>
          </w:tcPr>
          <w:p w14:paraId="7B2BE7A8">
            <w:pPr>
              <w:widowControl/>
              <w:spacing w:line="460" w:lineRule="exact"/>
              <w:jc w:val="center"/>
              <w:rPr>
                <w:rFonts w:ascii="宋体" w:hAnsi="宋体" w:cs="宋体"/>
                <w:kern w:val="0"/>
                <w:sz w:val="24"/>
              </w:rPr>
            </w:pPr>
          </w:p>
        </w:tc>
        <w:tc>
          <w:tcPr>
            <w:tcW w:w="3158" w:type="dxa"/>
            <w:tcBorders>
              <w:tl2br w:val="nil"/>
              <w:tr2bl w:val="nil"/>
            </w:tcBorders>
            <w:vAlign w:val="center"/>
          </w:tcPr>
          <w:p w14:paraId="782607AC">
            <w:pPr>
              <w:widowControl/>
              <w:spacing w:line="460" w:lineRule="exact"/>
              <w:rPr>
                <w:rFonts w:ascii="宋体" w:hAnsi="宋体" w:cs="宋体"/>
                <w:kern w:val="0"/>
                <w:sz w:val="24"/>
              </w:rPr>
            </w:pPr>
          </w:p>
        </w:tc>
        <w:tc>
          <w:tcPr>
            <w:tcW w:w="495" w:type="dxa"/>
            <w:tcBorders>
              <w:tl2br w:val="nil"/>
              <w:tr2bl w:val="nil"/>
            </w:tcBorders>
            <w:vAlign w:val="center"/>
          </w:tcPr>
          <w:p w14:paraId="176F9BEA">
            <w:pPr>
              <w:widowControl/>
              <w:spacing w:line="460" w:lineRule="exact"/>
              <w:jc w:val="center"/>
              <w:rPr>
                <w:rFonts w:ascii="宋体" w:hAnsi="宋体" w:cs="宋体"/>
                <w:kern w:val="0"/>
                <w:sz w:val="24"/>
              </w:rPr>
            </w:pPr>
          </w:p>
        </w:tc>
        <w:tc>
          <w:tcPr>
            <w:tcW w:w="465" w:type="dxa"/>
            <w:tcBorders>
              <w:tl2br w:val="nil"/>
              <w:tr2bl w:val="nil"/>
            </w:tcBorders>
            <w:vAlign w:val="center"/>
          </w:tcPr>
          <w:p w14:paraId="79A3460C">
            <w:pPr>
              <w:widowControl/>
              <w:spacing w:line="460" w:lineRule="exact"/>
              <w:jc w:val="center"/>
              <w:rPr>
                <w:rFonts w:ascii="宋体" w:hAnsi="宋体" w:cs="宋体"/>
                <w:kern w:val="0"/>
                <w:sz w:val="24"/>
              </w:rPr>
            </w:pPr>
          </w:p>
        </w:tc>
        <w:tc>
          <w:tcPr>
            <w:tcW w:w="480" w:type="dxa"/>
            <w:tcBorders>
              <w:tl2br w:val="nil"/>
              <w:tr2bl w:val="nil"/>
            </w:tcBorders>
            <w:noWrap/>
            <w:vAlign w:val="center"/>
          </w:tcPr>
          <w:p w14:paraId="68A6A645">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5C663EB6">
            <w:pPr>
              <w:widowControl/>
              <w:spacing w:line="460" w:lineRule="exact"/>
              <w:jc w:val="left"/>
              <w:rPr>
                <w:rFonts w:ascii="宋体" w:hAnsi="宋体" w:cs="宋体"/>
                <w:kern w:val="0"/>
                <w:sz w:val="24"/>
              </w:rPr>
            </w:pPr>
          </w:p>
        </w:tc>
        <w:tc>
          <w:tcPr>
            <w:tcW w:w="884" w:type="dxa"/>
            <w:tcBorders>
              <w:tl2br w:val="nil"/>
              <w:tr2bl w:val="nil"/>
            </w:tcBorders>
            <w:noWrap/>
            <w:vAlign w:val="center"/>
          </w:tcPr>
          <w:p w14:paraId="1A663387">
            <w:pPr>
              <w:widowControl/>
              <w:spacing w:line="460" w:lineRule="exact"/>
              <w:jc w:val="left"/>
              <w:rPr>
                <w:rFonts w:ascii="宋体" w:hAnsi="宋体" w:cs="宋体"/>
                <w:kern w:val="0"/>
                <w:sz w:val="24"/>
              </w:rPr>
            </w:pPr>
          </w:p>
        </w:tc>
      </w:tr>
      <w:tr w14:paraId="3843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38075A1B">
            <w:pPr>
              <w:widowControl/>
              <w:spacing w:line="460" w:lineRule="exact"/>
              <w:jc w:val="center"/>
              <w:rPr>
                <w:rFonts w:ascii="宋体" w:hAnsi="宋体" w:cs="宋体"/>
                <w:kern w:val="0"/>
                <w:sz w:val="24"/>
              </w:rPr>
            </w:pPr>
          </w:p>
        </w:tc>
        <w:tc>
          <w:tcPr>
            <w:tcW w:w="1140" w:type="dxa"/>
            <w:tcBorders>
              <w:tl2br w:val="nil"/>
              <w:tr2bl w:val="nil"/>
            </w:tcBorders>
            <w:vAlign w:val="center"/>
          </w:tcPr>
          <w:p w14:paraId="2798B620">
            <w:pPr>
              <w:widowControl/>
              <w:spacing w:line="460" w:lineRule="exact"/>
              <w:jc w:val="center"/>
              <w:rPr>
                <w:rFonts w:ascii="宋体" w:hAnsi="宋体" w:cs="宋体"/>
                <w:kern w:val="0"/>
                <w:sz w:val="24"/>
              </w:rPr>
            </w:pPr>
          </w:p>
        </w:tc>
        <w:tc>
          <w:tcPr>
            <w:tcW w:w="3158" w:type="dxa"/>
            <w:tcBorders>
              <w:tl2br w:val="nil"/>
              <w:tr2bl w:val="nil"/>
            </w:tcBorders>
            <w:vAlign w:val="center"/>
          </w:tcPr>
          <w:p w14:paraId="6949096C">
            <w:pPr>
              <w:widowControl/>
              <w:spacing w:line="460" w:lineRule="exact"/>
              <w:rPr>
                <w:rFonts w:ascii="宋体" w:hAnsi="宋体" w:cs="宋体"/>
                <w:kern w:val="0"/>
                <w:sz w:val="24"/>
              </w:rPr>
            </w:pPr>
          </w:p>
        </w:tc>
        <w:tc>
          <w:tcPr>
            <w:tcW w:w="495" w:type="dxa"/>
            <w:tcBorders>
              <w:tl2br w:val="nil"/>
              <w:tr2bl w:val="nil"/>
            </w:tcBorders>
            <w:vAlign w:val="center"/>
          </w:tcPr>
          <w:p w14:paraId="7EEF3F93">
            <w:pPr>
              <w:widowControl/>
              <w:spacing w:line="460" w:lineRule="exact"/>
              <w:jc w:val="center"/>
              <w:rPr>
                <w:rFonts w:ascii="宋体" w:hAnsi="宋体" w:cs="宋体"/>
                <w:kern w:val="0"/>
                <w:sz w:val="24"/>
              </w:rPr>
            </w:pPr>
          </w:p>
        </w:tc>
        <w:tc>
          <w:tcPr>
            <w:tcW w:w="465" w:type="dxa"/>
            <w:tcBorders>
              <w:tl2br w:val="nil"/>
              <w:tr2bl w:val="nil"/>
            </w:tcBorders>
            <w:vAlign w:val="center"/>
          </w:tcPr>
          <w:p w14:paraId="0BC01876">
            <w:pPr>
              <w:widowControl/>
              <w:spacing w:line="460" w:lineRule="exact"/>
              <w:jc w:val="center"/>
              <w:rPr>
                <w:rFonts w:ascii="宋体" w:hAnsi="宋体" w:cs="宋体"/>
                <w:kern w:val="0"/>
                <w:sz w:val="24"/>
              </w:rPr>
            </w:pPr>
          </w:p>
        </w:tc>
        <w:tc>
          <w:tcPr>
            <w:tcW w:w="480" w:type="dxa"/>
            <w:tcBorders>
              <w:tl2br w:val="nil"/>
              <w:tr2bl w:val="nil"/>
            </w:tcBorders>
            <w:vAlign w:val="center"/>
          </w:tcPr>
          <w:p w14:paraId="1F186AAE">
            <w:pPr>
              <w:widowControl/>
              <w:spacing w:line="460" w:lineRule="exact"/>
              <w:jc w:val="center"/>
              <w:rPr>
                <w:rFonts w:ascii="宋体" w:hAnsi="宋体" w:cs="宋体"/>
                <w:kern w:val="0"/>
                <w:sz w:val="24"/>
              </w:rPr>
            </w:pPr>
          </w:p>
        </w:tc>
        <w:tc>
          <w:tcPr>
            <w:tcW w:w="884" w:type="dxa"/>
            <w:tcBorders>
              <w:tl2br w:val="nil"/>
              <w:tr2bl w:val="nil"/>
            </w:tcBorders>
            <w:vAlign w:val="center"/>
          </w:tcPr>
          <w:p w14:paraId="29AE8686">
            <w:pPr>
              <w:widowControl/>
              <w:spacing w:line="460" w:lineRule="exact"/>
              <w:jc w:val="center"/>
              <w:rPr>
                <w:rFonts w:ascii="宋体" w:hAnsi="宋体" w:cs="宋体"/>
                <w:kern w:val="0"/>
                <w:sz w:val="24"/>
              </w:rPr>
            </w:pPr>
          </w:p>
        </w:tc>
        <w:tc>
          <w:tcPr>
            <w:tcW w:w="884" w:type="dxa"/>
            <w:tcBorders>
              <w:tl2br w:val="nil"/>
              <w:tr2bl w:val="nil"/>
            </w:tcBorders>
            <w:vAlign w:val="center"/>
          </w:tcPr>
          <w:p w14:paraId="6D59813F">
            <w:pPr>
              <w:widowControl/>
              <w:spacing w:line="460" w:lineRule="exact"/>
              <w:jc w:val="center"/>
              <w:rPr>
                <w:rFonts w:ascii="宋体" w:hAnsi="宋体" w:cs="宋体"/>
                <w:kern w:val="0"/>
                <w:sz w:val="24"/>
              </w:rPr>
            </w:pPr>
          </w:p>
        </w:tc>
      </w:tr>
      <w:tr w14:paraId="3F9D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70A74C3D">
            <w:pPr>
              <w:widowControl/>
              <w:spacing w:line="460" w:lineRule="exact"/>
              <w:jc w:val="center"/>
              <w:rPr>
                <w:rFonts w:ascii="宋体" w:hAnsi="宋体" w:cs="宋体"/>
                <w:kern w:val="0"/>
                <w:sz w:val="24"/>
              </w:rPr>
            </w:pPr>
          </w:p>
        </w:tc>
        <w:tc>
          <w:tcPr>
            <w:tcW w:w="1140" w:type="dxa"/>
            <w:tcBorders>
              <w:tl2br w:val="nil"/>
              <w:tr2bl w:val="nil"/>
            </w:tcBorders>
            <w:noWrap/>
            <w:vAlign w:val="center"/>
          </w:tcPr>
          <w:p w14:paraId="541D11AC">
            <w:pPr>
              <w:widowControl/>
              <w:spacing w:line="460" w:lineRule="exact"/>
              <w:jc w:val="center"/>
              <w:rPr>
                <w:rFonts w:ascii="宋体" w:hAnsi="宋体" w:cs="宋体"/>
                <w:kern w:val="0"/>
                <w:sz w:val="24"/>
              </w:rPr>
            </w:pPr>
          </w:p>
        </w:tc>
        <w:tc>
          <w:tcPr>
            <w:tcW w:w="3158" w:type="dxa"/>
            <w:tcBorders>
              <w:tl2br w:val="nil"/>
              <w:tr2bl w:val="nil"/>
            </w:tcBorders>
            <w:noWrap/>
            <w:vAlign w:val="center"/>
          </w:tcPr>
          <w:p w14:paraId="0199C433">
            <w:pPr>
              <w:widowControl/>
              <w:spacing w:line="460" w:lineRule="exact"/>
              <w:rPr>
                <w:rFonts w:ascii="宋体" w:hAnsi="宋体" w:cs="宋体"/>
                <w:kern w:val="0"/>
                <w:sz w:val="24"/>
              </w:rPr>
            </w:pPr>
          </w:p>
        </w:tc>
        <w:tc>
          <w:tcPr>
            <w:tcW w:w="495" w:type="dxa"/>
            <w:tcBorders>
              <w:tl2br w:val="nil"/>
              <w:tr2bl w:val="nil"/>
            </w:tcBorders>
            <w:vAlign w:val="center"/>
          </w:tcPr>
          <w:p w14:paraId="58AFDB8E">
            <w:pPr>
              <w:widowControl/>
              <w:spacing w:line="460" w:lineRule="exact"/>
              <w:jc w:val="center"/>
              <w:rPr>
                <w:rFonts w:ascii="宋体" w:hAnsi="宋体" w:cs="宋体"/>
                <w:kern w:val="0"/>
                <w:sz w:val="24"/>
              </w:rPr>
            </w:pPr>
          </w:p>
        </w:tc>
        <w:tc>
          <w:tcPr>
            <w:tcW w:w="465" w:type="dxa"/>
            <w:tcBorders>
              <w:tl2br w:val="nil"/>
              <w:tr2bl w:val="nil"/>
            </w:tcBorders>
            <w:vAlign w:val="center"/>
          </w:tcPr>
          <w:p w14:paraId="1DC17C87">
            <w:pPr>
              <w:widowControl/>
              <w:spacing w:line="460" w:lineRule="exact"/>
              <w:jc w:val="center"/>
              <w:rPr>
                <w:rFonts w:ascii="宋体" w:hAnsi="宋体" w:cs="宋体"/>
                <w:kern w:val="0"/>
                <w:sz w:val="24"/>
              </w:rPr>
            </w:pPr>
          </w:p>
        </w:tc>
        <w:tc>
          <w:tcPr>
            <w:tcW w:w="480" w:type="dxa"/>
            <w:tcBorders>
              <w:tl2br w:val="nil"/>
              <w:tr2bl w:val="nil"/>
            </w:tcBorders>
            <w:vAlign w:val="center"/>
          </w:tcPr>
          <w:p w14:paraId="676BC308">
            <w:pPr>
              <w:widowControl/>
              <w:spacing w:line="460" w:lineRule="exact"/>
              <w:jc w:val="center"/>
              <w:rPr>
                <w:rFonts w:ascii="宋体" w:hAnsi="宋体" w:cs="宋体"/>
                <w:kern w:val="0"/>
                <w:sz w:val="24"/>
              </w:rPr>
            </w:pPr>
          </w:p>
        </w:tc>
        <w:tc>
          <w:tcPr>
            <w:tcW w:w="884" w:type="dxa"/>
            <w:tcBorders>
              <w:tl2br w:val="nil"/>
              <w:tr2bl w:val="nil"/>
            </w:tcBorders>
            <w:vAlign w:val="center"/>
          </w:tcPr>
          <w:p w14:paraId="25B30038">
            <w:pPr>
              <w:widowControl/>
              <w:spacing w:line="460" w:lineRule="exact"/>
              <w:jc w:val="center"/>
              <w:rPr>
                <w:rFonts w:ascii="宋体" w:hAnsi="宋体" w:cs="宋体"/>
                <w:kern w:val="0"/>
                <w:sz w:val="24"/>
              </w:rPr>
            </w:pPr>
          </w:p>
        </w:tc>
        <w:tc>
          <w:tcPr>
            <w:tcW w:w="884" w:type="dxa"/>
            <w:tcBorders>
              <w:tl2br w:val="nil"/>
              <w:tr2bl w:val="nil"/>
            </w:tcBorders>
            <w:vAlign w:val="center"/>
          </w:tcPr>
          <w:p w14:paraId="644F327E">
            <w:pPr>
              <w:widowControl/>
              <w:spacing w:line="460" w:lineRule="exact"/>
              <w:jc w:val="center"/>
              <w:rPr>
                <w:rFonts w:ascii="宋体" w:hAnsi="宋体" w:cs="宋体"/>
                <w:kern w:val="0"/>
                <w:sz w:val="24"/>
              </w:rPr>
            </w:pPr>
          </w:p>
        </w:tc>
      </w:tr>
      <w:tr w14:paraId="5FF4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72DA02D2">
            <w:pPr>
              <w:widowControl/>
              <w:spacing w:line="460" w:lineRule="exact"/>
              <w:jc w:val="center"/>
              <w:rPr>
                <w:rFonts w:ascii="宋体" w:hAnsi="宋体" w:cs="宋体"/>
                <w:kern w:val="0"/>
                <w:sz w:val="24"/>
              </w:rPr>
            </w:pPr>
          </w:p>
        </w:tc>
        <w:tc>
          <w:tcPr>
            <w:tcW w:w="1140" w:type="dxa"/>
            <w:tcBorders>
              <w:tl2br w:val="nil"/>
              <w:tr2bl w:val="nil"/>
            </w:tcBorders>
            <w:vAlign w:val="center"/>
          </w:tcPr>
          <w:p w14:paraId="7324FA66">
            <w:pPr>
              <w:widowControl/>
              <w:spacing w:line="460" w:lineRule="exact"/>
              <w:jc w:val="center"/>
              <w:rPr>
                <w:rFonts w:ascii="宋体" w:hAnsi="宋体" w:cs="宋体"/>
                <w:kern w:val="0"/>
                <w:sz w:val="24"/>
              </w:rPr>
            </w:pPr>
          </w:p>
        </w:tc>
        <w:tc>
          <w:tcPr>
            <w:tcW w:w="3158" w:type="dxa"/>
            <w:tcBorders>
              <w:tl2br w:val="nil"/>
              <w:tr2bl w:val="nil"/>
            </w:tcBorders>
            <w:vAlign w:val="center"/>
          </w:tcPr>
          <w:p w14:paraId="60821122">
            <w:pPr>
              <w:widowControl/>
              <w:spacing w:line="460" w:lineRule="exact"/>
              <w:rPr>
                <w:rFonts w:ascii="宋体" w:hAnsi="宋体" w:cs="宋体"/>
                <w:kern w:val="0"/>
                <w:sz w:val="24"/>
              </w:rPr>
            </w:pPr>
          </w:p>
        </w:tc>
        <w:tc>
          <w:tcPr>
            <w:tcW w:w="495" w:type="dxa"/>
            <w:tcBorders>
              <w:tl2br w:val="nil"/>
              <w:tr2bl w:val="nil"/>
            </w:tcBorders>
            <w:vAlign w:val="center"/>
          </w:tcPr>
          <w:p w14:paraId="3354B8D3">
            <w:pPr>
              <w:widowControl/>
              <w:spacing w:line="460" w:lineRule="exact"/>
              <w:jc w:val="center"/>
              <w:rPr>
                <w:rFonts w:ascii="宋体" w:hAnsi="宋体" w:cs="宋体"/>
                <w:kern w:val="0"/>
                <w:sz w:val="24"/>
              </w:rPr>
            </w:pPr>
          </w:p>
        </w:tc>
        <w:tc>
          <w:tcPr>
            <w:tcW w:w="465" w:type="dxa"/>
            <w:tcBorders>
              <w:tl2br w:val="nil"/>
              <w:tr2bl w:val="nil"/>
            </w:tcBorders>
            <w:vAlign w:val="center"/>
          </w:tcPr>
          <w:p w14:paraId="4A2A5906">
            <w:pPr>
              <w:widowControl/>
              <w:spacing w:line="460" w:lineRule="exact"/>
              <w:jc w:val="center"/>
              <w:rPr>
                <w:rFonts w:ascii="宋体" w:hAnsi="宋体" w:cs="宋体"/>
                <w:kern w:val="0"/>
                <w:sz w:val="24"/>
              </w:rPr>
            </w:pPr>
          </w:p>
        </w:tc>
        <w:tc>
          <w:tcPr>
            <w:tcW w:w="480" w:type="dxa"/>
            <w:tcBorders>
              <w:tl2br w:val="nil"/>
              <w:tr2bl w:val="nil"/>
            </w:tcBorders>
            <w:vAlign w:val="center"/>
          </w:tcPr>
          <w:p w14:paraId="64E1F201">
            <w:pPr>
              <w:widowControl/>
              <w:spacing w:line="460" w:lineRule="exact"/>
              <w:jc w:val="center"/>
              <w:rPr>
                <w:rFonts w:ascii="宋体" w:hAnsi="宋体" w:cs="宋体"/>
                <w:kern w:val="0"/>
                <w:sz w:val="24"/>
              </w:rPr>
            </w:pPr>
          </w:p>
        </w:tc>
        <w:tc>
          <w:tcPr>
            <w:tcW w:w="884" w:type="dxa"/>
            <w:tcBorders>
              <w:tl2br w:val="nil"/>
              <w:tr2bl w:val="nil"/>
            </w:tcBorders>
            <w:vAlign w:val="center"/>
          </w:tcPr>
          <w:p w14:paraId="1C4FF1A3">
            <w:pPr>
              <w:widowControl/>
              <w:spacing w:line="460" w:lineRule="exact"/>
              <w:jc w:val="center"/>
              <w:rPr>
                <w:rFonts w:ascii="宋体" w:hAnsi="宋体" w:cs="宋体"/>
                <w:kern w:val="0"/>
                <w:sz w:val="24"/>
              </w:rPr>
            </w:pPr>
          </w:p>
        </w:tc>
        <w:tc>
          <w:tcPr>
            <w:tcW w:w="884" w:type="dxa"/>
            <w:tcBorders>
              <w:tl2br w:val="nil"/>
              <w:tr2bl w:val="nil"/>
            </w:tcBorders>
            <w:vAlign w:val="center"/>
          </w:tcPr>
          <w:p w14:paraId="30A919CA">
            <w:pPr>
              <w:widowControl/>
              <w:spacing w:line="460" w:lineRule="exact"/>
              <w:jc w:val="center"/>
              <w:rPr>
                <w:rFonts w:ascii="宋体" w:hAnsi="宋体" w:cs="宋体"/>
                <w:kern w:val="0"/>
                <w:sz w:val="24"/>
              </w:rPr>
            </w:pPr>
          </w:p>
        </w:tc>
      </w:tr>
      <w:tr w14:paraId="2A10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0DEA1EC8">
            <w:pPr>
              <w:widowControl/>
              <w:spacing w:line="460" w:lineRule="exact"/>
              <w:jc w:val="center"/>
              <w:rPr>
                <w:rFonts w:ascii="宋体" w:hAnsi="宋体" w:cs="宋体"/>
                <w:kern w:val="0"/>
                <w:sz w:val="24"/>
              </w:rPr>
            </w:pPr>
          </w:p>
        </w:tc>
        <w:tc>
          <w:tcPr>
            <w:tcW w:w="1140" w:type="dxa"/>
            <w:tcBorders>
              <w:tl2br w:val="nil"/>
              <w:tr2bl w:val="nil"/>
            </w:tcBorders>
            <w:vAlign w:val="center"/>
          </w:tcPr>
          <w:p w14:paraId="3452AFFA">
            <w:pPr>
              <w:widowControl/>
              <w:spacing w:line="460" w:lineRule="exact"/>
              <w:jc w:val="center"/>
              <w:rPr>
                <w:rFonts w:ascii="宋体" w:hAnsi="宋体" w:cs="宋体"/>
                <w:kern w:val="0"/>
                <w:sz w:val="24"/>
              </w:rPr>
            </w:pPr>
          </w:p>
        </w:tc>
        <w:tc>
          <w:tcPr>
            <w:tcW w:w="3158" w:type="dxa"/>
            <w:tcBorders>
              <w:tl2br w:val="nil"/>
              <w:tr2bl w:val="nil"/>
            </w:tcBorders>
            <w:vAlign w:val="center"/>
          </w:tcPr>
          <w:p w14:paraId="55F4D03D">
            <w:pPr>
              <w:widowControl/>
              <w:spacing w:line="460" w:lineRule="exact"/>
              <w:rPr>
                <w:rFonts w:ascii="宋体" w:hAnsi="宋体" w:cs="宋体"/>
                <w:kern w:val="0"/>
                <w:sz w:val="24"/>
              </w:rPr>
            </w:pPr>
          </w:p>
        </w:tc>
        <w:tc>
          <w:tcPr>
            <w:tcW w:w="495" w:type="dxa"/>
            <w:tcBorders>
              <w:tl2br w:val="nil"/>
              <w:tr2bl w:val="nil"/>
            </w:tcBorders>
            <w:vAlign w:val="center"/>
          </w:tcPr>
          <w:p w14:paraId="31D2CA8F">
            <w:pPr>
              <w:widowControl/>
              <w:spacing w:line="460" w:lineRule="exact"/>
              <w:jc w:val="center"/>
              <w:rPr>
                <w:rFonts w:ascii="宋体" w:hAnsi="宋体" w:cs="宋体"/>
                <w:kern w:val="0"/>
                <w:sz w:val="24"/>
              </w:rPr>
            </w:pPr>
          </w:p>
        </w:tc>
        <w:tc>
          <w:tcPr>
            <w:tcW w:w="465" w:type="dxa"/>
            <w:tcBorders>
              <w:tl2br w:val="nil"/>
              <w:tr2bl w:val="nil"/>
            </w:tcBorders>
            <w:vAlign w:val="center"/>
          </w:tcPr>
          <w:p w14:paraId="3851ABAB">
            <w:pPr>
              <w:widowControl/>
              <w:spacing w:line="460" w:lineRule="exact"/>
              <w:jc w:val="center"/>
              <w:rPr>
                <w:rFonts w:ascii="宋体" w:hAnsi="宋体" w:cs="宋体"/>
                <w:kern w:val="0"/>
                <w:sz w:val="24"/>
              </w:rPr>
            </w:pPr>
          </w:p>
        </w:tc>
        <w:tc>
          <w:tcPr>
            <w:tcW w:w="480" w:type="dxa"/>
            <w:tcBorders>
              <w:tl2br w:val="nil"/>
              <w:tr2bl w:val="nil"/>
            </w:tcBorders>
            <w:vAlign w:val="center"/>
          </w:tcPr>
          <w:p w14:paraId="0AC868AE">
            <w:pPr>
              <w:widowControl/>
              <w:spacing w:line="460" w:lineRule="exact"/>
              <w:jc w:val="center"/>
              <w:rPr>
                <w:rFonts w:ascii="宋体" w:hAnsi="宋体" w:cs="宋体"/>
                <w:kern w:val="0"/>
                <w:sz w:val="24"/>
              </w:rPr>
            </w:pPr>
          </w:p>
        </w:tc>
        <w:tc>
          <w:tcPr>
            <w:tcW w:w="884" w:type="dxa"/>
            <w:tcBorders>
              <w:tl2br w:val="nil"/>
              <w:tr2bl w:val="nil"/>
            </w:tcBorders>
            <w:vAlign w:val="center"/>
          </w:tcPr>
          <w:p w14:paraId="2DE82EF6">
            <w:pPr>
              <w:widowControl/>
              <w:spacing w:line="460" w:lineRule="exact"/>
              <w:jc w:val="center"/>
              <w:rPr>
                <w:rFonts w:ascii="宋体" w:hAnsi="宋体" w:cs="宋体"/>
                <w:kern w:val="0"/>
                <w:sz w:val="24"/>
              </w:rPr>
            </w:pPr>
          </w:p>
        </w:tc>
        <w:tc>
          <w:tcPr>
            <w:tcW w:w="884" w:type="dxa"/>
            <w:tcBorders>
              <w:tl2br w:val="nil"/>
              <w:tr2bl w:val="nil"/>
            </w:tcBorders>
            <w:vAlign w:val="center"/>
          </w:tcPr>
          <w:p w14:paraId="3315AEF8">
            <w:pPr>
              <w:widowControl/>
              <w:spacing w:line="460" w:lineRule="exact"/>
              <w:jc w:val="center"/>
              <w:rPr>
                <w:rFonts w:ascii="宋体" w:hAnsi="宋体" w:cs="宋体"/>
                <w:kern w:val="0"/>
                <w:sz w:val="24"/>
              </w:rPr>
            </w:pPr>
          </w:p>
        </w:tc>
      </w:tr>
      <w:tr w14:paraId="2548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vAlign w:val="center"/>
          </w:tcPr>
          <w:p w14:paraId="2210F8F0">
            <w:pPr>
              <w:widowControl/>
              <w:spacing w:line="460" w:lineRule="exact"/>
              <w:jc w:val="center"/>
              <w:rPr>
                <w:rFonts w:ascii="宋体" w:hAnsi="宋体" w:cs="宋体"/>
                <w:kern w:val="0"/>
                <w:sz w:val="24"/>
              </w:rPr>
            </w:pPr>
          </w:p>
        </w:tc>
        <w:tc>
          <w:tcPr>
            <w:tcW w:w="1140" w:type="dxa"/>
            <w:tcBorders>
              <w:tl2br w:val="nil"/>
              <w:tr2bl w:val="nil"/>
            </w:tcBorders>
            <w:vAlign w:val="center"/>
          </w:tcPr>
          <w:p w14:paraId="69283AF7">
            <w:pPr>
              <w:widowControl/>
              <w:spacing w:line="460" w:lineRule="exact"/>
              <w:jc w:val="center"/>
              <w:rPr>
                <w:rFonts w:ascii="宋体" w:hAnsi="宋体" w:cs="宋体"/>
                <w:kern w:val="0"/>
                <w:sz w:val="24"/>
              </w:rPr>
            </w:pPr>
          </w:p>
        </w:tc>
        <w:tc>
          <w:tcPr>
            <w:tcW w:w="3158" w:type="dxa"/>
            <w:tcBorders>
              <w:tl2br w:val="nil"/>
              <w:tr2bl w:val="nil"/>
            </w:tcBorders>
          </w:tcPr>
          <w:p w14:paraId="726943D2">
            <w:pPr>
              <w:widowControl/>
              <w:spacing w:line="460" w:lineRule="exact"/>
              <w:rPr>
                <w:rFonts w:ascii="宋体" w:hAnsi="宋体" w:cs="宋体"/>
                <w:kern w:val="0"/>
                <w:sz w:val="24"/>
              </w:rPr>
            </w:pPr>
          </w:p>
        </w:tc>
        <w:tc>
          <w:tcPr>
            <w:tcW w:w="495" w:type="dxa"/>
            <w:tcBorders>
              <w:tl2br w:val="nil"/>
              <w:tr2bl w:val="nil"/>
            </w:tcBorders>
            <w:vAlign w:val="center"/>
          </w:tcPr>
          <w:p w14:paraId="500ED2D2">
            <w:pPr>
              <w:widowControl/>
              <w:spacing w:line="460" w:lineRule="exact"/>
              <w:jc w:val="center"/>
              <w:rPr>
                <w:rFonts w:ascii="宋体" w:hAnsi="宋体" w:cs="宋体"/>
                <w:kern w:val="0"/>
                <w:sz w:val="24"/>
              </w:rPr>
            </w:pPr>
          </w:p>
        </w:tc>
        <w:tc>
          <w:tcPr>
            <w:tcW w:w="465" w:type="dxa"/>
            <w:tcBorders>
              <w:tl2br w:val="nil"/>
              <w:tr2bl w:val="nil"/>
            </w:tcBorders>
            <w:vAlign w:val="center"/>
          </w:tcPr>
          <w:p w14:paraId="4A40ECB2">
            <w:pPr>
              <w:widowControl/>
              <w:spacing w:line="460" w:lineRule="exact"/>
              <w:jc w:val="center"/>
              <w:rPr>
                <w:rFonts w:ascii="宋体" w:hAnsi="宋体" w:cs="宋体"/>
                <w:kern w:val="0"/>
                <w:sz w:val="24"/>
              </w:rPr>
            </w:pPr>
          </w:p>
        </w:tc>
        <w:tc>
          <w:tcPr>
            <w:tcW w:w="480" w:type="dxa"/>
            <w:tcBorders>
              <w:tl2br w:val="nil"/>
              <w:tr2bl w:val="nil"/>
            </w:tcBorders>
            <w:vAlign w:val="center"/>
          </w:tcPr>
          <w:p w14:paraId="51FB06F5">
            <w:pPr>
              <w:widowControl/>
              <w:spacing w:line="460" w:lineRule="exact"/>
              <w:jc w:val="center"/>
              <w:rPr>
                <w:rFonts w:ascii="宋体" w:hAnsi="宋体" w:cs="宋体"/>
                <w:kern w:val="0"/>
                <w:sz w:val="24"/>
              </w:rPr>
            </w:pPr>
          </w:p>
        </w:tc>
        <w:tc>
          <w:tcPr>
            <w:tcW w:w="884" w:type="dxa"/>
            <w:tcBorders>
              <w:tl2br w:val="nil"/>
              <w:tr2bl w:val="nil"/>
            </w:tcBorders>
            <w:vAlign w:val="center"/>
          </w:tcPr>
          <w:p w14:paraId="6DAFA823">
            <w:pPr>
              <w:widowControl/>
              <w:spacing w:line="460" w:lineRule="exact"/>
              <w:jc w:val="center"/>
              <w:rPr>
                <w:rFonts w:ascii="宋体" w:hAnsi="宋体" w:cs="宋体"/>
                <w:kern w:val="0"/>
                <w:sz w:val="24"/>
              </w:rPr>
            </w:pPr>
          </w:p>
        </w:tc>
        <w:tc>
          <w:tcPr>
            <w:tcW w:w="884" w:type="dxa"/>
            <w:tcBorders>
              <w:tl2br w:val="nil"/>
              <w:tr2bl w:val="nil"/>
            </w:tcBorders>
            <w:vAlign w:val="center"/>
          </w:tcPr>
          <w:p w14:paraId="46DE2A8C">
            <w:pPr>
              <w:widowControl/>
              <w:spacing w:line="460" w:lineRule="exact"/>
              <w:jc w:val="center"/>
              <w:rPr>
                <w:rFonts w:ascii="宋体" w:hAnsi="宋体" w:cs="宋体"/>
                <w:kern w:val="0"/>
                <w:sz w:val="24"/>
              </w:rPr>
            </w:pPr>
          </w:p>
        </w:tc>
      </w:tr>
    </w:tbl>
    <w:p w14:paraId="5BD1B0CF">
      <w:pPr>
        <w:rPr>
          <w:rFonts w:ascii="宋体" w:hAnsi="宋体" w:cs="宋体"/>
          <w:sz w:val="32"/>
          <w:szCs w:val="32"/>
        </w:rPr>
      </w:pPr>
    </w:p>
    <w:p w14:paraId="2D9A0614">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71B9ED97">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3367F4CF">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7A71EAAF">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4D4BEFD3">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1E380BA1">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服务</w:t>
      </w:r>
      <w:r>
        <w:rPr>
          <w:rFonts w:ascii="宋体" w:hAnsi="宋体"/>
          <w:b/>
          <w:bCs/>
          <w:sz w:val="28"/>
          <w:szCs w:val="28"/>
          <w:lang w:bidi="zh-CN"/>
        </w:rPr>
        <w:t>）</w:t>
      </w:r>
    </w:p>
    <w:p w14:paraId="5D4C10C9">
      <w:pPr>
        <w:autoSpaceDE w:val="0"/>
        <w:autoSpaceDN w:val="0"/>
        <w:spacing w:before="55" w:line="360" w:lineRule="auto"/>
        <w:ind w:left="220" w:right="415" w:firstLine="640"/>
        <w:rPr>
          <w:rFonts w:ascii="宋体" w:hAnsi="宋体" w:cs="宋体"/>
          <w:kern w:val="0"/>
          <w:sz w:val="28"/>
          <w:szCs w:val="28"/>
        </w:rPr>
      </w:pPr>
      <w:r>
        <w:rPr>
          <w:rFonts w:hint="eastAsia" w:ascii="宋体" w:hAnsi="宋体" w:cs="宋体"/>
          <w:kern w:val="0"/>
          <w:sz w:val="28"/>
          <w:szCs w:val="28"/>
        </w:rPr>
        <w:t>本公司（联合体）郑重声明，根据《政府采购促进中小企业发展管理办法》（财库﹝2020﹞46 号）的规定，本公司（联合体）参加</w:t>
      </w:r>
      <w:r>
        <w:rPr>
          <w:rFonts w:hint="eastAsia" w:ascii="宋体" w:hAnsi="宋体" w:cs="宋体"/>
          <w:w w:val="95"/>
          <w:kern w:val="0"/>
          <w:sz w:val="28"/>
          <w:szCs w:val="28"/>
          <w:u w:val="single"/>
        </w:rPr>
        <w:t>（项目名称）</w:t>
      </w:r>
      <w:r>
        <w:rPr>
          <w:rFonts w:hint="eastAsia" w:ascii="宋体" w:hAnsi="宋体" w:cs="宋体"/>
          <w:kern w:val="0"/>
          <w:sz w:val="28"/>
          <w:szCs w:val="28"/>
        </w:rPr>
        <w:t>采购活动，提供的服务全部由符合政策要求的中小企业提供。相关企业（含联合体中的中小企业、签订分包意向协议的中小企业）的具体情况如下：</w:t>
      </w:r>
    </w:p>
    <w:p w14:paraId="270F879A">
      <w:pPr>
        <w:numPr>
          <w:ilvl w:val="0"/>
          <w:numId w:val="1"/>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8"/>
          <w:szCs w:val="28"/>
        </w:rPr>
      </w:pPr>
      <w:r>
        <w:rPr>
          <w:rFonts w:hint="eastAsia" w:ascii="宋体" w:hAnsi="宋体" w:cs="宋体"/>
          <w:i/>
          <w:iCs/>
          <w:kern w:val="0"/>
          <w:sz w:val="28"/>
          <w:szCs w:val="28"/>
          <w:u w:val="single"/>
        </w:rPr>
        <w:t>（</w:t>
      </w: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i/>
          <w:iCs/>
          <w:kern w:val="0"/>
          <w:sz w:val="28"/>
          <w:szCs w:val="28"/>
        </w:rPr>
        <w:t>（</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w w:val="95"/>
          <w:kern w:val="0"/>
          <w:sz w:val="28"/>
          <w:szCs w:val="28"/>
          <w:u w:val="single"/>
        </w:rPr>
        <w:t>（中型企业、小型企业、微型企业</w:t>
      </w:r>
      <w:r>
        <w:rPr>
          <w:rFonts w:hint="eastAsia" w:ascii="宋体" w:hAnsi="宋体" w:cs="宋体"/>
          <w:i/>
          <w:iCs/>
          <w:kern w:val="0"/>
          <w:sz w:val="28"/>
          <w:szCs w:val="28"/>
          <w:u w:val="single"/>
        </w:rPr>
        <w:t>）</w:t>
      </w:r>
      <w:r>
        <w:rPr>
          <w:rFonts w:hint="eastAsia" w:ascii="宋体" w:hAnsi="宋体" w:cs="宋体"/>
          <w:kern w:val="0"/>
          <w:sz w:val="28"/>
          <w:szCs w:val="28"/>
        </w:rPr>
        <w:t>；</w:t>
      </w:r>
    </w:p>
    <w:p w14:paraId="1F797309">
      <w:pPr>
        <w:numPr>
          <w:ilvl w:val="0"/>
          <w:numId w:val="1"/>
        </w:numPr>
        <w:tabs>
          <w:tab w:val="left" w:pos="1183"/>
          <w:tab w:val="left" w:pos="4362"/>
          <w:tab w:val="left" w:pos="6577"/>
        </w:tabs>
        <w:autoSpaceDE w:val="0"/>
        <w:autoSpaceDN w:val="0"/>
        <w:spacing w:line="360" w:lineRule="auto"/>
        <w:ind w:right="169" w:firstLine="655"/>
        <w:rPr>
          <w:rFonts w:ascii="宋体" w:hAnsi="宋体" w:cs="宋体"/>
          <w:kern w:val="0"/>
          <w:sz w:val="28"/>
          <w:szCs w:val="28"/>
        </w:rPr>
      </w:pPr>
      <w:r>
        <w:rPr>
          <w:rFonts w:hint="eastAsia" w:ascii="宋体" w:hAnsi="宋体" w:cs="宋体"/>
          <w:w w:val="95"/>
          <w:kern w:val="0"/>
          <w:sz w:val="28"/>
          <w:szCs w:val="28"/>
          <w:u w:val="single"/>
        </w:rPr>
        <w:t>（标的名称）</w:t>
      </w:r>
      <w:r>
        <w:rPr>
          <w:rFonts w:hint="eastAsia" w:ascii="宋体" w:hAnsi="宋体" w:cs="宋体"/>
          <w:kern w:val="0"/>
          <w:sz w:val="28"/>
          <w:szCs w:val="28"/>
        </w:rPr>
        <w:t>，属于</w:t>
      </w:r>
      <w:r>
        <w:rPr>
          <w:rFonts w:hint="eastAsia" w:ascii="宋体" w:hAnsi="宋体" w:cs="宋体"/>
          <w:w w:val="95"/>
          <w:kern w:val="0"/>
          <w:sz w:val="28"/>
          <w:szCs w:val="28"/>
          <w:u w:val="single"/>
        </w:rPr>
        <w:t>（采购文件中明确的所属行业）行业</w:t>
      </w:r>
      <w:r>
        <w:rPr>
          <w:rFonts w:hint="eastAsia" w:ascii="宋体" w:hAnsi="宋体" w:cs="宋体"/>
          <w:kern w:val="0"/>
          <w:sz w:val="28"/>
          <w:szCs w:val="28"/>
        </w:rPr>
        <w:t>；服务商为</w:t>
      </w:r>
      <w:r>
        <w:rPr>
          <w:rFonts w:hint="eastAsia" w:ascii="宋体" w:hAnsi="宋体" w:cs="宋体"/>
          <w:i/>
          <w:iCs/>
          <w:kern w:val="0"/>
          <w:sz w:val="28"/>
          <w:szCs w:val="28"/>
          <w:u w:val="single"/>
        </w:rPr>
        <w:t>（</w:t>
      </w:r>
      <w:r>
        <w:rPr>
          <w:rFonts w:hint="eastAsia" w:ascii="宋体" w:hAnsi="宋体" w:cs="宋体"/>
          <w:w w:val="95"/>
          <w:kern w:val="0"/>
          <w:sz w:val="28"/>
          <w:szCs w:val="28"/>
          <w:u w:val="single"/>
        </w:rPr>
        <w:t>企业名称）</w:t>
      </w:r>
      <w:r>
        <w:rPr>
          <w:rFonts w:hint="eastAsia" w:ascii="宋体" w:hAnsi="宋体" w:cs="宋体"/>
          <w:kern w:val="0"/>
          <w:sz w:val="28"/>
          <w:szCs w:val="28"/>
        </w:rPr>
        <w:t>，从业人员</w:t>
      </w:r>
      <w:r>
        <w:rPr>
          <w:rFonts w:hint="eastAsia" w:ascii="宋体" w:hAnsi="宋体" w:cs="宋体"/>
          <w:kern w:val="0"/>
          <w:sz w:val="28"/>
          <w:szCs w:val="28"/>
          <w:u w:val="single"/>
        </w:rPr>
        <w:tab/>
      </w:r>
      <w:r>
        <w:rPr>
          <w:rFonts w:hint="eastAsia" w:ascii="宋体" w:hAnsi="宋体" w:cs="宋体"/>
          <w:kern w:val="0"/>
          <w:sz w:val="28"/>
          <w:szCs w:val="28"/>
        </w:rPr>
        <w:t>人，营业收入为</w:t>
      </w:r>
      <w:r>
        <w:rPr>
          <w:rFonts w:hint="eastAsia" w:ascii="宋体" w:hAnsi="宋体" w:cs="宋体"/>
          <w:kern w:val="0"/>
          <w:sz w:val="28"/>
          <w:szCs w:val="28"/>
          <w:u w:val="single"/>
        </w:rPr>
        <w:tab/>
      </w:r>
      <w:r>
        <w:rPr>
          <w:rFonts w:hint="eastAsia" w:ascii="宋体" w:hAnsi="宋体" w:cs="宋体"/>
          <w:kern w:val="0"/>
          <w:sz w:val="28"/>
          <w:szCs w:val="28"/>
        </w:rPr>
        <w:t>万元，资产总额为</w:t>
      </w:r>
      <w:r>
        <w:rPr>
          <w:rFonts w:hint="eastAsia" w:ascii="宋体" w:hAnsi="宋体" w:cs="宋体"/>
          <w:kern w:val="0"/>
          <w:sz w:val="28"/>
          <w:szCs w:val="28"/>
          <w:u w:val="single"/>
        </w:rPr>
        <w:tab/>
      </w:r>
      <w:r>
        <w:rPr>
          <w:rFonts w:hint="eastAsia" w:ascii="宋体" w:hAnsi="宋体" w:cs="宋体"/>
          <w:kern w:val="0"/>
          <w:sz w:val="28"/>
          <w:szCs w:val="28"/>
        </w:rPr>
        <w:t>万元，属于</w:t>
      </w:r>
      <w:r>
        <w:rPr>
          <w:rFonts w:hint="eastAsia" w:ascii="宋体" w:hAnsi="宋体" w:cs="宋体"/>
          <w:i/>
          <w:iCs/>
          <w:kern w:val="0"/>
          <w:sz w:val="28"/>
          <w:szCs w:val="28"/>
          <w:u w:val="single"/>
        </w:rPr>
        <w:t>（</w:t>
      </w:r>
      <w:r>
        <w:rPr>
          <w:rFonts w:hint="eastAsia" w:ascii="宋体" w:hAnsi="宋体" w:cs="宋体"/>
          <w:w w:val="95"/>
          <w:kern w:val="0"/>
          <w:sz w:val="28"/>
          <w:szCs w:val="28"/>
          <w:u w:val="single"/>
        </w:rPr>
        <w:t>中型企业、小型企业、微型企业）</w:t>
      </w:r>
      <w:r>
        <w:rPr>
          <w:rFonts w:hint="eastAsia" w:ascii="宋体" w:hAnsi="宋体" w:cs="宋体"/>
          <w:kern w:val="0"/>
          <w:sz w:val="28"/>
          <w:szCs w:val="28"/>
        </w:rPr>
        <w:t>；</w:t>
      </w:r>
    </w:p>
    <w:p w14:paraId="341F6C7B">
      <w:pPr>
        <w:autoSpaceDE w:val="0"/>
        <w:autoSpaceDN w:val="0"/>
        <w:spacing w:line="360" w:lineRule="auto"/>
        <w:ind w:left="860"/>
        <w:rPr>
          <w:rFonts w:ascii="宋体" w:hAnsi="宋体" w:cs="宋体"/>
          <w:kern w:val="0"/>
          <w:sz w:val="28"/>
          <w:szCs w:val="28"/>
        </w:rPr>
      </w:pPr>
      <w:r>
        <w:rPr>
          <w:rFonts w:hint="eastAsia" w:ascii="宋体" w:hAnsi="宋体" w:cs="宋体"/>
          <w:kern w:val="0"/>
          <w:sz w:val="28"/>
          <w:szCs w:val="28"/>
        </w:rPr>
        <w:t>……</w:t>
      </w:r>
    </w:p>
    <w:p w14:paraId="7CAAF9E4">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以上企业，不属于大企业的分支机构，不存在控股股东为大企业的情形，也不存在与大企业的负责人为同一人的情形。</w:t>
      </w:r>
    </w:p>
    <w:p w14:paraId="0EB76BA6">
      <w:pPr>
        <w:autoSpaceDE w:val="0"/>
        <w:autoSpaceDN w:val="0"/>
        <w:spacing w:before="105" w:line="360" w:lineRule="auto"/>
        <w:ind w:left="220" w:right="417" w:firstLine="645"/>
        <w:rPr>
          <w:rFonts w:ascii="宋体" w:hAnsi="宋体" w:cs="宋体"/>
          <w:spacing w:val="-3"/>
          <w:kern w:val="0"/>
          <w:sz w:val="28"/>
          <w:szCs w:val="28"/>
        </w:rPr>
      </w:pPr>
      <w:r>
        <w:rPr>
          <w:rFonts w:hint="eastAsia" w:ascii="宋体" w:hAnsi="宋体" w:cs="宋体"/>
          <w:spacing w:val="-3"/>
          <w:kern w:val="0"/>
          <w:sz w:val="28"/>
          <w:szCs w:val="28"/>
        </w:rPr>
        <w:t>本企业对上述声明内容的真实性负责。如有虚假，将依法承担相应责任。</w:t>
      </w:r>
    </w:p>
    <w:p w14:paraId="26C7E9D6">
      <w:pPr>
        <w:kinsoku w:val="0"/>
        <w:topLinePunct/>
        <w:snapToGrid w:val="0"/>
        <w:spacing w:line="360" w:lineRule="auto"/>
        <w:ind w:firstLine="6020" w:firstLineChars="2150"/>
        <w:jc w:val="left"/>
        <w:rPr>
          <w:rFonts w:ascii="宋体" w:hAnsi="宋体" w:cs="宋体"/>
          <w:sz w:val="28"/>
          <w:szCs w:val="28"/>
        </w:rPr>
      </w:pPr>
      <w:r>
        <w:rPr>
          <w:rFonts w:hint="eastAsia" w:ascii="宋体" w:hAnsi="宋体" w:cs="宋体"/>
          <w:sz w:val="28"/>
          <w:szCs w:val="28"/>
        </w:rPr>
        <w:t>供应商：（盖章）</w:t>
      </w:r>
    </w:p>
    <w:p w14:paraId="75296A5A">
      <w:pPr>
        <w:kinsoku w:val="0"/>
        <w:topLinePunct/>
        <w:snapToGrid w:val="0"/>
        <w:spacing w:line="360" w:lineRule="auto"/>
        <w:ind w:firstLine="4760" w:firstLineChars="1700"/>
        <w:jc w:val="left"/>
        <w:rPr>
          <w:rFonts w:ascii="宋体" w:hAnsi="宋体" w:cs="宋体"/>
          <w:sz w:val="28"/>
          <w:szCs w:val="28"/>
        </w:rPr>
      </w:pPr>
      <w:r>
        <w:rPr>
          <w:rFonts w:hint="eastAsia" w:ascii="宋体" w:hAnsi="宋体" w:cs="宋体"/>
          <w:sz w:val="28"/>
          <w:szCs w:val="28"/>
        </w:rPr>
        <w:t>法定代表人或被授权人（签字或盖章）：</w:t>
      </w:r>
    </w:p>
    <w:p w14:paraId="15048F94">
      <w:pPr>
        <w:kinsoku w:val="0"/>
        <w:topLinePunct/>
        <w:snapToGrid w:val="0"/>
        <w:spacing w:line="360" w:lineRule="auto"/>
        <w:ind w:firstLine="6860" w:firstLineChars="2450"/>
        <w:jc w:val="left"/>
        <w:rPr>
          <w:rFonts w:ascii="宋体" w:hAnsi="宋体" w:cs="宋体"/>
          <w:sz w:val="28"/>
          <w:szCs w:val="28"/>
        </w:rPr>
      </w:pPr>
      <w:r>
        <w:rPr>
          <w:rFonts w:hint="eastAsia" w:ascii="宋体" w:hAnsi="宋体" w:cs="宋体"/>
          <w:sz w:val="28"/>
          <w:szCs w:val="28"/>
        </w:rPr>
        <w:t>日期：</w:t>
      </w:r>
    </w:p>
    <w:p w14:paraId="05E6D866">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7AA4EBAC">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6B4A5B8E">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4DA5E312">
      <w:pPr>
        <w:pStyle w:val="37"/>
        <w:ind w:firstLine="548"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1A735EA6">
      <w:pPr>
        <w:pStyle w:val="37"/>
        <w:ind w:firstLine="470" w:firstLineChars="196"/>
        <w:rPr>
          <w:rFonts w:ascii="宋体" w:hAnsi="宋体"/>
        </w:rPr>
      </w:pPr>
    </w:p>
    <w:p w14:paraId="78B2A738">
      <w:pPr>
        <w:pStyle w:val="37"/>
        <w:ind w:firstLine="5280" w:firstLineChars="2200"/>
        <w:rPr>
          <w:rFonts w:ascii="宋体" w:hAnsi="宋体"/>
        </w:rPr>
      </w:pPr>
    </w:p>
    <w:p w14:paraId="6627364D">
      <w:pPr>
        <w:snapToGrid w:val="0"/>
        <w:spacing w:line="300" w:lineRule="auto"/>
        <w:outlineLvl w:val="0"/>
        <w:rPr>
          <w:rFonts w:ascii="宋体" w:hAnsi="宋体" w:cs="仿宋"/>
          <w:sz w:val="28"/>
          <w:szCs w:val="28"/>
        </w:rPr>
      </w:pPr>
    </w:p>
    <w:p w14:paraId="50F946D8">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330D0176">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3E68B0D9">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5C5ED67A">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340BF5DF">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1AB96CEF">
      <w:pPr>
        <w:spacing w:line="588" w:lineRule="exact"/>
        <w:ind w:firstLine="584" w:firstLineChars="200"/>
        <w:rPr>
          <w:rFonts w:ascii="宋体" w:hAnsi="宋体" w:cs="仿宋"/>
          <w:spacing w:val="6"/>
          <w:sz w:val="28"/>
          <w:szCs w:val="28"/>
        </w:rPr>
      </w:pPr>
    </w:p>
    <w:p w14:paraId="2AC04763">
      <w:pPr>
        <w:spacing w:line="588" w:lineRule="exact"/>
        <w:ind w:firstLine="584" w:firstLineChars="200"/>
        <w:rPr>
          <w:rFonts w:ascii="宋体" w:hAnsi="宋体" w:cs="仿宋"/>
          <w:spacing w:val="6"/>
          <w:sz w:val="28"/>
          <w:szCs w:val="28"/>
        </w:rPr>
      </w:pPr>
    </w:p>
    <w:p w14:paraId="7AFC8B9B">
      <w:pPr>
        <w:spacing w:line="588" w:lineRule="exact"/>
        <w:ind w:firstLine="584" w:firstLineChars="200"/>
        <w:rPr>
          <w:rFonts w:ascii="宋体" w:hAnsi="宋体" w:cs="仿宋"/>
          <w:spacing w:val="6"/>
          <w:sz w:val="28"/>
          <w:szCs w:val="28"/>
        </w:rPr>
      </w:pPr>
    </w:p>
    <w:p w14:paraId="59D076EE">
      <w:pPr>
        <w:spacing w:line="588" w:lineRule="exact"/>
        <w:ind w:firstLine="584" w:firstLineChars="200"/>
        <w:rPr>
          <w:rFonts w:ascii="宋体" w:hAnsi="宋体" w:cs="仿宋"/>
          <w:spacing w:val="6"/>
          <w:sz w:val="28"/>
          <w:szCs w:val="28"/>
        </w:rPr>
      </w:pPr>
    </w:p>
    <w:p w14:paraId="504B060E">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38C9A0E9">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25F489C5">
      <w:pPr>
        <w:ind w:firstLine="420"/>
        <w:rPr>
          <w:rFonts w:ascii="宋体" w:hAnsi="宋体" w:cs="仿宋"/>
          <w:sz w:val="28"/>
          <w:szCs w:val="28"/>
        </w:rPr>
      </w:pPr>
    </w:p>
    <w:p w14:paraId="6EBCD8FE">
      <w:pPr>
        <w:snapToGrid w:val="0"/>
        <w:spacing w:line="300" w:lineRule="auto"/>
        <w:outlineLvl w:val="0"/>
        <w:rPr>
          <w:rFonts w:ascii="宋体" w:hAnsi="宋体" w:cs="仿宋"/>
          <w:sz w:val="28"/>
          <w:szCs w:val="28"/>
        </w:rPr>
      </w:pPr>
    </w:p>
    <w:p w14:paraId="64597DA2">
      <w:pPr>
        <w:snapToGrid w:val="0"/>
        <w:spacing w:line="300" w:lineRule="auto"/>
        <w:outlineLvl w:val="0"/>
        <w:rPr>
          <w:rFonts w:ascii="宋体" w:hAnsi="宋体" w:cs="仿宋"/>
          <w:sz w:val="28"/>
          <w:szCs w:val="28"/>
        </w:rPr>
      </w:pPr>
    </w:p>
    <w:p w14:paraId="50648E91">
      <w:pPr>
        <w:snapToGrid w:val="0"/>
        <w:spacing w:line="300" w:lineRule="auto"/>
        <w:outlineLvl w:val="0"/>
        <w:rPr>
          <w:rFonts w:ascii="宋体" w:hAnsi="宋体" w:cs="仿宋"/>
          <w:sz w:val="28"/>
          <w:szCs w:val="28"/>
        </w:rPr>
      </w:pPr>
    </w:p>
    <w:p w14:paraId="328DDA11">
      <w:pPr>
        <w:snapToGrid w:val="0"/>
        <w:spacing w:line="300" w:lineRule="auto"/>
        <w:outlineLvl w:val="0"/>
        <w:rPr>
          <w:rFonts w:ascii="宋体" w:hAnsi="宋体" w:cs="仿宋"/>
          <w:sz w:val="28"/>
          <w:szCs w:val="28"/>
        </w:rPr>
      </w:pPr>
    </w:p>
    <w:p w14:paraId="34FD0110">
      <w:pPr>
        <w:snapToGrid w:val="0"/>
        <w:spacing w:line="300" w:lineRule="auto"/>
        <w:outlineLvl w:val="0"/>
        <w:rPr>
          <w:rFonts w:ascii="宋体" w:hAnsi="宋体" w:cs="仿宋"/>
          <w:sz w:val="32"/>
          <w:szCs w:val="32"/>
        </w:rPr>
      </w:pPr>
    </w:p>
    <w:p w14:paraId="3CEDD704">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19016897">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1162AAA1">
      <w:pPr>
        <w:snapToGrid w:val="0"/>
        <w:spacing w:line="420" w:lineRule="exact"/>
        <w:ind w:firstLine="495" w:firstLineChars="177"/>
        <w:rPr>
          <w:rFonts w:ascii="宋体" w:hAnsi="宋体" w:cs="仿宋"/>
          <w:sz w:val="28"/>
          <w:szCs w:val="28"/>
        </w:rPr>
      </w:pPr>
    </w:p>
    <w:p w14:paraId="3113F3F7">
      <w:pPr>
        <w:snapToGrid w:val="0"/>
        <w:spacing w:line="420" w:lineRule="exact"/>
        <w:ind w:firstLine="495" w:firstLineChars="177"/>
        <w:rPr>
          <w:rFonts w:ascii="宋体" w:hAnsi="宋体" w:cs="仿宋"/>
          <w:b/>
          <w:sz w:val="28"/>
          <w:szCs w:val="28"/>
        </w:rPr>
      </w:pPr>
      <w:r>
        <w:rPr>
          <w:rFonts w:hint="eastAsia" w:ascii="宋体" w:hAnsi="宋体" w:cs="仿宋"/>
          <w:b/>
          <w:sz w:val="28"/>
          <w:szCs w:val="28"/>
        </w:rPr>
        <w:t>（格式自拟）</w:t>
      </w:r>
    </w:p>
    <w:p w14:paraId="20944D1D">
      <w:pPr>
        <w:snapToGrid w:val="0"/>
        <w:spacing w:line="420" w:lineRule="exact"/>
        <w:ind w:firstLine="495" w:firstLineChars="177"/>
        <w:rPr>
          <w:rFonts w:ascii="宋体" w:hAnsi="宋体" w:cs="仿宋"/>
          <w:sz w:val="28"/>
          <w:szCs w:val="28"/>
        </w:rPr>
      </w:pPr>
    </w:p>
    <w:p w14:paraId="016CF70C">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A16C29E">
      <w:pPr>
        <w:pStyle w:val="74"/>
        <w:rPr>
          <w:rFonts w:hAnsi="宋体"/>
        </w:rPr>
        <w:sectPr>
          <w:headerReference r:id="rId5" w:type="default"/>
          <w:pgSz w:w="11906" w:h="16838"/>
          <w:pgMar w:top="1134" w:right="1134" w:bottom="1134" w:left="1134" w:header="851" w:footer="992" w:gutter="0"/>
          <w:cols w:space="720" w:num="1"/>
          <w:docGrid w:type="linesAndChars" w:linePitch="312" w:charSpace="0"/>
        </w:sectPr>
      </w:pPr>
    </w:p>
    <w:p w14:paraId="70C86360">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5FC5F855">
      <w:pPr>
        <w:jc w:val="center"/>
        <w:rPr>
          <w:rFonts w:ascii="宋体" w:hAnsi="宋体" w:cs="仿宋"/>
          <w:bCs/>
          <w:sz w:val="44"/>
          <w:szCs w:val="44"/>
        </w:rPr>
      </w:pPr>
      <w:r>
        <w:rPr>
          <w:rFonts w:hint="eastAsia" w:ascii="宋体" w:hAnsi="宋体" w:cs="仿宋"/>
          <w:bCs/>
          <w:sz w:val="44"/>
          <w:szCs w:val="44"/>
        </w:rPr>
        <w:t>质疑函范本</w:t>
      </w:r>
    </w:p>
    <w:p w14:paraId="0720212A">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04C8E59E">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44061B2C">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3109E889">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669112ED">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14A4555B">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14549361">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420E9C6D">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29757949">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01FAFADA">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60F4D811">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73F77CAE">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11585161">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4A7B47F3">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5DE16ABC">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53FAE83C">
      <w:pPr>
        <w:adjustRightInd w:val="0"/>
        <w:snapToGrid w:val="0"/>
        <w:spacing w:line="460" w:lineRule="exact"/>
        <w:rPr>
          <w:rFonts w:ascii="宋体" w:hAnsi="宋体" w:cs="仿宋"/>
          <w:sz w:val="28"/>
          <w:szCs w:val="28"/>
        </w:rPr>
      </w:pPr>
    </w:p>
    <w:p w14:paraId="4C62C382">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289673AE">
      <w:pPr>
        <w:adjustRightInd w:val="0"/>
        <w:snapToGrid w:val="0"/>
        <w:spacing w:line="460" w:lineRule="exact"/>
        <w:rPr>
          <w:rFonts w:ascii="宋体" w:hAnsi="宋体" w:cs="仿宋"/>
          <w:sz w:val="28"/>
          <w:szCs w:val="28"/>
          <w:u w:val="dotted"/>
        </w:rPr>
      </w:pPr>
    </w:p>
    <w:p w14:paraId="5D489B87">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06B275AA">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69A50177">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233F2CB5">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7EF26B38">
      <w:pPr>
        <w:spacing w:line="460" w:lineRule="exact"/>
        <w:rPr>
          <w:rFonts w:ascii="宋体" w:hAnsi="宋体"/>
          <w:sz w:val="28"/>
          <w:szCs w:val="28"/>
        </w:rPr>
      </w:pPr>
      <w:r>
        <w:rPr>
          <w:rFonts w:hint="eastAsia" w:ascii="宋体" w:hAnsi="宋体"/>
          <w:sz w:val="28"/>
          <w:szCs w:val="28"/>
        </w:rPr>
        <w:t xml:space="preserve">签字(签章)：                   公章：                      </w:t>
      </w:r>
    </w:p>
    <w:p w14:paraId="644A6BA5">
      <w:pPr>
        <w:spacing w:line="460" w:lineRule="exact"/>
        <w:rPr>
          <w:rFonts w:ascii="宋体" w:hAnsi="宋体"/>
          <w:sz w:val="28"/>
          <w:szCs w:val="28"/>
        </w:rPr>
      </w:pPr>
      <w:r>
        <w:rPr>
          <w:rFonts w:hint="eastAsia" w:ascii="宋体" w:hAnsi="宋体"/>
          <w:sz w:val="28"/>
          <w:szCs w:val="28"/>
        </w:rPr>
        <w:t xml:space="preserve">日期：    </w:t>
      </w:r>
    </w:p>
    <w:p w14:paraId="3C3043F1">
      <w:pPr>
        <w:adjustRightInd w:val="0"/>
        <w:snapToGrid w:val="0"/>
        <w:spacing w:line="360" w:lineRule="auto"/>
        <w:rPr>
          <w:rFonts w:ascii="宋体" w:hAnsi="宋体" w:cs="仿宋"/>
          <w:sz w:val="28"/>
          <w:szCs w:val="28"/>
        </w:rPr>
      </w:pPr>
    </w:p>
    <w:p w14:paraId="7718F293">
      <w:pPr>
        <w:rPr>
          <w:rFonts w:ascii="宋体" w:hAnsi="宋体"/>
          <w:b/>
          <w:sz w:val="28"/>
          <w:szCs w:val="28"/>
        </w:rPr>
      </w:pPr>
    </w:p>
    <w:p w14:paraId="7367084B">
      <w:pPr>
        <w:rPr>
          <w:rFonts w:ascii="宋体" w:hAnsi="宋体"/>
          <w:b/>
          <w:sz w:val="28"/>
          <w:szCs w:val="28"/>
        </w:rPr>
      </w:pPr>
      <w:r>
        <w:rPr>
          <w:rFonts w:hint="eastAsia" w:ascii="宋体" w:hAnsi="宋体"/>
          <w:b/>
          <w:sz w:val="28"/>
          <w:szCs w:val="28"/>
        </w:rPr>
        <w:t>质疑函制作说明：</w:t>
      </w:r>
    </w:p>
    <w:p w14:paraId="2A31A83E">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19D9A564">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49E9491C">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4B60A5C1">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40150C5C">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7A2A224D">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37669DE9">
      <w:pPr>
        <w:pStyle w:val="2"/>
      </w:pPr>
    </w:p>
    <w:p w14:paraId="0D453A42"/>
    <w:p w14:paraId="5227509E">
      <w:pPr>
        <w:pStyle w:val="2"/>
      </w:pPr>
    </w:p>
    <w:p w14:paraId="23C05608"/>
    <w:p w14:paraId="67562D4D">
      <w:pPr>
        <w:pStyle w:val="2"/>
      </w:pPr>
    </w:p>
    <w:p w14:paraId="6EF7B9B4"/>
    <w:p w14:paraId="006C1D92">
      <w:pPr>
        <w:pStyle w:val="2"/>
      </w:pPr>
    </w:p>
    <w:p w14:paraId="1FB7820D"/>
    <w:p w14:paraId="4093791A">
      <w:pPr>
        <w:pStyle w:val="2"/>
      </w:pPr>
    </w:p>
    <w:p w14:paraId="2916D8C9"/>
    <w:p w14:paraId="1BC164BC">
      <w:pPr>
        <w:pStyle w:val="2"/>
      </w:pPr>
    </w:p>
    <w:p w14:paraId="49C9B0D0"/>
    <w:p w14:paraId="5496C182">
      <w:pPr>
        <w:pStyle w:val="2"/>
      </w:pPr>
    </w:p>
    <w:p w14:paraId="37CF43A7"/>
    <w:p w14:paraId="233F0BE6">
      <w:pPr>
        <w:snapToGrid w:val="0"/>
        <w:spacing w:line="400" w:lineRule="exact"/>
        <w:contextualSpacing/>
        <w:rPr>
          <w:rFonts w:ascii="宋体" w:hAnsi="宋体"/>
          <w:sz w:val="32"/>
          <w:szCs w:val="32"/>
        </w:rPr>
      </w:pPr>
    </w:p>
    <w:p w14:paraId="0C0FCC0F">
      <w:pPr>
        <w:spacing w:line="460" w:lineRule="exact"/>
        <w:rPr>
          <w:sz w:val="28"/>
          <w:szCs w:val="28"/>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ingFang SC">
    <w:altName w:val="微软雅黑"/>
    <w:panose1 w:val="00000000000000000000"/>
    <w:charset w:val="86"/>
    <w:family w:val="auto"/>
    <w:pitch w:val="default"/>
    <w:sig w:usb0="00000000" w:usb1="00000000" w:usb2="00000017"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8273">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EED3B">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AE805">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4059D0"/>
    <w:rsid w:val="0001723B"/>
    <w:rsid w:val="00021A1D"/>
    <w:rsid w:val="00023D1C"/>
    <w:rsid w:val="0003455F"/>
    <w:rsid w:val="0004632B"/>
    <w:rsid w:val="00046E24"/>
    <w:rsid w:val="00055F8C"/>
    <w:rsid w:val="000633D1"/>
    <w:rsid w:val="00067B26"/>
    <w:rsid w:val="00072979"/>
    <w:rsid w:val="00082796"/>
    <w:rsid w:val="00095D76"/>
    <w:rsid w:val="000A70CA"/>
    <w:rsid w:val="000A73AA"/>
    <w:rsid w:val="000B10AC"/>
    <w:rsid w:val="000C6259"/>
    <w:rsid w:val="000D6F13"/>
    <w:rsid w:val="000E7A73"/>
    <w:rsid w:val="0010119D"/>
    <w:rsid w:val="00116DB1"/>
    <w:rsid w:val="001265AA"/>
    <w:rsid w:val="00142580"/>
    <w:rsid w:val="0017488E"/>
    <w:rsid w:val="00174A84"/>
    <w:rsid w:val="00184784"/>
    <w:rsid w:val="001A2BE9"/>
    <w:rsid w:val="001A7D42"/>
    <w:rsid w:val="001B091D"/>
    <w:rsid w:val="001B2F43"/>
    <w:rsid w:val="001B44F3"/>
    <w:rsid w:val="001B74EB"/>
    <w:rsid w:val="001C3A94"/>
    <w:rsid w:val="001C673D"/>
    <w:rsid w:val="001D4505"/>
    <w:rsid w:val="001D64C7"/>
    <w:rsid w:val="001E1608"/>
    <w:rsid w:val="001E28D5"/>
    <w:rsid w:val="001E3677"/>
    <w:rsid w:val="001E60BE"/>
    <w:rsid w:val="00220A25"/>
    <w:rsid w:val="00242BAF"/>
    <w:rsid w:val="00275AA1"/>
    <w:rsid w:val="00275EBB"/>
    <w:rsid w:val="00277AE5"/>
    <w:rsid w:val="002913CD"/>
    <w:rsid w:val="002B0E60"/>
    <w:rsid w:val="002C198F"/>
    <w:rsid w:val="002C73DB"/>
    <w:rsid w:val="002E3F70"/>
    <w:rsid w:val="00320424"/>
    <w:rsid w:val="00332A55"/>
    <w:rsid w:val="00362597"/>
    <w:rsid w:val="003806B7"/>
    <w:rsid w:val="00381F29"/>
    <w:rsid w:val="003875F4"/>
    <w:rsid w:val="003910AE"/>
    <w:rsid w:val="00393292"/>
    <w:rsid w:val="003976A4"/>
    <w:rsid w:val="003A7F99"/>
    <w:rsid w:val="003D0891"/>
    <w:rsid w:val="003E0BFC"/>
    <w:rsid w:val="003E0D69"/>
    <w:rsid w:val="003E2999"/>
    <w:rsid w:val="004059D0"/>
    <w:rsid w:val="00405BA7"/>
    <w:rsid w:val="00405BDB"/>
    <w:rsid w:val="004150E0"/>
    <w:rsid w:val="00423984"/>
    <w:rsid w:val="00441B20"/>
    <w:rsid w:val="00443FEA"/>
    <w:rsid w:val="004445A3"/>
    <w:rsid w:val="00450610"/>
    <w:rsid w:val="00457704"/>
    <w:rsid w:val="00457E29"/>
    <w:rsid w:val="004700F5"/>
    <w:rsid w:val="00470C3A"/>
    <w:rsid w:val="00473688"/>
    <w:rsid w:val="00494FC6"/>
    <w:rsid w:val="004B7B34"/>
    <w:rsid w:val="004C0DFE"/>
    <w:rsid w:val="004E6AA5"/>
    <w:rsid w:val="004E74B7"/>
    <w:rsid w:val="004F6B01"/>
    <w:rsid w:val="005126EE"/>
    <w:rsid w:val="00513FD4"/>
    <w:rsid w:val="0052286E"/>
    <w:rsid w:val="00523BB9"/>
    <w:rsid w:val="00536516"/>
    <w:rsid w:val="00540829"/>
    <w:rsid w:val="00546BC1"/>
    <w:rsid w:val="00547E11"/>
    <w:rsid w:val="00552E12"/>
    <w:rsid w:val="00572666"/>
    <w:rsid w:val="00572A4D"/>
    <w:rsid w:val="00577E5F"/>
    <w:rsid w:val="00577EFA"/>
    <w:rsid w:val="00582768"/>
    <w:rsid w:val="00591067"/>
    <w:rsid w:val="005922A7"/>
    <w:rsid w:val="005B0B68"/>
    <w:rsid w:val="005B2BF8"/>
    <w:rsid w:val="005C3508"/>
    <w:rsid w:val="005E50BD"/>
    <w:rsid w:val="005F245C"/>
    <w:rsid w:val="005F44B2"/>
    <w:rsid w:val="00601D36"/>
    <w:rsid w:val="00615122"/>
    <w:rsid w:val="006457DA"/>
    <w:rsid w:val="00691303"/>
    <w:rsid w:val="006A27BE"/>
    <w:rsid w:val="006C31C7"/>
    <w:rsid w:val="006C3B85"/>
    <w:rsid w:val="006C7A37"/>
    <w:rsid w:val="00702201"/>
    <w:rsid w:val="007039C1"/>
    <w:rsid w:val="00707ACF"/>
    <w:rsid w:val="00713FA7"/>
    <w:rsid w:val="00715532"/>
    <w:rsid w:val="00730E4A"/>
    <w:rsid w:val="00765B9F"/>
    <w:rsid w:val="00767B24"/>
    <w:rsid w:val="007846B5"/>
    <w:rsid w:val="007924CC"/>
    <w:rsid w:val="007A42B9"/>
    <w:rsid w:val="007B2D25"/>
    <w:rsid w:val="007C48B4"/>
    <w:rsid w:val="007E0EC5"/>
    <w:rsid w:val="007E387E"/>
    <w:rsid w:val="007E5122"/>
    <w:rsid w:val="007F1078"/>
    <w:rsid w:val="00801953"/>
    <w:rsid w:val="0082100A"/>
    <w:rsid w:val="00827F57"/>
    <w:rsid w:val="00832A79"/>
    <w:rsid w:val="008340CE"/>
    <w:rsid w:val="00861F8E"/>
    <w:rsid w:val="0088060C"/>
    <w:rsid w:val="008A184C"/>
    <w:rsid w:val="008D0578"/>
    <w:rsid w:val="008D3514"/>
    <w:rsid w:val="008D3E8C"/>
    <w:rsid w:val="008D6C49"/>
    <w:rsid w:val="008F3683"/>
    <w:rsid w:val="00927ACA"/>
    <w:rsid w:val="00942E74"/>
    <w:rsid w:val="0094650E"/>
    <w:rsid w:val="00956206"/>
    <w:rsid w:val="00956B89"/>
    <w:rsid w:val="009705CF"/>
    <w:rsid w:val="00982B34"/>
    <w:rsid w:val="00987592"/>
    <w:rsid w:val="00995A91"/>
    <w:rsid w:val="009D3412"/>
    <w:rsid w:val="009E2C40"/>
    <w:rsid w:val="009F3919"/>
    <w:rsid w:val="009F4122"/>
    <w:rsid w:val="00A21F4A"/>
    <w:rsid w:val="00A44AF6"/>
    <w:rsid w:val="00A47263"/>
    <w:rsid w:val="00A51D30"/>
    <w:rsid w:val="00A53828"/>
    <w:rsid w:val="00A947F0"/>
    <w:rsid w:val="00AB4F7A"/>
    <w:rsid w:val="00AC3737"/>
    <w:rsid w:val="00AC40CB"/>
    <w:rsid w:val="00AE3CF2"/>
    <w:rsid w:val="00AF367B"/>
    <w:rsid w:val="00AF5CEE"/>
    <w:rsid w:val="00B11A02"/>
    <w:rsid w:val="00B149E7"/>
    <w:rsid w:val="00B23308"/>
    <w:rsid w:val="00B26E58"/>
    <w:rsid w:val="00B3695F"/>
    <w:rsid w:val="00B552AC"/>
    <w:rsid w:val="00B66353"/>
    <w:rsid w:val="00B77FFA"/>
    <w:rsid w:val="00B827EA"/>
    <w:rsid w:val="00BB470B"/>
    <w:rsid w:val="00BF195E"/>
    <w:rsid w:val="00C05B31"/>
    <w:rsid w:val="00C122A9"/>
    <w:rsid w:val="00C403A3"/>
    <w:rsid w:val="00C539B5"/>
    <w:rsid w:val="00C566DC"/>
    <w:rsid w:val="00C652B0"/>
    <w:rsid w:val="00C71F33"/>
    <w:rsid w:val="00C755A2"/>
    <w:rsid w:val="00CA62E3"/>
    <w:rsid w:val="00CC22E7"/>
    <w:rsid w:val="00CD6214"/>
    <w:rsid w:val="00CF2D8A"/>
    <w:rsid w:val="00D06688"/>
    <w:rsid w:val="00D32BA8"/>
    <w:rsid w:val="00D33C52"/>
    <w:rsid w:val="00D4023E"/>
    <w:rsid w:val="00D53DFF"/>
    <w:rsid w:val="00D70656"/>
    <w:rsid w:val="00D73098"/>
    <w:rsid w:val="00D75509"/>
    <w:rsid w:val="00DA7026"/>
    <w:rsid w:val="00DD4E7F"/>
    <w:rsid w:val="00E1149A"/>
    <w:rsid w:val="00E17D0A"/>
    <w:rsid w:val="00E17DA4"/>
    <w:rsid w:val="00E2091E"/>
    <w:rsid w:val="00E25B47"/>
    <w:rsid w:val="00E2696C"/>
    <w:rsid w:val="00E26EB6"/>
    <w:rsid w:val="00E31AE3"/>
    <w:rsid w:val="00E81809"/>
    <w:rsid w:val="00EE38B8"/>
    <w:rsid w:val="00EF3FF0"/>
    <w:rsid w:val="00EF4F79"/>
    <w:rsid w:val="00F043C3"/>
    <w:rsid w:val="00F251CE"/>
    <w:rsid w:val="00F42D17"/>
    <w:rsid w:val="00F56984"/>
    <w:rsid w:val="00F76323"/>
    <w:rsid w:val="00FA55AF"/>
    <w:rsid w:val="00FA798C"/>
    <w:rsid w:val="00FB1019"/>
    <w:rsid w:val="00FD5E6E"/>
    <w:rsid w:val="00FE0864"/>
    <w:rsid w:val="00FF28F7"/>
    <w:rsid w:val="00FF3497"/>
    <w:rsid w:val="025567EB"/>
    <w:rsid w:val="08EA2B8D"/>
    <w:rsid w:val="0A8B3FB8"/>
    <w:rsid w:val="0D755B9A"/>
    <w:rsid w:val="0D780CCE"/>
    <w:rsid w:val="0E6D42A4"/>
    <w:rsid w:val="0F604D1B"/>
    <w:rsid w:val="134B5798"/>
    <w:rsid w:val="136A5F2F"/>
    <w:rsid w:val="14AB6873"/>
    <w:rsid w:val="157F0EBB"/>
    <w:rsid w:val="174F649F"/>
    <w:rsid w:val="18394798"/>
    <w:rsid w:val="19B117EF"/>
    <w:rsid w:val="1B9C268B"/>
    <w:rsid w:val="1CEF43FD"/>
    <w:rsid w:val="1EAC6A29"/>
    <w:rsid w:val="1ED10481"/>
    <w:rsid w:val="20DF30E6"/>
    <w:rsid w:val="20E11063"/>
    <w:rsid w:val="24223249"/>
    <w:rsid w:val="24741D97"/>
    <w:rsid w:val="28C0401F"/>
    <w:rsid w:val="2ED438FE"/>
    <w:rsid w:val="336539BD"/>
    <w:rsid w:val="3555351F"/>
    <w:rsid w:val="48EF7C29"/>
    <w:rsid w:val="4A3A056B"/>
    <w:rsid w:val="4BFE0015"/>
    <w:rsid w:val="4CBB0392"/>
    <w:rsid w:val="549F610D"/>
    <w:rsid w:val="563770D5"/>
    <w:rsid w:val="5B48305A"/>
    <w:rsid w:val="5D7616CD"/>
    <w:rsid w:val="61076234"/>
    <w:rsid w:val="63360671"/>
    <w:rsid w:val="64A57607"/>
    <w:rsid w:val="661A68A1"/>
    <w:rsid w:val="67FB4AE2"/>
    <w:rsid w:val="6A08286B"/>
    <w:rsid w:val="6B2111D2"/>
    <w:rsid w:val="6BBB5183"/>
    <w:rsid w:val="704D3A52"/>
    <w:rsid w:val="73886292"/>
    <w:rsid w:val="748F1CDA"/>
    <w:rsid w:val="7A1C04C2"/>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7"/>
    <w:qFormat/>
    <w:uiPriority w:val="0"/>
    <w:pPr>
      <w:keepNext/>
      <w:jc w:val="center"/>
      <w:outlineLvl w:val="3"/>
    </w:pPr>
    <w:rPr>
      <w:rFonts w:eastAsia="新宋体"/>
      <w:kern w:val="0"/>
      <w:sz w:val="30"/>
      <w:szCs w:val="21"/>
    </w:rPr>
  </w:style>
  <w:style w:type="paragraph" w:styleId="6">
    <w:name w:val="heading 5"/>
    <w:basedOn w:val="1"/>
    <w:next w:val="1"/>
    <w:link w:val="51"/>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2"/>
    <w:qFormat/>
    <w:uiPriority w:val="0"/>
    <w:pPr>
      <w:keepNext/>
      <w:jc w:val="center"/>
      <w:outlineLvl w:val="5"/>
    </w:pPr>
    <w:rPr>
      <w:b/>
      <w:kern w:val="0"/>
      <w:sz w:val="44"/>
      <w:szCs w:val="20"/>
    </w:rPr>
  </w:style>
  <w:style w:type="paragraph" w:styleId="10">
    <w:name w:val="heading 7"/>
    <w:basedOn w:val="1"/>
    <w:next w:val="1"/>
    <w:link w:val="55"/>
    <w:qFormat/>
    <w:uiPriority w:val="0"/>
    <w:pPr>
      <w:keepNext/>
      <w:keepLines/>
      <w:spacing w:before="240" w:after="64" w:line="320" w:lineRule="auto"/>
      <w:outlineLvl w:val="6"/>
    </w:pPr>
    <w:rPr>
      <w:b/>
      <w:bCs/>
      <w:kern w:val="0"/>
      <w:sz w:val="24"/>
    </w:rPr>
  </w:style>
  <w:style w:type="paragraph" w:styleId="11">
    <w:name w:val="heading 8"/>
    <w:basedOn w:val="1"/>
    <w:next w:val="1"/>
    <w:link w:val="56"/>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7"/>
    <w:qFormat/>
    <w:uiPriority w:val="0"/>
    <w:pPr>
      <w:keepNext/>
      <w:keepLines/>
      <w:spacing w:before="240" w:after="64" w:line="320" w:lineRule="auto"/>
      <w:outlineLvl w:val="8"/>
    </w:pPr>
    <w:rPr>
      <w:rFonts w:ascii="Arial" w:hAnsi="Arial" w:eastAsia="黑体"/>
      <w:kern w:val="0"/>
      <w:sz w:val="24"/>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3"/>
    <w:qFormat/>
    <w:uiPriority w:val="0"/>
    <w:pPr>
      <w:ind w:firstLine="420"/>
    </w:pPr>
    <w:rPr>
      <w:kern w:val="0"/>
      <w:sz w:val="20"/>
      <w:szCs w:val="20"/>
    </w:rPr>
  </w:style>
  <w:style w:type="paragraph" w:styleId="9">
    <w:name w:val="Plain Text"/>
    <w:basedOn w:val="1"/>
    <w:link w:val="54"/>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8"/>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9"/>
    <w:unhideWhenUsed/>
    <w:qFormat/>
    <w:uiPriority w:val="99"/>
    <w:pPr>
      <w:jc w:val="left"/>
    </w:pPr>
  </w:style>
  <w:style w:type="paragraph" w:styleId="17">
    <w:name w:val="Body Text 3"/>
    <w:basedOn w:val="1"/>
    <w:link w:val="60"/>
    <w:qFormat/>
    <w:uiPriority w:val="0"/>
    <w:pPr>
      <w:spacing w:after="120"/>
    </w:pPr>
    <w:rPr>
      <w:kern w:val="0"/>
      <w:sz w:val="16"/>
      <w:szCs w:val="16"/>
    </w:rPr>
  </w:style>
  <w:style w:type="paragraph" w:styleId="18">
    <w:name w:val="Body Text"/>
    <w:basedOn w:val="1"/>
    <w:next w:val="19"/>
    <w:link w:val="61"/>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2"/>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index 4"/>
    <w:basedOn w:val="1"/>
    <w:next w:val="1"/>
    <w:unhideWhenUsed/>
    <w:qFormat/>
    <w:uiPriority w:val="99"/>
    <w:pPr>
      <w:ind w:left="600" w:leftChars="600"/>
    </w:pPr>
    <w:rPr>
      <w:rFonts w:ascii="Verdana" w:hAnsi="Verdana"/>
      <w:kern w:val="0"/>
      <w:sz w:val="24"/>
      <w:szCs w:val="20"/>
    </w:rPr>
  </w:style>
  <w:style w:type="paragraph" w:styleId="25">
    <w:name w:val="Date"/>
    <w:basedOn w:val="1"/>
    <w:next w:val="1"/>
    <w:link w:val="63"/>
    <w:qFormat/>
    <w:uiPriority w:val="0"/>
    <w:rPr>
      <w:kern w:val="0"/>
      <w:sz w:val="24"/>
      <w:szCs w:val="20"/>
    </w:rPr>
  </w:style>
  <w:style w:type="paragraph" w:styleId="26">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7">
    <w:name w:val="Balloon Text"/>
    <w:basedOn w:val="1"/>
    <w:link w:val="65"/>
    <w:semiHidden/>
    <w:qFormat/>
    <w:uiPriority w:val="0"/>
    <w:rPr>
      <w:kern w:val="0"/>
      <w:sz w:val="18"/>
      <w:szCs w:val="18"/>
    </w:rPr>
  </w:style>
  <w:style w:type="paragraph" w:styleId="28">
    <w:name w:val="footer"/>
    <w:basedOn w:val="1"/>
    <w:link w:val="66"/>
    <w:qFormat/>
    <w:uiPriority w:val="0"/>
    <w:pPr>
      <w:tabs>
        <w:tab w:val="center" w:pos="4153"/>
        <w:tab w:val="right" w:pos="8306"/>
      </w:tabs>
      <w:snapToGrid w:val="0"/>
      <w:jc w:val="left"/>
    </w:pPr>
    <w:rPr>
      <w:kern w:val="0"/>
      <w:sz w:val="18"/>
      <w:szCs w:val="20"/>
    </w:rPr>
  </w:style>
  <w:style w:type="paragraph" w:styleId="29">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rPr>
      <w:sz w:val="24"/>
    </w:rPr>
  </w:style>
  <w:style w:type="paragraph" w:styleId="31">
    <w:name w:val="List"/>
    <w:basedOn w:val="1"/>
    <w:qFormat/>
    <w:uiPriority w:val="0"/>
    <w:pPr>
      <w:ind w:left="200" w:hanging="200" w:hangingChars="200"/>
    </w:pPr>
  </w:style>
  <w:style w:type="paragraph" w:styleId="32">
    <w:name w:val="Body Text Indent 3"/>
    <w:basedOn w:val="1"/>
    <w:next w:val="15"/>
    <w:link w:val="68"/>
    <w:qFormat/>
    <w:uiPriority w:val="0"/>
    <w:pPr>
      <w:spacing w:after="120"/>
      <w:ind w:left="420" w:leftChars="200"/>
    </w:pPr>
    <w:rPr>
      <w:kern w:val="0"/>
      <w:sz w:val="16"/>
      <w:szCs w:val="16"/>
    </w:rPr>
  </w:style>
  <w:style w:type="paragraph" w:styleId="33">
    <w:name w:val="Body Text 2"/>
    <w:basedOn w:val="1"/>
    <w:link w:val="69"/>
    <w:qFormat/>
    <w:uiPriority w:val="0"/>
    <w:pPr>
      <w:snapToGrid w:val="0"/>
    </w:pPr>
    <w:rPr>
      <w:b/>
      <w:bCs/>
      <w:kern w:val="0"/>
      <w:sz w:val="18"/>
    </w:rPr>
  </w:style>
  <w:style w:type="paragraph" w:styleId="34">
    <w:name w:val="HTML Preformatted"/>
    <w:basedOn w:val="1"/>
    <w:link w:val="7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6">
    <w:name w:val="annotation subject"/>
    <w:basedOn w:val="16"/>
    <w:next w:val="16"/>
    <w:link w:val="71"/>
    <w:unhideWhenUsed/>
    <w:qFormat/>
    <w:uiPriority w:val="99"/>
    <w:rPr>
      <w:b/>
      <w:bCs/>
    </w:rPr>
  </w:style>
  <w:style w:type="paragraph" w:styleId="37">
    <w:name w:val="Body Text First Indent"/>
    <w:basedOn w:val="18"/>
    <w:next w:val="38"/>
    <w:link w:val="72"/>
    <w:qFormat/>
    <w:uiPriority w:val="0"/>
    <w:pPr>
      <w:spacing w:after="120"/>
      <w:ind w:firstLine="420" w:firstLineChars="100"/>
    </w:pPr>
    <w:rPr>
      <w:rFonts w:ascii="Times New Roman" w:eastAsia="宋体"/>
      <w:szCs w:val="24"/>
    </w:rPr>
  </w:style>
  <w:style w:type="paragraph" w:styleId="38">
    <w:name w:val="Body Text First Indent 2"/>
    <w:basedOn w:val="21"/>
    <w:next w:val="1"/>
    <w:unhideWhenUsed/>
    <w:qFormat/>
    <w:uiPriority w:val="99"/>
    <w:pPr>
      <w:ind w:firstLine="200" w:firstLineChars="200"/>
    </w:pPr>
  </w:style>
  <w:style w:type="table" w:styleId="40">
    <w:name w:val="Table Grid"/>
    <w:basedOn w:val="3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qFormat/>
    <w:uiPriority w:val="0"/>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basedOn w:val="41"/>
    <w:unhideWhenUsed/>
    <w:qFormat/>
    <w:uiPriority w:val="99"/>
    <w:rPr>
      <w:sz w:val="21"/>
      <w:szCs w:val="21"/>
    </w:rPr>
  </w:style>
  <w:style w:type="character" w:customStyle="1" w:styleId="47">
    <w:name w:val="标题 4 Char"/>
    <w:link w:val="2"/>
    <w:qFormat/>
    <w:uiPriority w:val="0"/>
    <w:rPr>
      <w:rFonts w:ascii="Times New Roman" w:hAnsi="Times New Roman" w:eastAsia="新宋体" w:cs="Times New Roman"/>
      <w:sz w:val="30"/>
      <w:szCs w:val="21"/>
    </w:rPr>
  </w:style>
  <w:style w:type="character" w:customStyle="1" w:styleId="48">
    <w:name w:val="标题 1 Char"/>
    <w:link w:val="3"/>
    <w:qFormat/>
    <w:uiPriority w:val="0"/>
    <w:rPr>
      <w:rFonts w:ascii="Times New Roman" w:hAnsi="Times New Roman" w:eastAsia="宋体" w:cs="Times New Roman"/>
      <w:b/>
      <w:bCs/>
      <w:kern w:val="44"/>
      <w:sz w:val="44"/>
      <w:szCs w:val="44"/>
    </w:rPr>
  </w:style>
  <w:style w:type="character" w:customStyle="1" w:styleId="49">
    <w:name w:val="标题 2 Char"/>
    <w:link w:val="4"/>
    <w:qFormat/>
    <w:uiPriority w:val="0"/>
    <w:rPr>
      <w:rFonts w:ascii="Arial" w:hAnsi="Arial" w:eastAsia="黑体" w:cs="Times New Roman"/>
      <w:b/>
      <w:bCs/>
      <w:sz w:val="32"/>
      <w:szCs w:val="32"/>
    </w:rPr>
  </w:style>
  <w:style w:type="character" w:customStyle="1" w:styleId="50">
    <w:name w:val="标题 3 Char"/>
    <w:link w:val="5"/>
    <w:qFormat/>
    <w:uiPriority w:val="0"/>
    <w:rPr>
      <w:rFonts w:ascii="Times New Roman" w:hAnsi="Times New Roman" w:eastAsia="宋体" w:cs="Times New Roman"/>
      <w:b/>
      <w:bCs/>
      <w:sz w:val="32"/>
      <w:szCs w:val="32"/>
    </w:rPr>
  </w:style>
  <w:style w:type="character" w:customStyle="1" w:styleId="51">
    <w:name w:val="标题 5 Char"/>
    <w:link w:val="6"/>
    <w:qFormat/>
    <w:uiPriority w:val="0"/>
    <w:rPr>
      <w:rFonts w:ascii="Times New Roman" w:hAnsi="Times New Roman" w:eastAsia="宋体" w:cs="Times New Roman"/>
      <w:b/>
      <w:bCs/>
      <w:sz w:val="28"/>
      <w:szCs w:val="28"/>
    </w:rPr>
  </w:style>
  <w:style w:type="character" w:customStyle="1" w:styleId="52">
    <w:name w:val="标题 6 Char"/>
    <w:link w:val="7"/>
    <w:qFormat/>
    <w:uiPriority w:val="0"/>
    <w:rPr>
      <w:rFonts w:ascii="Times New Roman" w:hAnsi="Times New Roman" w:eastAsia="宋体" w:cs="Times New Roman"/>
      <w:b/>
      <w:sz w:val="44"/>
      <w:szCs w:val="20"/>
    </w:rPr>
  </w:style>
  <w:style w:type="character" w:customStyle="1" w:styleId="53">
    <w:name w:val="正文缩进 Char1"/>
    <w:link w:val="8"/>
    <w:qFormat/>
    <w:uiPriority w:val="0"/>
    <w:rPr>
      <w:rFonts w:ascii="Times New Roman" w:hAnsi="Times New Roman" w:eastAsia="宋体" w:cs="Times New Roman"/>
      <w:kern w:val="0"/>
      <w:sz w:val="20"/>
      <w:szCs w:val="20"/>
    </w:rPr>
  </w:style>
  <w:style w:type="character" w:customStyle="1" w:styleId="54">
    <w:name w:val="纯文本 Char1"/>
    <w:link w:val="9"/>
    <w:qFormat/>
    <w:uiPriority w:val="0"/>
    <w:rPr>
      <w:rFonts w:ascii="宋体" w:hAnsi="Courier New" w:eastAsia="宋体" w:cs="Courier New"/>
      <w:szCs w:val="21"/>
    </w:rPr>
  </w:style>
  <w:style w:type="character" w:customStyle="1" w:styleId="55">
    <w:name w:val="标题 7 Char"/>
    <w:link w:val="10"/>
    <w:qFormat/>
    <w:uiPriority w:val="0"/>
    <w:rPr>
      <w:rFonts w:ascii="Times New Roman" w:hAnsi="Times New Roman" w:eastAsia="宋体" w:cs="Times New Roman"/>
      <w:b/>
      <w:bCs/>
      <w:sz w:val="24"/>
      <w:szCs w:val="24"/>
    </w:rPr>
  </w:style>
  <w:style w:type="character" w:customStyle="1" w:styleId="56">
    <w:name w:val="标题 8 Char"/>
    <w:link w:val="11"/>
    <w:qFormat/>
    <w:uiPriority w:val="0"/>
    <w:rPr>
      <w:rFonts w:ascii="Arial" w:hAnsi="Arial" w:eastAsia="黑体" w:cs="Times New Roman"/>
      <w:sz w:val="24"/>
      <w:szCs w:val="24"/>
    </w:rPr>
  </w:style>
  <w:style w:type="character" w:customStyle="1" w:styleId="57">
    <w:name w:val="标题 9 Char"/>
    <w:link w:val="12"/>
    <w:qFormat/>
    <w:uiPriority w:val="0"/>
    <w:rPr>
      <w:rFonts w:ascii="Arial" w:hAnsi="Arial" w:eastAsia="黑体" w:cs="Times New Roman"/>
      <w:sz w:val="24"/>
      <w:szCs w:val="21"/>
    </w:rPr>
  </w:style>
  <w:style w:type="character" w:customStyle="1" w:styleId="58">
    <w:name w:val="文档结构图 Char"/>
    <w:link w:val="14"/>
    <w:semiHidden/>
    <w:qFormat/>
    <w:uiPriority w:val="0"/>
    <w:rPr>
      <w:szCs w:val="24"/>
      <w:shd w:val="clear" w:color="auto" w:fill="000080"/>
    </w:rPr>
  </w:style>
  <w:style w:type="character" w:customStyle="1" w:styleId="59">
    <w:name w:val="批注文字 Char"/>
    <w:basedOn w:val="41"/>
    <w:link w:val="16"/>
    <w:qFormat/>
    <w:uiPriority w:val="99"/>
    <w:rPr>
      <w:kern w:val="2"/>
      <w:sz w:val="21"/>
      <w:szCs w:val="24"/>
    </w:rPr>
  </w:style>
  <w:style w:type="character" w:customStyle="1" w:styleId="60">
    <w:name w:val="正文文本 3 Char"/>
    <w:link w:val="17"/>
    <w:qFormat/>
    <w:uiPriority w:val="0"/>
    <w:rPr>
      <w:rFonts w:ascii="Times New Roman" w:hAnsi="Times New Roman" w:eastAsia="宋体" w:cs="Times New Roman"/>
      <w:sz w:val="16"/>
      <w:szCs w:val="16"/>
    </w:rPr>
  </w:style>
  <w:style w:type="character" w:customStyle="1" w:styleId="61">
    <w:name w:val="正文文本 Char"/>
    <w:link w:val="18"/>
    <w:qFormat/>
    <w:uiPriority w:val="0"/>
    <w:rPr>
      <w:rFonts w:ascii="仿宋_GB2312" w:hAnsi="Times New Roman" w:eastAsia="仿宋_GB2312" w:cs="Times New Roman"/>
      <w:sz w:val="24"/>
      <w:szCs w:val="20"/>
    </w:rPr>
  </w:style>
  <w:style w:type="character" w:customStyle="1" w:styleId="62">
    <w:name w:val="正文文本缩进 Char"/>
    <w:link w:val="21"/>
    <w:qFormat/>
    <w:uiPriority w:val="0"/>
    <w:rPr>
      <w:rFonts w:ascii="仿宋_GB2312" w:hAnsi="Times New Roman" w:eastAsia="仿宋_GB2312" w:cs="Times New Roman"/>
      <w:sz w:val="28"/>
      <w:szCs w:val="20"/>
    </w:rPr>
  </w:style>
  <w:style w:type="character" w:customStyle="1" w:styleId="63">
    <w:name w:val="日期 Char"/>
    <w:link w:val="25"/>
    <w:qFormat/>
    <w:uiPriority w:val="0"/>
    <w:rPr>
      <w:rFonts w:ascii="Times New Roman" w:hAnsi="Times New Roman" w:eastAsia="宋体" w:cs="Times New Roman"/>
      <w:sz w:val="24"/>
      <w:szCs w:val="20"/>
    </w:rPr>
  </w:style>
  <w:style w:type="character" w:customStyle="1" w:styleId="64">
    <w:name w:val="正文文本缩进 2 Char"/>
    <w:link w:val="26"/>
    <w:qFormat/>
    <w:uiPriority w:val="0"/>
    <w:rPr>
      <w:rFonts w:ascii="Times New Roman" w:hAnsi="Times New Roman" w:eastAsia="仿宋_GB2312" w:cs="Times New Roman"/>
      <w:sz w:val="28"/>
      <w:szCs w:val="20"/>
    </w:rPr>
  </w:style>
  <w:style w:type="character" w:customStyle="1" w:styleId="65">
    <w:name w:val="批注框文本 Char"/>
    <w:link w:val="27"/>
    <w:semiHidden/>
    <w:qFormat/>
    <w:uiPriority w:val="0"/>
    <w:rPr>
      <w:sz w:val="18"/>
      <w:szCs w:val="18"/>
    </w:rPr>
  </w:style>
  <w:style w:type="character" w:customStyle="1" w:styleId="66">
    <w:name w:val="页脚 Char"/>
    <w:link w:val="28"/>
    <w:qFormat/>
    <w:uiPriority w:val="0"/>
    <w:rPr>
      <w:rFonts w:ascii="Times New Roman" w:hAnsi="Times New Roman" w:eastAsia="宋体" w:cs="Times New Roman"/>
      <w:sz w:val="18"/>
      <w:szCs w:val="20"/>
    </w:rPr>
  </w:style>
  <w:style w:type="character" w:customStyle="1" w:styleId="67">
    <w:name w:val="页眉 Char"/>
    <w:link w:val="29"/>
    <w:qFormat/>
    <w:uiPriority w:val="0"/>
    <w:rPr>
      <w:rFonts w:ascii="Times New Roman" w:hAnsi="Times New Roman" w:eastAsia="宋体" w:cs="Times New Roman"/>
      <w:sz w:val="18"/>
      <w:szCs w:val="18"/>
    </w:rPr>
  </w:style>
  <w:style w:type="character" w:customStyle="1" w:styleId="68">
    <w:name w:val="正文文本缩进 3 Char"/>
    <w:link w:val="32"/>
    <w:qFormat/>
    <w:uiPriority w:val="0"/>
    <w:rPr>
      <w:rFonts w:ascii="Times New Roman" w:hAnsi="Times New Roman" w:eastAsia="宋体" w:cs="Times New Roman"/>
      <w:sz w:val="16"/>
      <w:szCs w:val="16"/>
    </w:rPr>
  </w:style>
  <w:style w:type="character" w:customStyle="1" w:styleId="69">
    <w:name w:val="正文文本 2 Char"/>
    <w:link w:val="33"/>
    <w:qFormat/>
    <w:uiPriority w:val="0"/>
    <w:rPr>
      <w:rFonts w:ascii="Times New Roman" w:hAnsi="Times New Roman" w:eastAsia="宋体" w:cs="Times New Roman"/>
      <w:b/>
      <w:bCs/>
      <w:sz w:val="18"/>
      <w:szCs w:val="24"/>
    </w:rPr>
  </w:style>
  <w:style w:type="character" w:customStyle="1" w:styleId="70">
    <w:name w:val="HTML 预设格式 Char"/>
    <w:basedOn w:val="41"/>
    <w:link w:val="34"/>
    <w:qFormat/>
    <w:uiPriority w:val="99"/>
    <w:rPr>
      <w:rFonts w:ascii="宋体" w:hAnsi="宋体" w:cs="宋体"/>
      <w:sz w:val="24"/>
      <w:szCs w:val="24"/>
    </w:rPr>
  </w:style>
  <w:style w:type="character" w:customStyle="1" w:styleId="71">
    <w:name w:val="批注主题 Char"/>
    <w:basedOn w:val="59"/>
    <w:link w:val="36"/>
    <w:qFormat/>
    <w:uiPriority w:val="0"/>
    <w:rPr>
      <w:kern w:val="2"/>
      <w:sz w:val="21"/>
      <w:szCs w:val="24"/>
    </w:rPr>
  </w:style>
  <w:style w:type="character" w:customStyle="1" w:styleId="72">
    <w:name w:val="正文首行缩进 Char"/>
    <w:link w:val="37"/>
    <w:qFormat/>
    <w:uiPriority w:val="0"/>
    <w:rPr>
      <w:rFonts w:ascii="Times New Roman" w:hAnsi="Times New Roman" w:eastAsia="宋体" w:cs="Times New Roman"/>
      <w:sz w:val="24"/>
      <w:szCs w:val="24"/>
    </w:rPr>
  </w:style>
  <w:style w:type="character" w:customStyle="1" w:styleId="73">
    <w:name w:val="访问过的超链接1"/>
    <w:qFormat/>
    <w:uiPriority w:val="0"/>
    <w:rPr>
      <w:color w:val="666666"/>
      <w:u w:val="none"/>
    </w:rPr>
  </w:style>
  <w:style w:type="paragraph" w:customStyle="1" w:styleId="74">
    <w:name w:val="style4"/>
    <w:basedOn w:val="1"/>
    <w:next w:val="75"/>
    <w:qFormat/>
    <w:uiPriority w:val="0"/>
    <w:pPr>
      <w:widowControl/>
      <w:spacing w:before="280" w:after="280"/>
    </w:pPr>
    <w:rPr>
      <w:rFonts w:ascii="宋体"/>
      <w:sz w:val="18"/>
    </w:rPr>
  </w:style>
  <w:style w:type="paragraph" w:customStyle="1" w:styleId="7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列出段落1"/>
    <w:basedOn w:val="1"/>
    <w:qFormat/>
    <w:uiPriority w:val="34"/>
    <w:pPr>
      <w:widowControl/>
      <w:ind w:left="720"/>
      <w:contextualSpacing/>
      <w:jc w:val="left"/>
    </w:pPr>
    <w:rPr>
      <w:kern w:val="0"/>
      <w:sz w:val="24"/>
      <w:lang w:eastAsia="en-US" w:bidi="en-US"/>
    </w:rPr>
  </w:style>
  <w:style w:type="paragraph" w:customStyle="1" w:styleId="77">
    <w:name w:val="无间隔1"/>
    <w:qFormat/>
    <w:uiPriority w:val="0"/>
    <w:rPr>
      <w:rFonts w:ascii="Times New Roman" w:hAnsi="Times New Roman" w:eastAsia="宋体" w:cs="Calibri"/>
      <w:sz w:val="22"/>
      <w:lang w:val="en-US" w:eastAsia="zh-CN" w:bidi="ar-SA"/>
    </w:rPr>
  </w:style>
  <w:style w:type="paragraph" w:customStyle="1" w:styleId="78">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9">
    <w:name w:val="列出段落 Char"/>
    <w:link w:val="80"/>
    <w:qFormat/>
    <w:locked/>
    <w:uiPriority w:val="99"/>
  </w:style>
  <w:style w:type="paragraph" w:styleId="80">
    <w:name w:val="List Paragraph"/>
    <w:basedOn w:val="1"/>
    <w:link w:val="79"/>
    <w:qFormat/>
    <w:uiPriority w:val="34"/>
    <w:pPr>
      <w:ind w:firstLine="420" w:firstLineChars="200"/>
    </w:pPr>
    <w:rPr>
      <w:kern w:val="0"/>
      <w:sz w:val="20"/>
      <w:szCs w:val="20"/>
    </w:rPr>
  </w:style>
  <w:style w:type="character" w:customStyle="1" w:styleId="81">
    <w:name w:val="文档结构图 Char1"/>
    <w:semiHidden/>
    <w:qFormat/>
    <w:uiPriority w:val="99"/>
    <w:rPr>
      <w:rFonts w:ascii="宋体" w:hAnsi="Times New Roman" w:eastAsia="宋体" w:cs="Times New Roman"/>
      <w:sz w:val="18"/>
      <w:szCs w:val="18"/>
    </w:rPr>
  </w:style>
  <w:style w:type="character" w:customStyle="1" w:styleId="82">
    <w:name w:val="普通正文 Char"/>
    <w:link w:val="83"/>
    <w:qFormat/>
    <w:uiPriority w:val="0"/>
    <w:rPr>
      <w:rFonts w:ascii="Arial" w:hAnsi="Arial"/>
      <w:sz w:val="24"/>
      <w:szCs w:val="24"/>
    </w:rPr>
  </w:style>
  <w:style w:type="paragraph" w:customStyle="1" w:styleId="83">
    <w:name w:val="普通正文"/>
    <w:basedOn w:val="1"/>
    <w:link w:val="82"/>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4">
    <w:name w:val="FA正文 Char"/>
    <w:link w:val="85"/>
    <w:qFormat/>
    <w:uiPriority w:val="0"/>
    <w:rPr>
      <w:rFonts w:ascii="宋体" w:hAnsi="宋体" w:eastAsia="宋体" w:cs="Times New Roman"/>
      <w:sz w:val="28"/>
      <w:szCs w:val="28"/>
    </w:rPr>
  </w:style>
  <w:style w:type="paragraph" w:customStyle="1" w:styleId="85">
    <w:name w:val="FA正文"/>
    <w:basedOn w:val="1"/>
    <w:link w:val="84"/>
    <w:qFormat/>
    <w:uiPriority w:val="0"/>
    <w:pPr>
      <w:tabs>
        <w:tab w:val="left" w:pos="3375"/>
      </w:tabs>
      <w:spacing w:line="440" w:lineRule="atLeast"/>
      <w:ind w:firstLine="538" w:firstLineChars="192"/>
    </w:pPr>
    <w:rPr>
      <w:rFonts w:ascii="宋体" w:hAnsi="宋体"/>
      <w:kern w:val="0"/>
      <w:sz w:val="28"/>
      <w:szCs w:val="28"/>
    </w:rPr>
  </w:style>
  <w:style w:type="character" w:customStyle="1" w:styleId="86">
    <w:name w:val="正文缩进2格 Char"/>
    <w:link w:val="87"/>
    <w:qFormat/>
    <w:uiPriority w:val="0"/>
    <w:rPr>
      <w:rFonts w:ascii="仿宋_GB2312" w:hAnsi="宋体" w:eastAsia="仿宋_GB2312" w:cs="Times New Roman"/>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kern w:val="0"/>
      <w:sz w:val="31"/>
      <w:szCs w:val="28"/>
    </w:rPr>
  </w:style>
  <w:style w:type="character" w:customStyle="1" w:styleId="88">
    <w:name w:val="cn_text1"/>
    <w:qFormat/>
    <w:uiPriority w:val="0"/>
    <w:rPr>
      <w:rFonts w:hint="default" w:ascii="ˎ̥" w:hAnsi="ˎ̥"/>
      <w:color w:val="003399"/>
      <w:spacing w:val="15"/>
      <w:sz w:val="18"/>
      <w:szCs w:val="18"/>
    </w:rPr>
  </w:style>
  <w:style w:type="character" w:customStyle="1" w:styleId="89">
    <w:name w:val="ssss Char"/>
    <w:qFormat/>
    <w:uiPriority w:val="0"/>
    <w:rPr>
      <w:rFonts w:eastAsia="宋体"/>
      <w:kern w:val="2"/>
      <w:sz w:val="24"/>
      <w:szCs w:val="24"/>
      <w:lang w:val="en-US" w:eastAsia="zh-CN" w:bidi="ar-SA"/>
    </w:rPr>
  </w:style>
  <w:style w:type="character" w:customStyle="1" w:styleId="90">
    <w:name w:val="ssss Char1"/>
    <w:link w:val="91"/>
    <w:qFormat/>
    <w:uiPriority w:val="0"/>
    <w:rPr>
      <w:rFonts w:ascii="Times New Roman" w:hAnsi="Times New Roman" w:eastAsia="宋体" w:cs="Times New Roman"/>
      <w:sz w:val="24"/>
      <w:szCs w:val="24"/>
    </w:rPr>
  </w:style>
  <w:style w:type="paragraph" w:customStyle="1" w:styleId="91">
    <w:name w:val="ssss"/>
    <w:basedOn w:val="1"/>
    <w:link w:val="90"/>
    <w:qFormat/>
    <w:uiPriority w:val="0"/>
    <w:pPr>
      <w:spacing w:line="360" w:lineRule="auto"/>
      <w:ind w:firstLine="480" w:firstLineChars="200"/>
    </w:pPr>
    <w:rPr>
      <w:kern w:val="0"/>
      <w:sz w:val="24"/>
    </w:rPr>
  </w:style>
  <w:style w:type="character" w:customStyle="1" w:styleId="92">
    <w:name w:val="标题 4 Char1"/>
    <w:qFormat/>
    <w:uiPriority w:val="0"/>
    <w:rPr>
      <w:rFonts w:ascii="Arial" w:hAnsi="Arial" w:eastAsia="黑体"/>
      <w:b/>
      <w:bCs/>
      <w:kern w:val="2"/>
      <w:sz w:val="28"/>
      <w:szCs w:val="28"/>
      <w:lang w:val="en-US" w:eastAsia="zh-CN" w:bidi="ar-SA"/>
    </w:rPr>
  </w:style>
  <w:style w:type="character" w:customStyle="1" w:styleId="93">
    <w:name w:val="列表段落 字符"/>
    <w:qFormat/>
    <w:uiPriority w:val="34"/>
    <w:rPr>
      <w:rFonts w:ascii="Calibri" w:hAnsi="Calibri"/>
      <w:kern w:val="2"/>
      <w:sz w:val="21"/>
      <w:szCs w:val="22"/>
    </w:rPr>
  </w:style>
  <w:style w:type="character" w:customStyle="1" w:styleId="94">
    <w:name w:val="批注框文本 Char1"/>
    <w:semiHidden/>
    <w:qFormat/>
    <w:uiPriority w:val="99"/>
    <w:rPr>
      <w:rFonts w:ascii="Times New Roman" w:hAnsi="Times New Roman" w:eastAsia="宋体" w:cs="Times New Roman"/>
      <w:sz w:val="18"/>
      <w:szCs w:val="18"/>
    </w:rPr>
  </w:style>
  <w:style w:type="character" w:customStyle="1" w:styleId="95">
    <w:name w:val="样式 ssss + 宋体 五号1 Char"/>
    <w:link w:val="96"/>
    <w:qFormat/>
    <w:uiPriority w:val="0"/>
    <w:rPr>
      <w:rFonts w:ascii="宋体" w:hAnsi="宋体" w:eastAsia="宋体" w:cs="Times New Roman"/>
      <w:sz w:val="24"/>
      <w:szCs w:val="24"/>
    </w:rPr>
  </w:style>
  <w:style w:type="paragraph" w:customStyle="1" w:styleId="96">
    <w:name w:val="样式 ssss + 宋体 五号1"/>
    <w:basedOn w:val="91"/>
    <w:link w:val="95"/>
    <w:qFormat/>
    <w:uiPriority w:val="0"/>
    <w:rPr>
      <w:rFonts w:ascii="宋体" w:hAnsi="宋体"/>
    </w:rPr>
  </w:style>
  <w:style w:type="character" w:customStyle="1" w:styleId="97">
    <w:name w:val="point_normal1"/>
    <w:qFormat/>
    <w:uiPriority w:val="0"/>
    <w:rPr>
      <w:rFonts w:hint="default" w:ascii="Arial" w:hAnsi="Arial" w:cs="Arial"/>
      <w:sz w:val="16"/>
      <w:szCs w:val="16"/>
    </w:rPr>
  </w:style>
  <w:style w:type="paragraph" w:customStyle="1" w:styleId="98">
    <w:name w:val="样式 正文文本缩进 3 + 四号"/>
    <w:basedOn w:val="32"/>
    <w:qFormat/>
    <w:uiPriority w:val="0"/>
    <w:pPr>
      <w:spacing w:after="0" w:line="360" w:lineRule="auto"/>
      <w:ind w:left="0" w:leftChars="0" w:firstLine="437"/>
    </w:pPr>
    <w:rPr>
      <w:sz w:val="24"/>
      <w:szCs w:val="21"/>
    </w:rPr>
  </w:style>
  <w:style w:type="paragraph" w:customStyle="1" w:styleId="99">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1">
    <w:name w:val="Char Char Char Char"/>
    <w:basedOn w:val="1"/>
    <w:qFormat/>
    <w:uiPriority w:val="0"/>
    <w:rPr>
      <w:rFonts w:ascii="Tahoma" w:hAnsi="Tahoma"/>
      <w:sz w:val="24"/>
      <w:szCs w:val="20"/>
    </w:rPr>
  </w:style>
  <w:style w:type="paragraph" w:customStyle="1" w:styleId="102">
    <w:name w:val="Char Char Char Char Char Char Char Char Char Char Char Char Char"/>
    <w:basedOn w:val="1"/>
    <w:qFormat/>
    <w:uiPriority w:val="0"/>
  </w:style>
  <w:style w:type="paragraph" w:customStyle="1" w:styleId="103">
    <w:name w:val="表格正文"/>
    <w:basedOn w:val="1"/>
    <w:qFormat/>
    <w:uiPriority w:val="0"/>
    <w:pPr>
      <w:spacing w:line="360" w:lineRule="auto"/>
      <w:jc w:val="left"/>
    </w:pPr>
    <w:rPr>
      <w:rFonts w:ascii="Calibri" w:hAnsi="Calibri"/>
      <w:color w:val="000000"/>
      <w:szCs w:val="28"/>
    </w:rPr>
  </w:style>
  <w:style w:type="paragraph" w:customStyle="1" w:styleId="104">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5">
    <w:name w:val="Char Char Char Char1"/>
    <w:basedOn w:val="1"/>
    <w:qFormat/>
    <w:uiPriority w:val="0"/>
    <w:rPr>
      <w:rFonts w:ascii="Tahoma" w:hAnsi="Tahoma"/>
      <w:sz w:val="24"/>
      <w:szCs w:val="20"/>
    </w:rPr>
  </w:style>
  <w:style w:type="paragraph" w:customStyle="1" w:styleId="106">
    <w:name w:val="Char Char Char"/>
    <w:basedOn w:val="1"/>
    <w:qFormat/>
    <w:uiPriority w:val="0"/>
    <w:rPr>
      <w:rFonts w:ascii="Tahoma" w:hAnsi="Tahoma"/>
      <w:sz w:val="24"/>
      <w:szCs w:val="20"/>
    </w:rPr>
  </w:style>
  <w:style w:type="paragraph" w:customStyle="1" w:styleId="107">
    <w:name w:val="标题-----3"/>
    <w:basedOn w:val="5"/>
    <w:qFormat/>
    <w:uiPriority w:val="0"/>
    <w:pPr>
      <w:spacing w:before="0" w:after="0" w:line="240" w:lineRule="auto"/>
      <w:outlineLvl w:val="0"/>
    </w:pPr>
    <w:rPr>
      <w:rFonts w:ascii="宋体" w:hAnsi="宋体"/>
      <w:b w:val="0"/>
      <w:bCs w:val="0"/>
      <w:sz w:val="28"/>
      <w:szCs w:val="28"/>
    </w:rPr>
  </w:style>
  <w:style w:type="paragraph" w:customStyle="1" w:styleId="108">
    <w:name w:val="样式 ssss + 居中"/>
    <w:basedOn w:val="91"/>
    <w:qFormat/>
    <w:uiPriority w:val="0"/>
    <w:pPr>
      <w:jc w:val="center"/>
    </w:pPr>
    <w:rPr>
      <w:rFonts w:cs="宋体"/>
      <w:szCs w:val="20"/>
    </w:rPr>
  </w:style>
  <w:style w:type="paragraph" w:customStyle="1" w:styleId="109">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10">
    <w:name w:val="样式 样式 ssss + 宋体 五号 + 首行缩进:  2 字符"/>
    <w:basedOn w:val="111"/>
    <w:qFormat/>
    <w:uiPriority w:val="0"/>
    <w:pPr>
      <w:ind w:firstLine="480"/>
    </w:pPr>
  </w:style>
  <w:style w:type="paragraph" w:customStyle="1" w:styleId="111">
    <w:name w:val="样式 ssss + 宋体 五号"/>
    <w:basedOn w:val="91"/>
    <w:qFormat/>
    <w:uiPriority w:val="0"/>
    <w:pPr>
      <w:ind w:firstLine="420"/>
    </w:pPr>
    <w:rPr>
      <w:rFonts w:ascii="宋体" w:hAnsi="宋体" w:cs="宋体"/>
      <w:szCs w:val="20"/>
    </w:rPr>
  </w:style>
  <w:style w:type="paragraph" w:customStyle="1" w:styleId="112">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w:basedOn w:val="1"/>
    <w:qFormat/>
    <w:uiPriority w:val="0"/>
    <w:rPr>
      <w:rFonts w:ascii="Tahoma" w:hAnsi="Tahoma"/>
      <w:sz w:val="24"/>
      <w:szCs w:val="20"/>
    </w:rPr>
  </w:style>
  <w:style w:type="paragraph" w:customStyle="1" w:styleId="114">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5">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6">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Char Char Char Char Char Char Char Char Char Char Char Char Char1"/>
    <w:basedOn w:val="1"/>
    <w:qFormat/>
    <w:uiPriority w:val="0"/>
    <w:rPr>
      <w:sz w:val="24"/>
    </w:rPr>
  </w:style>
  <w:style w:type="paragraph" w:customStyle="1" w:styleId="118">
    <w:name w:val="表格"/>
    <w:basedOn w:val="1"/>
    <w:qFormat/>
    <w:uiPriority w:val="0"/>
    <w:rPr>
      <w:rFonts w:ascii="Arial" w:hAnsi="Arial"/>
      <w:sz w:val="24"/>
    </w:rPr>
  </w:style>
  <w:style w:type="paragraph" w:customStyle="1" w:styleId="119">
    <w:name w:val="正文样式1"/>
    <w:basedOn w:val="1"/>
    <w:qFormat/>
    <w:uiPriority w:val="0"/>
    <w:pPr>
      <w:spacing w:before="120" w:after="120" w:line="360" w:lineRule="auto"/>
      <w:ind w:firstLine="480" w:firstLineChars="200"/>
    </w:pPr>
    <w:rPr>
      <w:sz w:val="24"/>
      <w:szCs w:val="20"/>
    </w:rPr>
  </w:style>
  <w:style w:type="paragraph" w:customStyle="1" w:styleId="12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w:basedOn w:val="1"/>
    <w:qFormat/>
    <w:uiPriority w:val="0"/>
    <w:rPr>
      <w:rFonts w:ascii="Tahoma" w:hAnsi="Tahoma"/>
      <w:sz w:val="24"/>
      <w:szCs w:val="20"/>
    </w:rPr>
  </w:style>
  <w:style w:type="paragraph" w:customStyle="1" w:styleId="122">
    <w:name w:val="Char1"/>
    <w:basedOn w:val="1"/>
    <w:qFormat/>
    <w:uiPriority w:val="0"/>
    <w:pPr>
      <w:tabs>
        <w:tab w:val="left" w:pos="360"/>
      </w:tabs>
    </w:pPr>
    <w:rPr>
      <w:sz w:val="24"/>
    </w:rPr>
  </w:style>
  <w:style w:type="paragraph" w:customStyle="1" w:styleId="12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4">
    <w:name w:val="Header2"/>
    <w:basedOn w:val="1"/>
    <w:qFormat/>
    <w:uiPriority w:val="0"/>
    <w:pPr>
      <w:tabs>
        <w:tab w:val="left" w:pos="480"/>
      </w:tabs>
      <w:ind w:left="480" w:hanging="480"/>
    </w:pPr>
  </w:style>
  <w:style w:type="paragraph" w:customStyle="1" w:styleId="125">
    <w:name w:val="Char Char 字元 字元 字元 Char Char Char Char"/>
    <w:basedOn w:val="1"/>
    <w:qFormat/>
    <w:uiPriority w:val="0"/>
    <w:pPr>
      <w:adjustRightInd w:val="0"/>
      <w:spacing w:line="360" w:lineRule="auto"/>
    </w:pPr>
    <w:rPr>
      <w:kern w:val="0"/>
      <w:sz w:val="24"/>
      <w:szCs w:val="20"/>
    </w:rPr>
  </w:style>
  <w:style w:type="paragraph" w:customStyle="1" w:styleId="126">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9">
    <w:name w:val="网格型1"/>
    <w:basedOn w:val="3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0">
    <w:name w:val="DAS正文"/>
    <w:basedOn w:val="1"/>
    <w:qFormat/>
    <w:uiPriority w:val="0"/>
    <w:pPr>
      <w:spacing w:line="360" w:lineRule="auto"/>
      <w:ind w:right="181" w:firstLine="480" w:firstLineChars="200"/>
    </w:pPr>
    <w:rPr>
      <w:rFonts w:ascii="Verdana" w:hAnsi="Verdana"/>
      <w:sz w:val="24"/>
      <w:szCs w:val="20"/>
    </w:rPr>
  </w:style>
  <w:style w:type="paragraph" w:customStyle="1" w:styleId="131">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2">
    <w:name w:val="标书的正文"/>
    <w:basedOn w:val="1"/>
    <w:qFormat/>
    <w:uiPriority w:val="0"/>
    <w:pPr>
      <w:spacing w:line="360" w:lineRule="auto"/>
      <w:ind w:firstLine="482"/>
      <w:jc w:val="left"/>
    </w:pPr>
    <w:rPr>
      <w:rFonts w:ascii="宋体" w:hAnsi="宋体"/>
      <w:kern w:val="3"/>
      <w:sz w:val="24"/>
      <w:szCs w:val="20"/>
    </w:rPr>
  </w:style>
  <w:style w:type="paragraph" w:customStyle="1" w:styleId="133">
    <w:name w:val="样式 标题 1 + 宋体 段前: 0 磅 段后: 0 磅 行距: 单倍行距"/>
    <w:basedOn w:val="134"/>
    <w:next w:val="1"/>
    <w:qFormat/>
    <w:uiPriority w:val="99"/>
    <w:pPr>
      <w:spacing w:beforeLines="100" w:afterLines="100"/>
    </w:pPr>
    <w:rPr>
      <w:rFonts w:ascii="仿宋_GB2312" w:hAnsi="宋体" w:cs="仿宋_GB2312"/>
    </w:rPr>
  </w:style>
  <w:style w:type="paragraph" w:customStyle="1" w:styleId="134">
    <w:name w:val="标题 11"/>
    <w:basedOn w:val="1"/>
    <w:qFormat/>
    <w:uiPriority w:val="0"/>
    <w:pPr>
      <w:keepNext/>
      <w:keepLines/>
      <w:spacing w:before="340" w:after="330" w:line="578" w:lineRule="auto"/>
      <w:outlineLvl w:val="0"/>
    </w:pPr>
    <w:rPr>
      <w:b/>
      <w:bCs/>
      <w:kern w:val="44"/>
      <w:sz w:val="44"/>
      <w:szCs w:val="44"/>
    </w:rPr>
  </w:style>
  <w:style w:type="paragraph" w:customStyle="1" w:styleId="135">
    <w:name w:val="正文文本1"/>
    <w:basedOn w:val="1"/>
    <w:qFormat/>
    <w:uiPriority w:val="0"/>
    <w:rPr>
      <w:rFonts w:ascii="仿宋_GB2312" w:eastAsia="仿宋_GB2312"/>
    </w:rPr>
  </w:style>
  <w:style w:type="paragraph" w:customStyle="1" w:styleId="136">
    <w:name w:val="纯文本1"/>
    <w:basedOn w:val="1"/>
    <w:qFormat/>
    <w:uiPriority w:val="0"/>
    <w:rPr>
      <w:rFonts w:hAnsi="Courier New"/>
      <w:sz w:val="20"/>
      <w:szCs w:val="21"/>
    </w:rPr>
  </w:style>
  <w:style w:type="paragraph" w:customStyle="1" w:styleId="137">
    <w:name w:val="正文格式"/>
    <w:basedOn w:val="1"/>
    <w:qFormat/>
    <w:uiPriority w:val="0"/>
    <w:pPr>
      <w:spacing w:line="400" w:lineRule="exact"/>
      <w:jc w:val="left"/>
    </w:pPr>
    <w:rPr>
      <w:rFonts w:ascii="仿宋" w:hAnsi="仿宋" w:eastAsia="仿宋"/>
      <w:color w:val="000000"/>
      <w:sz w:val="24"/>
    </w:rPr>
  </w:style>
  <w:style w:type="paragraph" w:customStyle="1" w:styleId="138">
    <w:name w:val="图例"/>
    <w:basedOn w:val="1"/>
    <w:qFormat/>
    <w:uiPriority w:val="0"/>
    <w:pPr>
      <w:spacing w:before="120" w:after="120" w:line="360" w:lineRule="auto"/>
      <w:jc w:val="center"/>
    </w:pPr>
    <w:rPr>
      <w:rFonts w:eastAsia="仿宋_GB2312"/>
      <w:b/>
      <w:sz w:val="24"/>
    </w:rPr>
  </w:style>
  <w:style w:type="paragraph" w:customStyle="1" w:styleId="139">
    <w:name w:val="Table Text"/>
    <w:basedOn w:val="1"/>
    <w:semiHidden/>
    <w:qFormat/>
    <w:uiPriority w:val="0"/>
    <w:rPr>
      <w:rFonts w:ascii="宋体" w:hAnsi="宋体" w:cs="宋体"/>
      <w:szCs w:val="21"/>
      <w:lang w:eastAsia="en-US"/>
    </w:rPr>
  </w:style>
  <w:style w:type="table" w:customStyle="1" w:styleId="140">
    <w:name w:val="Table Normal"/>
    <w:unhideWhenUsed/>
    <w:qFormat/>
    <w:uiPriority w:val="0"/>
    <w:tblPr>
      <w:tblCellMar>
        <w:top w:w="0" w:type="dxa"/>
        <w:left w:w="0" w:type="dxa"/>
        <w:bottom w:w="0" w:type="dxa"/>
        <w:right w:w="0" w:type="dxa"/>
      </w:tblCellMar>
    </w:tblPr>
  </w:style>
  <w:style w:type="character" w:customStyle="1" w:styleId="141">
    <w:name w:val="正文缩进 Char"/>
    <w:qFormat/>
    <w:uiPriority w:val="0"/>
    <w:rPr>
      <w:rFonts w:ascii="Times New Roman" w:hAnsi="Times New Roman" w:eastAsia="宋体" w:cs="Times New Roman"/>
      <w:kern w:val="0"/>
      <w:sz w:val="20"/>
      <w:szCs w:val="20"/>
    </w:rPr>
  </w:style>
  <w:style w:type="character" w:customStyle="1" w:styleId="142">
    <w:name w:val="纯文本 Char"/>
    <w:qFormat/>
    <w:uiPriority w:val="0"/>
    <w:rPr>
      <w:rFonts w:ascii="宋体" w:hAnsi="Courier New" w:eastAsia="宋体" w:cs="Courier New"/>
      <w:szCs w:val="21"/>
    </w:rPr>
  </w:style>
  <w:style w:type="table" w:customStyle="1" w:styleId="143">
    <w:name w:val="网格型2"/>
    <w:basedOn w:val="39"/>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3"/>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5">
    <w:name w:val="font31"/>
    <w:basedOn w:val="41"/>
    <w:qFormat/>
    <w:uiPriority w:val="0"/>
    <w:rPr>
      <w:rFonts w:hint="eastAsia" w:ascii="宋体" w:hAnsi="宋体" w:eastAsia="宋体" w:cs="宋体"/>
      <w:color w:val="000000"/>
      <w:sz w:val="20"/>
      <w:szCs w:val="20"/>
      <w:u w:val="none"/>
    </w:rPr>
  </w:style>
  <w:style w:type="paragraph" w:customStyle="1" w:styleId="146">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147">
    <w:name w:val="网格型4"/>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8">
    <w:name w:val="修订2"/>
    <w:hidden/>
    <w:semi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2DEBB-4FC1-4415-B732-7C4858A1EB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19889</Words>
  <Characters>21371</Characters>
  <Lines>192</Lines>
  <Paragraphs>54</Paragraphs>
  <TotalTime>41</TotalTime>
  <ScaleCrop>false</ScaleCrop>
  <LinksUpToDate>false</LinksUpToDate>
  <CharactersWithSpaces>21629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2025-09-08T02:41:00Z</dcterms:created>
  <dc:creator>jessie</dc:creator>
  <cp:lastModifiedBy>jessie</cp:lastModifiedBy>
  <cp:lastPrinted>2021-12-09T23:11:00Z</cp:lastPrinted>
  <dcterms:modified xsi:type="dcterms:W3CDTF">2025-11-18T08:35:16Z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73481C65AEF84216B836C669C15A6DEC_13</vt:lpwstr>
  </property>
  <property fmtid="{D5CDD505-2E9C-101B-9397-08002B2CF9AE}" pid="4" name="KSOTemplateDocerSaveRecord">
    <vt:lpwstr>eyJoZGlkIjoiMTY2YTExYjU4MWEzY2MzM2I4OTY2NWYxMWY5ZTNlMmIiLCJ1c2VySWQiOiI2Mzc4MTQzODgifQ==</vt:lpwstr>
  </property>
</Properties>
</file>