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16A6E">
      <w:pPr>
        <w:pStyle w:val="46"/>
        <w:jc w:val="center"/>
        <w:rPr>
          <w:rFonts w:ascii="宋体" w:hAnsi="宋体" w:eastAsia="宋体" w:cs="宋体"/>
          <w:b w:val="0"/>
          <w:bCs w:val="0"/>
          <w:color w:val="000000" w:themeColor="text1"/>
          <w:spacing w:val="20"/>
          <w:sz w:val="44"/>
          <w14:textFill>
            <w14:solidFill>
              <w14:schemeClr w14:val="tx1"/>
            </w14:solidFill>
          </w14:textFill>
        </w:rPr>
      </w:pPr>
    </w:p>
    <w:p w14:paraId="19429DA6">
      <w:pPr>
        <w:pStyle w:val="46"/>
        <w:jc w:val="center"/>
        <w:rPr>
          <w:rFonts w:ascii="宋体" w:hAnsi="宋体" w:eastAsia="宋体" w:cs="宋体"/>
          <w:b w:val="0"/>
          <w:bCs w:val="0"/>
          <w:color w:val="000000" w:themeColor="text1"/>
          <w:sz w:val="28"/>
          <w:szCs w:val="28"/>
          <w14:textFill>
            <w14:solidFill>
              <w14:schemeClr w14:val="tx1"/>
            </w14:solidFill>
          </w14:textFill>
        </w:rPr>
      </w:pPr>
      <w:r>
        <w:rPr>
          <w:rFonts w:hint="eastAsia" w:ascii="宋体" w:hAnsi="宋体" w:eastAsia="宋体" w:cs="宋体"/>
          <w:b w:val="0"/>
          <w:bCs w:val="0"/>
          <w:color w:val="000000" w:themeColor="text1"/>
          <w:spacing w:val="20"/>
          <w:sz w:val="44"/>
          <w14:textFill>
            <w14:solidFill>
              <w14:schemeClr w14:val="tx1"/>
            </w14:solidFill>
          </w14:textFill>
        </w:rPr>
        <w:t>江苏商贸职业学院通勤班车租赁服务项目</w:t>
      </w:r>
    </w:p>
    <w:p w14:paraId="1E791B76">
      <w:pPr>
        <w:rPr>
          <w:rFonts w:ascii="宋体" w:hAnsi="宋体" w:cs="宋体"/>
          <w:bCs/>
          <w:color w:val="000000" w:themeColor="text1"/>
          <w:sz w:val="72"/>
          <w:szCs w:val="72"/>
          <w14:textFill>
            <w14:solidFill>
              <w14:schemeClr w14:val="tx1"/>
            </w14:solidFill>
          </w14:textFill>
        </w:rPr>
      </w:pPr>
    </w:p>
    <w:p w14:paraId="541013FF">
      <w:pPr>
        <w:jc w:val="center"/>
        <w:rPr>
          <w:rFonts w:ascii="宋体" w:hAnsi="宋体" w:cs="宋体"/>
          <w:bCs/>
          <w:color w:val="000000" w:themeColor="text1"/>
          <w:sz w:val="72"/>
          <w:szCs w:val="72"/>
          <w14:textFill>
            <w14:solidFill>
              <w14:schemeClr w14:val="tx1"/>
            </w14:solidFill>
          </w14:textFill>
        </w:rPr>
      </w:pPr>
    </w:p>
    <w:p w14:paraId="0371717C">
      <w:pPr>
        <w:jc w:val="center"/>
        <w:rPr>
          <w:rFonts w:ascii="宋体" w:hAnsi="宋体" w:cs="宋体"/>
          <w:bCs/>
          <w:color w:val="000000" w:themeColor="text1"/>
          <w:sz w:val="72"/>
          <w:szCs w:val="72"/>
          <w14:textFill>
            <w14:solidFill>
              <w14:schemeClr w14:val="tx1"/>
            </w14:solidFill>
          </w14:textFill>
        </w:rPr>
      </w:pPr>
    </w:p>
    <w:p w14:paraId="53833087">
      <w:pPr>
        <w:ind w:firstLine="3600" w:firstLineChars="500"/>
        <w:rPr>
          <w:rFonts w:ascii="宋体" w:hAnsi="宋体" w:cs="宋体"/>
          <w:bCs/>
          <w:color w:val="000000" w:themeColor="text1"/>
          <w:sz w:val="72"/>
          <w:szCs w:val="72"/>
          <w14:textFill>
            <w14:solidFill>
              <w14:schemeClr w14:val="tx1"/>
            </w14:solidFill>
          </w14:textFill>
        </w:rPr>
      </w:pPr>
      <w:r>
        <w:rPr>
          <w:rFonts w:hint="eastAsia" w:ascii="宋体" w:hAnsi="宋体" w:cs="宋体"/>
          <w:bCs/>
          <w:color w:val="000000" w:themeColor="text1"/>
          <w:sz w:val="72"/>
          <w:szCs w:val="72"/>
          <w14:textFill>
            <w14:solidFill>
              <w14:schemeClr w14:val="tx1"/>
            </w14:solidFill>
          </w14:textFill>
        </w:rPr>
        <w:t>招标文件</w:t>
      </w:r>
    </w:p>
    <w:p w14:paraId="6A36D798">
      <w:pPr>
        <w:pStyle w:val="46"/>
        <w:rPr>
          <w:color w:val="000000" w:themeColor="text1"/>
          <w14:textFill>
            <w14:solidFill>
              <w14:schemeClr w14:val="tx1"/>
            </w14:solidFill>
          </w14:textFill>
        </w:rPr>
      </w:pPr>
    </w:p>
    <w:p w14:paraId="5B22BA3C">
      <w:pPr>
        <w:jc w:val="center"/>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t xml:space="preserve">采购文件编号：JSSYCG20260920059 </w:t>
      </w:r>
    </w:p>
    <w:p w14:paraId="360B925A">
      <w:pPr>
        <w:spacing w:line="500" w:lineRule="exact"/>
        <w:jc w:val="center"/>
        <w:rPr>
          <w:rFonts w:ascii="宋体" w:hAnsi="宋体" w:cs="宋体"/>
          <w:b/>
          <w:color w:val="000000" w:themeColor="text1"/>
          <w:sz w:val="36"/>
          <w14:textFill>
            <w14:solidFill>
              <w14:schemeClr w14:val="tx1"/>
            </w14:solidFill>
          </w14:textFill>
        </w:rPr>
      </w:pPr>
    </w:p>
    <w:p w14:paraId="15D99293">
      <w:pPr>
        <w:spacing w:line="500" w:lineRule="exact"/>
        <w:jc w:val="center"/>
        <w:rPr>
          <w:rFonts w:ascii="宋体" w:hAnsi="宋体" w:cs="宋体"/>
          <w:b/>
          <w:color w:val="000000" w:themeColor="text1"/>
          <w:sz w:val="36"/>
          <w14:textFill>
            <w14:solidFill>
              <w14:schemeClr w14:val="tx1"/>
            </w14:solidFill>
          </w14:textFill>
        </w:rPr>
      </w:pPr>
    </w:p>
    <w:p w14:paraId="254926AB">
      <w:pPr>
        <w:spacing w:line="500" w:lineRule="exact"/>
        <w:jc w:val="center"/>
        <w:rPr>
          <w:rFonts w:ascii="宋体" w:hAnsi="宋体" w:cs="宋体"/>
          <w:b/>
          <w:color w:val="000000" w:themeColor="text1"/>
          <w:sz w:val="36"/>
          <w14:textFill>
            <w14:solidFill>
              <w14:schemeClr w14:val="tx1"/>
            </w14:solidFill>
          </w14:textFill>
        </w:rPr>
      </w:pPr>
    </w:p>
    <w:p w14:paraId="44723B78">
      <w:pPr>
        <w:spacing w:line="500" w:lineRule="exact"/>
        <w:rPr>
          <w:rFonts w:ascii="宋体" w:hAnsi="宋体" w:cs="宋体"/>
          <w:color w:val="000000" w:themeColor="text1"/>
          <w14:textFill>
            <w14:solidFill>
              <w14:schemeClr w14:val="tx1"/>
            </w14:solidFill>
          </w14:textFill>
        </w:rPr>
      </w:pPr>
    </w:p>
    <w:p w14:paraId="3D542A78">
      <w:pPr>
        <w:spacing w:line="500" w:lineRule="exact"/>
        <w:jc w:val="center"/>
        <w:rPr>
          <w:rFonts w:ascii="宋体" w:hAnsi="宋体" w:cs="宋体"/>
          <w:color w:val="000000" w:themeColor="text1"/>
          <w:sz w:val="32"/>
          <w14:textFill>
            <w14:solidFill>
              <w14:schemeClr w14:val="tx1"/>
            </w14:solidFill>
          </w14:textFill>
        </w:rPr>
      </w:pPr>
    </w:p>
    <w:p w14:paraId="26154BA2">
      <w:pPr>
        <w:spacing w:line="500" w:lineRule="exact"/>
        <w:jc w:val="center"/>
        <w:rPr>
          <w:rFonts w:ascii="宋体" w:hAnsi="宋体" w:cs="宋体"/>
          <w:color w:val="000000" w:themeColor="text1"/>
          <w:sz w:val="32"/>
          <w14:textFill>
            <w14:solidFill>
              <w14:schemeClr w14:val="tx1"/>
            </w14:solidFill>
          </w14:textFill>
        </w:rPr>
      </w:pPr>
    </w:p>
    <w:p w14:paraId="5AF97878">
      <w:pPr>
        <w:spacing w:line="500" w:lineRule="exact"/>
        <w:jc w:val="center"/>
        <w:rPr>
          <w:rFonts w:ascii="宋体" w:hAnsi="宋体" w:cs="宋体"/>
          <w:color w:val="000000" w:themeColor="text1"/>
          <w:sz w:val="32"/>
          <w14:textFill>
            <w14:solidFill>
              <w14:schemeClr w14:val="tx1"/>
            </w14:solidFill>
          </w14:textFill>
        </w:rPr>
      </w:pPr>
    </w:p>
    <w:p w14:paraId="255FD123">
      <w:pPr>
        <w:pStyle w:val="12"/>
        <w:rPr>
          <w:rFonts w:ascii="宋体" w:hAnsi="宋体" w:cs="宋体"/>
          <w:color w:val="000000" w:themeColor="text1"/>
          <w:sz w:val="32"/>
          <w14:textFill>
            <w14:solidFill>
              <w14:schemeClr w14:val="tx1"/>
            </w14:solidFill>
          </w14:textFill>
        </w:rPr>
      </w:pPr>
    </w:p>
    <w:p w14:paraId="10492467">
      <w:pPr>
        <w:pStyle w:val="35"/>
        <w:ind w:firstLine="320"/>
        <w:rPr>
          <w:rFonts w:ascii="宋体" w:hAnsi="宋体" w:cs="宋体"/>
          <w:color w:val="000000" w:themeColor="text1"/>
          <w:sz w:val="32"/>
          <w14:textFill>
            <w14:solidFill>
              <w14:schemeClr w14:val="tx1"/>
            </w14:solidFill>
          </w14:textFill>
        </w:rPr>
      </w:pPr>
    </w:p>
    <w:p w14:paraId="1EA8C240">
      <w:pPr>
        <w:pStyle w:val="82"/>
        <w:ind w:firstLine="3004" w:firstLineChars="626"/>
        <w:jc w:val="both"/>
        <w:rPr>
          <w:rFonts w:ascii="宋体" w:hAnsi="宋体" w:cs="宋体"/>
          <w:bCs/>
          <w:color w:val="000000" w:themeColor="text1"/>
          <w:spacing w:val="20"/>
          <w:sz w:val="44"/>
          <w14:textFill>
            <w14:solidFill>
              <w14:schemeClr w14:val="tx1"/>
            </w14:solidFill>
          </w14:textFill>
        </w:rPr>
      </w:pPr>
      <w:r>
        <w:rPr>
          <w:rFonts w:hint="eastAsia" w:ascii="宋体" w:hAnsi="宋体" w:cs="宋体"/>
          <w:bCs/>
          <w:color w:val="000000" w:themeColor="text1"/>
          <w:spacing w:val="20"/>
          <w:sz w:val="44"/>
          <w14:textFill>
            <w14:solidFill>
              <w14:schemeClr w14:val="tx1"/>
            </w14:solidFill>
          </w14:textFill>
        </w:rPr>
        <w:t>江苏商贸职业学院</w:t>
      </w:r>
    </w:p>
    <w:p w14:paraId="16497718">
      <w:pPr>
        <w:adjustRightInd w:val="0"/>
        <w:spacing w:before="120" w:after="120" w:line="500" w:lineRule="exact"/>
        <w:ind w:left="-2" w:right="120"/>
        <w:jc w:val="center"/>
        <w:textAlignment w:val="baseline"/>
        <w:rPr>
          <w:rFonts w:ascii="宋体" w:hAnsi="宋体" w:cs="宋体"/>
          <w:bCs/>
          <w:snapToGrid w:val="0"/>
          <w:color w:val="000000" w:themeColor="text1"/>
          <w:sz w:val="26"/>
          <w:szCs w:val="28"/>
          <w:u w:val="single"/>
          <w14:textFill>
            <w14:solidFill>
              <w14:schemeClr w14:val="tx1"/>
            </w14:solidFill>
          </w14:textFill>
        </w:rPr>
      </w:pPr>
      <w:r>
        <w:rPr>
          <w:rFonts w:hint="eastAsia" w:ascii="宋体" w:hAnsi="宋体" w:cs="宋体"/>
          <w:bCs/>
          <w:color w:val="000000" w:themeColor="text1"/>
          <w:sz w:val="32"/>
          <w14:textFill>
            <w14:solidFill>
              <w14:schemeClr w14:val="tx1"/>
            </w14:solidFill>
          </w14:textFill>
        </w:rPr>
        <w:t>2026年9月</w:t>
      </w:r>
    </w:p>
    <w:p w14:paraId="0598C855">
      <w:pPr>
        <w:ind w:firstLine="4400" w:firstLineChars="1000"/>
        <w:rPr>
          <w:rFonts w:ascii="宋体" w:hAnsi="宋体" w:cs="宋体"/>
          <w:color w:val="000000" w:themeColor="text1"/>
          <w:sz w:val="44"/>
          <w:szCs w:val="44"/>
          <w14:textFill>
            <w14:solidFill>
              <w14:schemeClr w14:val="tx1"/>
            </w14:solidFill>
          </w14:textFill>
        </w:rPr>
      </w:pPr>
    </w:p>
    <w:p w14:paraId="5017FD3C">
      <w:pPr>
        <w:ind w:firstLine="4400" w:firstLineChars="1000"/>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44"/>
          <w:szCs w:val="44"/>
          <w14:textFill>
            <w14:solidFill>
              <w14:schemeClr w14:val="tx1"/>
            </w14:solidFill>
          </w14:textFill>
        </w:rPr>
        <w:t>目 录</w:t>
      </w:r>
    </w:p>
    <w:p w14:paraId="798B9AC7">
      <w:pPr>
        <w:tabs>
          <w:tab w:val="left" w:pos="7740"/>
        </w:tabs>
        <w:adjustRightInd w:val="0"/>
        <w:snapToGrid w:val="0"/>
        <w:spacing w:line="360" w:lineRule="auto"/>
        <w:ind w:firstLine="640" w:firstLineChars="200"/>
        <w:rPr>
          <w:rFonts w:ascii="宋体" w:hAnsi="宋体" w:cs="宋体"/>
          <w:bCs/>
          <w:color w:val="000000" w:themeColor="text1"/>
          <w:sz w:val="32"/>
          <w:szCs w:val="32"/>
          <w14:textFill>
            <w14:solidFill>
              <w14:schemeClr w14:val="tx1"/>
            </w14:solidFill>
          </w14:textFill>
        </w:rPr>
      </w:pPr>
    </w:p>
    <w:p w14:paraId="7DE19F7F">
      <w:pPr>
        <w:tabs>
          <w:tab w:val="left" w:pos="7740"/>
        </w:tabs>
        <w:adjustRightInd w:val="0"/>
        <w:snapToGrid w:val="0"/>
        <w:spacing w:line="360" w:lineRule="auto"/>
        <w:ind w:firstLine="640" w:firstLineChars="200"/>
        <w:rPr>
          <w:rFonts w:ascii="宋体" w:hAnsi="宋体" w:cs="宋体"/>
          <w:color w:val="000000" w:themeColor="text1"/>
          <w:spacing w:val="2"/>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第一部分  投标邀请</w:t>
      </w:r>
    </w:p>
    <w:p w14:paraId="68300BB4">
      <w:pPr>
        <w:tabs>
          <w:tab w:val="left" w:pos="7740"/>
        </w:tabs>
        <w:adjustRightInd w:val="0"/>
        <w:snapToGrid w:val="0"/>
        <w:spacing w:line="360" w:lineRule="auto"/>
        <w:ind w:firstLine="640" w:firstLineChars="200"/>
        <w:rPr>
          <w:rFonts w:ascii="宋体" w:hAnsi="宋体" w:cs="宋体"/>
          <w:color w:val="000000" w:themeColor="text1"/>
          <w:spacing w:val="2"/>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第二部分  投标须知</w:t>
      </w:r>
    </w:p>
    <w:p w14:paraId="157E9AEA">
      <w:pPr>
        <w:tabs>
          <w:tab w:val="left" w:pos="7740"/>
        </w:tabs>
        <w:adjustRightInd w:val="0"/>
        <w:snapToGrid w:val="0"/>
        <w:spacing w:line="360" w:lineRule="auto"/>
        <w:ind w:firstLine="640" w:firstLineChars="200"/>
        <w:rPr>
          <w:rFonts w:ascii="宋体" w:hAnsi="宋体" w:cs="宋体"/>
          <w:color w:val="000000" w:themeColor="text1"/>
          <w:spacing w:val="2"/>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第三部分  项目需求</w:t>
      </w:r>
    </w:p>
    <w:p w14:paraId="4A256041">
      <w:pPr>
        <w:tabs>
          <w:tab w:val="left" w:pos="7740"/>
        </w:tabs>
        <w:adjustRightInd w:val="0"/>
        <w:snapToGrid w:val="0"/>
        <w:spacing w:line="360" w:lineRule="auto"/>
        <w:ind w:firstLine="640" w:firstLineChars="200"/>
        <w:rPr>
          <w:rFonts w:ascii="宋体" w:hAnsi="宋体" w:cs="宋体"/>
          <w:color w:val="000000" w:themeColor="text1"/>
          <w:spacing w:val="2"/>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 xml:space="preserve">第四部分  </w:t>
      </w:r>
      <w:r>
        <w:rPr>
          <w:rFonts w:hint="eastAsia" w:ascii="宋体" w:hAnsi="宋体" w:cs="宋体"/>
          <w:bCs/>
          <w:color w:val="000000" w:themeColor="text1"/>
          <w:sz w:val="32"/>
          <w:szCs w:val="32"/>
          <w14:textFill>
            <w14:solidFill>
              <w14:schemeClr w14:val="tx1"/>
            </w14:solidFill>
          </w14:textFill>
        </w:rPr>
        <w:t>开标和评标</w:t>
      </w:r>
    </w:p>
    <w:p w14:paraId="1D7B8A3A">
      <w:pPr>
        <w:tabs>
          <w:tab w:val="left" w:pos="7740"/>
        </w:tabs>
        <w:adjustRightInd w:val="0"/>
        <w:snapToGrid w:val="0"/>
        <w:spacing w:line="360" w:lineRule="auto"/>
        <w:ind w:firstLine="640" w:firstLineChars="20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第五部分  合同主要条款</w:t>
      </w:r>
    </w:p>
    <w:p w14:paraId="7C03DCE6">
      <w:pPr>
        <w:tabs>
          <w:tab w:val="left" w:pos="7740"/>
        </w:tabs>
        <w:adjustRightInd w:val="0"/>
        <w:snapToGrid w:val="0"/>
        <w:spacing w:line="360" w:lineRule="auto"/>
        <w:ind w:firstLine="640" w:firstLineChars="20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第六部分  质疑与投诉</w:t>
      </w:r>
    </w:p>
    <w:p w14:paraId="4BE5E106">
      <w:pPr>
        <w:tabs>
          <w:tab w:val="left" w:pos="7740"/>
        </w:tabs>
        <w:adjustRightInd w:val="0"/>
        <w:snapToGrid w:val="0"/>
        <w:spacing w:line="360" w:lineRule="auto"/>
        <w:ind w:firstLine="640" w:firstLineChars="200"/>
        <w:rPr>
          <w:rFonts w:ascii="宋体" w:hAnsi="宋体" w:cs="宋体"/>
          <w:color w:val="000000" w:themeColor="text1"/>
          <w:spacing w:val="2"/>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第七部分  投标文件组成</w:t>
      </w:r>
    </w:p>
    <w:p w14:paraId="649B350C">
      <w:pPr>
        <w:spacing w:line="500" w:lineRule="exact"/>
        <w:rPr>
          <w:rFonts w:ascii="宋体" w:hAnsi="宋体" w:cs="宋体"/>
          <w:b/>
          <w:color w:val="000000" w:themeColor="text1"/>
          <w:sz w:val="32"/>
          <w:szCs w:val="32"/>
          <w14:textFill>
            <w14:solidFill>
              <w14:schemeClr w14:val="tx1"/>
            </w14:solidFill>
          </w14:textFill>
        </w:rPr>
      </w:pPr>
    </w:p>
    <w:p w14:paraId="738DB870">
      <w:pPr>
        <w:tabs>
          <w:tab w:val="left" w:pos="7740"/>
        </w:tabs>
        <w:spacing w:line="500" w:lineRule="exact"/>
        <w:rPr>
          <w:rFonts w:ascii="宋体" w:hAnsi="宋体" w:cs="宋体"/>
          <w:b/>
          <w:color w:val="000000" w:themeColor="text1"/>
          <w:spacing w:val="2"/>
          <w:sz w:val="32"/>
          <w:szCs w:val="32"/>
          <w14:textFill>
            <w14:solidFill>
              <w14:schemeClr w14:val="tx1"/>
            </w14:solidFill>
          </w14:textFill>
        </w:rPr>
      </w:pPr>
    </w:p>
    <w:p w14:paraId="0517BAE2">
      <w:pPr>
        <w:tabs>
          <w:tab w:val="left" w:pos="7740"/>
        </w:tabs>
        <w:spacing w:line="500" w:lineRule="exact"/>
        <w:rPr>
          <w:rFonts w:ascii="宋体" w:hAnsi="宋体" w:cs="宋体"/>
          <w:b/>
          <w:color w:val="000000" w:themeColor="text1"/>
          <w:spacing w:val="2"/>
          <w:sz w:val="32"/>
          <w:szCs w:val="32"/>
          <w14:textFill>
            <w14:solidFill>
              <w14:schemeClr w14:val="tx1"/>
            </w14:solidFill>
          </w14:textFill>
        </w:rPr>
      </w:pPr>
    </w:p>
    <w:p w14:paraId="52AC039A">
      <w:pPr>
        <w:tabs>
          <w:tab w:val="left" w:pos="7740"/>
        </w:tabs>
        <w:spacing w:line="500" w:lineRule="exact"/>
        <w:rPr>
          <w:rFonts w:ascii="宋体" w:hAnsi="宋体" w:cs="宋体"/>
          <w:b/>
          <w:bCs/>
          <w:color w:val="000000" w:themeColor="text1"/>
          <w:sz w:val="32"/>
          <w:szCs w:val="32"/>
          <w14:textFill>
            <w14:solidFill>
              <w14:schemeClr w14:val="tx1"/>
            </w14:solidFill>
          </w14:textFill>
        </w:rPr>
      </w:pPr>
    </w:p>
    <w:p w14:paraId="00416B80">
      <w:pPr>
        <w:pStyle w:val="12"/>
        <w:rPr>
          <w:rFonts w:ascii="宋体" w:hAnsi="宋体" w:cs="宋体"/>
          <w:bCs/>
          <w:color w:val="000000" w:themeColor="text1"/>
          <w:sz w:val="36"/>
          <w:szCs w:val="36"/>
          <w14:textFill>
            <w14:solidFill>
              <w14:schemeClr w14:val="tx1"/>
            </w14:solidFill>
          </w14:textFill>
        </w:rPr>
      </w:pPr>
    </w:p>
    <w:p w14:paraId="0EAB2CC2">
      <w:pPr>
        <w:rPr>
          <w:rFonts w:ascii="宋体" w:hAnsi="宋体" w:cs="宋体"/>
          <w:color w:val="000000" w:themeColor="text1"/>
          <w14:textFill>
            <w14:solidFill>
              <w14:schemeClr w14:val="tx1"/>
            </w14:solidFill>
          </w14:textFill>
        </w:rPr>
      </w:pPr>
    </w:p>
    <w:p w14:paraId="5FF106C4">
      <w:pPr>
        <w:adjustRightInd w:val="0"/>
        <w:snapToGrid w:val="0"/>
        <w:spacing w:line="500" w:lineRule="exact"/>
        <w:jc w:val="center"/>
        <w:outlineLvl w:val="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br w:type="page"/>
      </w:r>
      <w:r>
        <w:rPr>
          <w:rFonts w:hint="eastAsia" w:ascii="宋体" w:hAnsi="宋体" w:cs="宋体"/>
          <w:bCs/>
          <w:color w:val="000000" w:themeColor="text1"/>
          <w:sz w:val="32"/>
          <w:szCs w:val="32"/>
          <w14:textFill>
            <w14:solidFill>
              <w14:schemeClr w14:val="tx1"/>
            </w14:solidFill>
          </w14:textFill>
        </w:rPr>
        <w:t xml:space="preserve">第一部分  </w:t>
      </w:r>
      <w:bookmarkStart w:id="0" w:name="OLE_LINK7"/>
      <w:bookmarkStart w:id="1" w:name="OLE_LINK5"/>
      <w:r>
        <w:rPr>
          <w:rFonts w:hint="eastAsia" w:ascii="宋体" w:hAnsi="宋体" w:cs="宋体"/>
          <w:bCs/>
          <w:color w:val="000000" w:themeColor="text1"/>
          <w:sz w:val="32"/>
          <w:szCs w:val="32"/>
          <w14:textFill>
            <w14:solidFill>
              <w14:schemeClr w14:val="tx1"/>
            </w14:solidFill>
          </w14:textFill>
        </w:rPr>
        <w:t>投标邀请</w:t>
      </w:r>
    </w:p>
    <w:p w14:paraId="7CDFD14E">
      <w:pPr>
        <w:spacing w:line="360" w:lineRule="auto"/>
        <w:ind w:firstLine="240" w:firstLineChars="100"/>
        <w:jc w:val="left"/>
        <w:rPr>
          <w:rFonts w:ascii="宋体" w:hAnsi="宋体" w:cs="宋体"/>
          <w:color w:val="000000" w:themeColor="text1"/>
          <w:sz w:val="24"/>
          <w14:textFill>
            <w14:solidFill>
              <w14:schemeClr w14:val="tx1"/>
            </w14:solidFill>
          </w14:textFill>
        </w:rPr>
      </w:pPr>
      <w:bookmarkStart w:id="2" w:name="OLE_LINK6"/>
    </w:p>
    <w:p w14:paraId="69BF713D">
      <w:pPr>
        <w:spacing w:line="360" w:lineRule="auto"/>
        <w:ind w:firstLine="240" w:firstLineChars="1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受江苏商贸职业学院的委托，江苏中润工程建设咨询有限公司就江苏商贸职业学院通勤班车租赁服务项目（项目编号: JSSYCG20260920059 )进行公开招标采购，欢迎符合条件的投标人参与投标。</w:t>
      </w:r>
    </w:p>
    <w:p w14:paraId="60FA54D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项目概况</w:t>
      </w:r>
    </w:p>
    <w:p w14:paraId="7AE9605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江苏商贸职业学院通勤班车租赁服务项目的潜在投标人应在江苏商贸职业学院（</w:t>
      </w:r>
      <w:r>
        <w:fldChar w:fldCharType="begin"/>
      </w:r>
      <w:r>
        <w:instrText xml:space="preserve"> HYPERLINK "http://www.jsbc.edu.cn/）获取招标文件，并于2025年%20%20%20月" </w:instrText>
      </w:r>
      <w:r>
        <w:fldChar w:fldCharType="separate"/>
      </w:r>
      <w:r>
        <w:rPr>
          <w:rStyle w:val="44"/>
          <w:rFonts w:hint="eastAsia" w:ascii="宋体" w:hAnsi="宋体" w:cs="宋体"/>
          <w:color w:val="000000" w:themeColor="text1"/>
          <w:sz w:val="24"/>
          <w14:textFill>
            <w14:solidFill>
              <w14:schemeClr w14:val="tx1"/>
            </w14:solidFill>
          </w14:textFill>
        </w:rPr>
        <w:t>http://www.jsbc.edu.cn/）获取招标文件，并于2026年10月</w:t>
      </w:r>
      <w:r>
        <w:rPr>
          <w:rStyle w:val="44"/>
          <w:rFonts w:hint="eastAsia" w:ascii="宋体" w:hAnsi="宋体" w:cs="宋体"/>
          <w:color w:val="000000" w:themeColor="text1"/>
          <w:sz w:val="24"/>
          <w14:textFill>
            <w14:solidFill>
              <w14:schemeClr w14:val="tx1"/>
            </w14:solidFill>
          </w14:textFill>
        </w:rPr>
        <w:fldChar w:fldCharType="end"/>
      </w:r>
      <w:r>
        <w:rPr>
          <w:rStyle w:val="44"/>
          <w:rFonts w:hint="eastAsia"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日09</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时00分（北京时间）前递交投标文件。</w:t>
      </w:r>
    </w:p>
    <w:p w14:paraId="32F30DE4">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一、项目基本情况</w:t>
      </w:r>
    </w:p>
    <w:p w14:paraId="32ED4E3C">
      <w:pPr>
        <w:snapToGrid w:val="0"/>
        <w:spacing w:line="50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sz w:val="24"/>
          <w:szCs w:val="20"/>
        </w:rPr>
        <w:t>江苏商贸职业学院通勤班车租赁服务项目</w:t>
      </w:r>
    </w:p>
    <w:p w14:paraId="107EE2A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项目编号：JSSYCG20260920059 </w:t>
      </w:r>
    </w:p>
    <w:p w14:paraId="5999EA06">
      <w:pPr>
        <w:tabs>
          <w:tab w:val="left" w:pos="360"/>
        </w:tabs>
        <w:spacing w:line="460" w:lineRule="exact"/>
        <w:ind w:firstLine="480" w:firstLineChars="200"/>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预算金额：</w:t>
      </w:r>
      <w:r>
        <w:rPr>
          <w:rFonts w:hint="eastAsia" w:ascii="宋体" w:hAnsi="宋体" w:cs="宋体"/>
          <w:color w:val="000000" w:themeColor="text1"/>
          <w:sz w:val="24"/>
          <w:highlight w:val="none"/>
          <w:lang w:val="en-US" w:eastAsia="zh-CN"/>
          <w14:textFill>
            <w14:solidFill>
              <w14:schemeClr w14:val="tx1"/>
            </w14:solidFill>
          </w14:textFill>
        </w:rPr>
        <w:t>37.4万元/年</w:t>
      </w:r>
    </w:p>
    <w:p w14:paraId="0ADB0CB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最高限价：</w:t>
      </w:r>
      <w:r>
        <w:rPr>
          <w:rFonts w:hint="eastAsia" w:ascii="宋体" w:hAnsi="宋体" w:cs="宋体"/>
          <w:b w:val="0"/>
          <w:bCs/>
          <w:color w:val="auto"/>
          <w:sz w:val="24"/>
        </w:rPr>
        <w:t>人民币</w:t>
      </w:r>
      <w:r>
        <w:rPr>
          <w:rFonts w:hint="eastAsia" w:ascii="宋体" w:hAnsi="宋体" w:cs="宋体"/>
          <w:b w:val="0"/>
          <w:bCs/>
          <w:color w:val="auto"/>
          <w:sz w:val="24"/>
          <w:lang w:val="en-US" w:eastAsia="zh-CN"/>
        </w:rPr>
        <w:t>1100</w:t>
      </w:r>
      <w:r>
        <w:rPr>
          <w:rFonts w:hint="eastAsia" w:ascii="宋体" w:hAnsi="宋体" w:cs="宋体"/>
          <w:b w:val="0"/>
          <w:bCs/>
          <w:color w:val="auto"/>
          <w:sz w:val="24"/>
        </w:rPr>
        <w:t>元/</w:t>
      </w:r>
      <w:r>
        <w:rPr>
          <w:rFonts w:hint="eastAsia" w:ascii="宋体" w:hAnsi="宋体" w:cs="宋体"/>
          <w:color w:val="000000" w:themeColor="text1"/>
          <w:sz w:val="24"/>
          <w14:textFill>
            <w14:solidFill>
              <w14:schemeClr w14:val="tx1"/>
            </w14:solidFill>
          </w14:textFill>
        </w:rPr>
        <w:t>有效往返（次）/辆，投标报价高于最高限价的作无效投标处理。</w:t>
      </w:r>
    </w:p>
    <w:p w14:paraId="783FB6E0">
      <w:pPr>
        <w:tabs>
          <w:tab w:val="left" w:pos="360"/>
        </w:tabs>
        <w:spacing w:line="460" w:lineRule="exact"/>
        <w:ind w:firstLine="480" w:firstLineChars="200"/>
        <w:rPr>
          <w:rFonts w:ascii="宋体" w:hAnsi="宋体" w:cs="宋体"/>
          <w:sz w:val="24"/>
        </w:rPr>
      </w:pPr>
      <w:r>
        <w:rPr>
          <w:rFonts w:hint="eastAsia" w:ascii="宋体" w:hAnsi="宋体" w:cs="宋体"/>
          <w:color w:val="000000" w:themeColor="text1"/>
          <w:sz w:val="24"/>
          <w14:textFill>
            <w14:solidFill>
              <w14:schemeClr w14:val="tx1"/>
            </w14:solidFill>
          </w14:textFill>
        </w:rPr>
        <w:t>采购需求：具体内容</w:t>
      </w:r>
      <w:r>
        <w:rPr>
          <w:rFonts w:hint="eastAsia" w:ascii="宋体" w:hAnsi="宋体" w:cs="宋体"/>
          <w:sz w:val="24"/>
        </w:rPr>
        <w:t>详见招标文件第三部分《采购需求》</w:t>
      </w:r>
    </w:p>
    <w:p w14:paraId="5159A61A">
      <w:pPr>
        <w:tabs>
          <w:tab w:val="left" w:pos="360"/>
        </w:tabs>
        <w:spacing w:line="460" w:lineRule="exact"/>
        <w:ind w:firstLine="480" w:firstLineChars="200"/>
        <w:rPr>
          <w:rFonts w:ascii="宋体" w:hAnsi="宋体" w:cs="宋体"/>
          <w:sz w:val="24"/>
        </w:rPr>
      </w:pPr>
      <w:r>
        <w:rPr>
          <w:rFonts w:hint="eastAsia" w:ascii="宋体" w:hAnsi="宋体" w:cs="宋体"/>
          <w:sz w:val="24"/>
        </w:rPr>
        <w:t>合同履行期限: 本次采购项目服务期暂定3年，合同一年一签。合同期满，服务质量好，无车辆安全事故等，经考核合格，在价格等所有条款不发生变化的情况下，经学校同意可续签合同，考核不合格者不再续签。</w:t>
      </w:r>
    </w:p>
    <w:p w14:paraId="045A304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二、申请人的资格要求：</w:t>
      </w:r>
    </w:p>
    <w:p w14:paraId="37FD9AD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w:t>
      </w:r>
    </w:p>
    <w:p w14:paraId="107A4A3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2.法定代表人参加投标的，必须提供法定代表人身份证明及法定代表人本人身份证复印件；非法定代表人参加投标的，必须提供法定代表人身份证明、法定代表人签名或盖章的授权委托书</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法定代表人和委托代理人（以下称被授权人）两个人的身份证复印件（格式参见附件）；</w:t>
      </w:r>
    </w:p>
    <w:p w14:paraId="2761DEE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3.提供营业执照副本复印件并加盖投标单位公章；</w:t>
      </w:r>
    </w:p>
    <w:p w14:paraId="189764A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.未被“信用中国”、“中国政府采购网”网站列入失信被执行人、重大税收违法案件当事人名单、政府采购严重违法失信行为记录名单，</w:t>
      </w:r>
      <w:r>
        <w:rPr>
          <w:rFonts w:hint="eastAsia" w:ascii="宋体" w:hAnsi="宋体" w:cs="宋体"/>
          <w:color w:val="000000" w:themeColor="text1"/>
          <w:kern w:val="0"/>
          <w:sz w:val="24"/>
          <w14:textFill>
            <w14:solidFill>
              <w14:schemeClr w14:val="tx1"/>
            </w14:solidFill>
          </w14:textFill>
        </w:rPr>
        <w:t>提供无重大违法记录声明（</w:t>
      </w:r>
      <w:r>
        <w:rPr>
          <w:rFonts w:hint="eastAsia" w:ascii="宋体" w:hAnsi="宋体" w:cs="宋体"/>
          <w:color w:val="000000" w:themeColor="text1"/>
          <w:kern w:val="0"/>
          <w:sz w:val="24"/>
          <w:lang w:val="zh-CN"/>
          <w14:textFill>
            <w14:solidFill>
              <w14:schemeClr w14:val="tx1"/>
            </w14:solidFill>
          </w14:textFill>
        </w:rPr>
        <w:t>格式见附件）</w:t>
      </w:r>
      <w:r>
        <w:rPr>
          <w:rFonts w:hint="eastAsia" w:ascii="宋体" w:hAnsi="宋体" w:cs="宋体"/>
          <w:color w:val="000000" w:themeColor="text1"/>
          <w:sz w:val="24"/>
          <w14:textFill>
            <w14:solidFill>
              <w14:schemeClr w14:val="tx1"/>
            </w14:solidFill>
          </w14:textFill>
        </w:rPr>
        <w:t>；</w:t>
      </w:r>
    </w:p>
    <w:p w14:paraId="7EE802D7">
      <w:pPr>
        <w:spacing w:line="46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en-US" w:eastAsia="zh-CN"/>
        </w:rPr>
        <w:t>5</w:t>
      </w:r>
      <w:r>
        <w:rPr>
          <w:rFonts w:hint="eastAsia" w:ascii="宋体" w:hAnsi="宋体" w:cs="宋体"/>
          <w:color w:val="000000"/>
          <w:kern w:val="0"/>
          <w:sz w:val="24"/>
          <w:lang w:val="zh-CN"/>
        </w:rPr>
        <w:t>.投标供应商具有道路运输经营许可证（客运）资质证书。</w:t>
      </w:r>
    </w:p>
    <w:p w14:paraId="48BC002F">
      <w:pPr>
        <w:spacing w:line="46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kern w:val="0"/>
          <w:sz w:val="24"/>
          <w:highlight w:val="none"/>
          <w:lang w:val="en-US" w:eastAsia="zh-CN" w:bidi="ar"/>
        </w:rPr>
        <w:t>6.提供书面承诺函，承诺企业近三年无重大交通事故、无客运行政处罚记录，本项目拟派驾驶员无重大交通责任事故记录（格式见附件）。</w:t>
      </w:r>
    </w:p>
    <w:p w14:paraId="21C21AE9">
      <w:pPr>
        <w:spacing w:line="460" w:lineRule="exact"/>
        <w:ind w:firstLine="480" w:firstLineChars="200"/>
        <w:rPr>
          <w:rFonts w:ascii="宋体" w:hAnsi="宋体" w:cs="宋体"/>
          <w:sz w:val="24"/>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r>
        <w:rPr>
          <w:rFonts w:hint="eastAsia" w:ascii="宋体" w:hAnsi="宋体" w:cs="宋体"/>
          <w:sz w:val="24"/>
        </w:rPr>
        <w:t>法定代表人为同一个人的两个及两个以上法人，母公司、全资子公司及其控股公司，都不得在同一采购项目相同标段中同时投标，一经发现，将视同围标处理。</w:t>
      </w:r>
    </w:p>
    <w:p w14:paraId="7C86BEF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三、获取招标文件</w:t>
      </w:r>
    </w:p>
    <w:p w14:paraId="381635E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时间：2026年9月</w:t>
      </w:r>
      <w:r>
        <w:rPr>
          <w:rFonts w:hint="eastAsia" w:ascii="宋体" w:hAnsi="宋体" w:cs="宋体"/>
          <w:color w:val="000000" w:themeColor="text1"/>
          <w:sz w:val="24"/>
          <w:lang w:val="en-US" w:eastAsia="zh-CN"/>
          <w14:textFill>
            <w14:solidFill>
              <w14:schemeClr w14:val="tx1"/>
            </w14:solidFill>
          </w14:textFill>
        </w:rPr>
        <w:t>24</w:t>
      </w:r>
      <w:r>
        <w:rPr>
          <w:rFonts w:hint="eastAsia" w:ascii="宋体" w:hAnsi="宋体" w:cs="宋体"/>
          <w:color w:val="000000" w:themeColor="text1"/>
          <w:sz w:val="24"/>
          <w14:textFill>
            <w14:solidFill>
              <w14:schemeClr w14:val="tx1"/>
            </w14:solidFill>
          </w14:textFill>
        </w:rPr>
        <w:t>日至2026年10月</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日。</w:t>
      </w:r>
    </w:p>
    <w:p w14:paraId="2E9F06A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地点：江苏商贸职业学院网。</w:t>
      </w:r>
    </w:p>
    <w:p w14:paraId="5DC4E43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方式：网站附件自行下载。</w:t>
      </w:r>
    </w:p>
    <w:p w14:paraId="64D58D67">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四、提交投标文件截止时间、开标时间和地点</w:t>
      </w:r>
    </w:p>
    <w:p w14:paraId="584923D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2026年10月</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日09时00分（北京时间）。</w:t>
      </w:r>
    </w:p>
    <w:p w14:paraId="1476BD8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逾时，招标人将拒绝接受投标响应文件。</w:t>
      </w:r>
    </w:p>
    <w:p w14:paraId="7DC1045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开标地点：江苏省南通市江通路48号，江苏商贸职业学院资产管理处（西大门南侧）办公室，如有变动另行通知。</w:t>
      </w:r>
    </w:p>
    <w:p w14:paraId="33A21E2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评审地点：江苏商贸职业学院基建会议室，如有变动另行通知。</w:t>
      </w:r>
    </w:p>
    <w:p w14:paraId="754657D2">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五、公告期限</w:t>
      </w:r>
    </w:p>
    <w:p w14:paraId="4ABDA47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自本公告发布之日起5个工作日。</w:t>
      </w:r>
    </w:p>
    <w:p w14:paraId="754D2195">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六、其他补充事宜</w:t>
      </w:r>
    </w:p>
    <w:p w14:paraId="63C83D3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1.投标保证金：免收。</w:t>
      </w:r>
    </w:p>
    <w:p w14:paraId="5309244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2.项目开标活动模式：见面开标模式，投标供应商在江苏省南通市江通路48号，江苏商贸职业学院资产管理处（西大门南侧）办公室参加开标会。</w:t>
      </w:r>
    </w:p>
    <w:p w14:paraId="3526F00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3.对项目需求部分（供应商资格要求、项目需求、商务技术评分标准）的询问、质疑请向招标人提出，由招标人负责答复；对项目招标文件其它部分的询问请向代理机构经办人提出。</w:t>
      </w:r>
    </w:p>
    <w:p w14:paraId="48C13AE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供应商应依照规定提交各类声明函、承诺函，不再同时提供原件备查或提供有关部门出具的相关证明文件。但中标供应商应做好提交声明函、承诺函、认证、业绩相应原件的核查准备；核查后发现虚假或违背承诺的，依照相关法律法规规定处理。</w:t>
      </w:r>
    </w:p>
    <w:p w14:paraId="58C68FA2">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七、对本次招标提出询问，请按以下方式联系。</w:t>
      </w:r>
    </w:p>
    <w:p w14:paraId="47C8227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1.采购人：江苏商贸职业学院</w:t>
      </w:r>
    </w:p>
    <w:p w14:paraId="5B25445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地址：南通市崇川区江通路48号</w:t>
      </w:r>
    </w:p>
    <w:p w14:paraId="78B51AFE">
      <w:pPr>
        <w:tabs>
          <w:tab w:val="left" w:pos="360"/>
        </w:tabs>
        <w:spacing w:line="460" w:lineRule="exact"/>
        <w:ind w:firstLine="480" w:firstLineChars="200"/>
        <w:rPr>
          <w:rFonts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联系人：</w:t>
      </w:r>
      <w:r>
        <w:rPr>
          <w:rFonts w:hint="eastAsia" w:ascii="宋体" w:hAnsi="宋体" w:cs="宋体"/>
          <w:b w:val="0"/>
          <w:bCs/>
          <w:color w:val="000000" w:themeColor="text1"/>
          <w:sz w:val="24"/>
          <w14:textFill>
            <w14:solidFill>
              <w14:schemeClr w14:val="tx1"/>
            </w14:solidFill>
          </w14:textFill>
        </w:rPr>
        <w:t>杨云</w:t>
      </w:r>
      <w:r>
        <w:rPr>
          <w:rFonts w:hint="eastAsia" w:ascii="宋体" w:hAnsi="宋体" w:cs="宋体"/>
          <w:b w:val="0"/>
          <w:bCs/>
          <w:color w:val="000000" w:themeColor="text1"/>
          <w:sz w:val="24"/>
          <w:lang w:eastAsia="zh-CN"/>
          <w14:textFill>
            <w14:solidFill>
              <w14:schemeClr w14:val="tx1"/>
            </w14:solidFill>
          </w14:textFill>
        </w:rPr>
        <w:t>（</w:t>
      </w:r>
      <w:r>
        <w:rPr>
          <w:rFonts w:hint="eastAsia" w:ascii="宋体" w:hAnsi="宋体" w:cs="宋体"/>
          <w:b w:val="0"/>
          <w:bCs/>
          <w:color w:val="000000" w:themeColor="text1"/>
          <w:sz w:val="24"/>
          <w:lang w:val="en-US" w:eastAsia="zh-CN"/>
          <w14:textFill>
            <w14:solidFill>
              <w14:schemeClr w14:val="tx1"/>
            </w14:solidFill>
          </w14:textFill>
        </w:rPr>
        <w:t>通州湾教学区办公室</w:t>
      </w:r>
      <w:r>
        <w:rPr>
          <w:rFonts w:hint="eastAsia" w:ascii="宋体" w:hAnsi="宋体" w:cs="宋体"/>
          <w:b w:val="0"/>
          <w:bCs/>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sz w:val="24"/>
        </w:rPr>
        <w:t>联系电话：</w:t>
      </w:r>
      <w:r>
        <w:rPr>
          <w:rFonts w:ascii="宋体" w:hAnsi="宋体" w:cs="宋体"/>
          <w:b w:val="0"/>
          <w:bCs/>
          <w:sz w:val="24"/>
        </w:rPr>
        <w:t>13515202806</w:t>
      </w:r>
    </w:p>
    <w:p w14:paraId="1D0C89E8">
      <w:pPr>
        <w:snapToGrid w:val="0"/>
        <w:spacing w:line="480" w:lineRule="exact"/>
        <w:ind w:firstLine="1440" w:firstLineChars="600"/>
        <w:outlineLvl w:val="1"/>
        <w:rPr>
          <w:rFonts w:ascii="宋体" w:hAnsi="宋体" w:cs="宋体"/>
          <w:sz w:val="24"/>
        </w:rPr>
      </w:pPr>
      <w:r>
        <w:rPr>
          <w:rFonts w:hint="eastAsia" w:ascii="宋体" w:hAnsi="宋体" w:cs="宋体"/>
          <w:sz w:val="24"/>
        </w:rPr>
        <w:t xml:space="preserve">杨老师（资产管理处）     </w:t>
      </w:r>
      <w:r>
        <w:rPr>
          <w:rFonts w:ascii="宋体" w:hAnsi="宋体" w:cs="宋体"/>
          <w:sz w:val="24"/>
        </w:rPr>
        <w:t xml:space="preserve">  </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联系电话：0513-85679264</w:t>
      </w:r>
    </w:p>
    <w:p w14:paraId="73050DD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联系邮箱：jssyzcglc@jsbc.edu.cn</w:t>
      </w:r>
    </w:p>
    <w:p w14:paraId="7C77B8C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2.监督、投诉联系方式</w:t>
      </w:r>
    </w:p>
    <w:p w14:paraId="65F69C1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电话：0513-85679216，联系邮箱：jssyjjjc@163.com</w:t>
      </w:r>
    </w:p>
    <w:p w14:paraId="180D292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3.采购代理机构信息</w:t>
      </w:r>
    </w:p>
    <w:p w14:paraId="1104FC5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名称：江苏中润工程建设咨询有限公司</w:t>
      </w:r>
    </w:p>
    <w:p w14:paraId="4A0E5EB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地址：南通市崇川路58号南通产业技术研究院9号楼1004室</w:t>
      </w:r>
    </w:p>
    <w:p w14:paraId="5D6F049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联系方式：王  工  13906272111 </w:t>
      </w:r>
    </w:p>
    <w:p w14:paraId="68A2E385">
      <w:pPr>
        <w:pStyle w:val="17"/>
        <w:rPr>
          <w:rFonts w:ascii="宋体" w:hAnsi="宋体" w:eastAsia="宋体" w:cs="宋体"/>
          <w:color w:val="000000" w:themeColor="text1"/>
          <w14:textFill>
            <w14:solidFill>
              <w14:schemeClr w14:val="tx1"/>
            </w14:solidFill>
          </w14:textFill>
        </w:rPr>
      </w:pPr>
    </w:p>
    <w:p w14:paraId="5B2F5D41">
      <w:pPr>
        <w:adjustRightInd w:val="0"/>
        <w:snapToGrid w:val="0"/>
        <w:spacing w:line="500" w:lineRule="exact"/>
        <w:jc w:val="center"/>
        <w:outlineLvl w:val="0"/>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br w:type="page"/>
      </w:r>
      <w:r>
        <w:rPr>
          <w:rFonts w:hint="eastAsia" w:ascii="宋体" w:hAnsi="宋体" w:cs="宋体"/>
          <w:color w:val="000000" w:themeColor="text1"/>
          <w:sz w:val="32"/>
          <w:szCs w:val="32"/>
          <w14:textFill>
            <w14:solidFill>
              <w14:schemeClr w14:val="tx1"/>
            </w14:solidFill>
          </w14:textFill>
        </w:rPr>
        <w:t>第二部分  投标须知</w:t>
      </w:r>
    </w:p>
    <w:p w14:paraId="2EF54DE7">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3" w:name="_Toc16938519"/>
      <w:bookmarkStart w:id="4" w:name="_Toc20823275"/>
      <w:bookmarkStart w:id="5" w:name="_Toc120614214"/>
      <w:bookmarkStart w:id="6" w:name="_Toc513029203"/>
      <w:r>
        <w:rPr>
          <w:rFonts w:hint="eastAsia" w:ascii="宋体" w:hAnsi="宋体" w:cs="宋体"/>
          <w:b/>
          <w:bCs/>
          <w:color w:val="000000" w:themeColor="text1"/>
          <w:sz w:val="24"/>
          <w14:textFill>
            <w14:solidFill>
              <w14:schemeClr w14:val="tx1"/>
            </w14:solidFill>
          </w14:textFill>
        </w:rPr>
        <w:t>一、总则</w:t>
      </w:r>
      <w:bookmarkEnd w:id="3"/>
      <w:bookmarkEnd w:id="4"/>
      <w:bookmarkEnd w:id="5"/>
      <w:bookmarkEnd w:id="6"/>
    </w:p>
    <w:p w14:paraId="4EF65DF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7" w:name="_Hlt16619475"/>
      <w:bookmarkEnd w:id="7"/>
      <w:bookmarkStart w:id="8" w:name="_Toc458694821"/>
      <w:bookmarkStart w:id="9" w:name="_Toc16938520"/>
      <w:bookmarkStart w:id="10" w:name="_Toc20823276"/>
      <w:bookmarkStart w:id="11" w:name="_Toc513029204"/>
      <w:r>
        <w:rPr>
          <w:rFonts w:hint="eastAsia" w:ascii="宋体" w:hAnsi="宋体" w:cs="宋体"/>
          <w:color w:val="000000" w:themeColor="text1"/>
          <w:sz w:val="24"/>
          <w14:textFill>
            <w14:solidFill>
              <w14:schemeClr w14:val="tx1"/>
            </w14:solidFill>
          </w14:textFill>
        </w:rPr>
        <w:t>1</w:t>
      </w:r>
      <w:bookmarkEnd w:id="8"/>
      <w:r>
        <w:rPr>
          <w:rFonts w:hint="eastAsia" w:ascii="宋体" w:hAnsi="宋体" w:cs="宋体"/>
          <w:color w:val="000000" w:themeColor="text1"/>
          <w:sz w:val="24"/>
          <w14:textFill>
            <w14:solidFill>
              <w14:schemeClr w14:val="tx1"/>
            </w14:solidFill>
          </w14:textFill>
        </w:rPr>
        <w:t>.招标方式</w:t>
      </w:r>
      <w:bookmarkEnd w:id="9"/>
      <w:bookmarkEnd w:id="10"/>
      <w:bookmarkEnd w:id="11"/>
    </w:p>
    <w:p w14:paraId="3738439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本次招标采取公开招标方式，本招标文件仅适用于招标公告中所述项目。</w:t>
      </w:r>
    </w:p>
    <w:p w14:paraId="61760CE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12" w:name="_Toc513029205"/>
      <w:bookmarkStart w:id="13" w:name="_Toc16938521"/>
      <w:bookmarkStart w:id="14" w:name="_Toc20823277"/>
      <w:r>
        <w:rPr>
          <w:rFonts w:hint="eastAsia" w:ascii="宋体" w:hAnsi="宋体" w:cs="宋体"/>
          <w:color w:val="000000" w:themeColor="text1"/>
          <w:sz w:val="24"/>
          <w14:textFill>
            <w14:solidFill>
              <w14:schemeClr w14:val="tx1"/>
            </w14:solidFill>
          </w14:textFill>
        </w:rPr>
        <w:t>2.合格的投标人</w:t>
      </w:r>
      <w:bookmarkEnd w:id="12"/>
      <w:bookmarkEnd w:id="13"/>
      <w:bookmarkEnd w:id="14"/>
    </w:p>
    <w:p w14:paraId="5585969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2.1满足招标公告中供应商的资格要求的规定。</w:t>
      </w:r>
    </w:p>
    <w:p w14:paraId="1C29400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满足本文件实质性条款的规定。</w:t>
      </w:r>
    </w:p>
    <w:p w14:paraId="33BAB7DE">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15" w:name="_Toc16938522"/>
      <w:bookmarkStart w:id="16" w:name="_Toc20823278"/>
      <w:bookmarkStart w:id="17" w:name="_Toc513029206"/>
      <w:r>
        <w:rPr>
          <w:rFonts w:hint="eastAsia" w:ascii="宋体" w:hAnsi="宋体" w:cs="宋体"/>
          <w:b/>
          <w:bCs/>
          <w:color w:val="000000" w:themeColor="text1"/>
          <w:sz w:val="24"/>
          <w14:textFill>
            <w14:solidFill>
              <w14:schemeClr w14:val="tx1"/>
            </w14:solidFill>
          </w14:textFill>
        </w:rPr>
        <w:t>采购项目招标开始后，不再接受投标人对招标文件（含更正公告等）内容的异议或质询（质疑）。</w:t>
      </w:r>
    </w:p>
    <w:p w14:paraId="4557D8D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3.适用法律</w:t>
      </w:r>
      <w:bookmarkEnd w:id="15"/>
      <w:bookmarkEnd w:id="16"/>
      <w:bookmarkEnd w:id="17"/>
    </w:p>
    <w:p w14:paraId="5C959C0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3.1本次招标及由此产生的合同受中华人民共和国有关的法律法规制约和保护。</w:t>
      </w:r>
    </w:p>
    <w:p w14:paraId="358F5B0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18" w:name="_Toc462564067"/>
      <w:bookmarkStart w:id="19" w:name="_Toc513029207"/>
      <w:bookmarkStart w:id="20" w:name="_Toc20823279"/>
      <w:bookmarkStart w:id="21" w:name="_Toc16938523"/>
      <w:r>
        <w:rPr>
          <w:rFonts w:hint="eastAsia" w:ascii="宋体" w:hAnsi="宋体" w:cs="宋体"/>
          <w:color w:val="000000" w:themeColor="text1"/>
          <w:sz w:val="24"/>
          <w14:textFill>
            <w14:solidFill>
              <w14:schemeClr w14:val="tx1"/>
            </w14:solidFill>
          </w14:textFill>
        </w:rPr>
        <w:t>4.投标费用</w:t>
      </w:r>
      <w:bookmarkEnd w:id="18"/>
      <w:bookmarkEnd w:id="19"/>
      <w:bookmarkEnd w:id="20"/>
      <w:bookmarkEnd w:id="21"/>
    </w:p>
    <w:p w14:paraId="07E322A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4.1投标人应自行承担所有与参加投标有关的费用，无论投标过程中的做法和结果如何，江苏中润工程建设咨询有限公司（以下简称采购代理机构）在任何情况下均无义务和责任承担这些费用。</w:t>
      </w:r>
    </w:p>
    <w:p w14:paraId="5D96E08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4.2本项目招标代理费收取标准以中标价为基准，乘以招标代理收费费率，由成交供应商支付，投标供应商综合考虑在报价内（不单列）。</w:t>
      </w:r>
    </w:p>
    <w:p w14:paraId="6C7CE01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本项目招标代理收费费率标准：</w:t>
      </w:r>
    </w:p>
    <w:tbl>
      <w:tblPr>
        <w:tblStyle w:val="37"/>
        <w:tblW w:w="45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4642"/>
        <w:gridCol w:w="3260"/>
      </w:tblGrid>
      <w:tr w14:paraId="79E3D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87" w:type="pct"/>
            <w:vMerge w:val="restart"/>
            <w:tcBorders>
              <w:top w:val="single" w:color="auto" w:sz="4" w:space="0"/>
              <w:left w:val="single" w:color="auto" w:sz="4" w:space="0"/>
              <w:right w:val="single" w:color="auto" w:sz="4" w:space="0"/>
            </w:tcBorders>
            <w:vAlign w:val="center"/>
          </w:tcPr>
          <w:p w14:paraId="79E8CA44">
            <w:pPr>
              <w:widowControl/>
              <w:adjustRightInd w:val="0"/>
              <w:snapToGrid w:val="0"/>
              <w:spacing w:line="460" w:lineRule="exact"/>
              <w:jc w:val="center"/>
              <w:rPr>
                <w:rFonts w:ascii="宋体" w:hAnsi="宋体" w:cs="宋体"/>
                <w:b/>
                <w:bCs/>
                <w:sz w:val="24"/>
              </w:rPr>
            </w:pPr>
            <w:r>
              <w:rPr>
                <w:rFonts w:hint="eastAsia" w:ascii="宋体" w:hAnsi="宋体" w:cs="宋体"/>
                <w:b/>
                <w:bCs/>
                <w:sz w:val="24"/>
              </w:rPr>
              <w:t>序号</w:t>
            </w:r>
          </w:p>
        </w:tc>
        <w:tc>
          <w:tcPr>
            <w:tcW w:w="2533" w:type="pct"/>
            <w:vMerge w:val="restart"/>
            <w:tcBorders>
              <w:top w:val="single" w:color="auto" w:sz="4" w:space="0"/>
              <w:left w:val="single" w:color="auto" w:sz="4" w:space="0"/>
              <w:right w:val="single" w:color="auto" w:sz="4" w:space="0"/>
            </w:tcBorders>
            <w:vAlign w:val="center"/>
          </w:tcPr>
          <w:p w14:paraId="26C6CAC4">
            <w:pPr>
              <w:widowControl/>
              <w:adjustRightInd w:val="0"/>
              <w:snapToGrid w:val="0"/>
              <w:spacing w:line="460" w:lineRule="exact"/>
              <w:jc w:val="center"/>
              <w:rPr>
                <w:rFonts w:ascii="宋体" w:hAnsi="宋体" w:cs="宋体"/>
                <w:b/>
                <w:bCs/>
                <w:sz w:val="24"/>
              </w:rPr>
            </w:pPr>
            <w:r>
              <w:rPr>
                <w:rFonts w:hint="eastAsia" w:ascii="宋体" w:hAnsi="宋体" w:cs="宋体"/>
                <w:b/>
                <w:bCs/>
                <w:sz w:val="24"/>
              </w:rPr>
              <w:t>服务费类型（按中标金额）</w:t>
            </w:r>
          </w:p>
        </w:tc>
        <w:tc>
          <w:tcPr>
            <w:tcW w:w="1779" w:type="pct"/>
            <w:vMerge w:val="restart"/>
            <w:tcBorders>
              <w:top w:val="single" w:color="auto" w:sz="4" w:space="0"/>
              <w:left w:val="single" w:color="auto" w:sz="4" w:space="0"/>
              <w:right w:val="single" w:color="auto" w:sz="4" w:space="0"/>
            </w:tcBorders>
            <w:vAlign w:val="center"/>
          </w:tcPr>
          <w:p w14:paraId="13273072">
            <w:pPr>
              <w:widowControl/>
              <w:adjustRightInd w:val="0"/>
              <w:snapToGrid w:val="0"/>
              <w:spacing w:line="460" w:lineRule="exact"/>
              <w:jc w:val="center"/>
              <w:rPr>
                <w:rFonts w:ascii="宋体" w:hAnsi="宋体" w:cs="宋体"/>
                <w:b/>
                <w:bCs/>
                <w:sz w:val="24"/>
              </w:rPr>
            </w:pPr>
            <w:r>
              <w:rPr>
                <w:rFonts w:hint="eastAsia" w:ascii="宋体" w:hAnsi="宋体" w:cs="宋体"/>
                <w:b/>
                <w:bCs/>
                <w:sz w:val="24"/>
              </w:rPr>
              <w:t xml:space="preserve">收费标准 </w:t>
            </w:r>
          </w:p>
        </w:tc>
      </w:tr>
      <w:tr w14:paraId="56AF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87" w:type="pct"/>
            <w:vMerge w:val="continue"/>
            <w:tcBorders>
              <w:left w:val="single" w:color="auto" w:sz="4" w:space="0"/>
              <w:bottom w:val="single" w:color="auto" w:sz="4" w:space="0"/>
              <w:right w:val="single" w:color="auto" w:sz="4" w:space="0"/>
            </w:tcBorders>
            <w:vAlign w:val="center"/>
          </w:tcPr>
          <w:p w14:paraId="38AD39AB">
            <w:pPr>
              <w:widowControl/>
              <w:adjustRightInd w:val="0"/>
              <w:snapToGrid w:val="0"/>
              <w:spacing w:line="460" w:lineRule="exact"/>
              <w:jc w:val="center"/>
              <w:rPr>
                <w:rFonts w:ascii="宋体" w:hAnsi="宋体" w:cs="宋体"/>
                <w:sz w:val="24"/>
              </w:rPr>
            </w:pPr>
          </w:p>
        </w:tc>
        <w:tc>
          <w:tcPr>
            <w:tcW w:w="2533" w:type="pct"/>
            <w:vMerge w:val="continue"/>
            <w:tcBorders>
              <w:left w:val="single" w:color="auto" w:sz="4" w:space="0"/>
              <w:bottom w:val="single" w:color="auto" w:sz="4" w:space="0"/>
              <w:right w:val="single" w:color="auto" w:sz="4" w:space="0"/>
            </w:tcBorders>
            <w:vAlign w:val="center"/>
          </w:tcPr>
          <w:p w14:paraId="2DE13734">
            <w:pPr>
              <w:widowControl/>
              <w:adjustRightInd w:val="0"/>
              <w:snapToGrid w:val="0"/>
              <w:spacing w:line="460" w:lineRule="exact"/>
              <w:jc w:val="center"/>
              <w:rPr>
                <w:rFonts w:ascii="宋体" w:hAnsi="宋体" w:cs="宋体"/>
                <w:sz w:val="24"/>
              </w:rPr>
            </w:pPr>
          </w:p>
        </w:tc>
        <w:tc>
          <w:tcPr>
            <w:tcW w:w="1779" w:type="pct"/>
            <w:vMerge w:val="continue"/>
            <w:tcBorders>
              <w:left w:val="single" w:color="auto" w:sz="4" w:space="0"/>
              <w:bottom w:val="single" w:color="auto" w:sz="4" w:space="0"/>
              <w:right w:val="single" w:color="auto" w:sz="4" w:space="0"/>
            </w:tcBorders>
            <w:vAlign w:val="center"/>
          </w:tcPr>
          <w:p w14:paraId="5651B27C">
            <w:pPr>
              <w:widowControl/>
              <w:adjustRightInd w:val="0"/>
              <w:snapToGrid w:val="0"/>
              <w:spacing w:line="460" w:lineRule="exact"/>
              <w:jc w:val="center"/>
              <w:rPr>
                <w:rFonts w:ascii="宋体" w:hAnsi="宋体" w:cs="宋体"/>
                <w:sz w:val="24"/>
              </w:rPr>
            </w:pPr>
          </w:p>
        </w:tc>
      </w:tr>
      <w:tr w14:paraId="4341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345C2729">
            <w:pPr>
              <w:widowControl/>
              <w:adjustRightInd w:val="0"/>
              <w:snapToGrid w:val="0"/>
              <w:spacing w:line="460" w:lineRule="exact"/>
              <w:jc w:val="center"/>
              <w:rPr>
                <w:rFonts w:ascii="宋体" w:hAnsi="宋体" w:cs="宋体"/>
                <w:sz w:val="24"/>
              </w:rPr>
            </w:pPr>
            <w:r>
              <w:rPr>
                <w:rFonts w:hint="eastAsia" w:ascii="宋体" w:hAnsi="宋体" w:cs="宋体"/>
                <w:sz w:val="24"/>
              </w:rPr>
              <w:t>1</w:t>
            </w:r>
          </w:p>
        </w:tc>
        <w:tc>
          <w:tcPr>
            <w:tcW w:w="2533" w:type="pct"/>
            <w:tcBorders>
              <w:top w:val="single" w:color="auto" w:sz="4" w:space="0"/>
              <w:left w:val="single" w:color="auto" w:sz="4" w:space="0"/>
              <w:bottom w:val="single" w:color="auto" w:sz="4" w:space="0"/>
              <w:right w:val="single" w:color="auto" w:sz="4" w:space="0"/>
            </w:tcBorders>
            <w:vAlign w:val="center"/>
          </w:tcPr>
          <w:p w14:paraId="6109050E">
            <w:pPr>
              <w:widowControl/>
              <w:adjustRightInd w:val="0"/>
              <w:snapToGrid w:val="0"/>
              <w:spacing w:line="460" w:lineRule="exact"/>
              <w:jc w:val="center"/>
              <w:rPr>
                <w:rFonts w:ascii="宋体" w:hAnsi="宋体" w:cs="宋体"/>
              </w:rPr>
            </w:pPr>
            <w:r>
              <w:rPr>
                <w:rFonts w:hint="eastAsia" w:ascii="宋体" w:hAnsi="宋体" w:cs="宋体"/>
              </w:rPr>
              <w:t>工程招标代理服务、咨询费率(100万元以上）含100万</w:t>
            </w:r>
          </w:p>
        </w:tc>
        <w:tc>
          <w:tcPr>
            <w:tcW w:w="1779" w:type="pct"/>
            <w:tcBorders>
              <w:top w:val="single" w:color="auto" w:sz="4" w:space="0"/>
              <w:left w:val="single" w:color="auto" w:sz="4" w:space="0"/>
              <w:bottom w:val="single" w:color="auto" w:sz="4" w:space="0"/>
              <w:right w:val="single" w:color="auto" w:sz="4" w:space="0"/>
            </w:tcBorders>
            <w:vAlign w:val="center"/>
          </w:tcPr>
          <w:p w14:paraId="79FD5E7A">
            <w:pPr>
              <w:widowControl/>
              <w:adjustRightInd w:val="0"/>
              <w:snapToGrid w:val="0"/>
              <w:spacing w:line="460" w:lineRule="exact"/>
              <w:jc w:val="center"/>
              <w:rPr>
                <w:rFonts w:ascii="宋体" w:hAnsi="宋体" w:cs="宋体"/>
                <w:sz w:val="24"/>
              </w:rPr>
            </w:pPr>
            <w:r>
              <w:rPr>
                <w:rFonts w:hint="eastAsia" w:ascii="宋体" w:hAnsi="宋体" w:cs="宋体"/>
                <w:sz w:val="24"/>
              </w:rPr>
              <w:t>中标价的0.3%</w:t>
            </w:r>
          </w:p>
        </w:tc>
      </w:tr>
      <w:tr w14:paraId="21D3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55D11678">
            <w:pPr>
              <w:widowControl/>
              <w:adjustRightInd w:val="0"/>
              <w:snapToGrid w:val="0"/>
              <w:spacing w:line="460" w:lineRule="exact"/>
              <w:jc w:val="center"/>
              <w:rPr>
                <w:rFonts w:ascii="宋体" w:hAnsi="宋体" w:cs="宋体"/>
                <w:sz w:val="24"/>
              </w:rPr>
            </w:pPr>
            <w:r>
              <w:rPr>
                <w:rFonts w:hint="eastAsia" w:ascii="宋体" w:hAnsi="宋体" w:cs="宋体"/>
                <w:sz w:val="24"/>
              </w:rPr>
              <w:t>2</w:t>
            </w:r>
          </w:p>
        </w:tc>
        <w:tc>
          <w:tcPr>
            <w:tcW w:w="2533" w:type="pct"/>
            <w:tcBorders>
              <w:top w:val="single" w:color="auto" w:sz="4" w:space="0"/>
              <w:left w:val="single" w:color="auto" w:sz="4" w:space="0"/>
              <w:bottom w:val="single" w:color="auto" w:sz="4" w:space="0"/>
              <w:right w:val="single" w:color="auto" w:sz="4" w:space="0"/>
            </w:tcBorders>
            <w:vAlign w:val="center"/>
          </w:tcPr>
          <w:p w14:paraId="44AA3861">
            <w:pPr>
              <w:widowControl/>
              <w:adjustRightInd w:val="0"/>
              <w:snapToGrid w:val="0"/>
              <w:spacing w:line="460" w:lineRule="exact"/>
              <w:jc w:val="center"/>
              <w:rPr>
                <w:rFonts w:ascii="宋体" w:hAnsi="宋体" w:cs="宋体"/>
              </w:rPr>
            </w:pPr>
            <w:r>
              <w:rPr>
                <w:rFonts w:hint="eastAsia" w:ascii="宋体" w:hAnsi="宋体" w:cs="宋体"/>
              </w:rPr>
              <w:t>货物、服务和工程招标代理、咨询服务费(50万元-100万元）含50万</w:t>
            </w:r>
          </w:p>
        </w:tc>
        <w:tc>
          <w:tcPr>
            <w:tcW w:w="1779" w:type="pct"/>
            <w:tcBorders>
              <w:top w:val="single" w:color="auto" w:sz="4" w:space="0"/>
              <w:left w:val="single" w:color="auto" w:sz="4" w:space="0"/>
              <w:bottom w:val="single" w:color="auto" w:sz="4" w:space="0"/>
              <w:right w:val="single" w:color="auto" w:sz="4" w:space="0"/>
            </w:tcBorders>
            <w:vAlign w:val="center"/>
          </w:tcPr>
          <w:p w14:paraId="33905E4A">
            <w:pPr>
              <w:widowControl/>
              <w:adjustRightInd w:val="0"/>
              <w:snapToGrid w:val="0"/>
              <w:spacing w:line="460" w:lineRule="exact"/>
              <w:jc w:val="center"/>
              <w:rPr>
                <w:rFonts w:ascii="宋体" w:hAnsi="宋体" w:cs="宋体"/>
                <w:sz w:val="24"/>
              </w:rPr>
            </w:pPr>
            <w:r>
              <w:rPr>
                <w:rFonts w:hint="eastAsia" w:ascii="宋体" w:hAnsi="宋体" w:cs="宋体"/>
                <w:sz w:val="24"/>
              </w:rPr>
              <w:t>2500.00元</w:t>
            </w:r>
          </w:p>
        </w:tc>
      </w:tr>
      <w:tr w14:paraId="6480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5B9BCC19">
            <w:pPr>
              <w:widowControl/>
              <w:adjustRightInd w:val="0"/>
              <w:snapToGrid w:val="0"/>
              <w:spacing w:line="460" w:lineRule="exact"/>
              <w:jc w:val="center"/>
              <w:rPr>
                <w:rFonts w:ascii="宋体" w:hAnsi="宋体" w:cs="宋体"/>
                <w:sz w:val="24"/>
              </w:rPr>
            </w:pPr>
            <w:r>
              <w:rPr>
                <w:rFonts w:hint="eastAsia" w:ascii="宋体" w:hAnsi="宋体" w:cs="宋体"/>
                <w:sz w:val="24"/>
              </w:rPr>
              <w:t>3</w:t>
            </w:r>
          </w:p>
        </w:tc>
        <w:tc>
          <w:tcPr>
            <w:tcW w:w="2533" w:type="pct"/>
            <w:tcBorders>
              <w:top w:val="single" w:color="auto" w:sz="4" w:space="0"/>
              <w:left w:val="single" w:color="auto" w:sz="4" w:space="0"/>
              <w:bottom w:val="single" w:color="auto" w:sz="4" w:space="0"/>
              <w:right w:val="single" w:color="auto" w:sz="4" w:space="0"/>
            </w:tcBorders>
            <w:vAlign w:val="center"/>
          </w:tcPr>
          <w:p w14:paraId="5B0FAFA1">
            <w:pPr>
              <w:widowControl/>
              <w:adjustRightInd w:val="0"/>
              <w:snapToGrid w:val="0"/>
              <w:spacing w:line="460" w:lineRule="exact"/>
              <w:jc w:val="center"/>
              <w:rPr>
                <w:rFonts w:ascii="宋体" w:hAnsi="宋体" w:cs="宋体"/>
                <w:sz w:val="24"/>
              </w:rPr>
            </w:pPr>
            <w:r>
              <w:rPr>
                <w:rFonts w:hint="eastAsia" w:ascii="宋体" w:hAnsi="宋体" w:cs="宋体"/>
                <w:sz w:val="24"/>
              </w:rPr>
              <w:t>货物、服务和工程招标代理、咨询服务费(5万元-50万元）含5万</w:t>
            </w:r>
          </w:p>
        </w:tc>
        <w:tc>
          <w:tcPr>
            <w:tcW w:w="1779" w:type="pct"/>
            <w:tcBorders>
              <w:top w:val="single" w:color="auto" w:sz="4" w:space="0"/>
              <w:left w:val="single" w:color="auto" w:sz="4" w:space="0"/>
              <w:bottom w:val="single" w:color="auto" w:sz="4" w:space="0"/>
              <w:right w:val="single" w:color="auto" w:sz="4" w:space="0"/>
            </w:tcBorders>
            <w:vAlign w:val="center"/>
          </w:tcPr>
          <w:p w14:paraId="2BC068E1">
            <w:pPr>
              <w:widowControl/>
              <w:adjustRightInd w:val="0"/>
              <w:snapToGrid w:val="0"/>
              <w:spacing w:line="460" w:lineRule="exact"/>
              <w:jc w:val="center"/>
              <w:rPr>
                <w:rFonts w:ascii="宋体" w:hAnsi="宋体" w:cs="宋体"/>
                <w:sz w:val="24"/>
              </w:rPr>
            </w:pPr>
            <w:r>
              <w:rPr>
                <w:rFonts w:hint="eastAsia" w:ascii="宋体" w:hAnsi="宋体" w:cs="宋体"/>
                <w:sz w:val="24"/>
              </w:rPr>
              <w:t>2000.00元</w:t>
            </w:r>
          </w:p>
        </w:tc>
      </w:tr>
      <w:tr w14:paraId="15E0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87" w:type="pct"/>
            <w:tcBorders>
              <w:top w:val="single" w:color="auto" w:sz="4" w:space="0"/>
              <w:left w:val="single" w:color="auto" w:sz="4" w:space="0"/>
              <w:bottom w:val="single" w:color="auto" w:sz="4" w:space="0"/>
              <w:right w:val="single" w:color="auto" w:sz="4" w:space="0"/>
            </w:tcBorders>
            <w:vAlign w:val="center"/>
          </w:tcPr>
          <w:p w14:paraId="6B97E5C9">
            <w:pPr>
              <w:widowControl/>
              <w:adjustRightInd w:val="0"/>
              <w:snapToGrid w:val="0"/>
              <w:spacing w:line="460" w:lineRule="exact"/>
              <w:jc w:val="center"/>
              <w:rPr>
                <w:rFonts w:ascii="宋体" w:hAnsi="宋体" w:cs="宋体"/>
                <w:sz w:val="24"/>
              </w:rPr>
            </w:pPr>
            <w:r>
              <w:rPr>
                <w:rFonts w:hint="eastAsia" w:ascii="宋体" w:hAnsi="宋体" w:cs="宋体"/>
                <w:sz w:val="24"/>
              </w:rPr>
              <w:t>4</w:t>
            </w:r>
          </w:p>
        </w:tc>
        <w:tc>
          <w:tcPr>
            <w:tcW w:w="2533" w:type="pct"/>
            <w:tcBorders>
              <w:top w:val="single" w:color="auto" w:sz="4" w:space="0"/>
              <w:left w:val="single" w:color="auto" w:sz="4" w:space="0"/>
              <w:bottom w:val="single" w:color="auto" w:sz="4" w:space="0"/>
              <w:right w:val="single" w:color="auto" w:sz="4" w:space="0"/>
            </w:tcBorders>
            <w:vAlign w:val="center"/>
          </w:tcPr>
          <w:p w14:paraId="34CE0E7D">
            <w:pPr>
              <w:widowControl/>
              <w:adjustRightInd w:val="0"/>
              <w:snapToGrid w:val="0"/>
              <w:spacing w:line="460" w:lineRule="exact"/>
              <w:jc w:val="center"/>
              <w:rPr>
                <w:rFonts w:ascii="宋体" w:hAnsi="宋体" w:cs="宋体"/>
                <w:sz w:val="24"/>
              </w:rPr>
            </w:pPr>
            <w:r>
              <w:rPr>
                <w:rFonts w:hint="eastAsia" w:ascii="宋体" w:hAnsi="宋体" w:cs="宋体"/>
                <w:sz w:val="24"/>
              </w:rPr>
              <w:t>货物、服务和工程招标代理、咨询服务费(2万元-5万元）</w:t>
            </w:r>
          </w:p>
        </w:tc>
        <w:tc>
          <w:tcPr>
            <w:tcW w:w="1779" w:type="pct"/>
            <w:tcBorders>
              <w:top w:val="single" w:color="auto" w:sz="4" w:space="0"/>
              <w:left w:val="single" w:color="auto" w:sz="4" w:space="0"/>
              <w:bottom w:val="single" w:color="auto" w:sz="4" w:space="0"/>
              <w:right w:val="single" w:color="auto" w:sz="4" w:space="0"/>
            </w:tcBorders>
            <w:vAlign w:val="center"/>
          </w:tcPr>
          <w:p w14:paraId="422CE078">
            <w:pPr>
              <w:widowControl/>
              <w:adjustRightInd w:val="0"/>
              <w:snapToGrid w:val="0"/>
              <w:spacing w:line="460" w:lineRule="exact"/>
              <w:jc w:val="center"/>
              <w:rPr>
                <w:rFonts w:ascii="宋体" w:hAnsi="宋体" w:cs="宋体"/>
                <w:sz w:val="24"/>
              </w:rPr>
            </w:pPr>
            <w:r>
              <w:rPr>
                <w:rFonts w:hint="eastAsia" w:ascii="宋体" w:hAnsi="宋体" w:cs="宋体"/>
                <w:sz w:val="24"/>
              </w:rPr>
              <w:t>1500.00元</w:t>
            </w:r>
          </w:p>
        </w:tc>
      </w:tr>
    </w:tbl>
    <w:p w14:paraId="69BBE8FA">
      <w:pPr>
        <w:tabs>
          <w:tab w:val="left" w:pos="360"/>
        </w:tabs>
        <w:spacing w:line="4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支</w:t>
      </w:r>
      <w:r>
        <w:rPr>
          <w:rFonts w:hint="eastAsia" w:ascii="宋体" w:hAnsi="宋体" w:cs="宋体"/>
          <w:color w:val="000000" w:themeColor="text1"/>
          <w:sz w:val="24"/>
          <w:lang w:val="zh-CN"/>
          <w14:textFill>
            <w14:solidFill>
              <w14:schemeClr w14:val="tx1"/>
            </w14:solidFill>
          </w14:textFill>
        </w:rPr>
        <w:t>付要求：</w:t>
      </w:r>
      <w:r>
        <w:rPr>
          <w:rFonts w:hint="eastAsia" w:ascii="宋体" w:hAnsi="宋体" w:cs="宋体"/>
          <w:color w:val="000000" w:themeColor="text1"/>
          <w:sz w:val="24"/>
          <w14:textFill>
            <w14:solidFill>
              <w14:schemeClr w14:val="tx1"/>
            </w14:solidFill>
          </w14:textFill>
        </w:rPr>
        <w:t>中标人</w:t>
      </w:r>
      <w:r>
        <w:rPr>
          <w:rFonts w:hint="eastAsia" w:ascii="宋体" w:hAnsi="宋体" w:cs="宋体"/>
          <w:color w:val="000000" w:themeColor="text1"/>
          <w:sz w:val="24"/>
          <w:lang w:val="zh-CN"/>
          <w14:textFill>
            <w14:solidFill>
              <w14:schemeClr w14:val="tx1"/>
            </w14:solidFill>
          </w14:textFill>
        </w:rPr>
        <w:t>在</w:t>
      </w:r>
      <w:r>
        <w:rPr>
          <w:rFonts w:hint="eastAsia" w:ascii="宋体" w:hAnsi="宋体" w:cs="宋体"/>
          <w:color w:val="000000" w:themeColor="text1"/>
          <w:sz w:val="24"/>
          <w14:textFill>
            <w14:solidFill>
              <w14:schemeClr w14:val="tx1"/>
            </w14:solidFill>
          </w14:textFill>
        </w:rPr>
        <w:t>中标</w:t>
      </w:r>
      <w:r>
        <w:rPr>
          <w:rFonts w:hint="eastAsia" w:ascii="宋体" w:hAnsi="宋体" w:cs="宋体"/>
          <w:color w:val="000000" w:themeColor="text1"/>
          <w:sz w:val="24"/>
          <w:lang w:val="zh-CN"/>
          <w14:textFill>
            <w14:solidFill>
              <w14:schemeClr w14:val="tx1"/>
            </w14:solidFill>
          </w14:textFill>
        </w:rPr>
        <w:t>结果公告期满、领取</w:t>
      </w:r>
      <w:r>
        <w:rPr>
          <w:rFonts w:hint="eastAsia" w:ascii="宋体" w:hAnsi="宋体" w:cs="宋体"/>
          <w:color w:val="000000" w:themeColor="text1"/>
          <w:sz w:val="24"/>
          <w14:textFill>
            <w14:solidFill>
              <w14:schemeClr w14:val="tx1"/>
            </w14:solidFill>
          </w14:textFill>
        </w:rPr>
        <w:t>中标</w:t>
      </w:r>
      <w:r>
        <w:rPr>
          <w:rFonts w:hint="eastAsia" w:ascii="宋体" w:hAnsi="宋体" w:cs="宋体"/>
          <w:color w:val="000000" w:themeColor="text1"/>
          <w:sz w:val="24"/>
          <w:lang w:val="zh-CN"/>
          <w14:textFill>
            <w14:solidFill>
              <w14:schemeClr w14:val="tx1"/>
            </w14:solidFill>
          </w14:textFill>
        </w:rPr>
        <w:t>通知书前，一次性足额向采购代理机构缴纳代理服务费；代理机构收到费用后开具合法有效票据。</w:t>
      </w:r>
    </w:p>
    <w:p w14:paraId="7034C6AE">
      <w:pPr>
        <w:tabs>
          <w:tab w:val="left" w:pos="360"/>
        </w:tabs>
        <w:spacing w:line="4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退费规则：（1）仅因采购代理机构、采购人原因取消采购、作废项目的，全额退还已缴纳代理费；（2）</w:t>
      </w:r>
      <w:r>
        <w:rPr>
          <w:rFonts w:hint="eastAsia" w:ascii="宋体" w:hAnsi="宋体" w:cs="宋体"/>
          <w:color w:val="000000" w:themeColor="text1"/>
          <w:sz w:val="24"/>
          <w14:textFill>
            <w14:solidFill>
              <w14:schemeClr w14:val="tx1"/>
            </w14:solidFill>
          </w14:textFill>
        </w:rPr>
        <w:t>中标人</w:t>
      </w:r>
      <w:r>
        <w:rPr>
          <w:rFonts w:hint="eastAsia" w:ascii="宋体" w:hAnsi="宋体" w:cs="宋体"/>
          <w:color w:val="000000" w:themeColor="text1"/>
          <w:sz w:val="24"/>
          <w:lang w:val="zh-CN"/>
          <w14:textFill>
            <w14:solidFill>
              <w14:schemeClr w14:val="tx1"/>
            </w14:solidFill>
          </w14:textFill>
        </w:rPr>
        <w:t>无正当理由放弃成交、提供虚假材料被取消成交资格的，代理机构不予退费（评审、文件编制、公告等全部代理服务完成需附工作记录备查）。</w:t>
      </w:r>
    </w:p>
    <w:p w14:paraId="2A79C213">
      <w:pPr>
        <w:tabs>
          <w:tab w:val="left" w:pos="360"/>
        </w:tabs>
        <w:spacing w:line="4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公开要求：本项目代理费收费标准、最终计费金额将随成交结果公告一并对外公示，接受供应商及采购监管部门监督。</w:t>
      </w:r>
    </w:p>
    <w:p w14:paraId="75D4E32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4.3</w:t>
      </w:r>
      <w:r>
        <w:rPr>
          <w:rFonts w:hint="eastAsia" w:ascii="宋体" w:hAnsi="宋体" w:cs="宋体"/>
          <w:color w:val="000000" w:themeColor="text1"/>
          <w:sz w:val="24"/>
          <w:lang w:val="zh-CN"/>
          <w14:textFill>
            <w14:solidFill>
              <w14:schemeClr w14:val="tx1"/>
            </w14:solidFill>
          </w14:textFill>
        </w:rPr>
        <w:t>本项目报价包含完成本项目服务期间所产生的一切费用。</w:t>
      </w:r>
    </w:p>
    <w:p w14:paraId="3DF20F8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5.招标文件的约束力</w:t>
      </w:r>
    </w:p>
    <w:p w14:paraId="083A469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投标人一旦参加本项目采购活动，即被认为接受了本招标文件的规定和约束。</w:t>
      </w:r>
    </w:p>
    <w:p w14:paraId="7458467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6.招标文件的解释</w:t>
      </w:r>
    </w:p>
    <w:p w14:paraId="278E2A8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6.1招标文件需求部分（供应商资格要求、项目需求、商务技术评分标准）由招标人解释，其它部分由代理机构解释。</w:t>
      </w:r>
    </w:p>
    <w:p w14:paraId="568FC235">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22" w:name="_Toc120614215"/>
      <w:bookmarkStart w:id="23" w:name="_Toc513029209"/>
      <w:bookmarkStart w:id="24" w:name="_Toc20823281"/>
      <w:bookmarkStart w:id="25" w:name="_Toc16938525"/>
      <w:r>
        <w:rPr>
          <w:rFonts w:hint="eastAsia" w:ascii="宋体" w:hAnsi="宋体" w:cs="宋体"/>
          <w:b/>
          <w:bCs/>
          <w:color w:val="000000" w:themeColor="text1"/>
          <w:sz w:val="24"/>
          <w14:textFill>
            <w14:solidFill>
              <w14:schemeClr w14:val="tx1"/>
            </w14:solidFill>
          </w14:textFill>
        </w:rPr>
        <w:t>二、招标文件</w:t>
      </w:r>
      <w:bookmarkEnd w:id="22"/>
      <w:bookmarkEnd w:id="23"/>
      <w:bookmarkEnd w:id="24"/>
      <w:bookmarkEnd w:id="25"/>
    </w:p>
    <w:p w14:paraId="61FA10F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26" w:name="_Toc20823282"/>
      <w:bookmarkStart w:id="27" w:name="_Toc16938526"/>
      <w:bookmarkStart w:id="28" w:name="_Toc513029210"/>
      <w:r>
        <w:rPr>
          <w:rFonts w:hint="eastAsia" w:ascii="宋体" w:hAnsi="宋体" w:cs="宋体"/>
          <w:color w:val="000000" w:themeColor="text1"/>
          <w:sz w:val="24"/>
          <w14:textFill>
            <w14:solidFill>
              <w14:schemeClr w14:val="tx1"/>
            </w14:solidFill>
          </w14:textFill>
        </w:rPr>
        <w:t>1.招标文件构成</w:t>
      </w:r>
      <w:bookmarkEnd w:id="26"/>
      <w:bookmarkEnd w:id="27"/>
      <w:bookmarkEnd w:id="28"/>
    </w:p>
    <w:p w14:paraId="6F7B8A3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招标文件由以下部分组成：</w:t>
      </w:r>
    </w:p>
    <w:p w14:paraId="5EE6AE0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（1）招标公告</w:t>
      </w:r>
    </w:p>
    <w:p w14:paraId="4E90F2A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（2）投标须知</w:t>
      </w:r>
    </w:p>
    <w:p w14:paraId="5CF4704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（3）项目需求</w:t>
      </w:r>
    </w:p>
    <w:p w14:paraId="3024B2E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（4）开标和评标</w:t>
      </w:r>
    </w:p>
    <w:p w14:paraId="0E29275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（5）投标文件组成</w:t>
      </w:r>
    </w:p>
    <w:p w14:paraId="7E624DD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（6）附件（如有）</w:t>
      </w:r>
    </w:p>
    <w:p w14:paraId="16A4FBA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请仔细检查招标文件是否齐全，如有缺漏请立即与代理机构联系解决。</w:t>
      </w:r>
    </w:p>
    <w:p w14:paraId="6FA5E69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2A11740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29" w:name="_Toc16938527"/>
      <w:bookmarkStart w:id="30" w:name="_Toc462564070"/>
      <w:bookmarkStart w:id="31" w:name="_Toc513029211"/>
      <w:bookmarkStart w:id="32" w:name="_Toc20823283"/>
      <w:r>
        <w:rPr>
          <w:rFonts w:hint="eastAsia" w:ascii="宋体" w:hAnsi="宋体" w:cs="宋体"/>
          <w:color w:val="000000" w:themeColor="text1"/>
          <w:sz w:val="24"/>
          <w14:textFill>
            <w14:solidFill>
              <w14:schemeClr w14:val="tx1"/>
            </w14:solidFill>
          </w14:textFill>
        </w:rPr>
        <w:t>2.招标文件的澄清</w:t>
      </w:r>
      <w:bookmarkEnd w:id="29"/>
      <w:bookmarkEnd w:id="30"/>
      <w:bookmarkEnd w:id="31"/>
      <w:bookmarkEnd w:id="32"/>
    </w:p>
    <w:p w14:paraId="1F4D2AA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任何要求对招标文件进行澄清的投标人，应在投标截止期十日前按招标公告中的通讯地址，以书面形式通知招标人。招标人有权对发出的招标文件进行必要的澄清或修改。</w:t>
      </w:r>
    </w:p>
    <w:p w14:paraId="7933C8F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2.2招标人视情组织答疑会</w:t>
      </w:r>
    </w:p>
    <w:p w14:paraId="71DB089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33" w:name="_Toc462564071"/>
      <w:bookmarkStart w:id="34" w:name="_Toc513029212"/>
      <w:bookmarkStart w:id="35" w:name="_Toc16938528"/>
      <w:bookmarkStart w:id="36" w:name="_Toc20823284"/>
      <w:r>
        <w:rPr>
          <w:rFonts w:hint="eastAsia" w:ascii="宋体" w:hAnsi="宋体" w:cs="宋体"/>
          <w:color w:val="000000" w:themeColor="text1"/>
          <w:sz w:val="24"/>
          <w14:textFill>
            <w14:solidFill>
              <w14:schemeClr w14:val="tx1"/>
            </w14:solidFill>
          </w14:textFill>
        </w:rPr>
        <w:t>3.招标文件的修改</w:t>
      </w:r>
      <w:bookmarkEnd w:id="33"/>
      <w:bookmarkEnd w:id="34"/>
      <w:bookmarkEnd w:id="35"/>
      <w:bookmarkEnd w:id="36"/>
    </w:p>
    <w:p w14:paraId="5E09C91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 在投标截止时间前，代理机构可以对招标文件进行修改。</w:t>
      </w:r>
    </w:p>
    <w:p w14:paraId="40B3086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 代理机构有权按照法定的要求推迟投标截止日期和开标日期。</w:t>
      </w:r>
    </w:p>
    <w:p w14:paraId="203149D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 招标文件的修改将在江苏商贸职业学院网（http://www.jsbc.edu.cn/）公布，补充文件将作为招标文件的组成部分，并对投标人具有约束力。</w:t>
      </w:r>
    </w:p>
    <w:p w14:paraId="483E924F">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37" w:name="_Toc16938529"/>
      <w:bookmarkStart w:id="38" w:name="_Toc120614216"/>
      <w:bookmarkStart w:id="39" w:name="_Toc20823285"/>
      <w:bookmarkStart w:id="40" w:name="_Toc513029213"/>
      <w:bookmarkStart w:id="41" w:name="_Toc462564072"/>
      <w:r>
        <w:rPr>
          <w:rFonts w:hint="eastAsia" w:ascii="宋体" w:hAnsi="宋体" w:cs="宋体"/>
          <w:b/>
          <w:bCs/>
          <w:color w:val="000000" w:themeColor="text1"/>
          <w:sz w:val="24"/>
          <w14:textFill>
            <w14:solidFill>
              <w14:schemeClr w14:val="tx1"/>
            </w14:solidFill>
          </w14:textFill>
        </w:rPr>
        <w:t>三、投标文件的编制</w:t>
      </w:r>
      <w:bookmarkEnd w:id="37"/>
      <w:bookmarkEnd w:id="38"/>
      <w:bookmarkEnd w:id="39"/>
      <w:bookmarkEnd w:id="40"/>
      <w:bookmarkEnd w:id="41"/>
    </w:p>
    <w:p w14:paraId="01A0038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42" w:name="_Toc462564073"/>
      <w:bookmarkStart w:id="43" w:name="_Toc513029214"/>
      <w:bookmarkStart w:id="44" w:name="_Toc20823286"/>
      <w:bookmarkStart w:id="45" w:name="_Toc16938530"/>
      <w:r>
        <w:rPr>
          <w:rFonts w:hint="eastAsia" w:ascii="宋体" w:hAnsi="宋体" w:cs="宋体"/>
          <w:color w:val="000000" w:themeColor="text1"/>
          <w:sz w:val="24"/>
          <w14:textFill>
            <w14:solidFill>
              <w14:schemeClr w14:val="tx1"/>
            </w14:solidFill>
          </w14:textFill>
        </w:rPr>
        <w:t>1.投标文件的语言及度量衡单位</w:t>
      </w:r>
      <w:bookmarkEnd w:id="42"/>
      <w:bookmarkEnd w:id="43"/>
      <w:bookmarkEnd w:id="44"/>
      <w:bookmarkEnd w:id="45"/>
    </w:p>
    <w:p w14:paraId="7B1549B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投标人提交的投标文件以及投标人与代理机构就有关投标的所有来往通知、函件和文件均应使用简体中文。</w:t>
      </w:r>
    </w:p>
    <w:p w14:paraId="70969CD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 除技术性能另有规定外，投标文件所使用的度量衡单位，均须采用国家法定计量单位。</w:t>
      </w:r>
    </w:p>
    <w:p w14:paraId="59EA676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46" w:name="_Toc462564074"/>
      <w:bookmarkStart w:id="47" w:name="_Toc16938531"/>
      <w:bookmarkStart w:id="48" w:name="_Toc20823287"/>
      <w:bookmarkStart w:id="49" w:name="_Toc513029215"/>
      <w:r>
        <w:rPr>
          <w:rFonts w:hint="eastAsia" w:ascii="宋体" w:hAnsi="宋体" w:cs="宋体"/>
          <w:color w:val="000000" w:themeColor="text1"/>
          <w:sz w:val="24"/>
          <w14:textFill>
            <w14:solidFill>
              <w14:schemeClr w14:val="tx1"/>
            </w14:solidFill>
          </w14:textFill>
        </w:rPr>
        <w:t>2.投标文件构成</w:t>
      </w:r>
      <w:bookmarkEnd w:id="46"/>
      <w:bookmarkEnd w:id="47"/>
      <w:bookmarkEnd w:id="48"/>
      <w:bookmarkEnd w:id="49"/>
    </w:p>
    <w:p w14:paraId="1545290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投标人编写的投标文件应包括资格审查文件、商务技术标、价格标。供应商按要求编写投标文件。</w:t>
      </w:r>
    </w:p>
    <w:p w14:paraId="39F775D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50" w:name="_Hlt26670360"/>
      <w:bookmarkEnd w:id="50"/>
      <w:bookmarkStart w:id="51" w:name="_Hlt26954838"/>
      <w:bookmarkEnd w:id="51"/>
      <w:bookmarkStart w:id="52" w:name="_Hlt26668975"/>
      <w:bookmarkEnd w:id="52"/>
      <w:bookmarkStart w:id="53" w:name="_Toc14577360"/>
      <w:bookmarkStart w:id="54" w:name="_Toc49090511"/>
      <w:r>
        <w:rPr>
          <w:rFonts w:hint="eastAsia" w:ascii="宋体" w:hAnsi="宋体" w:cs="宋体"/>
          <w:color w:val="000000" w:themeColor="text1"/>
          <w:sz w:val="24"/>
          <w14:textFill>
            <w14:solidFill>
              <w14:schemeClr w14:val="tx1"/>
            </w14:solidFill>
          </w14:textFill>
        </w:rPr>
        <w:t>3.投标有效期</w:t>
      </w:r>
      <w:bookmarkEnd w:id="53"/>
      <w:bookmarkEnd w:id="54"/>
    </w:p>
    <w:p w14:paraId="0EDB9A7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3.1投标有效期为代理机构规定的开标之日后六十（60）天。投标有效期比规定短的将被视为非响应性投标而予以拒绝。</w:t>
      </w:r>
    </w:p>
    <w:p w14:paraId="457E38D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4.投标有效期的延长</w:t>
      </w:r>
    </w:p>
    <w:p w14:paraId="084146E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受投标有效期约束的所有权利与义务均延长至新的有效期。</w:t>
      </w:r>
    </w:p>
    <w:p w14:paraId="0604E70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5.投标人资格要求</w:t>
      </w:r>
    </w:p>
    <w:p w14:paraId="42D0E13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5.1投标人应具备承担本项目的资格要求。</w:t>
      </w:r>
    </w:p>
    <w:p w14:paraId="5C3664D2">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55" w:name="_Hlt26954739"/>
      <w:bookmarkEnd w:id="55"/>
      <w:bookmarkStart w:id="56" w:name="_Hlt26954852"/>
      <w:bookmarkEnd w:id="56"/>
      <w:bookmarkStart w:id="57" w:name="_Toc16938540"/>
      <w:bookmarkStart w:id="58" w:name="_Toc513029224"/>
      <w:bookmarkStart w:id="59" w:name="_Toc20823296"/>
      <w:bookmarkStart w:id="60" w:name="_Toc120614217"/>
      <w:r>
        <w:rPr>
          <w:rFonts w:hint="eastAsia" w:ascii="宋体" w:hAnsi="宋体" w:cs="宋体"/>
          <w:b/>
          <w:bCs/>
          <w:color w:val="000000" w:themeColor="text1"/>
          <w:sz w:val="24"/>
          <w14:textFill>
            <w14:solidFill>
              <w14:schemeClr w14:val="tx1"/>
            </w14:solidFill>
          </w14:textFill>
        </w:rPr>
        <w:t>四、投标文件的递交</w:t>
      </w:r>
      <w:bookmarkEnd w:id="57"/>
      <w:bookmarkEnd w:id="58"/>
      <w:bookmarkEnd w:id="59"/>
      <w:bookmarkEnd w:id="60"/>
    </w:p>
    <w:p w14:paraId="53688F6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61" w:name="_Toc16938542"/>
      <w:bookmarkStart w:id="62" w:name="_Toc20823298"/>
      <w:bookmarkStart w:id="63" w:name="_Toc513029226"/>
      <w:r>
        <w:rPr>
          <w:rFonts w:hint="eastAsia" w:ascii="宋体" w:hAnsi="宋体" w:cs="宋体"/>
          <w:color w:val="000000" w:themeColor="text1"/>
          <w:sz w:val="24"/>
          <w14:textFill>
            <w14:solidFill>
              <w14:schemeClr w14:val="tx1"/>
            </w14:solidFill>
          </w14:textFill>
        </w:rPr>
        <w:t>1.投标文件的组成</w:t>
      </w:r>
    </w:p>
    <w:p w14:paraId="4A7DDCF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纸质投标文件分资格审查文件、商务技术标、价格标三部分内容。每一部分内容均须提供“壹份正本、贰份副本”纸质响应文件，须分别单独牢固装订，不得相互混淆，文件自编目录并连续标注页码，不得将内容拆开。价格标不得出现于资格审查文件和商务技术标响应投标文件中。</w:t>
      </w:r>
    </w:p>
    <w:p w14:paraId="1FD59F7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1.2纸质响应文件分三个密封袋（箱）提交。其中：</w:t>
      </w:r>
    </w:p>
    <w:p w14:paraId="6C05CFC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资格审查文件的正、副本纸质响应文件密封在一个单独的密封袋内；</w:t>
      </w:r>
    </w:p>
    <w:p w14:paraId="0859579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商务技术标的正、副本纸质响应文件及图纸类（如需提供图纸等其它资料的话）等密封在一个单独的密封袋或密封箱内（如有A3大小的图纸类，可单独密封）；</w:t>
      </w:r>
    </w:p>
    <w:p w14:paraId="29D248E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价格标的正、副本纸质响应文件密封在一个单独的密封袋内。</w:t>
      </w:r>
    </w:p>
    <w:p w14:paraId="5707772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1.3纸质投标文件须采用A4纸（图纸等除外），正、副本须打印并由法定代表人或授权人签字并加盖单位印章。文件内容中不得行间插字、涂改、增删，如修补错漏处，须由投标文件签署人签字并加盖公章。</w:t>
      </w:r>
    </w:p>
    <w:p w14:paraId="39357404">
      <w:pPr>
        <w:tabs>
          <w:tab w:val="left" w:pos="360"/>
        </w:tabs>
        <w:spacing w:line="4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凡是响应文件中涉及供应商资信认证、人员证书、业绩荣誉等复印件，和要求法定代表人或授权委托人签字，和以供应商名称落款并注明需要盖章的，均需相应盖章或签字。否则视为未按照采购文件要求盖章或签字。</w:t>
      </w:r>
    </w:p>
    <w:p w14:paraId="1D52AB2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1.4.电子投标文件（一份，单独密封提交）</w:t>
      </w:r>
    </w:p>
    <w:p w14:paraId="56604E4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本项目要求提供电子响应文件一份，电子响应文件的内容为完整响应文件（包含资格审查文件、商务技术标、价格标）经打印盖章或加盖电子签章后的扫描件；扫描文件分类命名规范：文件类别 - 投标单位简称（如：资格审查文件-XX 公司、商务技术标-XX 公司、价格标-XX公司）。全部电子文件存储于 U盘内，U盘单独密封递交。电子响应文件内容应与提交的纸质响应文件内容一致。否则，由此产生的后果投标人自负。</w:t>
      </w:r>
    </w:p>
    <w:p w14:paraId="4C1DD49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1.5响应文件密封后应标明响应文件项目名称、项目编号、边缝处加盖单位骑缝章或骑缝签字等关键信息，密封完好以不泄露投标文件内容为主要判断依据。</w:t>
      </w:r>
    </w:p>
    <w:p w14:paraId="6A7103B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1.6递交时间：供应商须在规定的响应文件接收截止时间前送达指定地点。供应商提交投标文件，即视为已响应参加招标活动。</w:t>
      </w:r>
    </w:p>
    <w:p w14:paraId="7729772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友情提醒：①代理机构将拒绝接收在投标文件接收截止时间后递交的投标文件。②采购人、采购代理机构对投标（响应）文件的格式、形式要求，结合财政部《关于促进政府采购公平竞争优化营商环境的通知》（财库〔2019〕38 号）相关规定实施。</w:t>
      </w:r>
    </w:p>
    <w:p w14:paraId="61BEE7A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2.投标截止日期</w:t>
      </w:r>
      <w:bookmarkEnd w:id="61"/>
      <w:bookmarkEnd w:id="62"/>
      <w:bookmarkEnd w:id="63"/>
    </w:p>
    <w:p w14:paraId="216C910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供应商提交响应文件的时间不得迟于招标公告中规定的响应文件提交截止时间。</w:t>
      </w:r>
    </w:p>
    <w:p w14:paraId="747201E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供应商应充分考虑到交通路况、停车等风险因素，如因供应商自身原因造成的投标响应文件提交不成功由供应商自行承担全部责任。</w:t>
      </w:r>
    </w:p>
    <w:p w14:paraId="1A7BCDE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代理机构可以按照规定，通过修改招标文件酌情延长投标截止日期，在此情况下，投标人的所有权利和义务以及投标人受制的截止日期均应以延长后新的截止日期为准。</w:t>
      </w:r>
    </w:p>
    <w:p w14:paraId="3D3F5CD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64" w:name="_Toc16938543"/>
      <w:bookmarkStart w:id="65" w:name="_Toc513029227"/>
      <w:bookmarkStart w:id="66" w:name="_Toc20823299"/>
      <w:r>
        <w:rPr>
          <w:rFonts w:hint="eastAsia" w:ascii="宋体" w:hAnsi="宋体" w:cs="宋体"/>
          <w:color w:val="000000" w:themeColor="text1"/>
          <w:sz w:val="24"/>
          <w14:textFill>
            <w14:solidFill>
              <w14:schemeClr w14:val="tx1"/>
            </w14:solidFill>
          </w14:textFill>
        </w:rPr>
        <w:t>3.投标文件</w:t>
      </w:r>
      <w:bookmarkEnd w:id="64"/>
      <w:bookmarkEnd w:id="65"/>
      <w:bookmarkEnd w:id="66"/>
      <w:r>
        <w:rPr>
          <w:rFonts w:hint="eastAsia" w:ascii="宋体" w:hAnsi="宋体" w:cs="宋体"/>
          <w:color w:val="000000" w:themeColor="text1"/>
          <w:sz w:val="24"/>
          <w14:textFill>
            <w14:solidFill>
              <w14:schemeClr w14:val="tx1"/>
            </w14:solidFill>
          </w14:textFill>
        </w:rPr>
        <w:t>的拒收</w:t>
      </w:r>
    </w:p>
    <w:p w14:paraId="5E8039A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 代理机构拒绝接收在其规定的投标截止时间后提交的任何投标文件。</w:t>
      </w:r>
    </w:p>
    <w:p w14:paraId="0550FDD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67" w:name="_Toc20823300"/>
      <w:bookmarkStart w:id="68" w:name="_Toc16938544"/>
      <w:bookmarkStart w:id="69" w:name="_Toc513029228"/>
      <w:r>
        <w:rPr>
          <w:rFonts w:hint="eastAsia" w:ascii="宋体" w:hAnsi="宋体" w:cs="宋体"/>
          <w:color w:val="000000" w:themeColor="text1"/>
          <w:sz w:val="24"/>
          <w14:textFill>
            <w14:solidFill>
              <w14:schemeClr w14:val="tx1"/>
            </w14:solidFill>
          </w14:textFill>
        </w:rPr>
        <w:t>4.投标文件的撤回和修改</w:t>
      </w:r>
      <w:bookmarkEnd w:id="67"/>
      <w:bookmarkEnd w:id="68"/>
      <w:bookmarkEnd w:id="69"/>
    </w:p>
    <w:p w14:paraId="22E51A2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 响应文件的撤回</w:t>
      </w:r>
    </w:p>
    <w:p w14:paraId="39ACD50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4.1.1供应商可在响应文件提交截止时间前，书面撤回其投标响应文件。</w:t>
      </w:r>
    </w:p>
    <w:p w14:paraId="651FB45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4.1.2 投标人撤回投标文件，则认为其不再参与本项目投标活动。</w:t>
      </w:r>
    </w:p>
    <w:p w14:paraId="3E7AF4B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 投标文件的修改</w:t>
      </w:r>
    </w:p>
    <w:p w14:paraId="25F2386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70" w:name="_Toc20823301"/>
      <w:bookmarkStart w:id="71" w:name="_Toc513029229"/>
      <w:bookmarkStart w:id="72" w:name="_Toc16938545"/>
      <w:bookmarkStart w:id="73" w:name="_Toc120614218"/>
      <w:r>
        <w:rPr>
          <w:rFonts w:hint="eastAsia" w:ascii="宋体" w:hAnsi="宋体" w:cs="宋体"/>
          <w:color w:val="000000" w:themeColor="text1"/>
          <w:sz w:val="24"/>
          <w14:textFill>
            <w14:solidFill>
              <w14:schemeClr w14:val="tx1"/>
            </w14:solidFill>
          </w14:textFill>
        </w:rPr>
        <w:t>在响应文件提交截止时间之后，供应商不得再对其提交的响应文件进行修改。</w:t>
      </w:r>
    </w:p>
    <w:p w14:paraId="68CDC8A4">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五、开标与评标</w:t>
      </w:r>
      <w:bookmarkEnd w:id="70"/>
      <w:bookmarkEnd w:id="71"/>
      <w:bookmarkEnd w:id="72"/>
      <w:bookmarkEnd w:id="73"/>
    </w:p>
    <w:p w14:paraId="4BCEF75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74" w:name="_Toc16938546"/>
      <w:bookmarkStart w:id="75" w:name="_Toc20823302"/>
      <w:bookmarkStart w:id="76" w:name="_Toc513029230"/>
      <w:r>
        <w:rPr>
          <w:rFonts w:hint="eastAsia" w:ascii="宋体" w:hAnsi="宋体" w:cs="宋体"/>
          <w:color w:val="000000" w:themeColor="text1"/>
          <w:sz w:val="24"/>
          <w14:textFill>
            <w14:solidFill>
              <w14:schemeClr w14:val="tx1"/>
            </w14:solidFill>
          </w14:textFill>
        </w:rPr>
        <w:t>1．开标</w:t>
      </w:r>
      <w:bookmarkEnd w:id="74"/>
      <w:bookmarkEnd w:id="75"/>
      <w:bookmarkEnd w:id="76"/>
    </w:p>
    <w:p w14:paraId="55E4016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 代理机构将在招标公告中规定的时间和地点组织公开开标。投标人应当按时在指定地点参加开标活动。</w:t>
      </w:r>
    </w:p>
    <w:p w14:paraId="3A08BDF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1.2开标仪式由代理机构组织。</w:t>
      </w:r>
    </w:p>
    <w:p w14:paraId="2B9CF97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77" w:name="_Toc513029231"/>
      <w:bookmarkStart w:id="78" w:name="_Toc20823303"/>
      <w:bookmarkStart w:id="79" w:name="_Toc16938547"/>
      <w:r>
        <w:rPr>
          <w:rFonts w:hint="eastAsia" w:ascii="宋体" w:hAnsi="宋体" w:cs="宋体"/>
          <w:color w:val="000000" w:themeColor="text1"/>
          <w:sz w:val="24"/>
          <w14:textFill>
            <w14:solidFill>
              <w14:schemeClr w14:val="tx1"/>
            </w14:solidFill>
          </w14:textFill>
        </w:rPr>
        <w:t>2．评标委员会</w:t>
      </w:r>
    </w:p>
    <w:p w14:paraId="44D96BF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开标后，代理机构将立即组织评标委员会（以下简称评委会）进行评标。</w:t>
      </w:r>
    </w:p>
    <w:p w14:paraId="5643B4C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评委会由招标人代表和有关技术、经济等方面的专家组成，且人员构成符合政府采购有关规定。</w:t>
      </w:r>
    </w:p>
    <w:p w14:paraId="18FFB27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2.3评委会独立工作，负责评审所有投标文件并确定中标候选人。</w:t>
      </w:r>
    </w:p>
    <w:p w14:paraId="1CE2876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3.评标过程的保密与公正</w:t>
      </w:r>
    </w:p>
    <w:bookmarkEnd w:id="77"/>
    <w:bookmarkEnd w:id="78"/>
    <w:bookmarkEnd w:id="79"/>
    <w:p w14:paraId="308B14BA">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3.1公开开标后，直至向中标的投标人授予合同时止，凡是与审查、澄清、评价和比较投标的有关资料以及授标建议等，招标人、评委、代理机构均不得向投标人或与评标无关的其他人员透露。</w:t>
      </w:r>
    </w:p>
    <w:p w14:paraId="366F59B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3.2在评标过程中，投标人不得以任何行为影响评标过程，否则其投标文件将被作为无效投标文件。</w:t>
      </w:r>
    </w:p>
    <w:p w14:paraId="70E3429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3.3在评标期间，代理机构将设专门人员与投标人联系。</w:t>
      </w:r>
    </w:p>
    <w:p w14:paraId="3062235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 代理机构和评标委员会不向未中标的投标人解释未中标原因，也不公布评标过程中的相关细节。</w:t>
      </w:r>
    </w:p>
    <w:p w14:paraId="332DC17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80" w:name="_Toc20823304"/>
      <w:bookmarkStart w:id="81" w:name="_Toc16938548"/>
      <w:bookmarkStart w:id="82" w:name="_Toc513029232"/>
      <w:r>
        <w:rPr>
          <w:rFonts w:hint="eastAsia" w:ascii="宋体" w:hAnsi="宋体" w:cs="宋体"/>
          <w:color w:val="000000" w:themeColor="text1"/>
          <w:sz w:val="24"/>
          <w14:textFill>
            <w14:solidFill>
              <w14:schemeClr w14:val="tx1"/>
            </w14:solidFill>
          </w14:textFill>
        </w:rPr>
        <w:t>4.投标的澄清</w:t>
      </w:r>
      <w:bookmarkEnd w:id="80"/>
      <w:bookmarkEnd w:id="81"/>
      <w:bookmarkEnd w:id="82"/>
    </w:p>
    <w:p w14:paraId="5FD6AC5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4.1评标期间，为有助于对投标文件的审查、评价和比较，评委会有权要求投标人对其投标文件进行澄清，但并非对每个投标人都作澄清要求。</w:t>
      </w:r>
    </w:p>
    <w:p w14:paraId="027BF85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4.2接到评委会澄清要求的投标人应按评委会规定的时间和格式做出澄清，澄清的内容作为投标文件的补充部分，但投标的价格和实质性的内容不得做任何更改。</w:t>
      </w:r>
    </w:p>
    <w:p w14:paraId="091DADF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4.3 接到评委会澄清要求的投标人如未按规定做出澄清，其风险由投标人自行承担。</w:t>
      </w:r>
    </w:p>
    <w:p w14:paraId="41D8724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83" w:name="_Toc20823305"/>
      <w:bookmarkStart w:id="84" w:name="_Toc513029233"/>
      <w:bookmarkStart w:id="85" w:name="_Toc16938549"/>
      <w:r>
        <w:rPr>
          <w:rFonts w:hint="eastAsia" w:ascii="宋体" w:hAnsi="宋体" w:cs="宋体"/>
          <w:color w:val="000000" w:themeColor="text1"/>
          <w:sz w:val="24"/>
          <w14:textFill>
            <w14:solidFill>
              <w14:schemeClr w14:val="tx1"/>
            </w14:solidFill>
          </w14:textFill>
        </w:rPr>
        <w:t>5对投标文件的初审</w:t>
      </w:r>
      <w:bookmarkEnd w:id="83"/>
      <w:bookmarkEnd w:id="84"/>
      <w:bookmarkEnd w:id="85"/>
    </w:p>
    <w:p w14:paraId="335C8F4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5.1投标文件初审分为资格审查和符合性审查。</w:t>
      </w:r>
    </w:p>
    <w:p w14:paraId="3FC3DC9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5.1.1 资格审查：依据法律法规和招标文件的规定，由评委会对投标文件中的资格证明文件进行审查。</w:t>
      </w:r>
    </w:p>
    <w:p w14:paraId="1636266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5.1.2 符合性审查：依据招标文件的规定，由评委会从投标文件的有效性、完整性和对招标文件的响应程度进行审查，以确定是否对招标文件的实质性要求作出响应。</w:t>
      </w:r>
    </w:p>
    <w:p w14:paraId="5D85D02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5.1.3 未通过资格审查或符合性审查的投标人，代理机构将告知未通过资格审查或符合性审查的原因。</w:t>
      </w:r>
    </w:p>
    <w:p w14:paraId="4812F09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5.2在详细评标之前，评委会将首先审查每份投标文件是否实质性响应了招标文件的要求。实质性响应的投标应该是与招标文件要求的全部条款、条件和规格相符，没有重大偏离或保留的投标。</w:t>
      </w:r>
    </w:p>
    <w:p w14:paraId="0ECD55D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3B8B18E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5.3如果投标文件实质上没有响应招标文件的要求，评委会将予以拒绝，投标人不得通过修改或撤销不合要求的偏离或保留而使其投标成为实质性响应的投标。</w:t>
      </w:r>
    </w:p>
    <w:p w14:paraId="4234522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5.4评委会将对确定为实质性响应的投标进行进一步审核，看其是否有计算上或累加上的算术错误，修正错误的原则如下：</w:t>
      </w:r>
    </w:p>
    <w:p w14:paraId="535E7ED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5.4.1投标文件中开标一览表内容与投标文件中相应内容不一致的，以开标一览表为准。</w:t>
      </w:r>
    </w:p>
    <w:p w14:paraId="5A0ED38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5.4.2大写金额和小写金额不一致的，以大写金额为准。</w:t>
      </w:r>
    </w:p>
    <w:p w14:paraId="0EC1F381">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5.4.3单价金额小数点或者百分比有明显错位的，以开标一览表的总价为准，并修改单价。</w:t>
      </w:r>
    </w:p>
    <w:p w14:paraId="6429182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5.4.4总价金额与按单价汇总金额不一致的，以单价金额计算结果为准。</w:t>
      </w:r>
    </w:p>
    <w:p w14:paraId="1D6BC9D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同时出现两种以上错误的，按照前款规定的顺序修正。</w:t>
      </w:r>
    </w:p>
    <w:p w14:paraId="64300DA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5.5评委会将按上述修正错误的方法调整投标文件中的投标报价，并告知投标人，调整后的价格应对投标人具有约束力。如果投标人不接受修正后的价格，则其投标将被拒绝。</w:t>
      </w:r>
    </w:p>
    <w:p w14:paraId="3D52D1C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5.6评委会将允许修正投标文件中不构成重大偏离的、微小的、非正规的、不一致的或不规则的地方，但这些修改不能影响任何投标人相应的名次排列。</w:t>
      </w:r>
    </w:p>
    <w:p w14:paraId="062609B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86" w:name="_Toc20823306"/>
      <w:bookmarkStart w:id="87" w:name="_Toc16938550"/>
      <w:bookmarkStart w:id="88" w:name="_Toc513029234"/>
      <w:r>
        <w:rPr>
          <w:rFonts w:hint="eastAsia" w:ascii="宋体" w:hAnsi="宋体" w:cs="宋体"/>
          <w:color w:val="000000" w:themeColor="text1"/>
          <w:sz w:val="24"/>
          <w14:textFill>
            <w14:solidFill>
              <w14:schemeClr w14:val="tx1"/>
            </w14:solidFill>
          </w14:textFill>
        </w:rPr>
        <w:t>5.7异常低价审查</w:t>
      </w:r>
    </w:p>
    <w:p w14:paraId="6E379CD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5.7.1根据财库〔2026〕2号文件,政府采购评审中出现下列情形之一的，评审委员会应当启动异常低价投标（响应）审查程序（本条所指报价均为投标人原始总报价，不包含中小企业、本国产品价格扣除后的评审价)：</w:t>
      </w:r>
    </w:p>
    <w:p w14:paraId="7EAAF88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1.投标（响应）报价低于全部通过符合性审查供应商投标（响应）报价平均值50%的，即投标（响应）报价&lt;全部通过符合性审查供应商投标（响应）报价平均值×50%； </w:t>
      </w:r>
    </w:p>
    <w:p w14:paraId="57F24C4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2.投标（响应）报价低于通过符合性审查的次低报价供应商投标（响应）报价50%的，即投标（响应）报价&lt;通过符合性审查的次低报价供应商投标（响应）报价×50%； </w:t>
      </w:r>
    </w:p>
    <w:p w14:paraId="36F2ECE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3.投标（响应）报价低于采购项目最高限价45%的，即投标（响应）报价&lt;采购项目最高限价×45%； </w:t>
      </w:r>
    </w:p>
    <w:p w14:paraId="74AF723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4.评审委员会基于专业判断，认为供应商报价过低，有可能影响产品质量或者不能诚信履约的其他情形。 </w:t>
      </w:r>
    </w:p>
    <w:p w14:paraId="2617B14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5.7.2启动异常低价投标(响应)审查后，属于上述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投标人已随投标（响应）文件一并提交相关书面说明及必要的证明材料的，在评审现场可不再重复提交。</w:t>
      </w:r>
    </w:p>
    <w:p w14:paraId="03DCF44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异常低价投标（响应）审查的启动原因、审查意见和审查结果应当在评审报告中记录。</w:t>
      </w:r>
    </w:p>
    <w:p w14:paraId="384E914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5.8投标人在开、评标全过程中应保持通讯畅通，并安排专人与代理机构及评标委员会联系。</w:t>
      </w:r>
    </w:p>
    <w:bookmarkEnd w:id="86"/>
    <w:bookmarkEnd w:id="87"/>
    <w:bookmarkEnd w:id="88"/>
    <w:p w14:paraId="4BB9113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6.无效投标条款和废标条款</w:t>
      </w:r>
    </w:p>
    <w:p w14:paraId="22709DE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89" w:name="_Toc20823307"/>
      <w:bookmarkStart w:id="90" w:name="_Toc16938551"/>
      <w:bookmarkStart w:id="91" w:name="_Toc513029235"/>
      <w:r>
        <w:rPr>
          <w:rFonts w:hint="eastAsia" w:ascii="宋体" w:hAnsi="宋体" w:cs="宋体"/>
          <w:color w:val="000000" w:themeColor="text1"/>
          <w:sz w:val="24"/>
          <w14:textFill>
            <w14:solidFill>
              <w14:schemeClr w14:val="tx1"/>
            </w14:solidFill>
          </w14:textFill>
        </w:rPr>
        <w:t>6.1无效投标条款</w:t>
      </w:r>
    </w:p>
    <w:p w14:paraId="0BFE533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 同一投标人提交两个（含两个）以上不同的投标报价的。</w:t>
      </w:r>
    </w:p>
    <w:p w14:paraId="20FFAB2E">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6.1.2投标人不具备招标文件中规定资格要求的。</w:t>
      </w:r>
    </w:p>
    <w:p w14:paraId="6864339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6.1.3投标人的报价高于最高限价的。</w:t>
      </w:r>
    </w:p>
    <w:p w14:paraId="6902FCF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6.1.4未通过符合性检查的。</w:t>
      </w:r>
    </w:p>
    <w:p w14:paraId="63F7508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6.1.5不符合招标文件中规定的其他实质性要求和条件的。</w:t>
      </w:r>
    </w:p>
    <w:p w14:paraId="608B48E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6.1.6投标人被 “信用中国”网站（www.creditchina.gov.cn）列入失信被执行人或重大税收违法案件当事人名单或政府采购严重失信行为记录名单。或查询“信用中国”网站后发现投标人存在其他不符合规定条件的信用记录。</w:t>
      </w:r>
    </w:p>
    <w:p w14:paraId="0379F3C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6.1.7投标文含有招标人不能接受的附加条件的 。</w:t>
      </w:r>
    </w:p>
    <w:p w14:paraId="7D2F35C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6.1.8 评标委员会认为投标人的报价明显低于其他通过符合性审查投标人的报价，有可能影响产品质量或者不能诚信履约的，将要求其在合理的时间内提供说明，必要时提交相关证明材料；投标人不能证明其报价合理性的，评标委员会应当将其作为无效投标处理。</w:t>
      </w:r>
    </w:p>
    <w:p w14:paraId="089E342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6.1.9投标文件未按照招标文件要求签字或盖章的。</w:t>
      </w:r>
    </w:p>
    <w:p w14:paraId="4C9E9E2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6.1.10投标人的商务技术部分得分相差悬殊，评标委员会认为得分畸低者没有实质性响应的（</w:t>
      </w:r>
      <w:r>
        <w:rPr>
          <w:rFonts w:hint="eastAsia" w:ascii="宋体" w:hAnsi="宋体" w:cs="宋体"/>
          <w:b/>
          <w:kern w:val="0"/>
          <w:sz w:val="24"/>
        </w:rPr>
        <w:t>投标人</w:t>
      </w:r>
      <w:r>
        <w:rPr>
          <w:rFonts w:hint="eastAsia" w:ascii="宋体" w:hAnsi="宋体" w:cs="宋体"/>
          <w:b/>
          <w:kern w:val="0"/>
          <w:sz w:val="24"/>
          <w:lang w:eastAsia="zh-CN"/>
        </w:rPr>
        <w:t>商务</w:t>
      </w:r>
      <w:r>
        <w:rPr>
          <w:rFonts w:hint="eastAsia" w:ascii="宋体" w:hAnsi="宋体" w:cs="宋体"/>
          <w:b/>
          <w:kern w:val="0"/>
          <w:sz w:val="24"/>
        </w:rPr>
        <w:t>技术标得分低于招标文件技术总分50%的</w:t>
      </w:r>
      <w:r>
        <w:rPr>
          <w:rFonts w:hint="eastAsia" w:ascii="宋体" w:hAnsi="宋体" w:cs="宋体"/>
          <w:color w:val="000000" w:themeColor="text1"/>
          <w:sz w:val="24"/>
          <w14:textFill>
            <w14:solidFill>
              <w14:schemeClr w14:val="tx1"/>
            </w14:solidFill>
          </w14:textFill>
        </w:rPr>
        <w:t>）。</w:t>
      </w:r>
    </w:p>
    <w:p w14:paraId="2BE47055">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6.1.11启动异常低价响应审查后，供应商不提供书面说明、证明材料，或者提供的书面说明、证明材料不能证明其报价合理性的。</w:t>
      </w:r>
    </w:p>
    <w:p w14:paraId="7DAA9DB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6.1.12其他法律、法规及本招标文件规定的属无效投标的情形。</w:t>
      </w:r>
    </w:p>
    <w:p w14:paraId="57E5871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6.2废标条款：</w:t>
      </w:r>
    </w:p>
    <w:p w14:paraId="61DD1DE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6.2.1符合专业条件的供应商或者对招标文件作实质响应的供应商不足三家的。</w:t>
      </w:r>
    </w:p>
    <w:p w14:paraId="171AF25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6.2.2出现影响采购公正的违法、违规行为的。</w:t>
      </w:r>
    </w:p>
    <w:p w14:paraId="29F0553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6.2.3因重大变故，采购任务取消的。</w:t>
      </w:r>
    </w:p>
    <w:p w14:paraId="5D6983A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6.2.4评标委员会认定招标文件存在歧义、重大缺陷导致评审工作无法进行。</w:t>
      </w:r>
    </w:p>
    <w:p w14:paraId="7DC0D61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 投标截止时间结束后参加投标的供应商不足三家的处理：</w:t>
      </w:r>
    </w:p>
    <w:p w14:paraId="33456F3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6.3.1如出现投标截止时间结束后参加投标的供应商或者在评标期间对招标文件做出实质响应的供应商不足三家情况，按政府采购相关规定执行。</w:t>
      </w:r>
    </w:p>
    <w:bookmarkEnd w:id="89"/>
    <w:bookmarkEnd w:id="90"/>
    <w:bookmarkEnd w:id="91"/>
    <w:p w14:paraId="5BDDCADB">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92" w:name="_Toc120614219"/>
      <w:r>
        <w:rPr>
          <w:rFonts w:hint="eastAsia" w:ascii="宋体" w:hAnsi="宋体" w:cs="宋体"/>
          <w:b/>
          <w:bCs/>
          <w:color w:val="000000" w:themeColor="text1"/>
          <w:sz w:val="24"/>
          <w14:textFill>
            <w14:solidFill>
              <w14:schemeClr w14:val="tx1"/>
            </w14:solidFill>
          </w14:textFill>
        </w:rPr>
        <w:t>六、定标</w:t>
      </w:r>
      <w:bookmarkEnd w:id="92"/>
    </w:p>
    <w:p w14:paraId="349934F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93" w:name="_Toc16938554"/>
      <w:bookmarkStart w:id="94" w:name="_Toc20823310"/>
      <w:r>
        <w:rPr>
          <w:rFonts w:hint="eastAsia" w:ascii="宋体" w:hAnsi="宋体" w:cs="宋体"/>
          <w:color w:val="000000" w:themeColor="text1"/>
          <w:sz w:val="24"/>
          <w14:textFill>
            <w14:solidFill>
              <w14:schemeClr w14:val="tx1"/>
            </w14:solidFill>
          </w14:textFill>
        </w:rPr>
        <w:t>1.确定</w:t>
      </w:r>
      <w:bookmarkEnd w:id="93"/>
      <w:bookmarkEnd w:id="94"/>
      <w:r>
        <w:rPr>
          <w:rFonts w:hint="eastAsia" w:ascii="宋体" w:hAnsi="宋体" w:cs="宋体"/>
          <w:color w:val="000000" w:themeColor="text1"/>
          <w:sz w:val="24"/>
          <w14:textFill>
            <w14:solidFill>
              <w14:schemeClr w14:val="tx1"/>
            </w14:solidFill>
          </w14:textFill>
        </w:rPr>
        <w:t>中标单位</w:t>
      </w:r>
    </w:p>
    <w:p w14:paraId="5BA78C0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1.1中标候选人的选取原则和数量见招标文件第四部分规定。 </w:t>
      </w:r>
    </w:p>
    <w:p w14:paraId="15245ED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1.2招标人授权评委会在中标候选人中直接确定中标人。</w:t>
      </w:r>
    </w:p>
    <w:p w14:paraId="404576D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1.3代理机构将在“江苏商贸职业学院网（http://www.jsbc.edu.cn/）”发布中标公告，公告期限为1个工作日。</w:t>
      </w:r>
    </w:p>
    <w:p w14:paraId="681B656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1.4若有充分证据证明，中标人出现下列情况之一的，一经查实，将被取消中标资格：</w:t>
      </w:r>
    </w:p>
    <w:p w14:paraId="4425618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1.4.1提供虚假材料谋取中标的。</w:t>
      </w:r>
    </w:p>
    <w:p w14:paraId="6AE499F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1.4.2向招标人、代理机构行贿或者提供其他不正当利益的。</w:t>
      </w:r>
    </w:p>
    <w:p w14:paraId="589D5DE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1.4.3恶意竞争，投标总报价明显低于其自身合理成本且又无法提供证明的。</w:t>
      </w:r>
    </w:p>
    <w:p w14:paraId="7BC7AE3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1.4.4属于本文件规定的无效条件，但在评标过程中又未被评委会发现的。</w:t>
      </w:r>
    </w:p>
    <w:p w14:paraId="31B68BA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1.4.5与招标人或者其他供应商恶意串通的。</w:t>
      </w:r>
    </w:p>
    <w:p w14:paraId="0E0D17E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1.4.6采取不正当手段诋毁、排挤其他供应商的。</w:t>
      </w:r>
    </w:p>
    <w:p w14:paraId="10CB4DB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95" w:name="_Toc200451960"/>
      <w:r>
        <w:rPr>
          <w:rFonts w:hint="eastAsia" w:ascii="宋体" w:hAnsi="宋体" w:cs="宋体"/>
          <w:color w:val="000000" w:themeColor="text1"/>
          <w:sz w:val="24"/>
          <w14:textFill>
            <w14:solidFill>
              <w14:schemeClr w14:val="tx1"/>
            </w14:solidFill>
          </w14:textFill>
        </w:rPr>
        <w:t>1.5.有下列情形之一的，视为投标人串通投标，投标无效：</w:t>
      </w:r>
    </w:p>
    <w:p w14:paraId="6A8DCCF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1.5.1不同投标人的投标文件由同一单位或者个人编制；</w:t>
      </w:r>
    </w:p>
    <w:p w14:paraId="71B3173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1.5.2不同投标人委托同一单位或者个人办理投标事宜；</w:t>
      </w:r>
    </w:p>
    <w:p w14:paraId="66A3975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1.5.3不同投标人的投标文件载明的项目管理成员或者联系人员为同一人；</w:t>
      </w:r>
    </w:p>
    <w:p w14:paraId="1D6F43F0">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1.5.4不同投标人的投标文件异常一致或者投标报价呈规律性差异；</w:t>
      </w:r>
    </w:p>
    <w:p w14:paraId="19F151C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1.5.5不同投标人的投标文件相互混装；</w:t>
      </w:r>
    </w:p>
    <w:p w14:paraId="2508686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2.质疑处理</w:t>
      </w:r>
      <w:bookmarkEnd w:id="95"/>
    </w:p>
    <w:p w14:paraId="1771CA93">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提出质疑的供应商应当是参与所质疑项目采购活动的供应商。潜在供应商依法获取其可质疑的采购文件的，可以对采购文件提出质疑。</w:t>
      </w:r>
    </w:p>
    <w:p w14:paraId="61585B8A">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其中：对评审过程中涉及到的密封检查、身份核对、澄清等和程序性事项，供应商如有异议的，必须当场提出。否则，均视为供应商无异议。无论是否成交，供应商事后不得再就前述事项提出任何异议或质疑投诉。</w:t>
      </w:r>
    </w:p>
    <w:p w14:paraId="05DC242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2.2供应商认为采购文件、采购过程和采购结果使自己的权益受到损害的，可以在知道或应知其权益受到损害之日起七个工作日内，以书面形式向代理机构或招标人提出质疑。上述应知其权益受到损害之日，是指：</w:t>
      </w:r>
    </w:p>
    <w:p w14:paraId="1E3E300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2.2.1对可以质疑的采购文件提出质疑的，为收到采购文件之日或者采购文件公告期限届满之日；</w:t>
      </w:r>
    </w:p>
    <w:p w14:paraId="3BA097F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2.2.2对采购过程提出质疑的，为各采购程序环节结束之日；</w:t>
      </w:r>
    </w:p>
    <w:p w14:paraId="7C4CCF47">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2.2.3对中标或者成交结果提出质疑的，为中标或者成交结果公告期限届满之日。</w:t>
      </w:r>
    </w:p>
    <w:p w14:paraId="7E9E5107">
      <w:pPr>
        <w:tabs>
          <w:tab w:val="left" w:pos="360"/>
        </w:tabs>
        <w:spacing w:line="4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供应商应当在法定质疑期内一次性提出针对同一采购程序环节的质疑</w:t>
      </w:r>
      <w:r>
        <w:rPr>
          <w:rFonts w:hint="eastAsia" w:ascii="宋体" w:hAnsi="宋体" w:cs="宋体"/>
          <w:color w:val="000000" w:themeColor="text1"/>
          <w:sz w:val="24"/>
          <w14:textFill>
            <w14:solidFill>
              <w14:schemeClr w14:val="tx1"/>
            </w14:solidFill>
          </w14:textFill>
        </w:rPr>
        <w:t>。</w:t>
      </w:r>
    </w:p>
    <w:p w14:paraId="0CB1389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2.3质疑函必须按照本招标文件中《质疑函范本》要求的格式和内容进行填写。供应商如组成联合体参加投标，则《质疑函范本》中要求签字、盖章、加盖公章之处，联合体各方均须按要求签字、盖章、加盖公章。</w:t>
      </w:r>
    </w:p>
    <w:p w14:paraId="098A163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2.4供应商提起质疑采取书面形式，可以现场送达，也可以邮寄。</w:t>
      </w:r>
    </w:p>
    <w:p w14:paraId="171CAFB9">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招标人及采购代理机构质疑接收人及联系方式，见招标文件第一部分。</w:t>
      </w:r>
    </w:p>
    <w:p w14:paraId="72A831A2">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 以下情形的质疑不予受理</w:t>
      </w:r>
    </w:p>
    <w:p w14:paraId="5386FC5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2.5.1 内容不符合上述规定的质疑。</w:t>
      </w:r>
    </w:p>
    <w:p w14:paraId="50EE1E3C">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2.5.2 超出采购法定期限的质疑。</w:t>
      </w:r>
    </w:p>
    <w:p w14:paraId="0C22DF1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2.5.3 未参加招标活动的供应商或在招标活动中自身权益未受到损害的供应商所提出的质疑。</w:t>
      </w:r>
    </w:p>
    <w:p w14:paraId="774FFD4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 投标人提出书面质疑必须有理、有据，不得捏造事实、提供虚假材料进行恶意质疑。否则，一经查实，采购代理机构有权依据招标的有关规定，报请相关监管部门对该供应商进行相应的行政处罚和记录该供应商的失信信息。</w:t>
      </w:r>
    </w:p>
    <w:p w14:paraId="4E4C6A6B">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3.中标通知书</w:t>
      </w:r>
    </w:p>
    <w:p w14:paraId="2595F58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3.l 中标结果确定后，招标人将向中标单位发出中标通知书。中标单位在中标结果公告期满后5个工作日内到代理机构办理领取中标通知书手续，否则，由此产生的后果供应商自负。</w:t>
      </w:r>
    </w:p>
    <w:p w14:paraId="580E83D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3.2中标通知书将是合同的一个组成部分。对招标人和中标单位均具有法律效力。中标通知书发出后，招标人改变中标结果的，或者中标单位放弃中标项目的，应当依法承担法律责任。</w:t>
      </w:r>
    </w:p>
    <w:p w14:paraId="4D1897E7">
      <w:pPr>
        <w:tabs>
          <w:tab w:val="left" w:pos="360"/>
        </w:tabs>
        <w:spacing w:line="460" w:lineRule="exact"/>
        <w:ind w:firstLine="482" w:firstLineChars="200"/>
        <w:rPr>
          <w:rFonts w:ascii="宋体" w:hAnsi="宋体" w:cs="宋体"/>
          <w:b/>
          <w:bCs/>
          <w:color w:val="000000" w:themeColor="text1"/>
          <w:sz w:val="24"/>
          <w14:textFill>
            <w14:solidFill>
              <w14:schemeClr w14:val="tx1"/>
            </w14:solidFill>
          </w14:textFill>
        </w:rPr>
      </w:pPr>
      <w:bookmarkStart w:id="96" w:name="_Toc120614220"/>
      <w:bookmarkStart w:id="97" w:name="_Toc513029236"/>
      <w:bookmarkStart w:id="98" w:name="_Toc16938552"/>
      <w:bookmarkStart w:id="99" w:name="_Toc20823308"/>
      <w:r>
        <w:rPr>
          <w:rFonts w:hint="eastAsia" w:ascii="宋体" w:hAnsi="宋体" w:cs="宋体"/>
          <w:b/>
          <w:bCs/>
          <w:color w:val="000000" w:themeColor="text1"/>
          <w:sz w:val="24"/>
          <w14:textFill>
            <w14:solidFill>
              <w14:schemeClr w14:val="tx1"/>
            </w14:solidFill>
          </w14:textFill>
        </w:rPr>
        <w:t>七、授予合同</w:t>
      </w:r>
      <w:bookmarkEnd w:id="96"/>
    </w:p>
    <w:bookmarkEnd w:id="97"/>
    <w:bookmarkEnd w:id="98"/>
    <w:bookmarkEnd w:id="99"/>
    <w:p w14:paraId="206EDF78">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bookmarkStart w:id="100" w:name="_Toc20823309"/>
      <w:bookmarkStart w:id="101" w:name="_Toc513029237"/>
      <w:bookmarkStart w:id="102" w:name="_Toc16938553"/>
      <w:r>
        <w:rPr>
          <w:rFonts w:hint="eastAsia" w:ascii="宋体" w:hAnsi="宋体" w:cs="宋体"/>
          <w:color w:val="000000" w:themeColor="text1"/>
          <w:sz w:val="24"/>
          <w14:textFill>
            <w14:solidFill>
              <w14:schemeClr w14:val="tx1"/>
            </w14:solidFill>
          </w14:textFill>
        </w:rPr>
        <w:t>1.签订合同</w:t>
      </w:r>
    </w:p>
    <w:p w14:paraId="62B3773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l中标人在《中标通知书》发出30日内必须按照招标文件确定的事项签订采购合同。所签合同不得对采购文件作实质性修改。招标人不得向中标人提出不合理的要求作为签订合同的条件，不得与中标人私下订立背离招标文件实质性内容的协议。  </w:t>
      </w:r>
    </w:p>
    <w:p w14:paraId="606056BD">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招标人按合同约定积极配合中标人履约，中标人履约到位后，请以书面形式向招标人提出验收申请，招标人接到申请后原则上在5个工作日内及时组织相关专业技术人员，必要时邀请质检等部门共同参与验收，并出具验收报告，验收合格的原则上7个工作日内支付相应款项。</w:t>
      </w:r>
    </w:p>
    <w:p w14:paraId="1C0E6824">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招标人故意推迟项目验收时间的，与中标人串通或要求中标人降低服务标准的，在履行合同中采取更改条款、弄虚作假等手段的，要求中标人出具虚假发票或任意更改销售发票的，谋取不正当利益的，承担相应的法律责任。</w:t>
      </w:r>
    </w:p>
    <w:p w14:paraId="3A663C0F">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1.4中标人出现违约情形，应当及时纠正或补偿；造成损失的，按合同约定追究违约责任；发现有假冒、伪劣、走私产品、商业贿赂等违法情形的，应由招标人移交工商、质监、公安等行政执法部门依法查处。</w:t>
      </w:r>
    </w:p>
    <w:p w14:paraId="14C4E927">
      <w:pPr>
        <w:spacing w:line="360" w:lineRule="auto"/>
        <w:ind w:firstLine="484" w:firstLineChars="202"/>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1.5按政府采购合同约定支付的货款进行支付。</w:t>
      </w:r>
    </w:p>
    <w:p w14:paraId="152F7BA8">
      <w:pPr>
        <w:tabs>
          <w:tab w:val="left" w:pos="360"/>
        </w:tabs>
        <w:spacing w:line="460" w:lineRule="exac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八、未尽事宜</w:t>
      </w:r>
    </w:p>
    <w:p w14:paraId="6C6C6C46">
      <w:pPr>
        <w:tabs>
          <w:tab w:val="left" w:pos="360"/>
        </w:tabs>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sz w:val="24"/>
        </w:rPr>
        <w:t>参照《中华人民共和国政府采购法》及其他有关的法律法规的规定及</w:t>
      </w:r>
      <w:r>
        <w:rPr>
          <w:rFonts w:hint="eastAsia" w:ascii="宋体" w:hAnsi="宋体" w:cs="宋体"/>
          <w:color w:val="000000" w:themeColor="text1"/>
          <w:sz w:val="24"/>
          <w14:textFill>
            <w14:solidFill>
              <w14:schemeClr w14:val="tx1"/>
            </w14:solidFill>
          </w14:textFill>
        </w:rPr>
        <w:t>按江苏商贸职业学院采购管理规定执行。</w:t>
      </w:r>
    </w:p>
    <w:bookmarkEnd w:id="100"/>
    <w:bookmarkEnd w:id="101"/>
    <w:bookmarkEnd w:id="102"/>
    <w:p w14:paraId="5DA23B9A">
      <w:pPr>
        <w:rPr>
          <w:rFonts w:ascii="宋体" w:hAnsi="宋体" w:cs="宋体"/>
          <w:bCs/>
          <w:color w:val="000000" w:themeColor="text1"/>
          <w:sz w:val="32"/>
          <w:szCs w:val="32"/>
          <w14:textFill>
            <w14:solidFill>
              <w14:schemeClr w14:val="tx1"/>
            </w14:solidFill>
          </w14:textFill>
        </w:rPr>
      </w:pPr>
    </w:p>
    <w:p w14:paraId="7FE4604B">
      <w:pPr>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br w:type="page"/>
      </w:r>
    </w:p>
    <w:p w14:paraId="43C2D34E">
      <w:pPr>
        <w:jc w:val="center"/>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第三部分  项目需求</w:t>
      </w:r>
    </w:p>
    <w:bookmarkEnd w:id="0"/>
    <w:bookmarkEnd w:id="1"/>
    <w:bookmarkEnd w:id="2"/>
    <w:p w14:paraId="485E567C">
      <w:pPr>
        <w:widowControl/>
        <w:adjustRightInd w:val="0"/>
        <w:snapToGrid w:val="0"/>
        <w:spacing w:line="50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采购人对江苏商贸职业学院通勤班车租赁服务项目进行采购招标。投标供应商需仔细研读招标文件，以充分了解采购人采购需要，作出合理的响应。具体内容如下：</w:t>
      </w:r>
    </w:p>
    <w:p w14:paraId="28C65D09">
      <w:pPr>
        <w:tabs>
          <w:tab w:val="left" w:pos="0"/>
        </w:tabs>
        <w:spacing w:line="440" w:lineRule="exact"/>
        <w:ind w:firstLine="482" w:firstLineChars="200"/>
        <w:rPr>
          <w:rFonts w:ascii="宋体" w:hAnsi="宋体" w:cs="宋体"/>
          <w:color w:val="000000"/>
          <w:kern w:val="0"/>
          <w:sz w:val="24"/>
        </w:rPr>
      </w:pPr>
      <w:r>
        <w:rPr>
          <w:rFonts w:hint="eastAsia" w:ascii="宋体" w:hAnsi="宋体" w:cs="宋体"/>
          <w:b/>
          <w:bCs/>
          <w:color w:val="000000"/>
          <w:kern w:val="0"/>
          <w:sz w:val="24"/>
          <w:lang w:val="zh-CN"/>
        </w:rPr>
        <w:t>一、</w:t>
      </w:r>
      <w:r>
        <w:rPr>
          <w:rFonts w:hint="eastAsia" w:ascii="宋体" w:hAnsi="宋体" w:cs="宋体"/>
          <w:b/>
          <w:bCs/>
          <w:color w:val="000000"/>
          <w:kern w:val="0"/>
          <w:sz w:val="24"/>
        </w:rPr>
        <w:t>用车需求</w:t>
      </w:r>
    </w:p>
    <w:p w14:paraId="640871C0">
      <w:pPr>
        <w:spacing w:line="46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1.为满足教师乘坐需求及</w:t>
      </w:r>
      <w:r>
        <w:rPr>
          <w:rFonts w:hint="eastAsia" w:ascii="宋体" w:hAnsi="宋体" w:cs="宋体"/>
          <w:color w:val="000000"/>
          <w:kern w:val="0"/>
          <w:sz w:val="24"/>
        </w:rPr>
        <w:t>车辆经高速行驶</w:t>
      </w:r>
      <w:r>
        <w:rPr>
          <w:rFonts w:hint="eastAsia" w:ascii="宋体" w:hAnsi="宋体" w:cs="宋体"/>
          <w:color w:val="000000"/>
          <w:kern w:val="0"/>
          <w:sz w:val="24"/>
          <w:lang w:val="zh-CN"/>
        </w:rPr>
        <w:t>，车型要求为核载不少于</w:t>
      </w:r>
      <w:r>
        <w:rPr>
          <w:rFonts w:hint="eastAsia" w:ascii="宋体" w:hAnsi="宋体" w:cs="宋体"/>
          <w:color w:val="000000"/>
          <w:kern w:val="0"/>
          <w:sz w:val="24"/>
        </w:rPr>
        <w:t>49</w:t>
      </w:r>
      <w:r>
        <w:rPr>
          <w:rFonts w:hint="eastAsia" w:ascii="宋体" w:hAnsi="宋体" w:cs="宋体"/>
          <w:color w:val="000000"/>
          <w:kern w:val="0"/>
          <w:sz w:val="24"/>
          <w:lang w:val="zh-CN"/>
        </w:rPr>
        <w:t>座的大客车。拟派车辆必须为20</w:t>
      </w:r>
      <w:r>
        <w:rPr>
          <w:rFonts w:hint="eastAsia" w:ascii="宋体" w:hAnsi="宋体" w:cs="宋体"/>
          <w:color w:val="000000"/>
          <w:kern w:val="0"/>
          <w:sz w:val="24"/>
        </w:rPr>
        <w:t>21</w:t>
      </w:r>
      <w:r>
        <w:rPr>
          <w:rFonts w:hint="eastAsia" w:ascii="宋体" w:hAnsi="宋体" w:cs="宋体"/>
          <w:color w:val="000000"/>
          <w:kern w:val="0"/>
          <w:sz w:val="24"/>
          <w:lang w:val="zh-CN"/>
        </w:rPr>
        <w:t>年</w:t>
      </w:r>
      <w:r>
        <w:rPr>
          <w:rFonts w:hint="eastAsia" w:ascii="宋体" w:hAnsi="宋体" w:cs="宋体"/>
          <w:color w:val="000000"/>
          <w:kern w:val="0"/>
          <w:sz w:val="24"/>
        </w:rPr>
        <w:t>9</w:t>
      </w:r>
      <w:r>
        <w:rPr>
          <w:rFonts w:hint="eastAsia" w:ascii="宋体" w:hAnsi="宋体" w:cs="宋体"/>
          <w:color w:val="000000"/>
          <w:kern w:val="0"/>
          <w:sz w:val="24"/>
          <w:lang w:val="zh-CN"/>
        </w:rPr>
        <w:t>月1日之后出厂（具体以《中华人民共和国机动车行驶证》或机动车辆登记证注册日期为准）；</w:t>
      </w:r>
    </w:p>
    <w:p w14:paraId="03D6E64A">
      <w:pPr>
        <w:spacing w:line="460" w:lineRule="exact"/>
        <w:ind w:firstLine="480" w:firstLineChars="200"/>
        <w:rPr>
          <w:rFonts w:ascii="宋体" w:hAnsi="宋体" w:cs="宋体"/>
          <w:color w:val="000000"/>
          <w:kern w:val="0"/>
          <w:sz w:val="24"/>
        </w:rPr>
      </w:pPr>
      <w:r>
        <w:rPr>
          <w:rFonts w:hint="eastAsia" w:ascii="宋体" w:hAnsi="宋体" w:cs="宋体"/>
          <w:color w:val="000000"/>
          <w:kern w:val="0"/>
          <w:sz w:val="24"/>
          <w:lang w:val="zh-CN"/>
        </w:rPr>
        <w:t>2.车辆定点往返于学校本部和科创城通州湾教学区，每天发两个往返班次，早上</w:t>
      </w:r>
      <w:r>
        <w:rPr>
          <w:rFonts w:hint="eastAsia" w:ascii="宋体" w:hAnsi="宋体" w:cs="宋体"/>
          <w:color w:val="000000"/>
          <w:kern w:val="0"/>
          <w:sz w:val="24"/>
        </w:rPr>
        <w:t>7:15学校本部出发，中午12:40科创城返回；中午12:15学校本部出发，下午16:40科创城返回。</w:t>
      </w:r>
      <w:r>
        <w:rPr>
          <w:rFonts w:hint="eastAsia" w:ascii="宋体" w:hAnsi="宋体" w:cs="宋体"/>
          <w:color w:val="000000"/>
          <w:kern w:val="0"/>
          <w:sz w:val="24"/>
          <w:lang w:val="zh-CN"/>
        </w:rPr>
        <w:t>每次用车计费，仅自学校本部出发至科创城，再从科创城返回学校本部，完成一次“有效”往返计费一次。实际用车前，车辆从车主基地（车库）到学校本部，以及实际用车后车辆从学校本部返回车主基地（车库）不计费。如有特殊需求，双方另行商定；</w:t>
      </w:r>
    </w:p>
    <w:p w14:paraId="25EECCD0">
      <w:pPr>
        <w:spacing w:line="46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3.租金计费标准：</w:t>
      </w:r>
      <w:r>
        <w:rPr>
          <w:rFonts w:hint="eastAsia" w:ascii="宋体" w:hAnsi="宋体" w:cs="宋体"/>
          <w:color w:val="000000"/>
          <w:kern w:val="0"/>
          <w:sz w:val="24"/>
          <w:u w:val="single"/>
          <w:lang w:val="zh-CN"/>
        </w:rPr>
        <w:t>中标综合单价</w:t>
      </w:r>
      <w:r>
        <w:rPr>
          <w:rFonts w:hint="eastAsia" w:ascii="宋体" w:hAnsi="宋体" w:cs="宋体"/>
          <w:color w:val="000000"/>
          <w:kern w:val="0"/>
          <w:sz w:val="24"/>
          <w:lang w:val="zh-CN"/>
        </w:rPr>
        <w:t xml:space="preserve"> 元/有效往返（次）/辆，车辆租赁费用报价含车辆使用费、汽油费、过路过桥费、保养维修费、车辆折旧费、保险费、驾驶人员工资、食宿、开票税金等用车过程中产生的一切费用及本项目招标代理费；潜在投标供应商投标报价时，报一个“有效”往返的综合单价，结算时，依据合同按实计算；</w:t>
      </w:r>
    </w:p>
    <w:p w14:paraId="463E6A7C">
      <w:pPr>
        <w:spacing w:line="46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4.通州湾教学区入驻新生，根据教学安排，每学年度约</w:t>
      </w:r>
      <w:r>
        <w:rPr>
          <w:rFonts w:hint="eastAsia" w:ascii="宋体" w:hAnsi="宋体" w:cs="宋体"/>
          <w:color w:val="000000"/>
          <w:kern w:val="0"/>
          <w:sz w:val="24"/>
        </w:rPr>
        <w:t>34个</w:t>
      </w:r>
      <w:r>
        <w:rPr>
          <w:rFonts w:hint="eastAsia" w:ascii="宋体" w:hAnsi="宋体" w:cs="宋体"/>
          <w:color w:val="000000"/>
          <w:kern w:val="0"/>
          <w:sz w:val="24"/>
          <w:lang w:val="zh-CN"/>
        </w:rPr>
        <w:t>教学周</w:t>
      </w:r>
      <w:r>
        <w:rPr>
          <w:rFonts w:hint="eastAsia" w:ascii="宋体" w:hAnsi="宋体" w:cs="宋体"/>
          <w:color w:val="000000"/>
          <w:kern w:val="0"/>
          <w:sz w:val="24"/>
        </w:rPr>
        <w:t>，共计</w:t>
      </w:r>
      <w:r>
        <w:rPr>
          <w:rFonts w:hint="eastAsia" w:ascii="宋体" w:hAnsi="宋体" w:cs="宋体"/>
          <w:color w:val="000000"/>
          <w:kern w:val="0"/>
          <w:sz w:val="24"/>
          <w:lang w:val="zh-CN"/>
        </w:rPr>
        <w:t>约</w:t>
      </w:r>
      <w:r>
        <w:rPr>
          <w:rFonts w:hint="eastAsia" w:ascii="宋体" w:hAnsi="宋体" w:cs="宋体"/>
          <w:color w:val="000000"/>
          <w:kern w:val="0"/>
          <w:sz w:val="24"/>
        </w:rPr>
        <w:t>34</w:t>
      </w:r>
      <w:r>
        <w:rPr>
          <w:rFonts w:hint="eastAsia" w:ascii="宋体" w:hAnsi="宋体" w:cs="宋体"/>
          <w:color w:val="000000"/>
          <w:kern w:val="0"/>
          <w:sz w:val="24"/>
          <w:lang w:val="zh-CN"/>
        </w:rPr>
        <w:t>0个“有效”往返，供潜在投标供应商投标报价时参考；</w:t>
      </w:r>
    </w:p>
    <w:p w14:paraId="180520CC">
      <w:pPr>
        <w:spacing w:line="46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5.投标人或下属子公司拥有柴油、汽油、电动或LNG（燃气车)</w:t>
      </w:r>
      <w:r>
        <w:rPr>
          <w:rFonts w:hint="eastAsia" w:ascii="宋体" w:hAnsi="宋体" w:cs="宋体"/>
          <w:color w:val="000000"/>
          <w:kern w:val="0"/>
          <w:sz w:val="24"/>
        </w:rPr>
        <w:t>49</w:t>
      </w:r>
      <w:r>
        <w:rPr>
          <w:rFonts w:hint="eastAsia" w:ascii="宋体" w:hAnsi="宋体" w:cs="宋体"/>
          <w:color w:val="000000"/>
          <w:kern w:val="0"/>
          <w:sz w:val="24"/>
          <w:lang w:val="zh-CN"/>
        </w:rPr>
        <w:t>座及以上大型普通客车（车辆配置空调、暖风等），品牌为金龙、宇通、大宇等同级别车不少于</w:t>
      </w:r>
      <w:r>
        <w:rPr>
          <w:rFonts w:hint="eastAsia" w:ascii="宋体" w:hAnsi="宋体" w:cs="宋体"/>
          <w:color w:val="000000"/>
          <w:kern w:val="0"/>
          <w:sz w:val="24"/>
        </w:rPr>
        <w:t>4</w:t>
      </w:r>
      <w:r>
        <w:rPr>
          <w:rFonts w:hint="eastAsia" w:ascii="宋体" w:hAnsi="宋体" w:cs="宋体"/>
          <w:color w:val="000000"/>
          <w:kern w:val="0"/>
          <w:sz w:val="24"/>
          <w:lang w:val="zh-CN"/>
        </w:rPr>
        <w:t>辆（含）；</w:t>
      </w:r>
    </w:p>
    <w:p w14:paraId="3BCAC16B">
      <w:pPr>
        <w:tabs>
          <w:tab w:val="left" w:pos="0"/>
        </w:tabs>
        <w:spacing w:line="440" w:lineRule="exact"/>
        <w:ind w:firstLine="482" w:firstLineChars="200"/>
        <w:rPr>
          <w:rFonts w:ascii="宋体" w:hAnsi="宋体" w:cs="宋体"/>
          <w:b/>
          <w:bCs/>
          <w:color w:val="000000"/>
          <w:kern w:val="0"/>
          <w:sz w:val="24"/>
          <w:lang w:val="zh-CN"/>
        </w:rPr>
      </w:pPr>
      <w:r>
        <w:rPr>
          <w:rFonts w:hint="eastAsia" w:ascii="宋体" w:hAnsi="宋体" w:cs="宋体"/>
          <w:b/>
          <w:bCs/>
          <w:color w:val="000000"/>
          <w:kern w:val="0"/>
          <w:sz w:val="24"/>
        </w:rPr>
        <w:t>二</w:t>
      </w:r>
      <w:r>
        <w:rPr>
          <w:rFonts w:hint="eastAsia" w:ascii="宋体" w:hAnsi="宋体" w:cs="宋体"/>
          <w:b/>
          <w:bCs/>
          <w:color w:val="000000"/>
          <w:kern w:val="0"/>
          <w:sz w:val="24"/>
          <w:lang w:val="zh-CN"/>
        </w:rPr>
        <w:t>、合同主要条款</w:t>
      </w:r>
    </w:p>
    <w:p w14:paraId="5FF6BEA9">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1、严格遵守国家法律、法规和相关规定，诚实、守信，合法经营。</w:t>
      </w:r>
    </w:p>
    <w:p w14:paraId="0B20E7D0">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2、保证所提供的租赁车辆车况良好，具备履行协议的能力，确保行车安全；车辆应购买乘客座位险、商业三责险、司机意外险以及不记免赔等必要的各类保险；</w:t>
      </w:r>
    </w:p>
    <w:p w14:paraId="57017AB7">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3、派车驾驶员、车辆等信息一经确定后，用车服务期间驾驶员、车辆不得随意更换，将派遣车辆和司机的相关资质材料、人员信息报学校备案。学校根据出租方提供的材料进行审核和日常抽查，发现不按提供信息派遣车辆和司机的按出租方责任事故进行处理，扣除履约保证金；</w:t>
      </w:r>
    </w:p>
    <w:p w14:paraId="2FFE498A">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4、租赁车辆的使用由出租方司机负责，其他人员无权驾驶所租车辆，否则后果由出租方负责。</w:t>
      </w:r>
    </w:p>
    <w:p w14:paraId="34792A02">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5、出租方司机在工作期间应严格遵守国家各项法律法规，并承担由于违章、肇事、违法等行为所产生的全部责任及经济损失；</w:t>
      </w:r>
    </w:p>
    <w:p w14:paraId="71CD9025">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6、出租方司机在工作期间要按照国家有关规定文明开车，如遇交通事故、被盗抢等，一切后果由出租方负责，学校将视情况每次扣除出租方1000元以上2000元以下履约保证金，履约保证金不足的在租车费中扣除；</w:t>
      </w:r>
    </w:p>
    <w:p w14:paraId="044C4480">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7、出租方须保证发车准时，优质服务。由于出租方原因耽误学校出车时间、到达时间或驾驶员服务态度差，对学校的工作造成了严重影响，一切后果由出租方负责，学校将视情况每次扣除出租方1000元以上2000元以下履约保证金，履约保证金不足的在租车费中扣除。被学校扣除三次及以上费用的，终止与出租方的合同，扣除所有剩余履约保证金，对学校产生经济及社会影响的追究其经济和法律责任；</w:t>
      </w:r>
    </w:p>
    <w:p w14:paraId="16629322">
      <w:pPr>
        <w:tabs>
          <w:tab w:val="left" w:pos="0"/>
        </w:tabs>
        <w:spacing w:line="440" w:lineRule="exact"/>
        <w:ind w:firstLine="480" w:firstLineChars="200"/>
        <w:rPr>
          <w:rFonts w:ascii="宋体" w:hAnsi="宋体" w:cs="宋体"/>
          <w:color w:val="000000"/>
          <w:kern w:val="0"/>
          <w:sz w:val="24"/>
          <w:lang w:val="zh-CN"/>
        </w:rPr>
      </w:pPr>
      <w:r>
        <w:rPr>
          <w:rFonts w:hint="eastAsia" w:ascii="宋体" w:hAnsi="宋体" w:cs="宋体"/>
          <w:color w:val="000000"/>
          <w:kern w:val="0"/>
          <w:sz w:val="24"/>
          <w:lang w:val="zh-CN"/>
        </w:rPr>
        <w:t>8、本次采购项目服务期暂定3年，合同一年一签。合同期满，服务质量好，无车辆安全事故等，经考核合格，在价格等所有条款不发生变化的情况下，经学校同意可续签合同，考核不合格者不再续签。</w:t>
      </w:r>
    </w:p>
    <w:p w14:paraId="623DCA79">
      <w:pPr>
        <w:tabs>
          <w:tab w:val="left" w:pos="0"/>
        </w:tabs>
        <w:spacing w:line="440" w:lineRule="exact"/>
        <w:ind w:firstLine="482" w:firstLineChars="200"/>
        <w:rPr>
          <w:rFonts w:ascii="宋体" w:hAnsi="宋体" w:cs="宋体"/>
          <w:b/>
          <w:bCs/>
          <w:color w:val="000000"/>
          <w:kern w:val="0"/>
          <w:sz w:val="24"/>
          <w:lang w:val="zh-CN"/>
        </w:rPr>
      </w:pPr>
      <w:r>
        <w:rPr>
          <w:rFonts w:hint="eastAsia" w:ascii="宋体" w:hAnsi="宋体" w:cs="宋体"/>
          <w:b/>
          <w:bCs/>
          <w:color w:val="000000"/>
          <w:kern w:val="0"/>
          <w:sz w:val="24"/>
        </w:rPr>
        <w:t>三</w:t>
      </w:r>
      <w:r>
        <w:rPr>
          <w:rFonts w:hint="eastAsia" w:ascii="宋体" w:hAnsi="宋体" w:cs="宋体"/>
          <w:b/>
          <w:bCs/>
          <w:color w:val="000000"/>
          <w:kern w:val="0"/>
          <w:sz w:val="24"/>
          <w:lang w:val="zh-CN"/>
        </w:rPr>
        <w:t>、结算付款</w:t>
      </w:r>
    </w:p>
    <w:p w14:paraId="71DDEE4F">
      <w:pPr>
        <w:tabs>
          <w:tab w:val="left" w:pos="0"/>
        </w:tabs>
        <w:spacing w:line="460" w:lineRule="exact"/>
        <w:ind w:firstLine="480" w:firstLineChars="200"/>
        <w:rPr>
          <w:rFonts w:ascii="宋体" w:hAnsi="宋体" w:cs="宋体"/>
          <w:color w:val="000000"/>
          <w:kern w:val="0"/>
          <w:sz w:val="24"/>
          <w:lang w:val="zh-CN"/>
        </w:rPr>
      </w:pPr>
      <w:r>
        <w:rPr>
          <w:rFonts w:hint="eastAsia" w:ascii="宋体" w:hAnsi="宋体" w:cs="宋体"/>
          <w:color w:val="000000"/>
          <w:kern w:val="0"/>
          <w:sz w:val="24"/>
        </w:rPr>
        <w:t>1.</w:t>
      </w:r>
      <w:r>
        <w:rPr>
          <w:rFonts w:hint="eastAsia" w:ascii="宋体" w:hAnsi="宋体" w:cs="宋体"/>
          <w:color w:val="000000"/>
          <w:kern w:val="0"/>
          <w:sz w:val="24"/>
          <w:lang w:val="zh-CN"/>
        </w:rPr>
        <w:t>根据车辆租赁实际使用情况</w:t>
      </w:r>
      <w:r>
        <w:rPr>
          <w:rFonts w:hint="eastAsia" w:ascii="宋体" w:hAnsi="宋体" w:cs="宋体"/>
          <w:color w:val="000000"/>
          <w:kern w:val="0"/>
          <w:sz w:val="24"/>
        </w:rPr>
        <w:t>按实支付</w:t>
      </w:r>
      <w:r>
        <w:rPr>
          <w:rFonts w:hint="eastAsia" w:ascii="宋体" w:hAnsi="宋体" w:cs="宋体"/>
          <w:color w:val="000000"/>
          <w:kern w:val="0"/>
          <w:sz w:val="24"/>
          <w:lang w:val="zh-CN"/>
        </w:rPr>
        <w:t>。</w:t>
      </w:r>
    </w:p>
    <w:p w14:paraId="3FC9DC0B">
      <w:pPr>
        <w:adjustRightInd w:val="0"/>
        <w:snapToGrid w:val="0"/>
        <w:spacing w:line="46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rPr>
        <w:t>2.</w:t>
      </w:r>
      <w:r>
        <w:rPr>
          <w:rFonts w:hint="eastAsia" w:ascii="宋体" w:hAnsi="宋体" w:cs="宋体"/>
          <w:color w:val="000000"/>
          <w:kern w:val="0"/>
          <w:sz w:val="24"/>
          <w:lang w:val="zh-CN"/>
        </w:rPr>
        <w:t>付款时间：每月10号前与学校核对上月车辆使用次数，并出具合规发票，学校原则在25号前将上月账款结清。</w:t>
      </w:r>
    </w:p>
    <w:p w14:paraId="3113CCE5">
      <w:pPr>
        <w:tabs>
          <w:tab w:val="left" w:pos="0"/>
        </w:tabs>
        <w:spacing w:line="440" w:lineRule="exact"/>
        <w:ind w:firstLine="482" w:firstLineChars="200"/>
        <w:rPr>
          <w:rFonts w:ascii="宋体" w:hAnsi="宋体" w:cs="宋体"/>
          <w:b/>
          <w:bCs/>
          <w:color w:val="000000"/>
          <w:kern w:val="0"/>
          <w:sz w:val="24"/>
          <w:lang w:val="zh-CN"/>
        </w:rPr>
      </w:pPr>
      <w:r>
        <w:rPr>
          <w:rFonts w:hint="eastAsia" w:ascii="宋体" w:hAnsi="宋体" w:cs="宋体"/>
          <w:b/>
          <w:bCs/>
          <w:color w:val="000000"/>
          <w:kern w:val="0"/>
          <w:sz w:val="24"/>
        </w:rPr>
        <w:t>四</w:t>
      </w:r>
      <w:r>
        <w:rPr>
          <w:rFonts w:hint="eastAsia" w:ascii="宋体" w:hAnsi="宋体" w:cs="宋体"/>
          <w:b/>
          <w:bCs/>
          <w:color w:val="000000"/>
          <w:kern w:val="0"/>
          <w:sz w:val="24"/>
          <w:lang w:val="zh-CN"/>
        </w:rPr>
        <w:t>、履约保证金</w:t>
      </w:r>
    </w:p>
    <w:p w14:paraId="6082CB6C">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1.本项目成交后的履约保证</w:t>
      </w:r>
      <w:r>
        <w:rPr>
          <w:rFonts w:hint="eastAsia" w:ascii="宋体" w:hAnsi="宋体" w:cs="宋体"/>
          <w:color w:val="000000"/>
          <w:kern w:val="0"/>
          <w:sz w:val="24"/>
          <w:highlight w:val="none"/>
          <w:lang w:val="zh-CN"/>
        </w:rPr>
        <w:t>金</w:t>
      </w:r>
      <w:r>
        <w:rPr>
          <w:rFonts w:hint="eastAsia" w:ascii="宋体" w:hAnsi="宋体" w:cs="宋体"/>
          <w:color w:val="000000"/>
          <w:kern w:val="0"/>
          <w:sz w:val="24"/>
          <w:highlight w:val="none"/>
          <w:u w:val="single"/>
          <w:lang w:val="en-US" w:eastAsia="zh-CN"/>
        </w:rPr>
        <w:t>1.5</w:t>
      </w:r>
      <w:r>
        <w:rPr>
          <w:rFonts w:hint="eastAsia" w:ascii="宋体" w:hAnsi="宋体" w:cs="宋体"/>
          <w:color w:val="000000"/>
          <w:kern w:val="0"/>
          <w:sz w:val="24"/>
          <w:highlight w:val="none"/>
          <w:u w:val="single"/>
        </w:rPr>
        <w:t>万元</w:t>
      </w:r>
      <w:r>
        <w:rPr>
          <w:rFonts w:hint="eastAsia" w:ascii="宋体" w:hAnsi="宋体" w:cs="宋体"/>
          <w:color w:val="000000"/>
          <w:kern w:val="0"/>
          <w:sz w:val="24"/>
          <w:highlight w:val="none"/>
          <w:lang w:val="zh-CN"/>
        </w:rPr>
        <w:t>。</w:t>
      </w:r>
      <w:r>
        <w:rPr>
          <w:rFonts w:hint="eastAsia" w:ascii="宋体" w:hAnsi="宋体" w:cs="宋体"/>
          <w:color w:val="000000"/>
          <w:kern w:val="0"/>
          <w:sz w:val="24"/>
          <w:lang w:val="zh-CN"/>
        </w:rPr>
        <w:t xml:space="preserve"> </w:t>
      </w:r>
    </w:p>
    <w:p w14:paraId="284C4847">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2.成交供应商的履约保证金须在成交通知书发出之日起至合同签订前汇入采购单位账户，成交供应商凭成交通知书与采购单位签订合同。超期或未有协商，则视为自动放弃成交资格。</w:t>
      </w:r>
    </w:p>
    <w:p w14:paraId="1AEBDEC4">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3.成交供应商全部履约合同义务，采购人一次性无息退还履约保证金；</w:t>
      </w:r>
    </w:p>
    <w:p w14:paraId="7D018F9C">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4.发生以下情况的，履约保证金不予退还或部分退还：</w:t>
      </w:r>
    </w:p>
    <w:p w14:paraId="1B4A745C">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4.1签订合同后，成交供应商不履行合同义务的，采购单位有权全额扣除履约保证金；</w:t>
      </w:r>
    </w:p>
    <w:p w14:paraId="3AA145C2">
      <w:pPr>
        <w:adjustRightInd w:val="0"/>
        <w:snapToGrid w:val="0"/>
        <w:spacing w:line="500" w:lineRule="exact"/>
        <w:ind w:firstLine="480" w:firstLineChars="200"/>
        <w:jc w:val="left"/>
        <w:outlineLvl w:val="0"/>
        <w:rPr>
          <w:rFonts w:ascii="宋体" w:hAnsi="宋体" w:cs="宋体"/>
          <w:color w:val="000000"/>
          <w:kern w:val="0"/>
          <w:sz w:val="24"/>
          <w:lang w:val="zh-CN"/>
        </w:rPr>
      </w:pPr>
      <w:r>
        <w:rPr>
          <w:rFonts w:hint="eastAsia" w:ascii="宋体" w:hAnsi="宋体" w:cs="宋体"/>
          <w:color w:val="000000"/>
          <w:kern w:val="0"/>
          <w:sz w:val="24"/>
          <w:lang w:val="zh-CN"/>
        </w:rPr>
        <w:t>4.2成交供应商在履约过程中发生违约行为，给采购单位造成损失的，采购单位有权在成交供应商缴纳的履约保证金中予以扣款，以弥补采购单位经济损失，不足的成交供应商另外补齐。</w:t>
      </w:r>
    </w:p>
    <w:p w14:paraId="7639374E">
      <w:pPr>
        <w:widowControl/>
        <w:spacing w:line="460" w:lineRule="exact"/>
        <w:ind w:firstLine="480" w:firstLineChars="200"/>
        <w:jc w:val="left"/>
        <w:rPr>
          <w:rFonts w:ascii="宋体" w:hAnsi="宋体" w:cs="宋体"/>
          <w:sz w:val="24"/>
        </w:rPr>
      </w:pPr>
    </w:p>
    <w:p w14:paraId="7AE917CD">
      <w:pPr>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br w:type="page"/>
      </w:r>
    </w:p>
    <w:p w14:paraId="1FE16FAC">
      <w:pPr>
        <w:adjustRightInd w:val="0"/>
        <w:snapToGrid w:val="0"/>
        <w:spacing w:line="500" w:lineRule="exact"/>
        <w:jc w:val="center"/>
        <w:outlineLvl w:val="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第四部分  开标和评标</w:t>
      </w:r>
    </w:p>
    <w:p w14:paraId="711A3EA9">
      <w:pPr>
        <w:pStyle w:val="82"/>
        <w:snapToGrid w:val="0"/>
        <w:spacing w:before="0" w:after="0" w:line="460" w:lineRule="exact"/>
        <w:ind w:left="0" w:right="0" w:firstLine="482" w:firstLineChars="200"/>
        <w:jc w:val="left"/>
        <w:rPr>
          <w:rFonts w:ascii="宋体" w:hAnsi="宋体" w:cs="宋体"/>
          <w:b/>
          <w:color w:val="000000" w:themeColor="text1"/>
          <w:kern w:val="2"/>
          <w14:textFill>
            <w14:solidFill>
              <w14:schemeClr w14:val="tx1"/>
            </w14:solidFill>
          </w14:textFill>
        </w:rPr>
      </w:pPr>
      <w:r>
        <w:rPr>
          <w:rFonts w:hint="eastAsia" w:ascii="宋体" w:hAnsi="宋体" w:cs="宋体"/>
          <w:b/>
          <w:color w:val="000000" w:themeColor="text1"/>
          <w:kern w:val="2"/>
          <w14:textFill>
            <w14:solidFill>
              <w14:schemeClr w14:val="tx1"/>
            </w14:solidFill>
          </w14:textFill>
        </w:rPr>
        <w:t>一、开标</w:t>
      </w:r>
    </w:p>
    <w:p w14:paraId="561D25C3">
      <w:pPr>
        <w:tabs>
          <w:tab w:val="left" w:pos="3585"/>
        </w:tabs>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见面开标模式：投标人在指定地点参加开标会。</w:t>
      </w:r>
    </w:p>
    <w:p w14:paraId="7F49FB5A">
      <w:pPr>
        <w:pStyle w:val="82"/>
        <w:snapToGrid w:val="0"/>
        <w:spacing w:before="0" w:after="0" w:line="460" w:lineRule="exact"/>
        <w:ind w:left="0" w:right="0" w:firstLine="482" w:firstLineChars="200"/>
        <w:jc w:val="left"/>
        <w:rPr>
          <w:rFonts w:ascii="宋体" w:hAnsi="宋体" w:cs="宋体"/>
          <w:b/>
          <w:color w:val="000000" w:themeColor="text1"/>
          <w:kern w:val="2"/>
          <w14:textFill>
            <w14:solidFill>
              <w14:schemeClr w14:val="tx1"/>
            </w14:solidFill>
          </w14:textFill>
        </w:rPr>
      </w:pPr>
      <w:r>
        <w:rPr>
          <w:rFonts w:hint="eastAsia" w:ascii="宋体" w:hAnsi="宋体" w:cs="宋体"/>
          <w:b/>
          <w:color w:val="000000" w:themeColor="text1"/>
          <w:kern w:val="2"/>
          <w14:textFill>
            <w14:solidFill>
              <w14:schemeClr w14:val="tx1"/>
            </w14:solidFill>
          </w14:textFill>
        </w:rPr>
        <w:t>二、评标流程和评标标准</w:t>
      </w:r>
    </w:p>
    <w:p w14:paraId="074BCFD5">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采用综合评分法。分资格审查、商务技术标、价格标、三部分评审，总分值为100分，加分和减分因素除外。</w:t>
      </w:r>
    </w:p>
    <w:p w14:paraId="42716CE4">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首先由评标委员会对投标人资格进行审查，然后评标委员会对符合资格的投标人的投标文件进行符合性审查，最后评标委员会对符合性审查合格的投标文件商务、技术部分进行评估，综合比较与评价。待商务技术标评审结束后，进行价格标的开启、评审。投标人商务、技术部分和价格部分的合计分值，为该投标人的评标总得分。</w:t>
      </w:r>
    </w:p>
    <w:p w14:paraId="67DB7921">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评标结果按评审后得分由高到低顺序排列。得分相同的，按投标报价由低到高顺序排列。得分且投标报价相同的并列。</w:t>
      </w:r>
    </w:p>
    <w:p w14:paraId="23B706CE">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评委在认真审阅投标文件的基础上，根据各投标文件的响应程度独立评判，不得统一打分。</w:t>
      </w:r>
    </w:p>
    <w:p w14:paraId="73277DF1">
      <w:pPr>
        <w:adjustRightInd w:val="0"/>
        <w:snapToGrid w:val="0"/>
        <w:spacing w:line="4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1.招标人（代表）对投标人资格进行审查。</w:t>
      </w:r>
    </w:p>
    <w:p w14:paraId="4F47E30C">
      <w:pPr>
        <w:pStyle w:val="86"/>
        <w:adjustRightInd w:val="0"/>
        <w:snapToGrid w:val="0"/>
        <w:spacing w:line="460" w:lineRule="exact"/>
        <w:ind w:firstLine="480" w:firstLineChars="200"/>
        <w:rPr>
          <w:rFonts w:ascii="宋体" w:eastAsia="宋体" w:cs="宋体"/>
          <w:color w:val="000000" w:themeColor="text1"/>
          <w:sz w:val="24"/>
          <w:szCs w:val="24"/>
          <w14:textFill>
            <w14:solidFill>
              <w14:schemeClr w14:val="tx1"/>
            </w14:solidFill>
          </w14:textFill>
        </w:rPr>
      </w:pPr>
      <w:r>
        <w:rPr>
          <w:rFonts w:hint="eastAsia" w:ascii="宋体" w:eastAsia="宋体" w:cs="宋体"/>
          <w:color w:val="000000" w:themeColor="text1"/>
          <w:sz w:val="24"/>
          <w:szCs w:val="24"/>
          <w14:textFill>
            <w14:solidFill>
              <w14:schemeClr w14:val="tx1"/>
            </w14:solidFill>
          </w14:textFill>
        </w:rPr>
        <w:t>投标人资格不合格的，其投标文件判定为无效投标文件。</w:t>
      </w:r>
    </w:p>
    <w:p w14:paraId="5BE1B9D4">
      <w:pPr>
        <w:adjustRightInd w:val="0"/>
        <w:snapToGrid w:val="0"/>
        <w:spacing w:line="460" w:lineRule="exact"/>
        <w:ind w:firstLine="482" w:firstLineChars="200"/>
        <w:jc w:val="lef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2.评标委员会对符合资格投标人的投标文件进行符合性审查。</w:t>
      </w:r>
    </w:p>
    <w:p w14:paraId="519395AF">
      <w:pPr>
        <w:pStyle w:val="86"/>
        <w:adjustRightInd w:val="0"/>
        <w:snapToGrid w:val="0"/>
        <w:spacing w:line="460" w:lineRule="exact"/>
        <w:ind w:firstLine="480" w:firstLineChars="200"/>
        <w:rPr>
          <w:rFonts w:ascii="宋体" w:eastAsia="宋体" w:cs="宋体"/>
          <w:color w:val="000000" w:themeColor="text1"/>
          <w:sz w:val="24"/>
          <w:szCs w:val="24"/>
          <w14:textFill>
            <w14:solidFill>
              <w14:schemeClr w14:val="tx1"/>
            </w14:solidFill>
          </w14:textFill>
        </w:rPr>
      </w:pPr>
      <w:r>
        <w:rPr>
          <w:rFonts w:hint="eastAsia" w:ascii="宋体" w:eastAsia="宋体" w:cs="宋体"/>
          <w:color w:val="000000" w:themeColor="text1"/>
          <w:sz w:val="24"/>
          <w:szCs w:val="24"/>
          <w14:textFill>
            <w14:solidFill>
              <w14:schemeClr w14:val="tx1"/>
            </w14:solidFill>
          </w14:textFill>
        </w:rPr>
        <w:t xml:space="preserve">未通过符合性审查的投标文件，将被判为不满足招标文件实质性要求。 </w:t>
      </w:r>
    </w:p>
    <w:p w14:paraId="59E4EC60">
      <w:pPr>
        <w:adjustRightInd w:val="0"/>
        <w:snapToGrid w:val="0"/>
        <w:spacing w:line="460" w:lineRule="exact"/>
        <w:ind w:firstLine="482" w:firstLineChars="200"/>
        <w:jc w:val="left"/>
        <w:rPr>
          <w:rFonts w:ascii="宋体" w:hAnsi="宋体" w:cs="宋体"/>
          <w:b/>
          <w:bCs/>
          <w:color w:val="000000" w:themeColor="text1"/>
          <w:sz w:val="24"/>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3.商务技术分：</w:t>
      </w:r>
      <w:r>
        <w:rPr>
          <w:rFonts w:hint="eastAsia" w:ascii="宋体" w:hAnsi="宋体" w:cs="宋体"/>
          <w:b/>
          <w:bCs/>
          <w:color w:val="000000" w:themeColor="text1"/>
          <w:sz w:val="24"/>
          <w:highlight w:val="none"/>
          <w14:textFill>
            <w14:solidFill>
              <w14:schemeClr w14:val="tx1"/>
            </w14:solidFill>
          </w14:textFill>
        </w:rPr>
        <w:t>（</w:t>
      </w:r>
      <w:r>
        <w:rPr>
          <w:rFonts w:hint="eastAsia" w:ascii="宋体" w:hAnsi="宋体" w:cs="宋体"/>
          <w:b/>
          <w:bCs/>
          <w:color w:val="000000" w:themeColor="text1"/>
          <w:sz w:val="24"/>
          <w:highlight w:val="none"/>
          <w:lang w:val="en-US" w:eastAsia="zh-CN"/>
          <w14:textFill>
            <w14:solidFill>
              <w14:schemeClr w14:val="tx1"/>
            </w14:solidFill>
          </w14:textFill>
        </w:rPr>
        <w:t>60</w:t>
      </w:r>
      <w:r>
        <w:rPr>
          <w:rFonts w:hint="eastAsia" w:ascii="宋体" w:hAnsi="宋体" w:cs="宋体"/>
          <w:b/>
          <w:bCs/>
          <w:color w:val="000000" w:themeColor="text1"/>
          <w:sz w:val="24"/>
          <w:highlight w:val="none"/>
          <w14:textFill>
            <w14:solidFill>
              <w14:schemeClr w14:val="tx1"/>
            </w14:solidFill>
          </w14:textFill>
        </w:rPr>
        <w:t>分）</w:t>
      </w:r>
    </w:p>
    <w:tbl>
      <w:tblPr>
        <w:tblStyle w:val="37"/>
        <w:tblW w:w="9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1216"/>
        <w:gridCol w:w="7672"/>
        <w:gridCol w:w="529"/>
      </w:tblGrid>
      <w:tr w14:paraId="01C7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jc w:val="center"/>
        </w:trPr>
        <w:tc>
          <w:tcPr>
            <w:tcW w:w="1216" w:type="dxa"/>
            <w:tcBorders>
              <w:tl2br w:val="nil"/>
              <w:tr2bl w:val="nil"/>
            </w:tcBorders>
            <w:shd w:val="clear" w:color="auto" w:fill="auto"/>
            <w:tcMar>
              <w:top w:w="57" w:type="dxa"/>
              <w:left w:w="57" w:type="dxa"/>
              <w:bottom w:w="57" w:type="dxa"/>
              <w:right w:w="57" w:type="dxa"/>
            </w:tcMar>
            <w:vAlign w:val="center"/>
          </w:tcPr>
          <w:p w14:paraId="141F2532">
            <w:pPr>
              <w:widowControl/>
              <w:spacing w:line="300" w:lineRule="exact"/>
              <w:jc w:val="center"/>
              <w:rPr>
                <w:b/>
                <w:bCs/>
              </w:rPr>
            </w:pPr>
            <w:r>
              <w:rPr>
                <w:rFonts w:ascii="宋体" w:hAnsi="宋体" w:cs="宋体"/>
                <w:b/>
                <w:bCs/>
                <w:kern w:val="0"/>
                <w:sz w:val="24"/>
                <w:lang w:bidi="ar"/>
              </w:rPr>
              <w:t>评分因素</w:t>
            </w:r>
          </w:p>
        </w:tc>
        <w:tc>
          <w:tcPr>
            <w:tcW w:w="7672" w:type="dxa"/>
            <w:tcBorders>
              <w:tl2br w:val="nil"/>
              <w:tr2bl w:val="nil"/>
            </w:tcBorders>
            <w:shd w:val="clear" w:color="auto" w:fill="auto"/>
            <w:tcMar>
              <w:top w:w="57" w:type="dxa"/>
              <w:left w:w="57" w:type="dxa"/>
              <w:bottom w:w="57" w:type="dxa"/>
              <w:right w:w="57" w:type="dxa"/>
            </w:tcMar>
            <w:vAlign w:val="center"/>
          </w:tcPr>
          <w:p w14:paraId="64FCD7DA">
            <w:pPr>
              <w:widowControl/>
              <w:spacing w:line="300" w:lineRule="exact"/>
              <w:jc w:val="center"/>
              <w:rPr>
                <w:b/>
                <w:bCs/>
              </w:rPr>
            </w:pPr>
            <w:r>
              <w:rPr>
                <w:rFonts w:ascii="宋体" w:hAnsi="宋体" w:cs="宋体"/>
                <w:b/>
                <w:bCs/>
                <w:kern w:val="0"/>
                <w:sz w:val="24"/>
                <w:lang w:bidi="ar"/>
              </w:rPr>
              <w:t>评审细则</w:t>
            </w:r>
          </w:p>
        </w:tc>
        <w:tc>
          <w:tcPr>
            <w:tcW w:w="529" w:type="dxa"/>
            <w:tcBorders>
              <w:tl2br w:val="nil"/>
              <w:tr2bl w:val="nil"/>
            </w:tcBorders>
            <w:shd w:val="clear" w:color="auto" w:fill="auto"/>
            <w:tcMar>
              <w:top w:w="57" w:type="dxa"/>
              <w:left w:w="57" w:type="dxa"/>
              <w:bottom w:w="57" w:type="dxa"/>
              <w:right w:w="57" w:type="dxa"/>
            </w:tcMar>
            <w:vAlign w:val="center"/>
          </w:tcPr>
          <w:p w14:paraId="3FFBE673">
            <w:pPr>
              <w:widowControl/>
              <w:spacing w:line="300" w:lineRule="exact"/>
              <w:jc w:val="center"/>
              <w:rPr>
                <w:b/>
                <w:bCs/>
              </w:rPr>
            </w:pPr>
            <w:r>
              <w:rPr>
                <w:rFonts w:ascii="宋体" w:hAnsi="宋体" w:cs="宋体"/>
                <w:b/>
                <w:bCs/>
                <w:kern w:val="0"/>
                <w:sz w:val="24"/>
                <w:lang w:bidi="ar"/>
              </w:rPr>
              <w:t>分值</w:t>
            </w:r>
          </w:p>
        </w:tc>
      </w:tr>
      <w:tr w14:paraId="5AF5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429638E4">
            <w:pPr>
              <w:widowControl/>
              <w:spacing w:line="300" w:lineRule="exact"/>
              <w:jc w:val="center"/>
              <w:rPr>
                <w:rFonts w:ascii="宋体" w:hAnsi="宋体" w:cs="宋体"/>
                <w:kern w:val="0"/>
                <w:sz w:val="24"/>
                <w:highlight w:val="none"/>
                <w:lang w:bidi="ar"/>
              </w:rPr>
            </w:pPr>
            <w:r>
              <w:rPr>
                <w:rFonts w:ascii="宋体" w:hAnsi="宋体" w:cs="宋体"/>
                <w:kern w:val="0"/>
                <w:sz w:val="24"/>
                <w:highlight w:val="none"/>
                <w:lang w:bidi="ar"/>
              </w:rPr>
              <w:t>企业履约实力</w:t>
            </w:r>
          </w:p>
          <w:p w14:paraId="36763949">
            <w:pPr>
              <w:widowControl/>
              <w:spacing w:line="300" w:lineRule="exact"/>
              <w:jc w:val="center"/>
              <w:rPr>
                <w:sz w:val="24"/>
                <w:highlight w:val="none"/>
              </w:rPr>
            </w:pPr>
            <w:r>
              <w:rPr>
                <w:rFonts w:ascii="宋体" w:hAnsi="宋体" w:cs="宋体"/>
                <w:kern w:val="0"/>
                <w:sz w:val="24"/>
                <w:highlight w:val="none"/>
                <w:lang w:bidi="ar"/>
              </w:rPr>
              <w:t>（</w:t>
            </w:r>
            <w:r>
              <w:rPr>
                <w:rFonts w:hint="eastAsia" w:ascii="宋体" w:hAnsi="宋体" w:cs="宋体"/>
                <w:kern w:val="0"/>
                <w:sz w:val="24"/>
                <w:highlight w:val="none"/>
                <w:lang w:val="en-US" w:eastAsia="zh-CN" w:bidi="ar"/>
              </w:rPr>
              <w:t>6</w:t>
            </w:r>
            <w:r>
              <w:rPr>
                <w:rFonts w:ascii="宋体" w:hAnsi="宋体" w:cs="宋体"/>
                <w:kern w:val="0"/>
                <w:sz w:val="24"/>
                <w:highlight w:val="none"/>
                <w:lang w:bidi="ar"/>
              </w:rPr>
              <w:t>分）</w:t>
            </w:r>
          </w:p>
        </w:tc>
        <w:tc>
          <w:tcPr>
            <w:tcW w:w="7672" w:type="dxa"/>
            <w:tcBorders>
              <w:tl2br w:val="nil"/>
              <w:tr2bl w:val="nil"/>
            </w:tcBorders>
            <w:shd w:val="clear" w:color="auto" w:fill="auto"/>
            <w:tcMar>
              <w:top w:w="57" w:type="dxa"/>
              <w:left w:w="57" w:type="dxa"/>
              <w:bottom w:w="57" w:type="dxa"/>
              <w:right w:w="57" w:type="dxa"/>
            </w:tcMar>
            <w:vAlign w:val="center"/>
          </w:tcPr>
          <w:p w14:paraId="223C1289">
            <w:pPr>
              <w:widowControl/>
              <w:spacing w:line="300" w:lineRule="exact"/>
              <w:jc w:val="left"/>
              <w:rPr>
                <w:rFonts w:ascii="宋体" w:hAnsi="宋体" w:cs="宋体"/>
                <w:kern w:val="0"/>
                <w:sz w:val="24"/>
                <w:highlight w:val="none"/>
                <w:lang w:bidi="ar"/>
              </w:rPr>
            </w:pPr>
            <w:r>
              <w:rPr>
                <w:rFonts w:ascii="宋体" w:hAnsi="宋体" w:cs="宋体"/>
                <w:kern w:val="0"/>
                <w:sz w:val="24"/>
                <w:highlight w:val="none"/>
                <w:lang w:bidi="ar"/>
              </w:rPr>
              <w:t>1、具备有效的 ISO9001 质量管理体系认证证书，得 2 分；</w:t>
            </w:r>
          </w:p>
          <w:p w14:paraId="2AD88B37">
            <w:pPr>
              <w:widowControl/>
              <w:spacing w:line="300" w:lineRule="exact"/>
              <w:jc w:val="left"/>
              <w:rPr>
                <w:rFonts w:ascii="宋体" w:hAnsi="宋体" w:cs="宋体"/>
                <w:kern w:val="0"/>
                <w:sz w:val="24"/>
                <w:highlight w:val="none"/>
                <w:lang w:bidi="ar"/>
              </w:rPr>
            </w:pPr>
            <w:r>
              <w:rPr>
                <w:rFonts w:ascii="宋体" w:hAnsi="宋体" w:cs="宋体"/>
                <w:kern w:val="0"/>
                <w:sz w:val="24"/>
                <w:highlight w:val="none"/>
                <w:lang w:bidi="ar"/>
              </w:rPr>
              <w:t>2、具备有效的 ISO45001 职业健康安全管理体系认证证书，得 2 分；</w:t>
            </w:r>
          </w:p>
          <w:p w14:paraId="6807942B">
            <w:pPr>
              <w:widowControl/>
              <w:spacing w:line="300" w:lineRule="exact"/>
              <w:jc w:val="left"/>
              <w:rPr>
                <w:sz w:val="24"/>
                <w:highlight w:val="none"/>
              </w:rPr>
            </w:pPr>
            <w:r>
              <w:rPr>
                <w:rFonts w:ascii="宋体" w:hAnsi="宋体" w:cs="宋体"/>
                <w:kern w:val="0"/>
                <w:sz w:val="24"/>
                <w:highlight w:val="none"/>
                <w:lang w:bidi="ar"/>
              </w:rPr>
              <w:t>3、具备有效的 ISO14001 环境管理体系认证证书，得 2 分</w:t>
            </w:r>
          </w:p>
        </w:tc>
        <w:tc>
          <w:tcPr>
            <w:tcW w:w="529" w:type="dxa"/>
            <w:tcBorders>
              <w:tl2br w:val="nil"/>
              <w:tr2bl w:val="nil"/>
            </w:tcBorders>
            <w:shd w:val="clear" w:color="auto" w:fill="auto"/>
            <w:tcMar>
              <w:top w:w="57" w:type="dxa"/>
              <w:left w:w="57" w:type="dxa"/>
              <w:bottom w:w="57" w:type="dxa"/>
              <w:right w:w="57" w:type="dxa"/>
            </w:tcMar>
            <w:vAlign w:val="center"/>
          </w:tcPr>
          <w:p w14:paraId="4574FB94">
            <w:pPr>
              <w:widowControl/>
              <w:spacing w:line="300" w:lineRule="exact"/>
              <w:jc w:val="center"/>
              <w:rPr>
                <w:rFonts w:hint="eastAsia" w:eastAsia="宋体"/>
                <w:sz w:val="24"/>
                <w:lang w:eastAsia="zh-CN"/>
              </w:rPr>
            </w:pPr>
            <w:r>
              <w:rPr>
                <w:rFonts w:hint="eastAsia" w:ascii="宋体" w:hAnsi="宋体" w:cs="宋体"/>
                <w:kern w:val="0"/>
                <w:sz w:val="24"/>
                <w:lang w:val="en-US" w:eastAsia="zh-CN" w:bidi="ar"/>
              </w:rPr>
              <w:t>6</w:t>
            </w:r>
          </w:p>
        </w:tc>
      </w:tr>
      <w:tr w14:paraId="257B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35E8B4D9">
            <w:pPr>
              <w:widowControl/>
              <w:spacing w:line="300" w:lineRule="exact"/>
              <w:jc w:val="center"/>
              <w:rPr>
                <w:sz w:val="24"/>
                <w:highlight w:val="none"/>
              </w:rPr>
            </w:pPr>
            <w:r>
              <w:rPr>
                <w:rFonts w:ascii="宋体" w:hAnsi="宋体" w:cs="宋体"/>
                <w:kern w:val="0"/>
                <w:sz w:val="24"/>
                <w:highlight w:val="none"/>
                <w:lang w:bidi="ar"/>
              </w:rPr>
              <w:t>类似项目业绩（12 分）</w:t>
            </w:r>
          </w:p>
        </w:tc>
        <w:tc>
          <w:tcPr>
            <w:tcW w:w="7672" w:type="dxa"/>
            <w:tcBorders>
              <w:tl2br w:val="nil"/>
              <w:tr2bl w:val="nil"/>
            </w:tcBorders>
            <w:shd w:val="clear" w:color="auto" w:fill="auto"/>
            <w:tcMar>
              <w:top w:w="57" w:type="dxa"/>
              <w:left w:w="57" w:type="dxa"/>
              <w:bottom w:w="57" w:type="dxa"/>
              <w:right w:w="57" w:type="dxa"/>
            </w:tcMar>
            <w:vAlign w:val="center"/>
          </w:tcPr>
          <w:p w14:paraId="106622A7">
            <w:pPr>
              <w:widowControl/>
              <w:spacing w:line="300" w:lineRule="exact"/>
              <w:jc w:val="left"/>
              <w:rPr>
                <w:rFonts w:ascii="宋体" w:hAnsi="宋体" w:cs="宋体"/>
                <w:kern w:val="0"/>
                <w:sz w:val="24"/>
                <w:highlight w:val="none"/>
                <w:lang w:bidi="ar"/>
              </w:rPr>
            </w:pPr>
            <w:r>
              <w:rPr>
                <w:rFonts w:ascii="宋体" w:hAnsi="宋体" w:cs="宋体"/>
                <w:kern w:val="0"/>
                <w:sz w:val="24"/>
                <w:highlight w:val="none"/>
                <w:lang w:bidi="ar"/>
              </w:rPr>
              <w:t>自202</w:t>
            </w:r>
            <w:r>
              <w:rPr>
                <w:rFonts w:hint="eastAsia" w:ascii="宋体" w:hAnsi="宋体" w:cs="宋体"/>
                <w:kern w:val="0"/>
                <w:sz w:val="24"/>
                <w:highlight w:val="none"/>
                <w:lang w:val="en-US" w:eastAsia="zh-CN" w:bidi="ar"/>
              </w:rPr>
              <w:t>3年1月1日以来</w:t>
            </w:r>
            <w:r>
              <w:rPr>
                <w:rFonts w:ascii="宋体" w:hAnsi="宋体" w:cs="宋体"/>
                <w:kern w:val="0"/>
                <w:sz w:val="24"/>
                <w:highlight w:val="none"/>
                <w:lang w:bidi="ar"/>
              </w:rPr>
              <w:t>（以合同签订时间为准），投标人每提供1份通勤班车租赁服务已履约完成的项目业绩得 4 分，本项最高 12 分。</w:t>
            </w:r>
          </w:p>
          <w:p w14:paraId="2523EA62">
            <w:pPr>
              <w:widowControl/>
              <w:spacing w:line="300" w:lineRule="exact"/>
              <w:jc w:val="left"/>
              <w:rPr>
                <w:sz w:val="24"/>
                <w:highlight w:val="none"/>
              </w:rPr>
            </w:pPr>
            <w:r>
              <w:rPr>
                <w:rFonts w:ascii="宋体" w:hAnsi="宋体" w:cs="宋体"/>
                <w:kern w:val="0"/>
                <w:sz w:val="24"/>
                <w:highlight w:val="none"/>
                <w:lang w:bidi="ar"/>
              </w:rPr>
              <w:t>注：须提供合同关键页（首页、服务内容页、签字盖章页）复印件加盖公章；合同无法体现通勤班车服务内容的，可附加业主盖章证明材料</w:t>
            </w:r>
            <w:r>
              <w:rPr>
                <w:rFonts w:hint="eastAsia" w:ascii="宋体" w:hAnsi="宋体" w:cs="宋体"/>
                <w:kern w:val="0"/>
                <w:sz w:val="24"/>
                <w:highlight w:val="none"/>
                <w:lang w:eastAsia="zh-CN" w:bidi="ar"/>
              </w:rPr>
              <w:t>；</w:t>
            </w:r>
            <w:r>
              <w:rPr>
                <w:rFonts w:ascii="宋体" w:hAnsi="宋体" w:cs="宋体"/>
                <w:kern w:val="0"/>
                <w:sz w:val="24"/>
                <w:highlight w:val="none"/>
                <w:lang w:bidi="ar"/>
              </w:rPr>
              <w:t>转包、分包业绩不计分。</w:t>
            </w:r>
          </w:p>
        </w:tc>
        <w:tc>
          <w:tcPr>
            <w:tcW w:w="529" w:type="dxa"/>
            <w:tcBorders>
              <w:tl2br w:val="nil"/>
              <w:tr2bl w:val="nil"/>
            </w:tcBorders>
            <w:shd w:val="clear" w:color="auto" w:fill="auto"/>
            <w:tcMar>
              <w:top w:w="57" w:type="dxa"/>
              <w:left w:w="57" w:type="dxa"/>
              <w:bottom w:w="57" w:type="dxa"/>
              <w:right w:w="57" w:type="dxa"/>
            </w:tcMar>
            <w:vAlign w:val="center"/>
          </w:tcPr>
          <w:p w14:paraId="68DB90E8">
            <w:pPr>
              <w:widowControl/>
              <w:spacing w:line="300" w:lineRule="exact"/>
              <w:jc w:val="center"/>
              <w:rPr>
                <w:sz w:val="24"/>
              </w:rPr>
            </w:pPr>
            <w:r>
              <w:rPr>
                <w:rFonts w:ascii="宋体" w:hAnsi="宋体" w:cs="宋体"/>
                <w:kern w:val="0"/>
                <w:sz w:val="24"/>
                <w:lang w:bidi="ar"/>
              </w:rPr>
              <w:t>12</w:t>
            </w:r>
          </w:p>
        </w:tc>
      </w:tr>
      <w:tr w14:paraId="2873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508C1144">
            <w:pPr>
              <w:widowControl/>
              <w:spacing w:line="300" w:lineRule="exact"/>
              <w:jc w:val="center"/>
              <w:rPr>
                <w:sz w:val="24"/>
                <w:highlight w:val="none"/>
              </w:rPr>
            </w:pPr>
            <w:r>
              <w:rPr>
                <w:rFonts w:ascii="宋体" w:hAnsi="宋体" w:cs="宋体"/>
                <w:kern w:val="0"/>
                <w:sz w:val="24"/>
                <w:highlight w:val="none"/>
                <w:lang w:bidi="ar"/>
              </w:rPr>
              <w:t>拟投入车辆配置（12 分）</w:t>
            </w:r>
          </w:p>
        </w:tc>
        <w:tc>
          <w:tcPr>
            <w:tcW w:w="7672" w:type="dxa"/>
            <w:tcBorders>
              <w:tl2br w:val="nil"/>
              <w:tr2bl w:val="nil"/>
            </w:tcBorders>
            <w:shd w:val="clear" w:color="auto" w:fill="auto"/>
            <w:tcMar>
              <w:top w:w="57" w:type="dxa"/>
              <w:left w:w="57" w:type="dxa"/>
              <w:bottom w:w="57" w:type="dxa"/>
              <w:right w:w="57" w:type="dxa"/>
            </w:tcMar>
            <w:vAlign w:val="center"/>
          </w:tcPr>
          <w:p w14:paraId="5C16429E">
            <w:pPr>
              <w:widowControl/>
              <w:spacing w:line="300" w:lineRule="exact"/>
              <w:jc w:val="left"/>
              <w:rPr>
                <w:rFonts w:ascii="宋体" w:hAnsi="宋体" w:cs="宋体"/>
                <w:kern w:val="0"/>
                <w:sz w:val="24"/>
                <w:highlight w:val="none"/>
                <w:lang w:bidi="ar"/>
              </w:rPr>
            </w:pPr>
            <w:r>
              <w:rPr>
                <w:rFonts w:ascii="宋体" w:hAnsi="宋体" w:cs="宋体"/>
                <w:kern w:val="0"/>
                <w:sz w:val="24"/>
                <w:highlight w:val="none"/>
                <w:lang w:bidi="ar"/>
              </w:rPr>
              <w:t>针对本项目拟投入服务车辆进行评审：</w:t>
            </w:r>
          </w:p>
          <w:p w14:paraId="189D1E70">
            <w:pPr>
              <w:widowControl/>
              <w:numPr>
                <w:ilvl w:val="0"/>
                <w:numId w:val="2"/>
              </w:numPr>
              <w:spacing w:line="300" w:lineRule="exact"/>
              <w:jc w:val="left"/>
              <w:rPr>
                <w:rFonts w:ascii="宋体" w:hAnsi="宋体" w:cs="宋体"/>
                <w:kern w:val="0"/>
                <w:sz w:val="24"/>
                <w:highlight w:val="none"/>
                <w:lang w:bidi="ar"/>
              </w:rPr>
            </w:pPr>
            <w:r>
              <w:rPr>
                <w:rFonts w:ascii="宋体" w:hAnsi="宋体" w:cs="宋体"/>
                <w:kern w:val="0"/>
                <w:sz w:val="24"/>
                <w:highlight w:val="none"/>
                <w:lang w:bidi="ar"/>
              </w:rPr>
              <w:t>拟投入车辆均为2021</w:t>
            </w:r>
            <w:r>
              <w:rPr>
                <w:rFonts w:hint="eastAsia" w:ascii="宋体" w:hAnsi="宋体" w:cs="宋体"/>
                <w:kern w:val="0"/>
                <w:sz w:val="24"/>
                <w:highlight w:val="none"/>
                <w:lang w:eastAsia="zh-CN" w:bidi="ar"/>
              </w:rPr>
              <w:t>年</w:t>
            </w:r>
            <w:r>
              <w:rPr>
                <w:rFonts w:ascii="宋体" w:hAnsi="宋体" w:cs="宋体"/>
                <w:kern w:val="0"/>
                <w:sz w:val="24"/>
                <w:highlight w:val="none"/>
                <w:lang w:bidi="ar"/>
              </w:rPr>
              <w:t>09</w:t>
            </w:r>
            <w:r>
              <w:rPr>
                <w:rFonts w:hint="eastAsia" w:ascii="宋体" w:hAnsi="宋体" w:cs="宋体"/>
                <w:kern w:val="0"/>
                <w:sz w:val="24"/>
                <w:highlight w:val="none"/>
                <w:lang w:eastAsia="zh-CN" w:bidi="ar"/>
              </w:rPr>
              <w:t>月</w:t>
            </w:r>
            <w:r>
              <w:rPr>
                <w:rFonts w:ascii="宋体" w:hAnsi="宋体" w:cs="宋体"/>
                <w:kern w:val="0"/>
                <w:sz w:val="24"/>
                <w:highlight w:val="none"/>
                <w:lang w:bidi="ar"/>
              </w:rPr>
              <w:t>01</w:t>
            </w:r>
            <w:r>
              <w:rPr>
                <w:rFonts w:hint="eastAsia" w:ascii="宋体" w:hAnsi="宋体" w:cs="宋体"/>
                <w:kern w:val="0"/>
                <w:sz w:val="24"/>
                <w:highlight w:val="none"/>
                <w:lang w:eastAsia="zh-CN" w:bidi="ar"/>
              </w:rPr>
              <w:t>日</w:t>
            </w:r>
            <w:r>
              <w:rPr>
                <w:rFonts w:ascii="宋体" w:hAnsi="宋体" w:cs="宋体"/>
                <w:kern w:val="0"/>
                <w:sz w:val="24"/>
                <w:highlight w:val="none"/>
                <w:lang w:bidi="ar"/>
              </w:rPr>
              <w:t>之后出厂、核载≥49 座大客车（金龙 /宇通 /大宇或同级别），</w:t>
            </w:r>
            <w:r>
              <w:rPr>
                <w:rFonts w:hint="eastAsia" w:ascii="宋体" w:hAnsi="宋体" w:cs="宋体"/>
                <w:kern w:val="0"/>
                <w:sz w:val="24"/>
                <w:highlight w:val="none"/>
                <w:lang w:eastAsia="zh-CN" w:bidi="ar"/>
              </w:rPr>
              <w:t>在</w:t>
            </w:r>
            <w:r>
              <w:rPr>
                <w:rFonts w:hint="eastAsia" w:ascii="宋体" w:hAnsi="宋体" w:cs="宋体"/>
                <w:kern w:val="0"/>
                <w:sz w:val="24"/>
                <w:highlight w:val="none"/>
                <w:lang w:val="en-US" w:eastAsia="zh-CN" w:bidi="ar"/>
              </w:rPr>
              <w:t>4辆基础上，</w:t>
            </w:r>
            <w:r>
              <w:rPr>
                <w:rFonts w:ascii="宋体" w:hAnsi="宋体" w:cs="宋体"/>
                <w:kern w:val="0"/>
                <w:sz w:val="24"/>
                <w:highlight w:val="none"/>
                <w:lang w:bidi="ar"/>
              </w:rPr>
              <w:t>每</w:t>
            </w:r>
            <w:r>
              <w:rPr>
                <w:rFonts w:hint="eastAsia" w:ascii="宋体" w:hAnsi="宋体" w:cs="宋体"/>
                <w:kern w:val="0"/>
                <w:sz w:val="24"/>
                <w:highlight w:val="none"/>
                <w:lang w:eastAsia="zh-CN" w:bidi="ar"/>
              </w:rPr>
              <w:t>增加</w:t>
            </w:r>
            <w:r>
              <w:rPr>
                <w:rFonts w:ascii="宋体" w:hAnsi="宋体" w:cs="宋体"/>
                <w:kern w:val="0"/>
                <w:sz w:val="24"/>
                <w:highlight w:val="none"/>
                <w:lang w:bidi="ar"/>
              </w:rPr>
              <w:t>1台得3分，最多9分；（提供机动车行驶证</w:t>
            </w:r>
            <w:r>
              <w:rPr>
                <w:rFonts w:hint="eastAsia" w:ascii="宋体" w:hAnsi="宋体" w:cs="宋体"/>
                <w:kern w:val="0"/>
                <w:sz w:val="24"/>
                <w:highlight w:val="none"/>
                <w:lang w:eastAsia="zh-CN" w:bidi="ar"/>
              </w:rPr>
              <w:t>复印件加盖公章</w:t>
            </w:r>
            <w:r>
              <w:rPr>
                <w:rFonts w:ascii="宋体" w:hAnsi="宋体" w:cs="宋体"/>
                <w:kern w:val="0"/>
                <w:sz w:val="24"/>
                <w:highlight w:val="none"/>
                <w:lang w:bidi="ar"/>
              </w:rPr>
              <w:t>）</w:t>
            </w:r>
            <w:r>
              <w:rPr>
                <w:rFonts w:hint="eastAsia" w:ascii="宋体" w:hAnsi="宋体" w:cs="宋体"/>
                <w:kern w:val="0"/>
                <w:sz w:val="24"/>
                <w:highlight w:val="none"/>
                <w:lang w:eastAsia="zh-CN" w:bidi="ar"/>
              </w:rPr>
              <w:t>。</w:t>
            </w:r>
          </w:p>
          <w:p w14:paraId="1213362A">
            <w:pPr>
              <w:widowControl/>
              <w:spacing w:line="300" w:lineRule="exact"/>
              <w:jc w:val="left"/>
              <w:rPr>
                <w:sz w:val="24"/>
                <w:highlight w:val="none"/>
              </w:rPr>
            </w:pPr>
            <w:r>
              <w:rPr>
                <w:rFonts w:ascii="宋体" w:hAnsi="宋体" w:cs="宋体"/>
                <w:kern w:val="0"/>
                <w:sz w:val="24"/>
                <w:highlight w:val="none"/>
                <w:lang w:bidi="ar"/>
              </w:rPr>
              <w:t>2、拟派车辆</w:t>
            </w:r>
            <w:r>
              <w:rPr>
                <w:rFonts w:hint="eastAsia" w:ascii="宋体" w:hAnsi="宋体" w:cs="宋体"/>
                <w:kern w:val="0"/>
                <w:sz w:val="24"/>
                <w:highlight w:val="none"/>
                <w:lang w:eastAsia="zh-CN" w:bidi="ar"/>
              </w:rPr>
              <w:t>（至少</w:t>
            </w:r>
            <w:r>
              <w:rPr>
                <w:rFonts w:hint="eastAsia" w:ascii="宋体" w:hAnsi="宋体" w:cs="宋体"/>
                <w:kern w:val="0"/>
                <w:sz w:val="24"/>
                <w:highlight w:val="none"/>
                <w:lang w:val="en-US" w:eastAsia="zh-CN" w:bidi="ar"/>
              </w:rPr>
              <w:t>4辆）</w:t>
            </w:r>
            <w:r>
              <w:rPr>
                <w:rFonts w:ascii="宋体" w:hAnsi="宋体" w:cs="宋体"/>
                <w:kern w:val="0"/>
                <w:sz w:val="24"/>
                <w:highlight w:val="none"/>
                <w:lang w:bidi="ar"/>
              </w:rPr>
              <w:t>全部足额投保乘客座位险、商业第三者责任险、司机意外险、不计免赔，提供保险单复印件</w:t>
            </w:r>
            <w:r>
              <w:rPr>
                <w:rFonts w:hint="eastAsia" w:ascii="宋体" w:hAnsi="宋体" w:cs="宋体"/>
                <w:kern w:val="0"/>
                <w:sz w:val="24"/>
                <w:highlight w:val="none"/>
                <w:lang w:eastAsia="zh-CN" w:bidi="ar"/>
              </w:rPr>
              <w:t>加盖公章</w:t>
            </w:r>
            <w:r>
              <w:rPr>
                <w:rFonts w:ascii="宋体" w:hAnsi="宋体" w:cs="宋体"/>
                <w:kern w:val="0"/>
                <w:sz w:val="24"/>
                <w:highlight w:val="none"/>
                <w:lang w:bidi="ar"/>
              </w:rPr>
              <w:t>，得3分；有1台未按要求投保本项不得分。</w:t>
            </w:r>
          </w:p>
        </w:tc>
        <w:tc>
          <w:tcPr>
            <w:tcW w:w="529" w:type="dxa"/>
            <w:tcBorders>
              <w:tl2br w:val="nil"/>
              <w:tr2bl w:val="nil"/>
            </w:tcBorders>
            <w:shd w:val="clear" w:color="auto" w:fill="auto"/>
            <w:tcMar>
              <w:top w:w="57" w:type="dxa"/>
              <w:left w:w="57" w:type="dxa"/>
              <w:bottom w:w="57" w:type="dxa"/>
              <w:right w:w="57" w:type="dxa"/>
            </w:tcMar>
            <w:vAlign w:val="center"/>
          </w:tcPr>
          <w:p w14:paraId="4430DFDF">
            <w:pPr>
              <w:widowControl/>
              <w:spacing w:line="300" w:lineRule="exact"/>
              <w:jc w:val="center"/>
              <w:rPr>
                <w:sz w:val="24"/>
              </w:rPr>
            </w:pPr>
            <w:r>
              <w:rPr>
                <w:rFonts w:ascii="宋体" w:hAnsi="宋体" w:cs="宋体"/>
                <w:kern w:val="0"/>
                <w:sz w:val="24"/>
                <w:lang w:bidi="ar"/>
              </w:rPr>
              <w:t>12</w:t>
            </w:r>
          </w:p>
        </w:tc>
      </w:tr>
      <w:tr w14:paraId="5ABA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1778E7DE">
            <w:pPr>
              <w:widowControl/>
              <w:spacing w:line="300" w:lineRule="exact"/>
              <w:jc w:val="center"/>
              <w:rPr>
                <w:sz w:val="24"/>
              </w:rPr>
            </w:pPr>
            <w:r>
              <w:rPr>
                <w:rFonts w:ascii="宋体" w:hAnsi="宋体" w:cs="宋体"/>
                <w:kern w:val="0"/>
                <w:sz w:val="24"/>
                <w:lang w:bidi="ar"/>
              </w:rPr>
              <w:t>拟投入项目人员配置（</w:t>
            </w:r>
            <w:r>
              <w:rPr>
                <w:rFonts w:hint="eastAsia" w:ascii="宋体" w:hAnsi="宋体" w:cs="宋体"/>
                <w:kern w:val="0"/>
                <w:sz w:val="24"/>
                <w:lang w:val="en-US" w:eastAsia="zh-CN" w:bidi="ar"/>
              </w:rPr>
              <w:t>12</w:t>
            </w:r>
            <w:r>
              <w:rPr>
                <w:rFonts w:ascii="宋体" w:hAnsi="宋体" w:cs="宋体"/>
                <w:kern w:val="0"/>
                <w:sz w:val="24"/>
                <w:lang w:bidi="ar"/>
              </w:rPr>
              <w:t>分）</w:t>
            </w:r>
          </w:p>
        </w:tc>
        <w:tc>
          <w:tcPr>
            <w:tcW w:w="7672" w:type="dxa"/>
            <w:tcBorders>
              <w:tl2br w:val="nil"/>
              <w:tr2bl w:val="nil"/>
            </w:tcBorders>
            <w:shd w:val="clear" w:color="auto" w:fill="auto"/>
            <w:tcMar>
              <w:top w:w="57" w:type="dxa"/>
              <w:left w:w="57" w:type="dxa"/>
              <w:bottom w:w="57" w:type="dxa"/>
              <w:right w:w="57" w:type="dxa"/>
            </w:tcMar>
            <w:vAlign w:val="center"/>
          </w:tcPr>
          <w:p w14:paraId="1B13845E">
            <w:pPr>
              <w:widowControl/>
              <w:spacing w:line="300" w:lineRule="exact"/>
              <w:jc w:val="left"/>
              <w:rPr>
                <w:rFonts w:ascii="宋体" w:hAnsi="宋体" w:cs="宋体"/>
                <w:color w:val="auto"/>
                <w:kern w:val="0"/>
                <w:sz w:val="24"/>
                <w:lang w:bidi="ar"/>
              </w:rPr>
            </w:pPr>
            <w:r>
              <w:rPr>
                <w:rFonts w:ascii="宋体" w:hAnsi="宋体" w:cs="宋体"/>
                <w:color w:val="auto"/>
                <w:kern w:val="0"/>
                <w:sz w:val="24"/>
                <w:lang w:bidi="ar"/>
              </w:rPr>
              <w:t>本项目配备专职驾驶员团队：</w:t>
            </w:r>
          </w:p>
          <w:p w14:paraId="62348BE3">
            <w:pPr>
              <w:widowControl/>
              <w:spacing w:line="300" w:lineRule="exact"/>
              <w:jc w:val="left"/>
              <w:rPr>
                <w:rFonts w:ascii="宋体" w:hAnsi="宋体" w:cs="宋体"/>
                <w:color w:val="auto"/>
                <w:kern w:val="0"/>
                <w:sz w:val="24"/>
                <w:lang w:bidi="ar"/>
              </w:rPr>
            </w:pPr>
            <w:r>
              <w:rPr>
                <w:rFonts w:ascii="宋体" w:hAnsi="宋体" w:cs="宋体"/>
                <w:color w:val="auto"/>
                <w:kern w:val="0"/>
                <w:sz w:val="24"/>
                <w:lang w:bidi="ar"/>
              </w:rPr>
              <w:t>1、为本项目配备不少于2名专职驾驶员，每名驾驶员提供A1驾驶证、从业资格证、投标截止前6个月内任意1个月社保缴纳证明，每人得</w:t>
            </w:r>
            <w:r>
              <w:rPr>
                <w:rFonts w:hint="eastAsia" w:ascii="宋体" w:hAnsi="宋体" w:cs="宋体"/>
                <w:color w:val="auto"/>
                <w:kern w:val="0"/>
                <w:sz w:val="24"/>
                <w:lang w:val="en-US" w:eastAsia="zh-CN" w:bidi="ar"/>
              </w:rPr>
              <w:t>4</w:t>
            </w:r>
            <w:r>
              <w:rPr>
                <w:rFonts w:ascii="宋体" w:hAnsi="宋体" w:cs="宋体"/>
                <w:color w:val="auto"/>
                <w:kern w:val="0"/>
                <w:sz w:val="24"/>
                <w:lang w:bidi="ar"/>
              </w:rPr>
              <w:t>分，最多</w:t>
            </w:r>
            <w:r>
              <w:rPr>
                <w:rFonts w:hint="eastAsia" w:ascii="宋体" w:hAnsi="宋体" w:cs="宋体"/>
                <w:color w:val="auto"/>
                <w:kern w:val="0"/>
                <w:sz w:val="24"/>
                <w:lang w:val="en-US" w:eastAsia="zh-CN" w:bidi="ar"/>
              </w:rPr>
              <w:t>8</w:t>
            </w:r>
            <w:r>
              <w:rPr>
                <w:rFonts w:ascii="宋体" w:hAnsi="宋体" w:cs="宋体"/>
                <w:color w:val="auto"/>
                <w:kern w:val="0"/>
                <w:sz w:val="24"/>
                <w:lang w:bidi="ar"/>
              </w:rPr>
              <w:t>分；</w:t>
            </w:r>
          </w:p>
          <w:p w14:paraId="4C2EC150">
            <w:pPr>
              <w:widowControl/>
              <w:spacing w:line="300" w:lineRule="exact"/>
              <w:jc w:val="left"/>
              <w:rPr>
                <w:color w:val="auto"/>
                <w:sz w:val="24"/>
              </w:rPr>
            </w:pPr>
            <w:r>
              <w:rPr>
                <w:rFonts w:ascii="宋体" w:hAnsi="宋体" w:cs="宋体"/>
                <w:color w:val="auto"/>
                <w:kern w:val="0"/>
                <w:sz w:val="24"/>
                <w:lang w:bidi="ar"/>
              </w:rPr>
              <w:t xml:space="preserve">2、设置项目专职负责人 1 名，统筹班车调度、投诉处理、应急处置，提供劳动合同及投标截止前6个月内任意1个月社保缴纳证明，得 </w:t>
            </w:r>
            <w:r>
              <w:rPr>
                <w:rFonts w:hint="eastAsia" w:ascii="宋体" w:hAnsi="宋体" w:cs="宋体"/>
                <w:color w:val="auto"/>
                <w:kern w:val="0"/>
                <w:sz w:val="24"/>
                <w:lang w:val="en-US" w:eastAsia="zh-CN" w:bidi="ar"/>
              </w:rPr>
              <w:t>4</w:t>
            </w:r>
            <w:r>
              <w:rPr>
                <w:rFonts w:ascii="宋体" w:hAnsi="宋体" w:cs="宋体"/>
                <w:color w:val="auto"/>
                <w:kern w:val="0"/>
                <w:sz w:val="24"/>
                <w:lang w:bidi="ar"/>
              </w:rPr>
              <w:t>分；</w:t>
            </w:r>
          </w:p>
        </w:tc>
        <w:tc>
          <w:tcPr>
            <w:tcW w:w="529" w:type="dxa"/>
            <w:tcBorders>
              <w:tl2br w:val="nil"/>
              <w:tr2bl w:val="nil"/>
            </w:tcBorders>
            <w:shd w:val="clear" w:color="auto" w:fill="auto"/>
            <w:tcMar>
              <w:top w:w="57" w:type="dxa"/>
              <w:left w:w="57" w:type="dxa"/>
              <w:bottom w:w="57" w:type="dxa"/>
              <w:right w:w="57" w:type="dxa"/>
            </w:tcMar>
            <w:vAlign w:val="center"/>
          </w:tcPr>
          <w:p w14:paraId="20BB1A30">
            <w:pPr>
              <w:widowControl/>
              <w:spacing w:line="300" w:lineRule="exact"/>
              <w:jc w:val="center"/>
              <w:rPr>
                <w:rFonts w:hint="default" w:eastAsia="宋体"/>
                <w:sz w:val="24"/>
                <w:lang w:val="en-US" w:eastAsia="zh-CN"/>
              </w:rPr>
            </w:pPr>
            <w:r>
              <w:rPr>
                <w:rFonts w:hint="eastAsia"/>
                <w:sz w:val="24"/>
                <w:lang w:val="en-US" w:eastAsia="zh-CN"/>
              </w:rPr>
              <w:t>12</w:t>
            </w:r>
          </w:p>
        </w:tc>
      </w:tr>
      <w:tr w14:paraId="0146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2ADE1E4F">
            <w:pPr>
              <w:widowControl/>
              <w:spacing w:line="300" w:lineRule="exact"/>
              <w:jc w:val="center"/>
              <w:rPr>
                <w:sz w:val="24"/>
              </w:rPr>
            </w:pPr>
            <w:r>
              <w:rPr>
                <w:rFonts w:ascii="宋体" w:hAnsi="宋体" w:cs="宋体"/>
                <w:kern w:val="0"/>
                <w:sz w:val="24"/>
                <w:lang w:bidi="ar"/>
              </w:rPr>
              <w:t>项目实施方案（12 分）</w:t>
            </w:r>
          </w:p>
        </w:tc>
        <w:tc>
          <w:tcPr>
            <w:tcW w:w="7672" w:type="dxa"/>
            <w:tcBorders>
              <w:tl2br w:val="nil"/>
              <w:tr2bl w:val="nil"/>
            </w:tcBorders>
            <w:shd w:val="clear" w:color="auto" w:fill="auto"/>
            <w:tcMar>
              <w:top w:w="57" w:type="dxa"/>
              <w:left w:w="57" w:type="dxa"/>
              <w:bottom w:w="57" w:type="dxa"/>
              <w:right w:w="57" w:type="dxa"/>
            </w:tcMar>
            <w:vAlign w:val="center"/>
          </w:tcPr>
          <w:p w14:paraId="396835E7">
            <w:pPr>
              <w:widowControl/>
              <w:spacing w:line="300" w:lineRule="exact"/>
              <w:jc w:val="left"/>
              <w:rPr>
                <w:rFonts w:ascii="宋体" w:hAnsi="宋体" w:cs="宋体"/>
                <w:color w:val="auto"/>
                <w:kern w:val="0"/>
                <w:sz w:val="24"/>
                <w:lang w:bidi="ar"/>
              </w:rPr>
            </w:pPr>
            <w:r>
              <w:rPr>
                <w:rFonts w:ascii="宋体" w:hAnsi="宋体" w:cs="宋体"/>
                <w:color w:val="auto"/>
                <w:kern w:val="0"/>
                <w:sz w:val="24"/>
                <w:lang w:bidi="ar"/>
              </w:rPr>
              <w:t>1、运行组织方案（4 分）：包含班次调度方案、发车准点保障措施、车辆日常维保计划、驾驶员管理制度；方案完整、针对性强可落地得 4 分；方案较完整得2 分；内容简单或未提供不得分。</w:t>
            </w:r>
          </w:p>
          <w:p w14:paraId="7920BE8D">
            <w:pPr>
              <w:widowControl/>
              <w:spacing w:line="300" w:lineRule="exact"/>
              <w:jc w:val="left"/>
              <w:rPr>
                <w:rFonts w:ascii="宋体" w:hAnsi="宋体" w:cs="宋体"/>
                <w:color w:val="auto"/>
                <w:kern w:val="0"/>
                <w:sz w:val="24"/>
                <w:lang w:bidi="ar"/>
              </w:rPr>
            </w:pPr>
            <w:r>
              <w:rPr>
                <w:rFonts w:ascii="宋体" w:hAnsi="宋体" w:cs="宋体"/>
                <w:color w:val="auto"/>
                <w:kern w:val="0"/>
                <w:sz w:val="24"/>
                <w:lang w:bidi="ar"/>
              </w:rPr>
              <w:t>2、应急处置方案（4 分）：包含车辆故障应急换车预案、交通事故处置流程、恶劣天气运行预案、人员突发状况处置；方案完善可行得 4 分；基本完整得2 分；未提供不得分。</w:t>
            </w:r>
          </w:p>
          <w:p w14:paraId="64E46AD7">
            <w:pPr>
              <w:widowControl/>
              <w:spacing w:line="300" w:lineRule="exact"/>
              <w:jc w:val="left"/>
              <w:rPr>
                <w:color w:val="auto"/>
                <w:sz w:val="24"/>
              </w:rPr>
            </w:pPr>
            <w:r>
              <w:rPr>
                <w:rFonts w:ascii="宋体" w:hAnsi="宋体" w:cs="宋体"/>
                <w:color w:val="auto"/>
                <w:kern w:val="0"/>
                <w:sz w:val="24"/>
                <w:lang w:bidi="ar"/>
              </w:rPr>
              <w:t>3、服务质量管控方案（4 分）：含日常考核机制、投诉响应处理流程、车辆卫生管理、文明驾驶管理；方案完善得4 分；基本完整得2 分；未提供不得分。</w:t>
            </w:r>
          </w:p>
        </w:tc>
        <w:tc>
          <w:tcPr>
            <w:tcW w:w="529" w:type="dxa"/>
            <w:tcBorders>
              <w:tl2br w:val="nil"/>
              <w:tr2bl w:val="nil"/>
            </w:tcBorders>
            <w:shd w:val="clear" w:color="auto" w:fill="auto"/>
            <w:tcMar>
              <w:top w:w="57" w:type="dxa"/>
              <w:left w:w="57" w:type="dxa"/>
              <w:bottom w:w="57" w:type="dxa"/>
              <w:right w:w="57" w:type="dxa"/>
            </w:tcMar>
            <w:vAlign w:val="center"/>
          </w:tcPr>
          <w:p w14:paraId="49ABAA88">
            <w:pPr>
              <w:widowControl/>
              <w:spacing w:line="300" w:lineRule="exact"/>
              <w:jc w:val="left"/>
              <w:rPr>
                <w:sz w:val="24"/>
              </w:rPr>
            </w:pPr>
            <w:r>
              <w:rPr>
                <w:rFonts w:ascii="宋体" w:hAnsi="宋体" w:cs="宋体"/>
                <w:kern w:val="0"/>
                <w:sz w:val="24"/>
                <w:lang w:bidi="ar"/>
              </w:rPr>
              <w:t>12</w:t>
            </w:r>
          </w:p>
        </w:tc>
      </w:tr>
      <w:tr w14:paraId="4D0A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1216" w:type="dxa"/>
            <w:tcBorders>
              <w:tl2br w:val="nil"/>
              <w:tr2bl w:val="nil"/>
            </w:tcBorders>
            <w:shd w:val="clear" w:color="auto" w:fill="auto"/>
            <w:tcMar>
              <w:top w:w="57" w:type="dxa"/>
              <w:left w:w="57" w:type="dxa"/>
              <w:bottom w:w="57" w:type="dxa"/>
              <w:right w:w="57" w:type="dxa"/>
            </w:tcMar>
            <w:vAlign w:val="center"/>
          </w:tcPr>
          <w:p w14:paraId="5939D033">
            <w:pPr>
              <w:widowControl/>
              <w:spacing w:line="300" w:lineRule="exact"/>
              <w:jc w:val="center"/>
              <w:rPr>
                <w:sz w:val="24"/>
              </w:rPr>
            </w:pPr>
            <w:r>
              <w:rPr>
                <w:rFonts w:ascii="宋体" w:hAnsi="宋体" w:cs="宋体"/>
                <w:kern w:val="0"/>
                <w:sz w:val="24"/>
                <w:lang w:bidi="ar"/>
              </w:rPr>
              <w:t>售后服务与保障方案（</w:t>
            </w:r>
            <w:r>
              <w:rPr>
                <w:rFonts w:hint="eastAsia" w:ascii="宋体" w:hAnsi="宋体" w:cs="宋体"/>
                <w:kern w:val="0"/>
                <w:sz w:val="24"/>
                <w:lang w:val="en-US" w:eastAsia="zh-CN" w:bidi="ar"/>
              </w:rPr>
              <w:t>6</w:t>
            </w:r>
            <w:r>
              <w:rPr>
                <w:rFonts w:ascii="宋体" w:hAnsi="宋体" w:cs="宋体"/>
                <w:kern w:val="0"/>
                <w:sz w:val="24"/>
                <w:lang w:bidi="ar"/>
              </w:rPr>
              <w:t>分）</w:t>
            </w:r>
          </w:p>
        </w:tc>
        <w:tc>
          <w:tcPr>
            <w:tcW w:w="7672" w:type="dxa"/>
            <w:tcBorders>
              <w:tl2br w:val="nil"/>
              <w:tr2bl w:val="nil"/>
            </w:tcBorders>
            <w:shd w:val="clear" w:color="auto" w:fill="auto"/>
            <w:tcMar>
              <w:top w:w="57" w:type="dxa"/>
              <w:left w:w="57" w:type="dxa"/>
              <w:bottom w:w="57" w:type="dxa"/>
              <w:right w:w="57" w:type="dxa"/>
            </w:tcMar>
            <w:vAlign w:val="center"/>
          </w:tcPr>
          <w:p w14:paraId="3925F1F9">
            <w:pPr>
              <w:widowControl/>
              <w:numPr>
                <w:ilvl w:val="0"/>
                <w:numId w:val="3"/>
              </w:numPr>
              <w:spacing w:line="300" w:lineRule="exact"/>
              <w:jc w:val="left"/>
              <w:rPr>
                <w:rFonts w:ascii="宋体" w:hAnsi="宋体" w:cs="宋体"/>
                <w:color w:val="auto"/>
                <w:kern w:val="0"/>
                <w:sz w:val="24"/>
                <w:lang w:bidi="ar"/>
              </w:rPr>
            </w:pPr>
            <w:r>
              <w:rPr>
                <w:rFonts w:ascii="宋体" w:hAnsi="宋体" w:cs="宋体"/>
                <w:color w:val="auto"/>
                <w:kern w:val="0"/>
                <w:sz w:val="24"/>
                <w:lang w:bidi="ar"/>
              </w:rPr>
              <w:t>基础服务响应（3 分）：提供 7×24 小时调度联络机制，车辆故障能够及时调派备用车辆补位，故障响应、补位流程清晰，得3分；部分满足得</w:t>
            </w:r>
            <w:r>
              <w:rPr>
                <w:rFonts w:hint="eastAsia" w:ascii="宋体" w:hAnsi="宋体" w:cs="宋体"/>
                <w:color w:val="auto"/>
                <w:kern w:val="0"/>
                <w:sz w:val="24"/>
                <w:lang w:bidi="ar"/>
              </w:rPr>
              <w:t>1</w:t>
            </w:r>
            <w:r>
              <w:rPr>
                <w:rFonts w:ascii="宋体" w:hAnsi="宋体" w:cs="宋体"/>
                <w:color w:val="auto"/>
                <w:kern w:val="0"/>
                <w:sz w:val="24"/>
                <w:lang w:bidi="ar"/>
              </w:rPr>
              <w:t>分，不满足不得分。</w:t>
            </w:r>
          </w:p>
          <w:p w14:paraId="2D13E9CE">
            <w:pPr>
              <w:widowControl/>
              <w:spacing w:line="300" w:lineRule="exact"/>
              <w:jc w:val="left"/>
              <w:rPr>
                <w:color w:val="auto"/>
                <w:sz w:val="24"/>
              </w:rPr>
            </w:pPr>
            <w:r>
              <w:rPr>
                <w:rFonts w:hint="eastAsia" w:ascii="宋体" w:hAnsi="宋体" w:cs="宋体"/>
                <w:color w:val="auto"/>
                <w:kern w:val="0"/>
                <w:sz w:val="24"/>
                <w:lang w:val="en-US" w:eastAsia="zh-CN" w:bidi="ar"/>
              </w:rPr>
              <w:t>2</w:t>
            </w:r>
            <w:r>
              <w:rPr>
                <w:rFonts w:ascii="宋体" w:hAnsi="宋体" w:cs="宋体"/>
                <w:color w:val="auto"/>
                <w:kern w:val="0"/>
                <w:sz w:val="24"/>
                <w:lang w:bidi="ar"/>
              </w:rPr>
              <w:t>、增值服务承诺（</w:t>
            </w:r>
            <w:r>
              <w:rPr>
                <w:rFonts w:hint="eastAsia" w:ascii="宋体" w:hAnsi="宋体" w:cs="宋体"/>
                <w:color w:val="auto"/>
                <w:kern w:val="0"/>
                <w:sz w:val="24"/>
                <w:lang w:val="en-US" w:eastAsia="zh-CN" w:bidi="ar"/>
              </w:rPr>
              <w:t>3</w:t>
            </w:r>
            <w:r>
              <w:rPr>
                <w:rFonts w:ascii="宋体" w:hAnsi="宋体" w:cs="宋体"/>
                <w:color w:val="auto"/>
                <w:kern w:val="0"/>
                <w:sz w:val="24"/>
                <w:lang w:bidi="ar"/>
              </w:rPr>
              <w:t xml:space="preserve">分）：在满足招标文件基础上，每提供一项优于招标文件的实质性服务承诺得 1 分，最高 </w:t>
            </w:r>
            <w:r>
              <w:rPr>
                <w:rFonts w:hint="eastAsia" w:ascii="宋体" w:hAnsi="宋体" w:cs="宋体"/>
                <w:color w:val="auto"/>
                <w:kern w:val="0"/>
                <w:sz w:val="24"/>
                <w:lang w:val="en-US" w:eastAsia="zh-CN" w:bidi="ar"/>
              </w:rPr>
              <w:t>3分</w:t>
            </w:r>
            <w:r>
              <w:rPr>
                <w:rFonts w:ascii="宋体" w:hAnsi="宋体" w:cs="宋体"/>
                <w:color w:val="auto"/>
                <w:kern w:val="0"/>
                <w:sz w:val="24"/>
                <w:lang w:bidi="ar"/>
              </w:rPr>
              <w:t>；参考方向：定期车辆免费消杀、驾驶员定期安全再培训、建立班车运行台账定期报送校方等。</w:t>
            </w:r>
          </w:p>
        </w:tc>
        <w:tc>
          <w:tcPr>
            <w:tcW w:w="529" w:type="dxa"/>
            <w:tcBorders>
              <w:tl2br w:val="nil"/>
              <w:tr2bl w:val="nil"/>
            </w:tcBorders>
            <w:shd w:val="clear" w:color="auto" w:fill="auto"/>
            <w:tcMar>
              <w:top w:w="57" w:type="dxa"/>
              <w:left w:w="57" w:type="dxa"/>
              <w:bottom w:w="57" w:type="dxa"/>
              <w:right w:w="57" w:type="dxa"/>
            </w:tcMar>
            <w:vAlign w:val="center"/>
          </w:tcPr>
          <w:p w14:paraId="4940D1F5">
            <w:pPr>
              <w:widowControl/>
              <w:spacing w:line="300" w:lineRule="exact"/>
              <w:jc w:val="center"/>
              <w:rPr>
                <w:rFonts w:hint="eastAsia" w:eastAsia="宋体"/>
                <w:sz w:val="24"/>
                <w:lang w:eastAsia="zh-CN"/>
              </w:rPr>
            </w:pPr>
            <w:r>
              <w:rPr>
                <w:rFonts w:hint="eastAsia" w:ascii="宋体" w:hAnsi="宋体" w:cs="宋体"/>
                <w:kern w:val="0"/>
                <w:sz w:val="24"/>
                <w:highlight w:val="none"/>
                <w:lang w:val="en-US" w:eastAsia="zh-CN" w:bidi="ar"/>
              </w:rPr>
              <w:t>6</w:t>
            </w:r>
          </w:p>
        </w:tc>
      </w:tr>
    </w:tbl>
    <w:p w14:paraId="025062D2">
      <w:pPr>
        <w:snapToGrid w:val="0"/>
        <w:spacing w:line="480" w:lineRule="exact"/>
        <w:ind w:firstLine="570"/>
        <w:rPr>
          <w:rFonts w:ascii="宋体" w:hAnsi="宋体" w:cs="宋体"/>
          <w:b/>
          <w:kern w:val="0"/>
          <w:sz w:val="24"/>
        </w:rPr>
      </w:pPr>
      <w:r>
        <w:rPr>
          <w:rFonts w:hint="eastAsia" w:ascii="宋体" w:hAnsi="宋体" w:cs="宋体"/>
          <w:b/>
          <w:kern w:val="0"/>
          <w:sz w:val="24"/>
        </w:rPr>
        <w:t>注：</w:t>
      </w:r>
    </w:p>
    <w:p w14:paraId="016C3E8B">
      <w:pPr>
        <w:snapToGrid w:val="0"/>
        <w:spacing w:line="480" w:lineRule="exact"/>
        <w:ind w:firstLine="570"/>
        <w:rPr>
          <w:rFonts w:hint="eastAsia" w:ascii="宋体" w:hAnsi="宋体" w:cs="宋体"/>
          <w:b/>
          <w:sz w:val="24"/>
        </w:rPr>
      </w:pPr>
      <w:r>
        <w:rPr>
          <w:rFonts w:hint="eastAsia" w:ascii="宋体" w:hAnsi="宋体" w:cs="宋体"/>
          <w:b/>
          <w:kern w:val="0"/>
          <w:sz w:val="24"/>
        </w:rPr>
        <w:t>投标人的商务技术部分得分不得低于项目商务技术标总分的50%，否则视为未实质性响应，按无效投标处理。</w:t>
      </w:r>
    </w:p>
    <w:p w14:paraId="7BAA16F4">
      <w:pPr>
        <w:adjustRightInd w:val="0"/>
        <w:snapToGrid w:val="0"/>
        <w:spacing w:line="460" w:lineRule="exact"/>
        <w:ind w:firstLine="482" w:firstLineChars="200"/>
        <w:rPr>
          <w:rFonts w:ascii="宋体" w:hAnsi="宋体" w:cs="宋体"/>
          <w:b/>
          <w:sz w:val="24"/>
          <w:highlight w:val="none"/>
        </w:rPr>
      </w:pPr>
      <w:r>
        <w:rPr>
          <w:rFonts w:hint="eastAsia" w:ascii="宋体" w:hAnsi="宋体" w:cs="宋体"/>
          <w:b/>
          <w:sz w:val="24"/>
        </w:rPr>
        <w:t>4.价格</w:t>
      </w:r>
      <w:r>
        <w:rPr>
          <w:rFonts w:hint="eastAsia" w:ascii="宋体" w:hAnsi="宋体" w:cs="宋体"/>
          <w:b/>
          <w:sz w:val="24"/>
          <w:lang w:val="zh-CN"/>
        </w:rPr>
        <w:t>分</w:t>
      </w:r>
      <w:r>
        <w:rPr>
          <w:rFonts w:hint="eastAsia" w:ascii="宋体" w:hAnsi="宋体" w:cs="宋体"/>
          <w:b/>
          <w:sz w:val="24"/>
          <w:highlight w:val="none"/>
        </w:rPr>
        <w:t>：（</w:t>
      </w:r>
      <w:r>
        <w:rPr>
          <w:rFonts w:hint="eastAsia" w:ascii="宋体" w:hAnsi="宋体" w:cs="宋体"/>
          <w:b/>
          <w:sz w:val="24"/>
          <w:highlight w:val="none"/>
          <w:lang w:val="en-US" w:eastAsia="zh-CN"/>
        </w:rPr>
        <w:t>40</w:t>
      </w:r>
      <w:r>
        <w:rPr>
          <w:rFonts w:hint="eastAsia" w:ascii="宋体" w:hAnsi="宋体" w:cs="宋体"/>
          <w:b/>
          <w:sz w:val="24"/>
          <w:highlight w:val="none"/>
        </w:rPr>
        <w:t>分）</w:t>
      </w:r>
    </w:p>
    <w:p w14:paraId="23C146D1">
      <w:pPr>
        <w:adjustRightInd w:val="0"/>
        <w:snapToGrid w:val="0"/>
        <w:spacing w:line="4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价格分统一采用低价优先法计算，即满足招标文件要求且投标价格最低的投标报价为评标基准价，其价格分为满分。其他投标人的价格分统一按照下列公式计算：</w:t>
      </w:r>
    </w:p>
    <w:p w14:paraId="7D077BF0">
      <w:pPr>
        <w:adjustRightInd w:val="0"/>
        <w:snapToGrid w:val="0"/>
        <w:spacing w:line="460" w:lineRule="exact"/>
        <w:ind w:firstLine="480" w:firstLineChars="200"/>
        <w:rPr>
          <w:rFonts w:hint="default" w:ascii="宋体" w:hAnsi="宋体" w:eastAsia="宋体" w:cs="宋体"/>
          <w:bCs/>
          <w:color w:val="000000" w:themeColor="text1"/>
          <w:sz w:val="24"/>
          <w:lang w:val="en-US" w:eastAsia="zh-CN"/>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投标报价得分=（评标基准价/投标报价）×</w:t>
      </w:r>
      <w:r>
        <w:rPr>
          <w:rFonts w:hint="eastAsia" w:ascii="宋体" w:hAnsi="宋体" w:cs="宋体"/>
          <w:bCs/>
          <w:color w:val="000000" w:themeColor="text1"/>
          <w:sz w:val="24"/>
          <w:highlight w:val="none"/>
          <w:lang w:val="en-US" w:eastAsia="zh-CN"/>
          <w14:textFill>
            <w14:solidFill>
              <w14:schemeClr w14:val="tx1"/>
            </w14:solidFill>
          </w14:textFill>
        </w:rPr>
        <w:t>40</w:t>
      </w:r>
    </w:p>
    <w:p w14:paraId="4677FA20">
      <w:pPr>
        <w:adjustRightInd w:val="0"/>
        <w:snapToGrid w:val="0"/>
        <w:spacing w:line="460" w:lineRule="exact"/>
        <w:ind w:firstLine="482" w:firstLineChars="200"/>
        <w:rPr>
          <w:rFonts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5.中标人的确定</w:t>
      </w:r>
    </w:p>
    <w:p w14:paraId="6FE822CB">
      <w:pPr>
        <w:adjustRightInd w:val="0"/>
        <w:snapToGrid w:val="0"/>
        <w:spacing w:line="460" w:lineRule="exact"/>
        <w:ind w:firstLine="480" w:firstLineChars="200"/>
        <w:rPr>
          <w:rFonts w:ascii="宋体" w:hAnsi="宋体" w:cs="宋体"/>
          <w:bCs/>
          <w:sz w:val="24"/>
        </w:rPr>
      </w:pPr>
      <w:r>
        <w:rPr>
          <w:rFonts w:hint="eastAsia" w:ascii="宋体" w:hAnsi="宋体" w:cs="宋体"/>
          <w:bCs/>
          <w:sz w:val="24"/>
        </w:rPr>
        <w:t>评委会汇总各评委评分后，按照得分从高到低的顺序推荐三名中标候选人，并编写评标报告。</w:t>
      </w:r>
    </w:p>
    <w:p w14:paraId="60F90B2D">
      <w:pPr>
        <w:adjustRightInd w:val="0"/>
        <w:snapToGrid w:val="0"/>
        <w:spacing w:line="460" w:lineRule="exact"/>
        <w:ind w:firstLine="480" w:firstLineChars="200"/>
        <w:rPr>
          <w:rFonts w:ascii="宋体" w:hAnsi="宋体" w:cs="宋体"/>
          <w:bCs/>
          <w:sz w:val="24"/>
        </w:rPr>
      </w:pPr>
      <w:r>
        <w:rPr>
          <w:rFonts w:hint="eastAsia" w:ascii="宋体" w:hAnsi="宋体" w:cs="宋体"/>
          <w:bCs/>
          <w:sz w:val="24"/>
        </w:rPr>
        <w:t>招标人委托评标委员会直接确定排名第一的中标候选人为中标人。</w:t>
      </w:r>
    </w:p>
    <w:p w14:paraId="604CED58">
      <w:pPr>
        <w:adjustRightInd w:val="0"/>
        <w:snapToGrid w:val="0"/>
        <w:spacing w:line="4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6.公告中标结果</w:t>
      </w:r>
    </w:p>
    <w:p w14:paraId="54756726">
      <w:pPr>
        <w:adjustRightInd w:val="0"/>
        <w:snapToGrid w:val="0"/>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自确定中标人之日起2个工作日内，在江苏商贸职业学院网（http://www.jsbc.edu.cn/）公告中标结果，公告期限为1个工作日。</w:t>
      </w:r>
    </w:p>
    <w:p w14:paraId="593E7DBA">
      <w:pPr>
        <w:adjustRightInd w:val="0"/>
        <w:snapToGrid w:val="0"/>
        <w:spacing w:line="4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w:t>
      </w:r>
      <w:r>
        <w:rPr>
          <w:rFonts w:hint="eastAsia" w:ascii="宋体" w:hAnsi="宋体" w:cs="宋体"/>
          <w:b/>
          <w:bCs/>
          <w:color w:val="000000" w:themeColor="text1"/>
          <w:sz w:val="24"/>
          <w14:textFill>
            <w14:solidFill>
              <w14:schemeClr w14:val="tx1"/>
            </w14:solidFill>
          </w14:textFill>
        </w:rPr>
        <w:t>发放中标通知书</w:t>
      </w:r>
    </w:p>
    <w:p w14:paraId="7DE6EA15">
      <w:pPr>
        <w:adjustRightInd w:val="0"/>
        <w:snapToGrid w:val="0"/>
        <w:spacing w:line="46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公告中标结果的同时，招标人</w:t>
      </w:r>
      <w:r>
        <w:rPr>
          <w:rFonts w:hint="eastAsia" w:ascii="宋体" w:hAnsi="宋体" w:cs="宋体"/>
          <w:bCs/>
          <w:color w:val="000000" w:themeColor="text1"/>
          <w:sz w:val="24"/>
          <w14:textFill>
            <w14:solidFill>
              <w14:schemeClr w14:val="tx1"/>
            </w14:solidFill>
          </w14:textFill>
        </w:rPr>
        <w:t>向中标供应商发放中标通知书。</w:t>
      </w:r>
    </w:p>
    <w:p w14:paraId="30DAD239">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中标通知书发出后，招标人不得违法改变中标结果，中标供应商无正当理由不得放弃中标。</w:t>
      </w:r>
    </w:p>
    <w:p w14:paraId="4B516752">
      <w:pPr>
        <w:adjustRightInd w:val="0"/>
        <w:snapToGrid w:val="0"/>
        <w:spacing w:line="460" w:lineRule="exact"/>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8.其他</w:t>
      </w:r>
    </w:p>
    <w:p w14:paraId="4CDCFC64">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当排名第一的中标候选人无正当理由放弃中标，被查实存在影响中标结果的违法行为等情形，采购人有权按照采购相关法律法规的规定对其采取惩戒措施，包含但不限于列入采购失信人黑名单等措施。</w:t>
      </w:r>
    </w:p>
    <w:p w14:paraId="6662C9D8">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当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14:paraId="47DDF357">
      <w:pPr>
        <w:spacing w:after="60" w:line="440" w:lineRule="exact"/>
        <w:rPr>
          <w:color w:val="000000" w:themeColor="text1"/>
          <w14:textFill>
            <w14:solidFill>
              <w14:schemeClr w14:val="tx1"/>
            </w14:solidFill>
          </w14:textFill>
        </w:rPr>
        <w:sectPr>
          <w:headerReference r:id="rId3" w:type="default"/>
          <w:footerReference r:id="rId4" w:type="default"/>
          <w:pgSz w:w="11906" w:h="16838"/>
          <w:pgMar w:top="1440" w:right="1080" w:bottom="1440" w:left="1080" w:header="851" w:footer="992" w:gutter="0"/>
          <w:cols w:space="720" w:num="1"/>
          <w:docGrid w:type="lines" w:linePitch="312" w:charSpace="0"/>
        </w:sectPr>
      </w:pPr>
      <w:r>
        <w:rPr>
          <w:rFonts w:hint="eastAsia" w:ascii="宋体" w:hAnsi="宋体" w:cs="宋体"/>
          <w:bCs/>
          <w:color w:val="000000" w:themeColor="text1"/>
          <w:sz w:val="32"/>
          <w:szCs w:val="32"/>
          <w14:textFill>
            <w14:solidFill>
              <w14:schemeClr w14:val="tx1"/>
            </w14:solidFill>
          </w14:textFill>
        </w:rPr>
        <w:br w:type="page"/>
      </w:r>
    </w:p>
    <w:p w14:paraId="078E2E1C">
      <w:pPr>
        <w:adjustRightInd w:val="0"/>
        <w:snapToGrid w:val="0"/>
        <w:spacing w:line="460" w:lineRule="exact"/>
        <w:jc w:val="center"/>
        <w:textAlignment w:val="baseline"/>
        <w:outlineLvl w:val="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第五部分 合同主要条款</w:t>
      </w:r>
    </w:p>
    <w:p w14:paraId="57FAC2CA">
      <w:pPr>
        <w:spacing w:line="460" w:lineRule="exact"/>
        <w:rPr>
          <w:rFonts w:ascii="宋体" w:hAnsi="宋体" w:cs="宋体"/>
          <w:sz w:val="22"/>
          <w:szCs w:val="22"/>
        </w:rPr>
      </w:pPr>
    </w:p>
    <w:p w14:paraId="766DA048">
      <w:pPr>
        <w:snapToGrid w:val="0"/>
        <w:spacing w:line="460" w:lineRule="exact"/>
        <w:ind w:firstLine="480" w:firstLineChars="200"/>
        <w:rPr>
          <w:rFonts w:ascii="宋体" w:hAnsi="宋体" w:cs="宋体"/>
          <w:sz w:val="24"/>
          <w:lang w:val="zh-CN"/>
        </w:rPr>
      </w:pPr>
      <w:r>
        <w:rPr>
          <w:rFonts w:hint="eastAsia" w:ascii="宋体" w:hAnsi="宋体" w:cs="宋体"/>
          <w:sz w:val="24"/>
          <w:lang w:val="zh-CN"/>
        </w:rPr>
        <w:t>一、</w:t>
      </w:r>
      <w:r>
        <w:rPr>
          <w:rFonts w:hint="eastAsia" w:ascii="宋体" w:hAnsi="宋体" w:cs="宋体"/>
          <w:sz w:val="24"/>
        </w:rPr>
        <w:t>中标人</w:t>
      </w:r>
      <w:r>
        <w:rPr>
          <w:rFonts w:hint="eastAsia" w:ascii="宋体" w:hAnsi="宋体" w:cs="宋体"/>
          <w:sz w:val="24"/>
          <w:lang w:val="zh-CN"/>
        </w:rPr>
        <w:t>在接到《</w:t>
      </w:r>
      <w:r>
        <w:rPr>
          <w:rFonts w:hint="eastAsia" w:ascii="宋体" w:hAnsi="宋体" w:cs="宋体"/>
          <w:sz w:val="24"/>
        </w:rPr>
        <w:t>中标</w:t>
      </w:r>
      <w:r>
        <w:rPr>
          <w:rFonts w:hint="eastAsia" w:ascii="宋体" w:hAnsi="宋体" w:cs="宋体"/>
          <w:sz w:val="24"/>
          <w:lang w:val="zh-CN"/>
        </w:rPr>
        <w:t>通知书》后</w:t>
      </w:r>
      <w:r>
        <w:rPr>
          <w:rFonts w:hint="eastAsia" w:ascii="宋体" w:hAnsi="宋体" w:cs="宋体"/>
          <w:sz w:val="24"/>
        </w:rPr>
        <w:t>30</w:t>
      </w:r>
      <w:r>
        <w:rPr>
          <w:rFonts w:hint="eastAsia" w:ascii="宋体" w:hAnsi="宋体" w:cs="宋体"/>
          <w:sz w:val="24"/>
          <w:lang w:eastAsia="zh-CN"/>
        </w:rPr>
        <w:t>日</w:t>
      </w:r>
      <w:r>
        <w:rPr>
          <w:rFonts w:hint="eastAsia" w:ascii="宋体" w:hAnsi="宋体" w:cs="宋体"/>
          <w:sz w:val="24"/>
          <w:lang w:val="zh-CN"/>
        </w:rPr>
        <w:t>内和</w:t>
      </w:r>
      <w:r>
        <w:rPr>
          <w:rFonts w:hint="eastAsia" w:ascii="宋体" w:hAnsi="宋体" w:cs="宋体"/>
          <w:sz w:val="24"/>
        </w:rPr>
        <w:t>招标人</w:t>
      </w:r>
      <w:r>
        <w:rPr>
          <w:rFonts w:hint="eastAsia" w:ascii="宋体" w:hAnsi="宋体" w:cs="宋体"/>
          <w:sz w:val="24"/>
          <w:lang w:val="zh-CN"/>
        </w:rPr>
        <w:t>签订合同。合同签订后</w:t>
      </w:r>
      <w:r>
        <w:rPr>
          <w:rFonts w:hint="eastAsia" w:ascii="宋体" w:hAnsi="宋体" w:cs="宋体"/>
          <w:sz w:val="24"/>
        </w:rPr>
        <w:t>中标人</w:t>
      </w:r>
      <w:r>
        <w:rPr>
          <w:rFonts w:hint="eastAsia" w:ascii="宋体" w:hAnsi="宋体" w:cs="宋体"/>
          <w:sz w:val="24"/>
          <w:lang w:val="zh-CN"/>
        </w:rPr>
        <w:t>方可履约，否则引起的一切后果由</w:t>
      </w:r>
      <w:r>
        <w:rPr>
          <w:rFonts w:hint="eastAsia" w:ascii="宋体" w:hAnsi="宋体" w:cs="宋体"/>
          <w:sz w:val="24"/>
        </w:rPr>
        <w:t>中标人</w:t>
      </w:r>
      <w:r>
        <w:rPr>
          <w:rFonts w:hint="eastAsia" w:ascii="宋体" w:hAnsi="宋体" w:cs="宋体"/>
          <w:sz w:val="24"/>
          <w:lang w:val="zh-CN"/>
        </w:rPr>
        <w:t>自行承担。纸质合同一式</w:t>
      </w:r>
      <w:r>
        <w:rPr>
          <w:rFonts w:hint="eastAsia" w:ascii="宋体" w:hAnsi="宋体" w:cs="宋体"/>
          <w:sz w:val="24"/>
        </w:rPr>
        <w:t>陆</w:t>
      </w:r>
      <w:r>
        <w:rPr>
          <w:rFonts w:hint="eastAsia" w:ascii="宋体" w:hAnsi="宋体" w:cs="宋体"/>
          <w:sz w:val="24"/>
          <w:lang w:val="zh-CN"/>
        </w:rPr>
        <w:t>份，</w:t>
      </w:r>
      <w:r>
        <w:rPr>
          <w:rFonts w:hint="eastAsia" w:ascii="宋体" w:hAnsi="宋体" w:cs="宋体"/>
          <w:sz w:val="24"/>
        </w:rPr>
        <w:t>招标人</w:t>
      </w:r>
      <w:r>
        <w:rPr>
          <w:rFonts w:hint="eastAsia" w:ascii="宋体" w:hAnsi="宋体" w:cs="宋体"/>
          <w:sz w:val="24"/>
          <w:lang w:val="zh-CN"/>
        </w:rPr>
        <w:t>、</w:t>
      </w:r>
      <w:r>
        <w:rPr>
          <w:rFonts w:hint="eastAsia" w:ascii="宋体" w:hAnsi="宋体" w:cs="宋体"/>
          <w:sz w:val="24"/>
        </w:rPr>
        <w:t>中标人</w:t>
      </w:r>
      <w:r>
        <w:rPr>
          <w:rFonts w:hint="eastAsia" w:ascii="宋体" w:hAnsi="宋体" w:cs="宋体"/>
          <w:sz w:val="24"/>
          <w:lang w:val="zh-CN"/>
        </w:rPr>
        <w:t>各</w:t>
      </w:r>
      <w:r>
        <w:rPr>
          <w:rFonts w:hint="eastAsia" w:ascii="宋体" w:hAnsi="宋体" w:cs="宋体"/>
          <w:sz w:val="24"/>
        </w:rPr>
        <w:t>叁</w:t>
      </w:r>
      <w:r>
        <w:rPr>
          <w:rFonts w:hint="eastAsia" w:ascii="宋体" w:hAnsi="宋体" w:cs="宋体"/>
          <w:sz w:val="24"/>
          <w:lang w:val="zh-CN"/>
        </w:rPr>
        <w:t>份。所签合同不得对</w:t>
      </w:r>
      <w:r>
        <w:rPr>
          <w:rFonts w:hint="eastAsia" w:ascii="宋体" w:hAnsi="宋体" w:cs="宋体"/>
          <w:sz w:val="24"/>
        </w:rPr>
        <w:t>招标</w:t>
      </w:r>
      <w:r>
        <w:rPr>
          <w:rFonts w:hint="eastAsia" w:ascii="宋体" w:hAnsi="宋体" w:cs="宋体"/>
          <w:sz w:val="24"/>
          <w:lang w:val="zh-CN"/>
        </w:rPr>
        <w:t>文件作实质性修改。招标人不得向中标人提出不合理的要求作为签订合同的条件，不得与中标人私下订立背离招标文件实质性内容的协议。</w:t>
      </w:r>
    </w:p>
    <w:p w14:paraId="3CD681B2">
      <w:pPr>
        <w:snapToGrid w:val="0"/>
        <w:spacing w:line="460" w:lineRule="exact"/>
        <w:ind w:firstLine="480" w:firstLineChars="200"/>
        <w:rPr>
          <w:rFonts w:ascii="宋体" w:hAnsi="宋体" w:cs="宋体"/>
          <w:sz w:val="24"/>
          <w:lang w:val="zh-CN"/>
        </w:rPr>
      </w:pPr>
      <w:r>
        <w:rPr>
          <w:rFonts w:hint="eastAsia" w:ascii="宋体" w:hAnsi="宋体" w:cs="宋体"/>
          <w:sz w:val="24"/>
          <w:lang w:val="zh-CN"/>
        </w:rPr>
        <w:t>二、中标人切实履行投标响应和承诺</w:t>
      </w:r>
      <w:r>
        <w:rPr>
          <w:rFonts w:hint="eastAsia" w:ascii="宋体" w:hAnsi="宋体" w:cs="宋体"/>
          <w:sz w:val="24"/>
        </w:rPr>
        <w:t>内容</w:t>
      </w:r>
      <w:r>
        <w:rPr>
          <w:rFonts w:hint="eastAsia" w:ascii="宋体" w:hAnsi="宋体" w:cs="宋体"/>
          <w:sz w:val="24"/>
          <w:lang w:val="zh-CN"/>
        </w:rPr>
        <w:t>。</w:t>
      </w:r>
    </w:p>
    <w:p w14:paraId="55BA1CD3">
      <w:pPr>
        <w:snapToGrid w:val="0"/>
        <w:spacing w:line="460" w:lineRule="exact"/>
        <w:ind w:firstLine="480" w:firstLineChars="200"/>
        <w:rPr>
          <w:rFonts w:ascii="宋体" w:hAnsi="宋体" w:cs="宋体"/>
          <w:sz w:val="24"/>
          <w:lang w:val="zh-CN"/>
        </w:rPr>
      </w:pPr>
      <w:r>
        <w:rPr>
          <w:rFonts w:hint="eastAsia" w:ascii="宋体" w:hAnsi="宋体" w:cs="宋体"/>
          <w:sz w:val="24"/>
          <w:lang w:val="zh-CN"/>
        </w:rPr>
        <w:t>三、中标人出现违约情形，应当及时纠正或补偿；造成损失的，按合同约定追究违约责任；发现有商业贿赂等违法情形的，应由招标人移交与投标人相关的政府执法部门依法查处。</w:t>
      </w:r>
    </w:p>
    <w:p w14:paraId="1C322248">
      <w:pPr>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br w:type="page"/>
      </w:r>
    </w:p>
    <w:p w14:paraId="458BD16D">
      <w:pPr>
        <w:adjustRightInd w:val="0"/>
        <w:snapToGrid w:val="0"/>
        <w:spacing w:line="460" w:lineRule="exact"/>
        <w:jc w:val="center"/>
        <w:textAlignment w:val="baseline"/>
        <w:outlineLvl w:val="0"/>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第六部分 质疑与投诉</w:t>
      </w:r>
    </w:p>
    <w:p w14:paraId="47D88F23">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一、质疑的提出</w:t>
      </w:r>
    </w:p>
    <w:p w14:paraId="516ECFAF">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1.质疑人必须是直接参加本次投标活动的当事人。</w:t>
      </w:r>
    </w:p>
    <w:p w14:paraId="7407E086">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下载招标文件的投标人应根据第二章“投标人须知”中第一条第4款的约定提出；响应文件接收截止后，投标人未进行投标登记的，不能就响应文件接收截止后的招投标过程、中标结果提出质疑；在投标过程中，凡主持人或评标小组明确提出须由投标人确认的事项，投标人当场无异议的，事后不得提出质疑。</w:t>
      </w:r>
    </w:p>
    <w:p w14:paraId="18161AD2">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提出质疑时，必须坚持“谁主张，谁举证”、“实事求是”的原则，不能臆测。属于须由法定部门调查、侦查或先行作出相关认定的事项，质疑人应当依法申请具有法定职权的部门查清、认定，并将相关结果提供给采购人或代理机构。采购人或代理机构不具有法定调查、认定权限。</w:t>
      </w:r>
    </w:p>
    <w:p w14:paraId="11F533DC">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对本次招标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14:paraId="229AB358">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对不能提供相关佐证材料的、涉及商业秘密的、非书面形式的、非送达的、匿名的《质疑函》将不予受理。</w:t>
      </w:r>
    </w:p>
    <w:p w14:paraId="7A875DD2">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相关佐证材料要具备客观性、关联性、合法性，无法查实的（如宣传册、媒体报道、猜测、推理等）不能作为佐证材料。</w:t>
      </w:r>
    </w:p>
    <w:p w14:paraId="511755C0">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采购人或代理机构不负责搜集相关佐证材料等工作。</w:t>
      </w:r>
    </w:p>
    <w:p w14:paraId="7754DB23">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二、《质疑函》的受理和回复</w:t>
      </w:r>
    </w:p>
    <w:p w14:paraId="497A9EB3">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1.《质疑函》须由质疑人的法定代表人或参加本次投标授权人送达采购人和代理机构。</w:t>
      </w:r>
    </w:p>
    <w:p w14:paraId="4AD9F38C">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符合提出质疑要求的，采购人、代理机构签收并出具《质疑受理通知书》。在处理过程中，发现需要质疑人进一步补充相关佐证材料的，请质疑人在规定的时间内提供，质疑回复时间相应顺延。质疑人不能按时提供相关佐证材料的，视同放弃质疑。</w:t>
      </w:r>
    </w:p>
    <w:p w14:paraId="45DAD5DD">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3.对不符合提出质疑要求的，出具《质疑退回通知书》并提出相关补充材料要求，质疑人未在规定的时间内提供补充佐证材料的，视同放弃质疑。</w:t>
      </w:r>
    </w:p>
    <w:p w14:paraId="72A2EDDD">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4.采购人、代理机构负责将质疑人提出的质疑相关材料提供给相关专家或评标小组审核，并将审核意见回复质疑人。</w:t>
      </w:r>
    </w:p>
    <w:p w14:paraId="49C27E3C">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必要时，可向被质疑人转发《质疑函》及相关佐证材料。被质疑人应当在要求的时间日内，以书面形式作出说明，并提交相关证据。被质疑人在规定时间内，无正当理由未提交相关证据的，视同放弃说明权利，认可被质疑事项。</w:t>
      </w:r>
    </w:p>
    <w:p w14:paraId="5A170A3B">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5.因质疑情况复杂，组织论证或审查时间较长的，招标人、代理机构以书面形式通知质疑人，可适当延长质疑回复处理时间。</w:t>
      </w:r>
    </w:p>
    <w:p w14:paraId="2BF97450">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三、质疑处理</w:t>
      </w:r>
    </w:p>
    <w:p w14:paraId="3634D7A3">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1.质疑成立的处理。招标人或代理机构终止招标，并建议有关部门给相关当事人予以处理。</w:t>
      </w:r>
    </w:p>
    <w:p w14:paraId="654CE596">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2.质疑不成立的处理。</w:t>
      </w:r>
    </w:p>
    <w:p w14:paraId="75306200">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1）质疑人书面《申请撤回质疑函》的，不作违约处理。</w:t>
      </w:r>
    </w:p>
    <w:p w14:paraId="30DD8141">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2）质疑人在规定的时间内不配合进行质疑调查处理的，按自动撤回《质疑函》处理。</w:t>
      </w:r>
    </w:p>
    <w:p w14:paraId="4EBED895">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3）质疑人不按《质疑函》格式就提出质疑的，作违约处理。同时，视情列入不良投标人名单。</w:t>
      </w:r>
    </w:p>
    <w:p w14:paraId="2888BD7B">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4）质疑人虽提供了相关佐证材料，但不能证明其质疑成立的，招标人或代理机构请质疑人补充相关佐证材料，仍不能证明其质疑成立的，作违约处理。</w:t>
      </w:r>
    </w:p>
    <w:p w14:paraId="7E58FF5A">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5）质疑人不能提供相关佐证材料的，招标人、代理机构已指出，质疑人仍然坚持提出质疑的，作违约处理。</w:t>
      </w:r>
    </w:p>
    <w:p w14:paraId="51DE1652">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6）对明显有违事实的、经相关专家或评标小组认定无依据的、经其他投标人举证无依据的质疑，作违约处理，视情在招标人官网媒体予以披露。</w:t>
      </w:r>
    </w:p>
    <w:p w14:paraId="2C0AC669">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7）质疑人承担使用虚假材料或恶意方式质疑的法律责任。</w:t>
      </w:r>
    </w:p>
    <w:p w14:paraId="1D4E9378">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四、无佐证材料的举报作违约处理。投标人不得进行不提供相关佐证材料（含无法查实的如宣传册、媒体报道、猜测、推理等）向有关部门的举报，否则作违约处理。</w:t>
      </w:r>
    </w:p>
    <w:p w14:paraId="56D1B044">
      <w:pPr>
        <w:adjustRightInd w:val="0"/>
        <w:snapToGrid w:val="0"/>
        <w:spacing w:line="460" w:lineRule="exact"/>
        <w:ind w:firstLine="480" w:firstLineChars="200"/>
        <w:contextualSpacing/>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五、投诉不成立的作违约处理。投标人进行质疑后，招标人回复质疑不成立，投标人仍进行投诉的，并最终投诉不成立的，作违约处理。</w:t>
      </w:r>
    </w:p>
    <w:p w14:paraId="512D55FA">
      <w:pPr>
        <w:adjustRightInd w:val="0"/>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六、《质疑函》、《质疑回复函》，质疑、举报、投诉不成立的等相关情况，视情在招标人官网等相关媒体予以披露。</w:t>
      </w:r>
    </w:p>
    <w:p w14:paraId="6A1323A1">
      <w:pPr>
        <w:adjustRightInd w:val="0"/>
        <w:snapToGrid w:val="0"/>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七、质疑人对招标人或代理机构的答复不满意或者招标人、代理机构未在规定的时间内作出答复的，可以在答复期满后15个工作日内向相关监督管理部门投诉。</w:t>
      </w:r>
    </w:p>
    <w:p w14:paraId="5A3FEBBF">
      <w:pPr>
        <w:adjustRightInd w:val="0"/>
        <w:snapToGrid w:val="0"/>
        <w:spacing w:line="460" w:lineRule="exact"/>
        <w:ind w:firstLine="482" w:firstLineChars="200"/>
        <w:jc w:val="center"/>
        <w:rPr>
          <w:rFonts w:ascii="宋体" w:hAnsi="宋体" w:cs="宋体"/>
          <w:b/>
          <w:color w:val="000000" w:themeColor="text1"/>
          <w:sz w:val="24"/>
          <w14:textFill>
            <w14:solidFill>
              <w14:schemeClr w14:val="tx1"/>
            </w14:solidFill>
          </w14:textFill>
        </w:rPr>
        <w:sectPr>
          <w:headerReference r:id="rId5" w:type="default"/>
          <w:pgSz w:w="11906" w:h="16838"/>
          <w:pgMar w:top="1440" w:right="1080" w:bottom="1440" w:left="1080" w:header="851" w:footer="992" w:gutter="0"/>
          <w:cols w:space="720" w:num="1"/>
          <w:docGrid w:type="lines" w:linePitch="312" w:charSpace="0"/>
        </w:sectPr>
      </w:pPr>
      <w:r>
        <w:rPr>
          <w:rFonts w:hint="eastAsia" w:ascii="宋体" w:hAnsi="宋体" w:cs="宋体"/>
          <w:b/>
          <w:color w:val="000000" w:themeColor="text1"/>
          <w:sz w:val="24"/>
          <w14:textFill>
            <w14:solidFill>
              <w14:schemeClr w14:val="tx1"/>
            </w14:solidFill>
          </w14:textFill>
        </w:rPr>
        <w:br w:type="page"/>
      </w:r>
    </w:p>
    <w:p w14:paraId="57D4ABA8">
      <w:pPr>
        <w:adjustRightInd w:val="0"/>
        <w:snapToGrid w:val="0"/>
        <w:spacing w:line="460" w:lineRule="exact"/>
        <w:ind w:firstLine="720" w:firstLineChars="200"/>
        <w:jc w:val="center"/>
        <w:rPr>
          <w:rFonts w:ascii="宋体" w:hAnsi="宋体" w:cs="宋体"/>
          <w:bCs/>
          <w:color w:val="000000" w:themeColor="text1"/>
          <w:sz w:val="36"/>
          <w:szCs w:val="36"/>
          <w14:textFill>
            <w14:solidFill>
              <w14:schemeClr w14:val="tx1"/>
            </w14:solidFill>
          </w14:textFill>
        </w:rPr>
      </w:pPr>
      <w:r>
        <w:rPr>
          <w:rFonts w:hint="eastAsia" w:ascii="宋体" w:hAnsi="宋体" w:cs="宋体"/>
          <w:bCs/>
          <w:color w:val="000000" w:themeColor="text1"/>
          <w:sz w:val="36"/>
          <w:szCs w:val="36"/>
          <w14:textFill>
            <w14:solidFill>
              <w14:schemeClr w14:val="tx1"/>
            </w14:solidFill>
          </w14:textFill>
        </w:rPr>
        <w:t>第七部分  投标文件组成</w:t>
      </w:r>
    </w:p>
    <w:p w14:paraId="6084A505">
      <w:pPr>
        <w:adjustRightInd w:val="0"/>
        <w:snapToGrid w:val="0"/>
        <w:spacing w:line="420" w:lineRule="exact"/>
        <w:ind w:firstLine="482" w:firstLineChars="200"/>
        <w:jc w:val="lef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投标文件由资格审查文件、商务技术标、价格标、电子响应文件四部分组成。</w:t>
      </w:r>
    </w:p>
    <w:p w14:paraId="1CD1AD21">
      <w:pPr>
        <w:adjustRightInd w:val="0"/>
        <w:snapToGrid w:val="0"/>
        <w:spacing w:line="420" w:lineRule="exact"/>
        <w:ind w:firstLine="482" w:firstLineChars="200"/>
        <w:rPr>
          <w:rFonts w:ascii="宋体" w:hAnsi="宋体" w:cs="宋体"/>
          <w:b/>
          <w:bCs/>
          <w:color w:val="000000" w:themeColor="text1"/>
          <w:kern w:val="0"/>
          <w:sz w:val="24"/>
          <w:lang w:val="zh-CN"/>
          <w14:textFill>
            <w14:solidFill>
              <w14:schemeClr w14:val="tx1"/>
            </w14:solidFill>
          </w14:textFill>
        </w:rPr>
      </w:pPr>
      <w:r>
        <w:rPr>
          <w:rFonts w:hint="eastAsia" w:ascii="宋体" w:hAnsi="宋体" w:cs="宋体"/>
          <w:b/>
          <w:bCs/>
          <w:color w:val="000000" w:themeColor="text1"/>
          <w:kern w:val="0"/>
          <w:sz w:val="24"/>
          <w:lang w:val="zh-CN"/>
          <w14:textFill>
            <w14:solidFill>
              <w14:schemeClr w14:val="tx1"/>
            </w14:solidFill>
          </w14:textFill>
        </w:rPr>
        <w:t>一、资格审查文件（不能出现商务技术标、价格标）</w:t>
      </w:r>
    </w:p>
    <w:p w14:paraId="2F18148F">
      <w:pPr>
        <w:pStyle w:val="79"/>
        <w:widowControl/>
        <w:spacing w:line="420" w:lineRule="exact"/>
        <w:ind w:firstLine="480"/>
        <w:outlineLvl w:val="0"/>
        <w:rPr>
          <w:rFonts w:ascii="宋体" w:hAnsi="宋体" w:cs="宋体"/>
          <w:sz w:val="24"/>
        </w:rPr>
      </w:pPr>
      <w:r>
        <w:rPr>
          <w:rFonts w:hint="eastAsia" w:ascii="宋体" w:hAnsi="宋体" w:cs="宋体"/>
          <w:sz w:val="24"/>
        </w:rPr>
        <w:t>1.资格审查材料</w:t>
      </w:r>
    </w:p>
    <w:p w14:paraId="25CF04C4">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ascii="Calibri" w:hAnsi="Calibri" w:cs="Calibri"/>
          <w:color w:val="000000" w:themeColor="text1"/>
          <w:kern w:val="0"/>
          <w:sz w:val="24"/>
          <w:lang w:val="zh-CN"/>
          <w14:textFill>
            <w14:solidFill>
              <w14:schemeClr w14:val="tx1"/>
            </w14:solidFill>
          </w14:textFill>
        </w:rPr>
        <w:t>①</w:t>
      </w:r>
      <w:r>
        <w:rPr>
          <w:rFonts w:hint="eastAsia" w:ascii="宋体" w:hAnsi="宋体" w:cs="宋体"/>
          <w:color w:val="000000" w:themeColor="text1"/>
          <w:kern w:val="0"/>
          <w:sz w:val="24"/>
          <w14:textFill>
            <w14:solidFill>
              <w14:schemeClr w14:val="tx1"/>
            </w14:solidFill>
          </w14:textFill>
        </w:rPr>
        <w:t>符合投标人资格要求的承诺函（格式见附件1）</w:t>
      </w:r>
      <w:r>
        <w:rPr>
          <w:rFonts w:hint="eastAsia" w:ascii="宋体" w:hAnsi="宋体" w:cs="宋体"/>
          <w:color w:val="000000" w:themeColor="text1"/>
          <w:kern w:val="0"/>
          <w:sz w:val="24"/>
          <w:lang w:val="zh-CN"/>
          <w14:textFill>
            <w14:solidFill>
              <w14:schemeClr w14:val="tx1"/>
            </w14:solidFill>
          </w14:textFill>
        </w:rPr>
        <w:t>；</w:t>
      </w:r>
    </w:p>
    <w:p w14:paraId="1AD08484">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ascii="Calibri" w:hAnsi="Calibri" w:cs="Calibri"/>
          <w:color w:val="000000" w:themeColor="text1"/>
          <w:kern w:val="0"/>
          <w:sz w:val="24"/>
          <w:lang w:val="zh-CN"/>
          <w14:textFill>
            <w14:solidFill>
              <w14:schemeClr w14:val="tx1"/>
            </w14:solidFill>
          </w14:textFill>
        </w:rPr>
        <w:t>②</w:t>
      </w:r>
      <w:r>
        <w:rPr>
          <w:rFonts w:hint="eastAsia" w:ascii="宋体" w:hAnsi="宋体" w:cs="宋体"/>
          <w:color w:val="000000" w:themeColor="text1"/>
          <w:kern w:val="0"/>
          <w:sz w:val="24"/>
          <w:lang w:val="zh-CN"/>
          <w14:textFill>
            <w14:solidFill>
              <w14:schemeClr w14:val="tx1"/>
            </w14:solidFill>
          </w14:textFill>
        </w:rPr>
        <w:t>法定代表人参加投标的，必须提供法定代表人身份证明及法定代表人本人身份证复印件（格式见附件2）；非法定代表人参加投标的，必须提供法定代表人身份证明、法定代表人签名或盖章的授权委托书及法定代表人和委托代理人（以下称被授权人）两个人的身份证复印件（格式见附件3）；</w:t>
      </w:r>
    </w:p>
    <w:p w14:paraId="460109B3">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ascii="Calibri" w:hAnsi="Calibri" w:cs="Calibri"/>
          <w:color w:val="000000" w:themeColor="text1"/>
          <w:kern w:val="0"/>
          <w:sz w:val="24"/>
          <w:lang w:val="zh-CN"/>
          <w14:textFill>
            <w14:solidFill>
              <w14:schemeClr w14:val="tx1"/>
            </w14:solidFill>
          </w14:textFill>
        </w:rPr>
        <w:t>③</w:t>
      </w:r>
      <w:r>
        <w:rPr>
          <w:rFonts w:hint="eastAsia" w:ascii="宋体" w:hAnsi="宋体" w:cs="宋体"/>
          <w:color w:val="000000" w:themeColor="text1"/>
          <w:kern w:val="0"/>
          <w:sz w:val="24"/>
          <w:lang w:val="zh-CN"/>
          <w14:textFill>
            <w14:solidFill>
              <w14:schemeClr w14:val="tx1"/>
            </w14:solidFill>
          </w14:textFill>
        </w:rPr>
        <w:t>具备履行合同所必需的设备和专业技术能力的书面声明</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val="zh-CN"/>
          <w14:textFill>
            <w14:solidFill>
              <w14:schemeClr w14:val="tx1"/>
            </w14:solidFill>
          </w14:textFill>
        </w:rPr>
        <w:t>格式见附件</w:t>
      </w:r>
      <w:r>
        <w:rPr>
          <w:rFonts w:hint="eastAsia" w:ascii="宋体" w:hAnsi="宋体" w:cs="宋体"/>
          <w:color w:val="000000" w:themeColor="text1"/>
          <w:kern w:val="0"/>
          <w:sz w:val="24"/>
          <w14:textFill>
            <w14:solidFill>
              <w14:schemeClr w14:val="tx1"/>
            </w14:solidFill>
          </w14:textFill>
        </w:rPr>
        <w:t>4）</w:t>
      </w:r>
      <w:r>
        <w:rPr>
          <w:rFonts w:hint="eastAsia" w:ascii="宋体" w:hAnsi="宋体" w:cs="宋体"/>
          <w:color w:val="000000" w:themeColor="text1"/>
          <w:kern w:val="0"/>
          <w:sz w:val="24"/>
          <w:lang w:val="zh-CN"/>
          <w14:textFill>
            <w14:solidFill>
              <w14:schemeClr w14:val="tx1"/>
            </w14:solidFill>
          </w14:textFill>
        </w:rPr>
        <w:t>；</w:t>
      </w:r>
    </w:p>
    <w:p w14:paraId="143CD5EE">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④</w:t>
      </w:r>
      <w:r>
        <w:rPr>
          <w:rFonts w:hint="eastAsia" w:ascii="宋体" w:hAnsi="宋体" w:cs="宋体"/>
          <w:color w:val="000000" w:themeColor="text1"/>
          <w:kern w:val="0"/>
          <w:sz w:val="24"/>
          <w:lang w:val="zh-CN"/>
          <w14:textFill>
            <w14:solidFill>
              <w14:schemeClr w14:val="tx1"/>
            </w14:solidFill>
          </w14:textFill>
        </w:rPr>
        <w:t>有效的营业执照副本复印件并加盖投标单位公章；</w:t>
      </w:r>
    </w:p>
    <w:p w14:paraId="19FA594D">
      <w:pPr>
        <w:adjustRightInd w:val="0"/>
        <w:snapToGrid w:val="0"/>
        <w:spacing w:line="420" w:lineRule="exact"/>
        <w:ind w:firstLine="480" w:firstLineChars="200"/>
        <w:rPr>
          <w:rFonts w:ascii="宋体" w:hAnsi="宋体" w:cs="宋体"/>
          <w:color w:val="000000" w:themeColor="text1"/>
          <w:kern w:val="0"/>
          <w:sz w:val="24"/>
          <w14:textFill>
            <w14:solidFill>
              <w14:schemeClr w14:val="tx1"/>
            </w14:solidFill>
          </w14:textFill>
        </w:rPr>
      </w:pPr>
      <w:r>
        <w:rPr>
          <w:rFonts w:hint="eastAsia" w:ascii="Cambria" w:hAnsi="Cambria" w:cs="Cambria"/>
          <w:color w:val="000000"/>
          <w:kern w:val="0"/>
          <w:sz w:val="24"/>
          <w:lang w:eastAsia="zh-CN"/>
        </w:rPr>
        <w:t>⑤</w:t>
      </w:r>
      <w:r>
        <w:rPr>
          <w:rFonts w:hint="eastAsia" w:ascii="宋体" w:hAnsi="宋体" w:cs="宋体"/>
          <w:color w:val="000000"/>
          <w:kern w:val="0"/>
          <w:sz w:val="24"/>
          <w:lang w:val="zh-CN"/>
        </w:rPr>
        <w:t>投标供应商具有道路运输经营许可证（客运）资质证书；</w:t>
      </w:r>
    </w:p>
    <w:p w14:paraId="7230390B">
      <w:pPr>
        <w:adjustRightInd w:val="0"/>
        <w:snapToGrid w:val="0"/>
        <w:spacing w:line="420" w:lineRule="exact"/>
        <w:ind w:firstLine="480" w:firstLineChars="200"/>
        <w:rPr>
          <w:rFonts w:hint="eastAsia" w:ascii="宋体" w:hAnsi="宋体" w:cs="宋体"/>
          <w:color w:val="auto"/>
          <w:kern w:val="0"/>
          <w:sz w:val="24"/>
        </w:rPr>
      </w:pPr>
      <w:r>
        <w:rPr>
          <w:rFonts w:hint="eastAsia" w:ascii="Cambria" w:hAnsi="Cambria" w:cs="Cambria"/>
          <w:color w:val="auto"/>
          <w:kern w:val="0"/>
          <w:sz w:val="24"/>
          <w:lang w:eastAsia="zh-CN"/>
        </w:rPr>
        <w:t>⑥</w:t>
      </w:r>
      <w:r>
        <w:rPr>
          <w:rFonts w:hint="eastAsia" w:ascii="宋体" w:hAnsi="宋体" w:cs="宋体"/>
          <w:color w:val="auto"/>
          <w:kern w:val="0"/>
          <w:sz w:val="24"/>
        </w:rPr>
        <w:t>未被“信用中国”、“中国政府采购网”网站列入失信被执行人、重大税收违法案件当事人名单、政府采购严重违法失信行为记录名单，提供无重大违法记录声明（</w:t>
      </w:r>
      <w:r>
        <w:rPr>
          <w:rFonts w:hint="eastAsia" w:ascii="宋体" w:hAnsi="宋体" w:cs="宋体"/>
          <w:color w:val="auto"/>
          <w:kern w:val="0"/>
          <w:sz w:val="24"/>
          <w:lang w:val="zh-CN"/>
        </w:rPr>
        <w:t>格式见附件</w:t>
      </w:r>
      <w:r>
        <w:rPr>
          <w:rFonts w:hint="eastAsia" w:ascii="宋体" w:hAnsi="宋体" w:cs="宋体"/>
          <w:color w:val="auto"/>
          <w:kern w:val="0"/>
          <w:sz w:val="24"/>
          <w:lang w:val="en-US" w:eastAsia="zh-CN"/>
        </w:rPr>
        <w:t>5</w:t>
      </w:r>
      <w:r>
        <w:rPr>
          <w:rFonts w:hint="eastAsia" w:ascii="宋体" w:hAnsi="宋体" w:cs="宋体"/>
          <w:color w:val="auto"/>
          <w:kern w:val="0"/>
          <w:sz w:val="24"/>
        </w:rPr>
        <w:t>）。</w:t>
      </w:r>
    </w:p>
    <w:p w14:paraId="30C52ACC">
      <w:pPr>
        <w:adjustRightInd w:val="0"/>
        <w:snapToGrid w:val="0"/>
        <w:spacing w:line="420" w:lineRule="exact"/>
        <w:ind w:firstLine="480" w:firstLineChars="200"/>
        <w:rPr>
          <w:rFonts w:hint="eastAsia" w:ascii="宋体" w:hAnsi="宋体" w:cs="宋体"/>
          <w:color w:val="auto"/>
          <w:kern w:val="0"/>
          <w:sz w:val="24"/>
        </w:rPr>
      </w:pPr>
      <w:r>
        <w:rPr>
          <w:rFonts w:hint="eastAsia" w:ascii="宋体" w:hAnsi="宋体" w:cs="宋体"/>
          <w:color w:val="auto"/>
          <w:kern w:val="0"/>
          <w:sz w:val="24"/>
          <w:lang w:eastAsia="zh-CN"/>
        </w:rPr>
        <w:t>⑦</w:t>
      </w:r>
      <w:r>
        <w:rPr>
          <w:rFonts w:ascii="宋体" w:hAnsi="宋体" w:eastAsia="宋体" w:cs="宋体"/>
          <w:color w:val="auto"/>
          <w:sz w:val="24"/>
          <w:szCs w:val="24"/>
        </w:rPr>
        <w:t>提供书面承诺函，承诺企业近三年无重大交通事故、无客运行政处罚记录，本项目拟派驾驶员无重大交通责任事故记录（格式见附件</w:t>
      </w:r>
      <w:r>
        <w:rPr>
          <w:rFonts w:hint="eastAsia" w:ascii="宋体" w:hAnsi="宋体" w:cs="宋体"/>
          <w:color w:val="auto"/>
          <w:sz w:val="24"/>
          <w:szCs w:val="24"/>
          <w:lang w:eastAsia="zh-CN"/>
        </w:rPr>
        <w:t>附件</w:t>
      </w:r>
      <w:r>
        <w:rPr>
          <w:rFonts w:hint="eastAsia" w:ascii="宋体" w:hAnsi="宋体" w:cs="宋体"/>
          <w:color w:val="auto"/>
          <w:sz w:val="24"/>
          <w:szCs w:val="24"/>
          <w:lang w:val="en-US" w:eastAsia="zh-CN"/>
        </w:rPr>
        <w:t>6</w:t>
      </w:r>
      <w:r>
        <w:rPr>
          <w:rFonts w:ascii="宋体" w:hAnsi="宋体" w:eastAsia="宋体" w:cs="宋体"/>
          <w:color w:val="auto"/>
          <w:sz w:val="24"/>
          <w:szCs w:val="24"/>
        </w:rPr>
        <w:t>）。</w:t>
      </w:r>
    </w:p>
    <w:p w14:paraId="372801C9">
      <w:pPr>
        <w:adjustRightInd w:val="0"/>
        <w:snapToGrid w:val="0"/>
        <w:spacing w:line="420" w:lineRule="exact"/>
        <w:ind w:firstLine="482" w:firstLineChars="200"/>
        <w:rPr>
          <w:rFonts w:ascii="宋体" w:hAnsi="宋体" w:cs="宋体"/>
          <w:b/>
          <w:bCs/>
          <w:color w:val="000000" w:themeColor="text1"/>
          <w:kern w:val="0"/>
          <w:sz w:val="24"/>
          <w:lang w:val="zh-CN"/>
          <w14:textFill>
            <w14:solidFill>
              <w14:schemeClr w14:val="tx1"/>
            </w14:solidFill>
          </w14:textFill>
        </w:rPr>
      </w:pPr>
      <w:r>
        <w:rPr>
          <w:rFonts w:hint="eastAsia" w:ascii="宋体" w:hAnsi="宋体" w:cs="宋体"/>
          <w:b/>
          <w:bCs/>
          <w:color w:val="000000" w:themeColor="text1"/>
          <w:kern w:val="0"/>
          <w:sz w:val="24"/>
          <w:lang w:val="zh-CN"/>
          <w14:textFill>
            <w14:solidFill>
              <w14:schemeClr w14:val="tx1"/>
            </w14:solidFill>
          </w14:textFill>
        </w:rPr>
        <w:t>二、商务技术标（不能出现价格标）</w:t>
      </w:r>
      <w:bookmarkStart w:id="103" w:name="_GoBack"/>
      <w:bookmarkEnd w:id="103"/>
    </w:p>
    <w:p w14:paraId="4F94F0C9">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投标响应函</w:t>
      </w:r>
      <w:r>
        <w:rPr>
          <w:rFonts w:hint="eastAsia" w:ascii="宋体" w:hAnsi="宋体" w:cs="宋体"/>
          <w:color w:val="000000" w:themeColor="text1"/>
          <w:kern w:val="0"/>
          <w:sz w:val="24"/>
          <w:lang w:val="zh-CN"/>
          <w14:textFill>
            <w14:solidFill>
              <w14:schemeClr w14:val="tx1"/>
            </w14:solidFill>
          </w14:textFill>
        </w:rPr>
        <w:t>（格式见附件</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lang w:val="zh-CN"/>
          <w14:textFill>
            <w14:solidFill>
              <w14:schemeClr w14:val="tx1"/>
            </w14:solidFill>
          </w14:textFill>
        </w:rPr>
        <w:t>）；</w:t>
      </w:r>
    </w:p>
    <w:p w14:paraId="75642B29">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zh-CN"/>
          <w14:textFill>
            <w14:solidFill>
              <w14:schemeClr w14:val="tx1"/>
            </w14:solidFill>
          </w14:textFill>
        </w:rPr>
        <w:t>商务技术评分标准中须提供的相关得分佐证材料；</w:t>
      </w:r>
    </w:p>
    <w:p w14:paraId="640638BA">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zh-CN"/>
          <w14:textFill>
            <w14:solidFill>
              <w14:schemeClr w14:val="tx1"/>
            </w14:solidFill>
          </w14:textFill>
        </w:rPr>
        <w:t>投标人认为需要提交的其他商务技术材料。</w:t>
      </w:r>
    </w:p>
    <w:p w14:paraId="30104ACE">
      <w:pPr>
        <w:adjustRightInd w:val="0"/>
        <w:snapToGrid w:val="0"/>
        <w:spacing w:line="420" w:lineRule="exact"/>
        <w:ind w:firstLine="482" w:firstLineChars="200"/>
        <w:rPr>
          <w:rFonts w:ascii="宋体" w:hAnsi="宋体" w:cs="宋体"/>
          <w:b/>
          <w:bCs/>
          <w:color w:val="000000" w:themeColor="text1"/>
          <w:kern w:val="0"/>
          <w:sz w:val="24"/>
          <w:lang w:val="zh-CN"/>
          <w14:textFill>
            <w14:solidFill>
              <w14:schemeClr w14:val="tx1"/>
            </w14:solidFill>
          </w14:textFill>
        </w:rPr>
      </w:pPr>
      <w:r>
        <w:rPr>
          <w:rFonts w:hint="eastAsia" w:ascii="宋体" w:hAnsi="宋体" w:cs="宋体"/>
          <w:b/>
          <w:bCs/>
          <w:color w:val="000000" w:themeColor="text1"/>
          <w:kern w:val="0"/>
          <w:sz w:val="24"/>
          <w:lang w:val="zh-CN"/>
          <w14:textFill>
            <w14:solidFill>
              <w14:schemeClr w14:val="tx1"/>
            </w14:solidFill>
          </w14:textFill>
        </w:rPr>
        <w:t>三、价格标</w:t>
      </w:r>
    </w:p>
    <w:p w14:paraId="76DA57C4">
      <w:pPr>
        <w:adjustRightInd w:val="0"/>
        <w:snapToGrid w:val="0"/>
        <w:spacing w:line="420" w:lineRule="exact"/>
        <w:ind w:firstLine="480" w:firstLineChars="20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1.报价总表（格式见附件</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lang w:val="zh-CN"/>
          <w14:textFill>
            <w14:solidFill>
              <w14:schemeClr w14:val="tx1"/>
            </w14:solidFill>
          </w14:textFill>
        </w:rPr>
        <w:t>）；</w:t>
      </w:r>
    </w:p>
    <w:p w14:paraId="67BC2AA4">
      <w:pPr>
        <w:adjustRightInd w:val="0"/>
        <w:snapToGrid w:val="0"/>
        <w:spacing w:line="420" w:lineRule="exact"/>
        <w:ind w:firstLine="482" w:firstLineChars="200"/>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四、电子响应文件（一份、单独密封提交）</w:t>
      </w:r>
    </w:p>
    <w:p w14:paraId="733DC05C">
      <w:pPr>
        <w:adjustRightInd w:val="0"/>
        <w:snapToGrid w:val="0"/>
        <w:spacing w:line="420" w:lineRule="exact"/>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电子响应文件的内容为完整响应文件（包含资格审查文件、商务技术标、价格标）经打印盖章或加盖电子签章后的扫描件；扫描文件分类命名规范：文件类别 - 投标单位简称（如：资格审查文件-XX 公司、商务技术标-XX 公司、价格标-XX公司）。</w:t>
      </w:r>
    </w:p>
    <w:p w14:paraId="12B2F638">
      <w:pPr>
        <w:snapToGrid w:val="0"/>
        <w:spacing w:line="460" w:lineRule="exact"/>
        <w:contextualSpacing/>
        <w:rPr>
          <w:rFonts w:ascii="宋体" w:hAnsi="宋体" w:cs="宋体"/>
          <w:color w:val="000000" w:themeColor="text1"/>
          <w:kern w:val="0"/>
          <w:sz w:val="32"/>
          <w:szCs w:val="32"/>
          <w:lang w:val="zh-CN"/>
          <w14:textFill>
            <w14:solidFill>
              <w14:schemeClr w14:val="tx1"/>
            </w14:solidFill>
          </w14:textFill>
        </w:rPr>
      </w:pPr>
      <w:r>
        <w:rPr>
          <w:rFonts w:hint="eastAsia" w:ascii="宋体" w:hAnsi="宋体" w:cs="宋体"/>
          <w:color w:val="000000" w:themeColor="text1"/>
          <w:kern w:val="0"/>
          <w:sz w:val="32"/>
          <w:szCs w:val="32"/>
          <w:lang w:val="zh-CN"/>
          <w14:textFill>
            <w14:solidFill>
              <w14:schemeClr w14:val="tx1"/>
            </w14:solidFill>
          </w14:textFill>
        </w:rPr>
        <w:br w:type="page"/>
      </w:r>
      <w:r>
        <w:rPr>
          <w:rFonts w:hint="eastAsia" w:ascii="宋体" w:hAnsi="宋体" w:cs="宋体"/>
          <w:color w:val="000000" w:themeColor="text1"/>
          <w:kern w:val="0"/>
          <w:sz w:val="32"/>
          <w:szCs w:val="32"/>
          <w:lang w:val="zh-CN"/>
          <w14:textFill>
            <w14:solidFill>
              <w14:schemeClr w14:val="tx1"/>
            </w14:solidFill>
          </w14:textFill>
        </w:rPr>
        <w:t>附件1</w:t>
      </w:r>
    </w:p>
    <w:p w14:paraId="406B08D1">
      <w:pPr>
        <w:spacing w:line="460" w:lineRule="exact"/>
        <w:jc w:val="center"/>
        <w:rPr>
          <w:rFonts w:ascii="宋体" w:hAnsi="宋体" w:cs="宋体"/>
          <w:b/>
          <w:color w:val="000000" w:themeColor="text1"/>
          <w:sz w:val="30"/>
          <w:szCs w:val="30"/>
          <w14:textFill>
            <w14:solidFill>
              <w14:schemeClr w14:val="tx1"/>
            </w14:solidFill>
          </w14:textFill>
        </w:rPr>
      </w:pPr>
    </w:p>
    <w:p w14:paraId="0686C2E3">
      <w:pPr>
        <w:spacing w:line="460" w:lineRule="exact"/>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符合投标人资格要求的承诺函</w:t>
      </w:r>
    </w:p>
    <w:p w14:paraId="3D2D6BCB">
      <w:pPr>
        <w:spacing w:line="460" w:lineRule="exact"/>
        <w:rPr>
          <w:rFonts w:ascii="宋体" w:hAnsi="宋体" w:cs="宋体"/>
          <w:b/>
          <w:bCs/>
          <w:color w:val="000000" w:themeColor="text1"/>
          <w:sz w:val="44"/>
          <w:szCs w:val="44"/>
          <w14:textFill>
            <w14:solidFill>
              <w14:schemeClr w14:val="tx1"/>
            </w14:solidFill>
          </w14:textFill>
        </w:rPr>
      </w:pPr>
    </w:p>
    <w:p w14:paraId="46968B4B">
      <w:pPr>
        <w:spacing w:line="460" w:lineRule="exact"/>
        <w:ind w:firstLine="480" w:firstLineChars="200"/>
        <w:rPr>
          <w:rFonts w:ascii="宋体" w:hAnsi="宋体" w:cs="宋体"/>
          <w:b/>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我单位参加</w:t>
      </w:r>
      <w:r>
        <w:rPr>
          <w:rFonts w:hint="eastAsia" w:ascii="宋体" w:hAnsi="宋体" w:cs="宋体"/>
          <w:bCs/>
          <w:color w:val="000000" w:themeColor="text1"/>
          <w:sz w:val="24"/>
          <w:szCs w:val="21"/>
          <w:u w:val="single"/>
          <w14:textFill>
            <w14:solidFill>
              <w14:schemeClr w14:val="tx1"/>
            </w14:solidFill>
          </w14:textFill>
        </w:rPr>
        <w:t>________________ _</w:t>
      </w:r>
      <w:r>
        <w:rPr>
          <w:rFonts w:hint="eastAsia" w:ascii="宋体" w:hAnsi="宋体" w:cs="宋体"/>
          <w:bCs/>
          <w:color w:val="000000" w:themeColor="text1"/>
          <w:sz w:val="24"/>
          <w:szCs w:val="21"/>
          <w14:textFill>
            <w14:solidFill>
              <w14:schemeClr w14:val="tx1"/>
            </w14:solidFill>
          </w14:textFill>
        </w:rPr>
        <w:t>（项目名称），</w:t>
      </w:r>
      <w:r>
        <w:rPr>
          <w:rFonts w:hint="eastAsia" w:ascii="宋体" w:hAnsi="宋体" w:cs="宋体"/>
          <w:bCs/>
          <w:color w:val="000000" w:themeColor="text1"/>
          <w:sz w:val="24"/>
          <w:szCs w:val="21"/>
          <w:u w:val="single"/>
          <w14:textFill>
            <w14:solidFill>
              <w14:schemeClr w14:val="tx1"/>
            </w14:solidFill>
          </w14:textFill>
        </w:rPr>
        <w:t>_______ __________</w:t>
      </w:r>
      <w:r>
        <w:rPr>
          <w:rFonts w:hint="eastAsia" w:ascii="宋体" w:hAnsi="宋体" w:cs="宋体"/>
          <w:bCs/>
          <w:color w:val="000000" w:themeColor="text1"/>
          <w:sz w:val="24"/>
          <w:szCs w:val="21"/>
          <w14:textFill>
            <w14:solidFill>
              <w14:schemeClr w14:val="tx1"/>
            </w14:solidFill>
          </w14:textFill>
        </w:rPr>
        <w:t>（项目编号）投标活动。现做出如下承诺：</w:t>
      </w:r>
    </w:p>
    <w:p w14:paraId="50A581D1">
      <w:pP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szCs w:val="21"/>
          <w14:textFill>
            <w14:solidFill>
              <w14:schemeClr w14:val="tx1"/>
            </w14:solidFill>
          </w14:textFill>
        </w:rPr>
        <w:t>1.我单位具有独立承担民事责任的能力；</w:t>
      </w:r>
    </w:p>
    <w:p w14:paraId="419F2F3F">
      <w:pP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2.我单位具有良好的商业信誉和健全的财务会计制度；</w:t>
      </w:r>
    </w:p>
    <w:p w14:paraId="1596BC1F">
      <w:pP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3.我单位具有履行合同所必需的设备和专业技术能力；</w:t>
      </w:r>
    </w:p>
    <w:p w14:paraId="5EDFCAAC">
      <w:pP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4.我单位有依法缴纳税收和社会保障资金的良好记录；</w:t>
      </w:r>
    </w:p>
    <w:p w14:paraId="5E24AA2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我单位参加采购活动前三年内，在经营活动中没有重大违法记录；（“较大数额罚款”认定为200万元以上的罚款，法律、行政法规以及国务院有关部门明确规定相关领域“较大数额罚款”标准高于200万元的，从其规定。）</w:t>
      </w:r>
    </w:p>
    <w:p w14:paraId="0125321F">
      <w:pP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6.我单位满足法律、行政法规规定的其他条件。</w:t>
      </w:r>
    </w:p>
    <w:p w14:paraId="0D70B2D3">
      <w:pPr>
        <w:spacing w:line="460" w:lineRule="exact"/>
        <w:ind w:firstLine="480" w:firstLineChars="200"/>
        <w:rPr>
          <w:rFonts w:ascii="宋体" w:hAnsi="宋体" w:cs="宋体"/>
          <w:color w:val="000000" w:themeColor="text1"/>
          <w:sz w:val="24"/>
          <w14:textFill>
            <w14:solidFill>
              <w14:schemeClr w14:val="tx1"/>
            </w14:solidFill>
          </w14:textFill>
        </w:rPr>
      </w:pPr>
    </w:p>
    <w:p w14:paraId="7D30394C">
      <w:pPr>
        <w:spacing w:line="460" w:lineRule="exact"/>
        <w:ind w:firstLine="480" w:firstLineChars="200"/>
        <w:rPr>
          <w:rFonts w:ascii="宋体" w:hAnsi="宋体" w:cs="宋体"/>
          <w:color w:val="000000" w:themeColor="text1"/>
          <w:sz w:val="24"/>
          <w14:textFill>
            <w14:solidFill>
              <w14:schemeClr w14:val="tx1"/>
            </w14:solidFill>
          </w14:textFill>
        </w:rPr>
      </w:pPr>
    </w:p>
    <w:p w14:paraId="696FB925">
      <w:pPr>
        <w:spacing w:line="460" w:lineRule="exact"/>
        <w:ind w:firstLine="480" w:firstLineChars="200"/>
        <w:rPr>
          <w:rFonts w:ascii="宋体" w:hAnsi="宋体" w:cs="宋体"/>
          <w:bCs/>
          <w:color w:val="000000" w:themeColor="text1"/>
          <w:sz w:val="24"/>
          <w:szCs w:val="21"/>
          <w14:textFill>
            <w14:solidFill>
              <w14:schemeClr w14:val="tx1"/>
            </w14:solidFill>
          </w14:textFill>
        </w:rPr>
      </w:pPr>
    </w:p>
    <w:p w14:paraId="7BBD0459">
      <w:pPr>
        <w:spacing w:line="460" w:lineRule="exact"/>
        <w:ind w:firstLine="480" w:firstLineChars="200"/>
        <w:rPr>
          <w:rFonts w:ascii="宋体" w:hAnsi="宋体" w:cs="宋体"/>
          <w:bCs/>
          <w:color w:val="000000" w:themeColor="text1"/>
          <w:sz w:val="24"/>
          <w:szCs w:val="21"/>
          <w14:textFill>
            <w14:solidFill>
              <w14:schemeClr w14:val="tx1"/>
            </w14:solidFill>
          </w14:textFill>
        </w:rPr>
      </w:pPr>
    </w:p>
    <w:p w14:paraId="2ADADDD4">
      <w:pPr>
        <w:spacing w:line="460" w:lineRule="exact"/>
        <w:ind w:firstLine="480" w:firstLineChars="200"/>
        <w:rPr>
          <w:rFonts w:ascii="宋体" w:hAnsi="宋体" w:cs="宋体"/>
          <w:bCs/>
          <w:color w:val="000000" w:themeColor="text1"/>
          <w:sz w:val="24"/>
          <w:szCs w:val="21"/>
          <w14:textFill>
            <w14:solidFill>
              <w14:schemeClr w14:val="tx1"/>
            </w14:solidFill>
          </w14:textFill>
        </w:rPr>
      </w:pPr>
    </w:p>
    <w:p w14:paraId="503382A4">
      <w:pPr>
        <w:spacing w:line="460" w:lineRule="exact"/>
        <w:ind w:firstLine="480" w:firstLineChars="200"/>
        <w:jc w:val="center"/>
        <w:rPr>
          <w:rFonts w:ascii="宋体" w:hAnsi="宋体" w:cs="宋体"/>
          <w:bCs/>
          <w:color w:val="000000" w:themeColor="text1"/>
          <w:sz w:val="24"/>
          <w:szCs w:val="21"/>
          <w14:textFill>
            <w14:solidFill>
              <w14:schemeClr w14:val="tx1"/>
            </w14:solidFill>
          </w14:textFill>
        </w:rPr>
      </w:pPr>
      <w:r>
        <w:rPr>
          <w:rFonts w:hint="eastAsia" w:ascii="宋体" w:hAnsi="宋体" w:cs="宋体"/>
          <w:bCs/>
          <w:color w:val="000000" w:themeColor="text1"/>
          <w:sz w:val="24"/>
          <w:szCs w:val="21"/>
          <w14:textFill>
            <w14:solidFill>
              <w14:schemeClr w14:val="tx1"/>
            </w14:solidFill>
          </w14:textFill>
        </w:rPr>
        <w:t xml:space="preserve">                                             承诺人名称（公章）：</w:t>
      </w:r>
    </w:p>
    <w:p w14:paraId="23775BFC">
      <w:pPr>
        <w:spacing w:line="460" w:lineRule="exact"/>
        <w:ind w:firstLine="480" w:firstLineChars="200"/>
        <w:jc w:val="right"/>
        <w:rPr>
          <w:rFonts w:ascii="宋体" w:hAnsi="宋体" w:cs="宋体"/>
          <w:bCs/>
          <w:color w:val="000000" w:themeColor="text1"/>
          <w:sz w:val="24"/>
          <w:szCs w:val="21"/>
          <w14:textFill>
            <w14:solidFill>
              <w14:schemeClr w14:val="tx1"/>
            </w14:solidFill>
          </w14:textFill>
        </w:rPr>
      </w:pPr>
    </w:p>
    <w:p w14:paraId="36D42D64">
      <w:pPr>
        <w:spacing w:line="460" w:lineRule="exact"/>
        <w:ind w:firstLine="480" w:firstLineChars="200"/>
        <w:jc w:val="right"/>
        <w:rPr>
          <w:rFonts w:ascii="宋体" w:hAnsi="宋体" w:cs="宋体"/>
          <w:bCs/>
          <w:color w:val="000000" w:themeColor="text1"/>
          <w:sz w:val="24"/>
          <w:szCs w:val="21"/>
          <w14:textFill>
            <w14:solidFill>
              <w14:schemeClr w14:val="tx1"/>
            </w14:solidFill>
          </w14:textFill>
        </w:rPr>
      </w:pPr>
      <w:r>
        <w:rPr>
          <w:rFonts w:hint="eastAsia" w:ascii="宋体" w:hAnsi="宋体" w:cs="宋体"/>
          <w:bCs/>
          <w:color w:val="000000" w:themeColor="text1"/>
          <w:sz w:val="24"/>
          <w:szCs w:val="21"/>
          <w14:textFill>
            <w14:solidFill>
              <w14:schemeClr w14:val="tx1"/>
            </w14:solidFill>
          </w14:textFill>
        </w:rPr>
        <w:t xml:space="preserve">                                 日期： 年 月 日</w:t>
      </w:r>
    </w:p>
    <w:p w14:paraId="4DAA3137">
      <w:pPr>
        <w:snapToGrid w:val="0"/>
        <w:spacing w:line="400" w:lineRule="exact"/>
        <w:contextualSpacing/>
        <w:rPr>
          <w:rFonts w:ascii="宋体" w:hAnsi="宋体" w:cs="宋体"/>
          <w:b/>
          <w:color w:val="000000" w:themeColor="text1"/>
          <w:kern w:val="0"/>
          <w:sz w:val="28"/>
          <w:szCs w:val="28"/>
          <w:lang w:val="zh-CN"/>
          <w14:textFill>
            <w14:solidFill>
              <w14:schemeClr w14:val="tx1"/>
            </w14:solidFill>
          </w14:textFill>
        </w:rPr>
      </w:pPr>
    </w:p>
    <w:p w14:paraId="36BB75EF">
      <w:pPr>
        <w:pStyle w:val="12"/>
        <w:rPr>
          <w:rFonts w:ascii="宋体" w:hAnsi="宋体" w:cs="宋体"/>
          <w:b/>
          <w:color w:val="000000" w:themeColor="text1"/>
          <w:kern w:val="0"/>
          <w:sz w:val="28"/>
          <w:szCs w:val="28"/>
          <w:lang w:val="zh-CN"/>
          <w14:textFill>
            <w14:solidFill>
              <w14:schemeClr w14:val="tx1"/>
            </w14:solidFill>
          </w14:textFill>
        </w:rPr>
      </w:pPr>
    </w:p>
    <w:p w14:paraId="0F83BDE2">
      <w:pPr>
        <w:rPr>
          <w:rFonts w:ascii="宋体" w:hAnsi="宋体" w:cs="宋体"/>
          <w:b/>
          <w:color w:val="000000" w:themeColor="text1"/>
          <w:kern w:val="0"/>
          <w:sz w:val="28"/>
          <w:szCs w:val="28"/>
          <w:lang w:val="zh-CN"/>
          <w14:textFill>
            <w14:solidFill>
              <w14:schemeClr w14:val="tx1"/>
            </w14:solidFill>
          </w14:textFill>
        </w:rPr>
      </w:pPr>
    </w:p>
    <w:p w14:paraId="1B36A25C">
      <w:pPr>
        <w:snapToGrid w:val="0"/>
        <w:spacing w:line="400" w:lineRule="exact"/>
        <w:contextualSpacing/>
        <w:rPr>
          <w:rFonts w:ascii="宋体" w:hAnsi="宋体" w:cs="宋体"/>
          <w:b/>
          <w:color w:val="000000" w:themeColor="text1"/>
          <w:kern w:val="0"/>
          <w:sz w:val="28"/>
          <w:szCs w:val="28"/>
          <w:lang w:val="zh-CN"/>
          <w14:textFill>
            <w14:solidFill>
              <w14:schemeClr w14:val="tx1"/>
            </w14:solidFill>
          </w14:textFill>
        </w:rPr>
      </w:pPr>
    </w:p>
    <w:p w14:paraId="3DADC4C9">
      <w:pPr>
        <w:snapToGrid w:val="0"/>
        <w:spacing w:line="300" w:lineRule="auto"/>
        <w:outlineLvl w:val="0"/>
        <w:rPr>
          <w:rFonts w:ascii="宋体" w:hAnsi="宋体" w:cs="宋体"/>
          <w:color w:val="000000" w:themeColor="text1"/>
          <w:sz w:val="32"/>
          <w:szCs w:val="32"/>
          <w:lang w:val="zh-CN"/>
          <w14:textFill>
            <w14:solidFill>
              <w14:schemeClr w14:val="tx1"/>
            </w14:solidFill>
          </w14:textFill>
        </w:rPr>
      </w:pPr>
      <w:r>
        <w:rPr>
          <w:rFonts w:hint="eastAsia" w:ascii="宋体" w:hAnsi="宋体" w:cs="宋体"/>
          <w:color w:val="000000" w:themeColor="text1"/>
          <w:sz w:val="32"/>
          <w:szCs w:val="32"/>
          <w:lang w:val="zh-CN"/>
          <w14:textFill>
            <w14:solidFill>
              <w14:schemeClr w14:val="tx1"/>
            </w14:solidFill>
          </w14:textFill>
        </w:rPr>
        <w:br w:type="column"/>
      </w:r>
      <w:r>
        <w:rPr>
          <w:rFonts w:hint="eastAsia" w:ascii="宋体" w:hAnsi="宋体" w:cs="宋体"/>
          <w:color w:val="000000" w:themeColor="text1"/>
          <w:sz w:val="32"/>
          <w:szCs w:val="32"/>
          <w:lang w:val="zh-CN"/>
          <w14:textFill>
            <w14:solidFill>
              <w14:schemeClr w14:val="tx1"/>
            </w14:solidFill>
          </w14:textFill>
        </w:rPr>
        <w:t>附件2</w:t>
      </w:r>
    </w:p>
    <w:p w14:paraId="002352F6">
      <w:pPr>
        <w:spacing w:line="360" w:lineRule="auto"/>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法定代表人身份证明</w:t>
      </w:r>
    </w:p>
    <w:p w14:paraId="78A080FE">
      <w:pPr>
        <w:spacing w:line="360" w:lineRule="auto"/>
        <w:jc w:val="center"/>
        <w:rPr>
          <w:rFonts w:ascii="宋体" w:hAnsi="宋体" w:cs="宋体"/>
          <w:color w:val="000000" w:themeColor="text1"/>
          <w:sz w:val="24"/>
          <w14:textFill>
            <w14:solidFill>
              <w14:schemeClr w14:val="tx1"/>
            </w14:solidFill>
          </w14:textFill>
        </w:rPr>
      </w:pPr>
    </w:p>
    <w:p w14:paraId="2FA00BF2">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w:t>
      </w:r>
    </w:p>
    <w:p w14:paraId="5CC207D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我公司法定代表人参加贵单位组织的</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 项目编号：</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)公开招标采购活动，全权代表我公司处理投标的有关事宜。</w:t>
      </w:r>
    </w:p>
    <w:p w14:paraId="6F66A556">
      <w:pPr>
        <w:spacing w:line="360" w:lineRule="auto"/>
        <w:ind w:firstLine="480" w:firstLineChars="200"/>
        <w:rPr>
          <w:rFonts w:ascii="宋体" w:hAnsi="宋体" w:cs="宋体"/>
          <w:color w:val="000000" w:themeColor="text1"/>
          <w:sz w:val="24"/>
          <w14:textFill>
            <w14:solidFill>
              <w14:schemeClr w14:val="tx1"/>
            </w14:solidFill>
          </w14:textFill>
        </w:rPr>
      </w:pPr>
    </w:p>
    <w:p w14:paraId="4791DB68">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附：法定代表人情况：</w:t>
      </w:r>
    </w:p>
    <w:p w14:paraId="025A3D8D">
      <w:pPr>
        <w:spacing w:line="360" w:lineRule="auto"/>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 性别： 年龄：  职务：</w:t>
      </w:r>
    </w:p>
    <w:p w14:paraId="7F22503B">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身份证号码：</w:t>
      </w:r>
    </w:p>
    <w:p w14:paraId="07EA16D1">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手机：   传真：</w:t>
      </w:r>
    </w:p>
    <w:p w14:paraId="7F4E1601">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单位名称（公章）             法定代表人（签字或盖章）</w:t>
      </w:r>
    </w:p>
    <w:p w14:paraId="24FF74E8">
      <w:pPr>
        <w:spacing w:line="360" w:lineRule="auto"/>
        <w:ind w:firstLine="1200" w:firstLineChars="5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年   月   日                 年   月    日  </w:t>
      </w:r>
    </w:p>
    <w:p w14:paraId="024BB74F">
      <w:pPr>
        <w:spacing w:line="360" w:lineRule="auto"/>
        <w:rPr>
          <w:rFonts w:ascii="宋体" w:hAnsi="宋体" w:cs="宋体"/>
          <w:color w:val="000000" w:themeColor="text1"/>
          <w:sz w:val="24"/>
          <w14:textFill>
            <w14:solidFill>
              <w14:schemeClr w14:val="tx1"/>
            </w14:solidFill>
          </w14:textFill>
        </w:rPr>
      </w:pPr>
    </w:p>
    <w:p w14:paraId="24E51AA2">
      <w:pPr>
        <w:spacing w:line="360" w:lineRule="auto"/>
        <w:rPr>
          <w:rFonts w:ascii="宋体" w:hAnsi="宋体" w:cs="宋体"/>
          <w:color w:val="000000" w:themeColor="text1"/>
          <w:sz w:val="24"/>
          <w14:textFill>
            <w14:solidFill>
              <w14:schemeClr w14:val="tx1"/>
            </w14:solidFill>
          </w14:textFill>
        </w:rPr>
      </w:pPr>
    </w:p>
    <w:p w14:paraId="4CA1028B">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法定代表人身份证复印件</w:t>
      </w:r>
    </w:p>
    <w:p w14:paraId="30680CE6">
      <w:pPr>
        <w:spacing w:line="360" w:lineRule="auto"/>
        <w:rPr>
          <w:rFonts w:ascii="宋体" w:hAnsi="宋体" w:cs="宋体"/>
          <w:color w:val="000000" w:themeColor="text1"/>
          <w:sz w:val="24"/>
          <w14:textFill>
            <w14:solidFill>
              <w14:schemeClr w14:val="tx1"/>
            </w14:solidFill>
          </w14:textFill>
        </w:rPr>
      </w:pPr>
    </w:p>
    <w:p w14:paraId="440E3FCE">
      <w:pPr>
        <w:spacing w:line="360" w:lineRule="auto"/>
        <w:ind w:firstLine="2280" w:firstLineChars="9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（粘贴此处）</w:t>
      </w:r>
    </w:p>
    <w:p w14:paraId="0355CE38">
      <w:pPr>
        <w:rPr>
          <w:rFonts w:ascii="宋体" w:hAnsi="宋体" w:cs="宋体"/>
          <w:color w:val="000000" w:themeColor="text1"/>
          <w14:textFill>
            <w14:solidFill>
              <w14:schemeClr w14:val="tx1"/>
            </w14:solidFill>
          </w14:textFill>
        </w:rPr>
      </w:pPr>
    </w:p>
    <w:p w14:paraId="1CC86468">
      <w:pPr>
        <w:snapToGrid w:val="0"/>
        <w:spacing w:line="400" w:lineRule="exact"/>
        <w:ind w:firstLine="540" w:firstLineChars="192"/>
        <w:contextualSpacing/>
        <w:rPr>
          <w:rFonts w:ascii="宋体" w:hAnsi="宋体" w:cs="宋体"/>
          <w:b/>
          <w:color w:val="000000" w:themeColor="text1"/>
          <w:kern w:val="0"/>
          <w:sz w:val="28"/>
          <w:szCs w:val="28"/>
          <w14:textFill>
            <w14:solidFill>
              <w14:schemeClr w14:val="tx1"/>
            </w14:solidFill>
          </w14:textFill>
        </w:rPr>
      </w:pPr>
    </w:p>
    <w:p w14:paraId="491E167F">
      <w:pPr>
        <w:snapToGrid w:val="0"/>
        <w:spacing w:line="400" w:lineRule="exact"/>
        <w:ind w:firstLine="540" w:firstLineChars="192"/>
        <w:contextualSpacing/>
        <w:rPr>
          <w:rFonts w:ascii="宋体" w:hAnsi="宋体" w:cs="宋体"/>
          <w:b/>
          <w:color w:val="000000" w:themeColor="text1"/>
          <w:kern w:val="0"/>
          <w:sz w:val="28"/>
          <w:szCs w:val="28"/>
          <w:lang w:val="zh-CN"/>
          <w14:textFill>
            <w14:solidFill>
              <w14:schemeClr w14:val="tx1"/>
            </w14:solidFill>
          </w14:textFill>
        </w:rPr>
      </w:pPr>
    </w:p>
    <w:p w14:paraId="4C66F761">
      <w:pPr>
        <w:snapToGrid w:val="0"/>
        <w:spacing w:line="400" w:lineRule="exact"/>
        <w:ind w:firstLine="540" w:firstLineChars="192"/>
        <w:contextualSpacing/>
        <w:rPr>
          <w:rFonts w:ascii="宋体" w:hAnsi="宋体" w:cs="宋体"/>
          <w:b/>
          <w:color w:val="000000" w:themeColor="text1"/>
          <w:kern w:val="0"/>
          <w:sz w:val="28"/>
          <w:szCs w:val="28"/>
          <w:lang w:val="zh-CN"/>
          <w14:textFill>
            <w14:solidFill>
              <w14:schemeClr w14:val="tx1"/>
            </w14:solidFill>
          </w14:textFill>
        </w:rPr>
      </w:pPr>
    </w:p>
    <w:p w14:paraId="07EFCC66">
      <w:pPr>
        <w:snapToGrid w:val="0"/>
        <w:spacing w:line="400" w:lineRule="exact"/>
        <w:ind w:firstLine="540" w:firstLineChars="192"/>
        <w:contextualSpacing/>
        <w:rPr>
          <w:rFonts w:ascii="宋体" w:hAnsi="宋体" w:cs="宋体"/>
          <w:b/>
          <w:color w:val="000000" w:themeColor="text1"/>
          <w:kern w:val="0"/>
          <w:sz w:val="28"/>
          <w:szCs w:val="28"/>
          <w:lang w:val="zh-CN"/>
          <w14:textFill>
            <w14:solidFill>
              <w14:schemeClr w14:val="tx1"/>
            </w14:solidFill>
          </w14:textFill>
        </w:rPr>
      </w:pPr>
    </w:p>
    <w:p w14:paraId="20AD4143">
      <w:pPr>
        <w:snapToGrid w:val="0"/>
        <w:spacing w:line="400" w:lineRule="exact"/>
        <w:ind w:firstLine="540" w:firstLineChars="192"/>
        <w:contextualSpacing/>
        <w:rPr>
          <w:rFonts w:ascii="宋体" w:hAnsi="宋体" w:cs="宋体"/>
          <w:b/>
          <w:color w:val="000000" w:themeColor="text1"/>
          <w:kern w:val="0"/>
          <w:sz w:val="28"/>
          <w:szCs w:val="28"/>
          <w:lang w:val="zh-CN"/>
          <w14:textFill>
            <w14:solidFill>
              <w14:schemeClr w14:val="tx1"/>
            </w14:solidFill>
          </w14:textFill>
        </w:rPr>
      </w:pPr>
    </w:p>
    <w:p w14:paraId="41A9DD0C">
      <w:pPr>
        <w:snapToGrid w:val="0"/>
        <w:spacing w:line="400" w:lineRule="exact"/>
        <w:ind w:firstLine="540" w:firstLineChars="192"/>
        <w:contextualSpacing/>
        <w:rPr>
          <w:rFonts w:ascii="宋体" w:hAnsi="宋体" w:cs="宋体"/>
          <w:b/>
          <w:color w:val="000000" w:themeColor="text1"/>
          <w:kern w:val="0"/>
          <w:sz w:val="28"/>
          <w:szCs w:val="28"/>
          <w:lang w:val="zh-CN"/>
          <w14:textFill>
            <w14:solidFill>
              <w14:schemeClr w14:val="tx1"/>
            </w14:solidFill>
          </w14:textFill>
        </w:rPr>
      </w:pPr>
    </w:p>
    <w:p w14:paraId="203C4BAE">
      <w:pPr>
        <w:snapToGrid w:val="0"/>
        <w:spacing w:line="400" w:lineRule="exact"/>
        <w:contextualSpacing/>
        <w:rPr>
          <w:rFonts w:ascii="宋体" w:hAnsi="宋体" w:cs="宋体"/>
          <w:b/>
          <w:color w:val="000000" w:themeColor="text1"/>
          <w:kern w:val="0"/>
          <w:sz w:val="28"/>
          <w:szCs w:val="28"/>
          <w:lang w:val="zh-CN"/>
          <w14:textFill>
            <w14:solidFill>
              <w14:schemeClr w14:val="tx1"/>
            </w14:solidFill>
          </w14:textFill>
        </w:rPr>
      </w:pPr>
    </w:p>
    <w:p w14:paraId="438BEB1D">
      <w:pPr>
        <w:snapToGrid w:val="0"/>
        <w:spacing w:line="300" w:lineRule="auto"/>
        <w:outlineLvl w:val="0"/>
        <w:rPr>
          <w:rFonts w:ascii="宋体" w:hAnsi="宋体" w:cs="宋体"/>
          <w:color w:val="000000" w:themeColor="text1"/>
          <w:sz w:val="32"/>
          <w:szCs w:val="32"/>
          <w:lang w:val="zh-CN"/>
          <w14:textFill>
            <w14:solidFill>
              <w14:schemeClr w14:val="tx1"/>
            </w14:solidFill>
          </w14:textFill>
        </w:rPr>
      </w:pPr>
      <w:r>
        <w:rPr>
          <w:rFonts w:hint="eastAsia" w:ascii="宋体" w:hAnsi="宋体" w:cs="宋体"/>
          <w:color w:val="000000" w:themeColor="text1"/>
          <w:sz w:val="32"/>
          <w:szCs w:val="32"/>
          <w:lang w:val="zh-CN"/>
          <w14:textFill>
            <w14:solidFill>
              <w14:schemeClr w14:val="tx1"/>
            </w14:solidFill>
          </w14:textFill>
        </w:rPr>
        <w:br w:type="page"/>
      </w:r>
      <w:r>
        <w:rPr>
          <w:rFonts w:hint="eastAsia" w:ascii="宋体" w:hAnsi="宋体" w:cs="宋体"/>
          <w:color w:val="000000" w:themeColor="text1"/>
          <w:sz w:val="32"/>
          <w:szCs w:val="32"/>
          <w:lang w:val="zh-CN"/>
          <w14:textFill>
            <w14:solidFill>
              <w14:schemeClr w14:val="tx1"/>
            </w14:solidFill>
          </w14:textFill>
        </w:rPr>
        <w:t>附件3</w:t>
      </w:r>
    </w:p>
    <w:p w14:paraId="51BC28DA">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法定代表人授权委托书</w:t>
      </w:r>
    </w:p>
    <w:p w14:paraId="65E4C7F0">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（如法人参加投标，无需提供）</w:t>
      </w:r>
    </w:p>
    <w:p w14:paraId="2088AD20">
      <w:pPr>
        <w:snapToGrid w:val="0"/>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w:t>
      </w:r>
    </w:p>
    <w:p w14:paraId="70654835">
      <w:pPr>
        <w:snapToGrid w:val="0"/>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兹授权</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被授权人的姓名）代表我公司参加</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项目（项目编号：</w:t>
      </w:r>
      <w:r>
        <w:rPr>
          <w:rFonts w:hint="eastAsia"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u w:val="single"/>
          <w14:textFill>
            <w14:solidFill>
              <w14:schemeClr w14:val="tx1"/>
            </w14:solidFill>
          </w14:textFill>
        </w:rPr>
        <w:t xml:space="preserve"> </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)的 采购活动，全权处理一切与该项目公开招标有关的事务。其在办理上述事宜过程中所签署的所有文件我公司均予以承认。</w:t>
      </w:r>
    </w:p>
    <w:p w14:paraId="42DBEFAE">
      <w:pPr>
        <w:pStyle w:val="22"/>
        <w:adjustRightInd w:val="0"/>
        <w:snapToGrid w:val="0"/>
        <w:spacing w:line="360" w:lineRule="auto"/>
        <w:ind w:firstLine="480" w:firstLineChars="200"/>
        <w:jc w:val="left"/>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被授权人无转委托权，特此委托。</w:t>
      </w:r>
    </w:p>
    <w:p w14:paraId="5C28D43C">
      <w:pPr>
        <w:pStyle w:val="22"/>
        <w:adjustRightInd w:val="0"/>
        <w:snapToGrid w:val="0"/>
        <w:spacing w:line="360" w:lineRule="auto"/>
        <w:ind w:firstLine="480" w:firstLineChars="200"/>
        <w:jc w:val="left"/>
        <w:rPr>
          <w:rFonts w:hAnsi="宋体" w:cs="宋体"/>
          <w:color w:val="000000" w:themeColor="text1"/>
          <w:sz w:val="24"/>
          <w:szCs w:val="24"/>
          <w14:textFill>
            <w14:solidFill>
              <w14:schemeClr w14:val="tx1"/>
            </w14:solidFill>
          </w14:textFill>
        </w:rPr>
      </w:pPr>
    </w:p>
    <w:p w14:paraId="60DB3583">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附：被授权人情况：</w:t>
      </w:r>
    </w:p>
    <w:p w14:paraId="3B63EC65">
      <w:pPr>
        <w:spacing w:line="360" w:lineRule="auto"/>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 性别： 年龄： 职务：</w:t>
      </w:r>
    </w:p>
    <w:p w14:paraId="47CCE4B5">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身份证号码：</w:t>
      </w:r>
    </w:p>
    <w:p w14:paraId="2E3C61D2">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手机：  传真：</w:t>
      </w:r>
    </w:p>
    <w:p w14:paraId="19369EA5">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单位名称（公章）             法定代表人（签字或盖章）</w:t>
      </w:r>
    </w:p>
    <w:p w14:paraId="5615D584">
      <w:pPr>
        <w:spacing w:line="360" w:lineRule="auto"/>
        <w:ind w:firstLine="1200" w:firstLineChars="5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年   月   日                 年   月    日  </w:t>
      </w:r>
    </w:p>
    <w:p w14:paraId="56C12E84">
      <w:pPr>
        <w:spacing w:line="360" w:lineRule="auto"/>
        <w:rPr>
          <w:rFonts w:ascii="宋体" w:hAnsi="宋体" w:cs="宋体"/>
          <w:color w:val="000000" w:themeColor="text1"/>
          <w:sz w:val="24"/>
          <w14:textFill>
            <w14:solidFill>
              <w14:schemeClr w14:val="tx1"/>
            </w14:solidFill>
          </w14:textFill>
        </w:rPr>
      </w:pPr>
    </w:p>
    <w:p w14:paraId="0B67DA42">
      <w:pPr>
        <w:spacing w:line="360" w:lineRule="auto"/>
        <w:rPr>
          <w:rFonts w:ascii="宋体" w:hAnsi="宋体" w:cs="宋体"/>
          <w:color w:val="000000" w:themeColor="text1"/>
          <w:sz w:val="24"/>
          <w14:textFill>
            <w14:solidFill>
              <w14:schemeClr w14:val="tx1"/>
            </w14:solidFill>
          </w14:textFill>
        </w:rPr>
      </w:pPr>
    </w:p>
    <w:p w14:paraId="242FD3D7">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法定代表人身份证复印件</w:t>
      </w:r>
    </w:p>
    <w:p w14:paraId="72165A26">
      <w:pPr>
        <w:spacing w:line="360" w:lineRule="auto"/>
        <w:rPr>
          <w:rFonts w:ascii="宋体" w:hAnsi="宋体" w:cs="宋体"/>
          <w:color w:val="000000" w:themeColor="text1"/>
          <w:sz w:val="24"/>
          <w14:textFill>
            <w14:solidFill>
              <w14:schemeClr w14:val="tx1"/>
            </w14:solidFill>
          </w14:textFill>
        </w:rPr>
      </w:pPr>
    </w:p>
    <w:p w14:paraId="6EE1457E">
      <w:pPr>
        <w:spacing w:line="360" w:lineRule="auto"/>
        <w:rPr>
          <w:rFonts w:ascii="宋体" w:hAnsi="宋体" w:cs="宋体"/>
          <w:color w:val="000000" w:themeColor="text1"/>
          <w:sz w:val="24"/>
          <w14:textFill>
            <w14:solidFill>
              <w14:schemeClr w14:val="tx1"/>
            </w14:solidFill>
          </w14:textFill>
        </w:rPr>
      </w:pPr>
    </w:p>
    <w:p w14:paraId="60884495">
      <w:pPr>
        <w:spacing w:line="360" w:lineRule="auto"/>
        <w:rPr>
          <w:rFonts w:ascii="宋体" w:hAnsi="宋体" w:cs="宋体"/>
          <w:color w:val="000000" w:themeColor="text1"/>
          <w:sz w:val="24"/>
          <w14:textFill>
            <w14:solidFill>
              <w14:schemeClr w14:val="tx1"/>
            </w14:solidFill>
          </w14:textFill>
        </w:rPr>
      </w:pPr>
    </w:p>
    <w:p w14:paraId="3699544B">
      <w:pPr>
        <w:spacing w:line="360" w:lineRule="auto"/>
        <w:rPr>
          <w:rFonts w:ascii="宋体" w:hAnsi="宋体" w:cs="宋体"/>
          <w:color w:val="000000" w:themeColor="text1"/>
          <w:sz w:val="24"/>
          <w14:textFill>
            <w14:solidFill>
              <w14:schemeClr w14:val="tx1"/>
            </w14:solidFill>
          </w14:textFill>
        </w:rPr>
      </w:pPr>
    </w:p>
    <w:p w14:paraId="190B792A">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被授权人身份证复印件</w:t>
      </w:r>
    </w:p>
    <w:p w14:paraId="39F39B3F">
      <w:pPr>
        <w:spacing w:line="360" w:lineRule="auto"/>
        <w:rPr>
          <w:rFonts w:ascii="宋体" w:hAnsi="宋体" w:cs="宋体"/>
          <w:color w:val="000000" w:themeColor="text1"/>
          <w:sz w:val="24"/>
          <w14:textFill>
            <w14:solidFill>
              <w14:schemeClr w14:val="tx1"/>
            </w14:solidFill>
          </w14:textFill>
        </w:rPr>
      </w:pPr>
    </w:p>
    <w:p w14:paraId="529BBB07">
      <w:pPr>
        <w:spacing w:line="360" w:lineRule="auto"/>
        <w:rPr>
          <w:rFonts w:ascii="宋体" w:hAnsi="宋体" w:cs="宋体"/>
          <w:color w:val="000000" w:themeColor="text1"/>
          <w:sz w:val="24"/>
          <w14:textFill>
            <w14:solidFill>
              <w14:schemeClr w14:val="tx1"/>
            </w14:solidFill>
          </w14:textFill>
        </w:rPr>
      </w:pPr>
    </w:p>
    <w:p w14:paraId="6908A0F9">
      <w:pPr>
        <w:spacing w:line="360" w:lineRule="auto"/>
        <w:ind w:firstLine="2280" w:firstLineChars="9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（粘贴此处）</w:t>
      </w:r>
    </w:p>
    <w:p w14:paraId="57A754BF">
      <w:pPr>
        <w:spacing w:line="360" w:lineRule="auto"/>
        <w:ind w:firstLine="2289" w:firstLineChars="950"/>
        <w:rPr>
          <w:rFonts w:ascii="宋体" w:hAnsi="宋体" w:cs="宋体"/>
          <w:b/>
          <w:bCs/>
          <w:color w:val="000000" w:themeColor="text1"/>
          <w:sz w:val="24"/>
          <w14:textFill>
            <w14:solidFill>
              <w14:schemeClr w14:val="tx1"/>
            </w14:solidFill>
          </w14:textFill>
        </w:rPr>
      </w:pPr>
    </w:p>
    <w:p w14:paraId="37F27660">
      <w:pPr>
        <w:snapToGrid w:val="0"/>
        <w:spacing w:line="400" w:lineRule="exact"/>
        <w:contextualSpacing/>
        <w:rPr>
          <w:rFonts w:ascii="宋体" w:hAnsi="宋体" w:cs="宋体"/>
          <w:b/>
          <w:color w:val="000000" w:themeColor="text1"/>
          <w:kern w:val="0"/>
          <w:sz w:val="28"/>
          <w:szCs w:val="28"/>
          <w14:textFill>
            <w14:solidFill>
              <w14:schemeClr w14:val="tx1"/>
            </w14:solidFill>
          </w14:textFill>
        </w:rPr>
      </w:pPr>
    </w:p>
    <w:p w14:paraId="3D8D4D66">
      <w:pPr>
        <w:snapToGrid w:val="0"/>
        <w:spacing w:line="460" w:lineRule="exact"/>
        <w:jc w:val="left"/>
        <w:outlineLvl w:val="1"/>
        <w:rPr>
          <w:rFonts w:ascii="宋体" w:hAnsi="宋体" w:cs="宋体"/>
          <w:color w:val="000000" w:themeColor="text1"/>
          <w:sz w:val="32"/>
          <w:szCs w:val="32"/>
          <w14:textFill>
            <w14:solidFill>
              <w14:schemeClr w14:val="tx1"/>
            </w14:solidFill>
          </w14:textFill>
        </w:rPr>
      </w:pPr>
    </w:p>
    <w:p w14:paraId="66F5802C">
      <w:pPr>
        <w:snapToGrid w:val="0"/>
        <w:spacing w:line="460" w:lineRule="exact"/>
        <w:jc w:val="left"/>
        <w:outlineLvl w:val="1"/>
        <w:rPr>
          <w:rFonts w:ascii="宋体" w:hAnsi="宋体" w:cs="宋体"/>
          <w:b/>
          <w:color w:val="000000" w:themeColor="text1"/>
          <w:kern w:val="0"/>
          <w:sz w:val="28"/>
          <w:szCs w:val="28"/>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附件4</w:t>
      </w:r>
    </w:p>
    <w:p w14:paraId="5CC99102">
      <w:pPr>
        <w:snapToGrid w:val="0"/>
        <w:spacing w:line="460" w:lineRule="exact"/>
        <w:jc w:val="center"/>
        <w:outlineLvl w:val="1"/>
        <w:rPr>
          <w:rFonts w:ascii="宋体" w:hAnsi="宋体" w:cs="宋体"/>
          <w:b/>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具备履行合同所必需的设备和专业技术能力的书面声明</w:t>
      </w:r>
    </w:p>
    <w:p w14:paraId="6BC97BAA">
      <w:pPr>
        <w:snapToGrid w:val="0"/>
        <w:spacing w:line="460" w:lineRule="exact"/>
        <w:ind w:firstLine="560" w:firstLineChars="200"/>
        <w:rPr>
          <w:rFonts w:ascii="宋体" w:hAnsi="宋体" w:cs="宋体"/>
          <w:color w:val="000000" w:themeColor="text1"/>
          <w:sz w:val="28"/>
          <w:szCs w:val="28"/>
          <w14:textFill>
            <w14:solidFill>
              <w14:schemeClr w14:val="tx1"/>
            </w14:solidFill>
          </w14:textFill>
        </w:rPr>
      </w:pPr>
    </w:p>
    <w:p w14:paraId="2B5E9853">
      <w:pPr>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w:t>
      </w:r>
    </w:p>
    <w:p w14:paraId="56E3575B">
      <w:pPr>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sz w:val="24"/>
          <w:u w:val="single"/>
          <w14:textFill>
            <w14:solidFill>
              <w14:schemeClr w14:val="tx1"/>
            </w14:solidFill>
          </w14:textFill>
        </w:rPr>
        <w:t xml:space="preserve"> （投标单位名称） </w:t>
      </w:r>
      <w:r>
        <w:rPr>
          <w:rFonts w:hint="eastAsia" w:ascii="宋体" w:hAnsi="宋体" w:cs="宋体"/>
          <w:color w:val="000000" w:themeColor="text1"/>
          <w:sz w:val="24"/>
          <w14:textFill>
            <w14:solidFill>
              <w14:schemeClr w14:val="tx1"/>
            </w14:solidFill>
          </w14:textFill>
        </w:rPr>
        <w:t>郑重承诺：</w:t>
      </w:r>
    </w:p>
    <w:p w14:paraId="7C33F9DB">
      <w:pPr>
        <w:snapToGrid w:val="0"/>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贵方组织的</w:t>
      </w:r>
      <w:r>
        <w:rPr>
          <w:rFonts w:hint="eastAsia" w:ascii="宋体" w:hAnsi="宋体" w:cs="宋体"/>
          <w:color w:val="000000" w:themeColor="text1"/>
          <w:sz w:val="24"/>
          <w:u w:val="single"/>
          <w14:textFill>
            <w14:solidFill>
              <w14:schemeClr w14:val="tx1"/>
            </w14:solidFill>
          </w14:textFill>
        </w:rPr>
        <w:t xml:space="preserve"> (项目名称） </w:t>
      </w: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sz w:val="24"/>
          <w:u w:val="single"/>
          <w14:textFill>
            <w14:solidFill>
              <w14:schemeClr w14:val="tx1"/>
            </w14:solidFill>
          </w14:textFill>
        </w:rPr>
        <w:t xml:space="preserve">      有    </w:t>
      </w:r>
      <w:r>
        <w:rPr>
          <w:rFonts w:hint="eastAsia" w:ascii="宋体" w:hAnsi="宋体" w:cs="宋体"/>
          <w:color w:val="000000" w:themeColor="text1"/>
          <w:sz w:val="24"/>
          <w14:textFill>
            <w14:solidFill>
              <w14:schemeClr w14:val="tx1"/>
            </w14:solidFill>
          </w14:textFill>
        </w:rPr>
        <w:t>履行合同所必需的设备和专业技术能力。</w:t>
      </w:r>
    </w:p>
    <w:p w14:paraId="0A7E554B">
      <w:pPr>
        <w:spacing w:line="460" w:lineRule="exact"/>
        <w:rPr>
          <w:rFonts w:ascii="宋体" w:hAnsi="宋体" w:cs="宋体"/>
          <w:b/>
          <w:bCs/>
          <w:color w:val="000000" w:themeColor="text1"/>
          <w:sz w:val="24"/>
          <w14:textFill>
            <w14:solidFill>
              <w14:schemeClr w14:val="tx1"/>
            </w14:solidFill>
          </w14:textFill>
        </w:rPr>
      </w:pPr>
    </w:p>
    <w:p w14:paraId="62E6E045">
      <w:pPr>
        <w:spacing w:line="460" w:lineRule="exact"/>
        <w:rPr>
          <w:rFonts w:ascii="宋体" w:hAnsi="宋体" w:cs="宋体"/>
          <w:b/>
          <w:bCs/>
          <w:color w:val="000000" w:themeColor="text1"/>
          <w:sz w:val="24"/>
          <w14:textFill>
            <w14:solidFill>
              <w14:schemeClr w14:val="tx1"/>
            </w14:solidFill>
          </w14:textFill>
        </w:rPr>
      </w:pPr>
    </w:p>
    <w:p w14:paraId="7D5DCFD3">
      <w:pPr>
        <w:spacing w:line="460" w:lineRule="exact"/>
        <w:rPr>
          <w:rFonts w:ascii="宋体" w:hAnsi="宋体" w:cs="宋体"/>
          <w:b/>
          <w:bCs/>
          <w:color w:val="000000" w:themeColor="text1"/>
          <w:sz w:val="24"/>
          <w14:textFill>
            <w14:solidFill>
              <w14:schemeClr w14:val="tx1"/>
            </w14:solidFill>
          </w14:textFill>
        </w:rPr>
      </w:pPr>
    </w:p>
    <w:p w14:paraId="14AA7A73">
      <w:pPr>
        <w:spacing w:line="460" w:lineRule="exact"/>
        <w:rPr>
          <w:rFonts w:ascii="宋体" w:hAnsi="宋体" w:cs="宋体"/>
          <w:b/>
          <w:bCs/>
          <w:color w:val="000000" w:themeColor="text1"/>
          <w:sz w:val="24"/>
          <w14:textFill>
            <w14:solidFill>
              <w14:schemeClr w14:val="tx1"/>
            </w14:solidFill>
          </w14:textFill>
        </w:rPr>
      </w:pPr>
    </w:p>
    <w:p w14:paraId="43283C4A">
      <w:pPr>
        <w:spacing w:line="460" w:lineRule="exact"/>
        <w:ind w:firstLine="48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投标人：（加盖公章）</w:t>
      </w:r>
    </w:p>
    <w:p w14:paraId="411979D5">
      <w:pPr>
        <w:spacing w:line="460" w:lineRule="exact"/>
        <w:ind w:firstLine="48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法定代表人或被授权人：（签字或盖章）</w:t>
      </w:r>
    </w:p>
    <w:p w14:paraId="4A9B7E50">
      <w:pPr>
        <w:spacing w:line="360" w:lineRule="auto"/>
        <w:jc w:val="right"/>
        <w:outlineLvl w:val="2"/>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      月     日</w:t>
      </w:r>
    </w:p>
    <w:p w14:paraId="5F67EDBE">
      <w:pPr>
        <w:spacing w:line="360" w:lineRule="auto"/>
        <w:jc w:val="left"/>
        <w:outlineLvl w:val="2"/>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br w:type="page"/>
      </w:r>
      <w:r>
        <w:rPr>
          <w:rFonts w:hint="eastAsia" w:ascii="宋体" w:hAnsi="宋体" w:cs="宋体"/>
          <w:color w:val="000000" w:themeColor="text1"/>
          <w:sz w:val="32"/>
          <w:szCs w:val="32"/>
          <w14:textFill>
            <w14:solidFill>
              <w14:schemeClr w14:val="tx1"/>
            </w14:solidFill>
          </w14:textFill>
        </w:rPr>
        <w:t>附件5</w:t>
      </w:r>
    </w:p>
    <w:p w14:paraId="296D1E26">
      <w:pPr>
        <w:snapToGrid w:val="0"/>
        <w:spacing w:line="360" w:lineRule="auto"/>
        <w:jc w:val="center"/>
        <w:outlineLvl w:val="4"/>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无重大违法记录声明</w:t>
      </w:r>
    </w:p>
    <w:p w14:paraId="6D7F871E">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w:t>
      </w:r>
    </w:p>
    <w:p w14:paraId="56F8C0B1">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我单位（投标人名称）郑重声明：</w:t>
      </w:r>
    </w:p>
    <w:p w14:paraId="22728CD6">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参加政府采购活动前3年内在经营活动中</w:t>
      </w:r>
      <w:r>
        <w:rPr>
          <w:rFonts w:hint="eastAsia" w:ascii="宋体" w:hAnsi="宋体" w:cs="宋体"/>
          <w:color w:val="000000" w:themeColor="text1"/>
          <w:sz w:val="24"/>
          <w:u w:val="single"/>
          <w14:textFill>
            <w14:solidFill>
              <w14:schemeClr w14:val="tx1"/>
            </w14:solidFill>
          </w14:textFill>
        </w:rPr>
        <w:t xml:space="preserve">  没有      </w:t>
      </w:r>
      <w:r>
        <w:rPr>
          <w:rFonts w:hint="eastAsia" w:ascii="宋体" w:hAnsi="宋体" w:cs="宋体"/>
          <w:color w:val="000000" w:themeColor="text1"/>
          <w:sz w:val="24"/>
          <w14:textFill>
            <w14:solidFill>
              <w14:schemeClr w14:val="tx1"/>
            </w14:solidFill>
          </w14:textFill>
        </w:rPr>
        <w:t>（在下划线上如实填写：有或没有）重大违法记录。</w:t>
      </w:r>
    </w:p>
    <w:p w14:paraId="0200A878">
      <w:pPr>
        <w:spacing w:line="360" w:lineRule="auto"/>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在投标截止时间节点，没有被“信用中国”、“中国政府采购网”网站列入失信被执行人、重大税收违法案件当事人名单、政府采购严重违法失信行为记录名单。</w:t>
      </w:r>
    </w:p>
    <w:p w14:paraId="66FD2C2D">
      <w:pPr>
        <w:spacing w:line="360" w:lineRule="auto"/>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（说明：政府采购法第二十二条第一款第五项所称重大违法记录，是指供应商因违法经营受到刑事处罚或者责令停产停业、吊销许可证或者执照、较大数额罚款等行政处罚。）</w:t>
      </w:r>
    </w:p>
    <w:p w14:paraId="32CB4AB3">
      <w:pPr>
        <w:spacing w:line="360" w:lineRule="auto"/>
        <w:ind w:firstLine="480"/>
        <w:rPr>
          <w:rFonts w:ascii="宋体" w:hAnsi="宋体" w:cs="宋体"/>
          <w:color w:val="000000" w:themeColor="text1"/>
          <w:sz w:val="28"/>
          <w:szCs w:val="28"/>
          <w14:textFill>
            <w14:solidFill>
              <w14:schemeClr w14:val="tx1"/>
            </w14:solidFill>
          </w14:textFill>
        </w:rPr>
      </w:pPr>
    </w:p>
    <w:p w14:paraId="1F71DE4D">
      <w:pPr>
        <w:spacing w:line="360" w:lineRule="auto"/>
        <w:ind w:firstLine="480"/>
        <w:rPr>
          <w:rFonts w:ascii="宋体" w:hAnsi="宋体" w:cs="宋体"/>
          <w:color w:val="000000" w:themeColor="text1"/>
          <w:sz w:val="28"/>
          <w:szCs w:val="28"/>
          <w14:textFill>
            <w14:solidFill>
              <w14:schemeClr w14:val="tx1"/>
            </w14:solidFill>
          </w14:textFill>
        </w:rPr>
      </w:pPr>
    </w:p>
    <w:p w14:paraId="5F78F194">
      <w:pPr>
        <w:spacing w:line="360" w:lineRule="auto"/>
        <w:ind w:firstLine="56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投标人：（加盖公章）</w:t>
      </w:r>
    </w:p>
    <w:p w14:paraId="3F4562DF">
      <w:pPr>
        <w:spacing w:line="360" w:lineRule="auto"/>
        <w:ind w:firstLine="48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法定代表人或被授权人：（签字或盖章）</w:t>
      </w:r>
    </w:p>
    <w:p w14:paraId="4E3591B6">
      <w:pPr>
        <w:spacing w:line="360" w:lineRule="auto"/>
        <w:ind w:firstLine="1320" w:firstLineChars="55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      月     日</w:t>
      </w:r>
    </w:p>
    <w:p w14:paraId="4B50665B">
      <w:pPr>
        <w:rPr>
          <w:rFonts w:ascii="宋体" w:hAnsi="宋体" w:cs="宋体"/>
          <w:color w:val="000000" w:themeColor="text1"/>
          <w:sz w:val="32"/>
          <w:szCs w:val="32"/>
          <w14:textFill>
            <w14:solidFill>
              <w14:schemeClr w14:val="tx1"/>
            </w14:solidFill>
          </w14:textFill>
        </w:rPr>
      </w:pPr>
    </w:p>
    <w:p w14:paraId="09267C06">
      <w:pPr>
        <w:spacing w:line="360" w:lineRule="auto"/>
        <w:jc w:val="left"/>
        <w:rPr>
          <w:rFonts w:ascii="宋体" w:hAnsi="宋体" w:cs="宋体"/>
          <w:color w:val="000000" w:themeColor="text1"/>
          <w:sz w:val="32"/>
          <w:szCs w:val="32"/>
          <w14:textFill>
            <w14:solidFill>
              <w14:schemeClr w14:val="tx1"/>
            </w14:solidFill>
          </w14:textFill>
        </w:rPr>
      </w:pPr>
    </w:p>
    <w:p w14:paraId="4D01C319">
      <w:pPr>
        <w:spacing w:line="360" w:lineRule="auto"/>
        <w:jc w:val="left"/>
        <w:rPr>
          <w:rFonts w:ascii="宋体" w:hAnsi="宋体" w:cs="宋体"/>
          <w:color w:val="000000" w:themeColor="text1"/>
          <w:sz w:val="32"/>
          <w:szCs w:val="32"/>
          <w14:textFill>
            <w14:solidFill>
              <w14:schemeClr w14:val="tx1"/>
            </w14:solidFill>
          </w14:textFill>
        </w:rPr>
      </w:pPr>
    </w:p>
    <w:p w14:paraId="4CB6F984">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br w:type="page"/>
      </w:r>
    </w:p>
    <w:p w14:paraId="42693315">
      <w:pPr>
        <w:pStyle w:val="2"/>
        <w:keepNext w:val="0"/>
        <w:keepLines w:val="0"/>
        <w:widowControl/>
        <w:suppressLineNumbers w:val="0"/>
        <w:rPr>
          <w:rFonts w:hint="eastAsia" w:eastAsia="宋体"/>
          <w:lang w:eastAsia="zh-CN"/>
        </w:rPr>
      </w:pPr>
      <w:r>
        <w:rPr>
          <w:rFonts w:hint="eastAsia" w:ascii="宋体" w:hAnsi="宋体" w:cs="宋体"/>
          <w:color w:val="000000" w:themeColor="text1"/>
          <w:sz w:val="32"/>
          <w:szCs w:val="32"/>
          <w14:textFill>
            <w14:solidFill>
              <w14:schemeClr w14:val="tx1"/>
            </w14:solidFill>
          </w14:textFill>
        </w:rPr>
        <w:t>附件</w:t>
      </w:r>
      <w:r>
        <w:rPr>
          <w:rFonts w:hint="eastAsia" w:ascii="宋体" w:hAnsi="宋体" w:cs="宋体"/>
          <w:color w:val="000000" w:themeColor="text1"/>
          <w:sz w:val="32"/>
          <w:szCs w:val="32"/>
          <w:lang w:val="en-US" w:eastAsia="zh-CN"/>
          <w14:textFill>
            <w14:solidFill>
              <w14:schemeClr w14:val="tx1"/>
            </w14:solidFill>
          </w14:textFill>
        </w:rPr>
        <w:t>6</w:t>
      </w:r>
    </w:p>
    <w:p w14:paraId="45FC7636">
      <w:pPr>
        <w:pStyle w:val="2"/>
        <w:keepNext w:val="0"/>
        <w:keepLines w:val="0"/>
        <w:widowControl/>
        <w:suppressLineNumbers w:val="0"/>
        <w:jc w:val="center"/>
        <w:rPr>
          <w:sz w:val="32"/>
          <w:szCs w:val="32"/>
        </w:rPr>
      </w:pPr>
      <w:r>
        <w:rPr>
          <w:sz w:val="32"/>
          <w:szCs w:val="32"/>
        </w:rPr>
        <w:t>无重大交通事故及行政处罚记录承诺函</w:t>
      </w:r>
    </w:p>
    <w:p w14:paraId="4258ACE4">
      <w:pPr>
        <w:pStyle w:val="33"/>
        <w:keepNext w:val="0"/>
        <w:keepLines w:val="0"/>
        <w:widowControl/>
        <w:suppressLineNumbers w:val="0"/>
      </w:pPr>
      <w:r>
        <w:t>江苏商贸职业学院：</w:t>
      </w:r>
    </w:p>
    <w:p w14:paraId="0B8AFDD1">
      <w:pPr>
        <w:pStyle w:val="33"/>
        <w:keepNext w:val="0"/>
        <w:keepLines w:val="0"/>
        <w:widowControl/>
        <w:suppressLineNumbers w:val="0"/>
        <w:ind w:firstLine="480" w:firstLineChars="200"/>
      </w:pPr>
      <w:r>
        <w:t>我单位________________（投标人全称）参与</w:t>
      </w:r>
      <w:r>
        <w:rPr>
          <w:rStyle w:val="40"/>
          <w:u w:val="single"/>
        </w:rPr>
        <w:t>江苏商贸职业学院通勤班车租赁服务项目</w:t>
      </w:r>
      <w:r>
        <w:t>（项目编号：________）投标，作出如下承诺：</w:t>
      </w:r>
    </w:p>
    <w:p w14:paraId="6A735EAC">
      <w:pPr>
        <w:pStyle w:val="33"/>
        <w:keepNext w:val="0"/>
        <w:keepLines w:val="0"/>
        <w:widowControl/>
        <w:suppressLineNumbers w:val="0"/>
        <w:ind w:firstLine="480" w:firstLineChars="200"/>
      </w:pPr>
      <w:r>
        <w:t>1、我单位近三年无重大交通事故，无客运类重大行政处罚记录。</w:t>
      </w:r>
    </w:p>
    <w:p w14:paraId="3B5FE8EA">
      <w:pPr>
        <w:pStyle w:val="33"/>
        <w:keepNext w:val="0"/>
        <w:keepLines w:val="0"/>
        <w:widowControl/>
        <w:suppressLineNumbers w:val="0"/>
        <w:ind w:firstLine="480" w:firstLineChars="200"/>
      </w:pPr>
      <w:r>
        <w:t>2、本项目拟派全部驾驶员无重大交通责任事故记录，驾驶资质符合上岗要求，人员更换将提前报采购人审核。</w:t>
      </w:r>
    </w:p>
    <w:p w14:paraId="00BC875C">
      <w:pPr>
        <w:pStyle w:val="33"/>
        <w:keepNext w:val="0"/>
        <w:keepLines w:val="0"/>
        <w:widowControl/>
        <w:suppressLineNumbers w:val="0"/>
        <w:ind w:firstLine="480" w:firstLineChars="200"/>
      </w:pPr>
      <w:r>
        <w:t>3、本承诺内容真实有效，若存在虚假隐瞒，自愿接受投标无效、取消中标资格、解除合同、扣除履约保证金等处理，并承担由此造成的全部经济损失及法律责任。</w:t>
      </w:r>
    </w:p>
    <w:p w14:paraId="4CBC40BF">
      <w:pPr>
        <w:pStyle w:val="33"/>
        <w:keepNext w:val="0"/>
        <w:keepLines w:val="0"/>
        <w:widowControl/>
        <w:suppressLineNumbers w:val="0"/>
      </w:pPr>
    </w:p>
    <w:p w14:paraId="07829B9C">
      <w:pPr>
        <w:pStyle w:val="33"/>
        <w:keepNext w:val="0"/>
        <w:keepLines w:val="0"/>
        <w:widowControl/>
        <w:suppressLineNumbers w:val="0"/>
      </w:pPr>
    </w:p>
    <w:p w14:paraId="05DA8B08">
      <w:pPr>
        <w:pStyle w:val="33"/>
        <w:keepNext w:val="0"/>
        <w:keepLines w:val="0"/>
        <w:widowControl/>
        <w:suppressLineNumbers w:val="0"/>
        <w:ind w:firstLine="4320" w:firstLineChars="1800"/>
      </w:pPr>
      <w:r>
        <w:t>投标人（公章）：________________</w:t>
      </w:r>
    </w:p>
    <w:p w14:paraId="34312101">
      <w:pPr>
        <w:pStyle w:val="33"/>
        <w:keepNext w:val="0"/>
        <w:keepLines w:val="0"/>
        <w:widowControl/>
        <w:suppressLineNumbers w:val="0"/>
        <w:ind w:firstLine="3360" w:firstLineChars="1400"/>
      </w:pPr>
      <w:r>
        <w:t xml:space="preserve">法定代表人 / 授权代理人（签字或盖章）：________________ </w:t>
      </w:r>
    </w:p>
    <w:p w14:paraId="5E9F0A68">
      <w:pPr>
        <w:pStyle w:val="33"/>
        <w:keepNext w:val="0"/>
        <w:keepLines w:val="0"/>
        <w:widowControl/>
        <w:suppressLineNumbers w:val="0"/>
        <w:ind w:firstLine="4560" w:firstLineChars="1900"/>
      </w:pPr>
      <w:r>
        <w:t>日期：______年____月____日</w:t>
      </w:r>
    </w:p>
    <w:p w14:paraId="66F60F75">
      <w:pPr>
        <w:pStyle w:val="33"/>
        <w:keepNext w:val="0"/>
        <w:keepLines w:val="0"/>
        <w:widowControl/>
        <w:suppressLineNumbers w:val="0"/>
        <w:ind w:left="720" w:right="720"/>
      </w:pPr>
    </w:p>
    <w:p w14:paraId="3828F70D">
      <w:pPr>
        <w:spacing w:line="360" w:lineRule="auto"/>
        <w:jc w:val="left"/>
        <w:rPr>
          <w:rFonts w:hint="eastAsia" w:ascii="宋体" w:hAnsi="宋体" w:cs="宋体"/>
          <w:b/>
          <w:bCs/>
          <w:color w:val="000000" w:themeColor="text1"/>
          <w:sz w:val="28"/>
          <w:szCs w:val="28"/>
          <w14:textFill>
            <w14:solidFill>
              <w14:schemeClr w14:val="tx1"/>
            </w14:solidFill>
          </w14:textFill>
        </w:rPr>
      </w:pPr>
    </w:p>
    <w:p w14:paraId="3DC9E531">
      <w:pPr>
        <w:rPr>
          <w:rFonts w:hint="eastAsia"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br w:type="page"/>
      </w:r>
    </w:p>
    <w:p w14:paraId="35F9C39D">
      <w:pPr>
        <w:spacing w:line="360" w:lineRule="auto"/>
        <w:jc w:val="left"/>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附件</w:t>
      </w:r>
      <w:r>
        <w:rPr>
          <w:rFonts w:hint="eastAsia" w:ascii="宋体" w:hAnsi="宋体" w:cs="宋体"/>
          <w:b/>
          <w:bCs/>
          <w:color w:val="000000" w:themeColor="text1"/>
          <w:sz w:val="28"/>
          <w:szCs w:val="28"/>
          <w:lang w:val="en-US" w:eastAsia="zh-CN"/>
          <w14:textFill>
            <w14:solidFill>
              <w14:schemeClr w14:val="tx1"/>
            </w14:solidFill>
          </w14:textFill>
        </w:rPr>
        <w:t>7</w:t>
      </w:r>
    </w:p>
    <w:p w14:paraId="108A0CDC">
      <w:pPr>
        <w:spacing w:line="360" w:lineRule="auto"/>
        <w:jc w:val="center"/>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投标响应函</w:t>
      </w:r>
    </w:p>
    <w:p w14:paraId="0AB8C605">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江苏商贸职业学院：</w:t>
      </w:r>
    </w:p>
    <w:p w14:paraId="69F87F7B">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依据贵单位</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（投标项目名称及项目编号）项目采购的邀请，我方授权</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（姓名）</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（职务）为全权代表参加该项目的投标工作，全权处理本次采购的有关事宜。同时，我公司声明如下：</w:t>
      </w:r>
    </w:p>
    <w:p w14:paraId="2B4ADC0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1、同意并接受招标文件的各项要求，遵守招标文件中的各项规定，按招标文件的要求提供报价。</w:t>
      </w:r>
    </w:p>
    <w:p w14:paraId="5BB09B1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2、我方已经详细阅读了全部招标文件及其附件，完全清晰理解招标文件的要求，不存在任何含糊不清和误解之处，同意放弃对这些文件所提出的异议和质疑的权利。</w:t>
      </w:r>
    </w:p>
    <w:p w14:paraId="06C6B671">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3、我方已毫无保留地向贵方提供一切所需的证明材料。</w:t>
      </w:r>
    </w:p>
    <w:p w14:paraId="25BC4567">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4、我公司承诺在本次投标响应中提供的一切文件，无论是原件还是复印件均真实有效，绝无任何虚假、伪造和夸大的成份。否则，愿承担相应的后果和法律责任。</w:t>
      </w:r>
    </w:p>
    <w:p w14:paraId="63A8DFA0">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5、我方尊重评标委员会所作的评定结果，同时清楚理解到报价最高并非意味着必定获得成交资格。</w:t>
      </w:r>
    </w:p>
    <w:p w14:paraId="7CD1DA4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6、一旦我方成交,我方将根据招标文件的规定，严格履行合同的责任和义务,并保证按招标文件规定的项目工期时间内完成，交付采购人验收、使用。</w:t>
      </w:r>
    </w:p>
    <w:p w14:paraId="224B2B44">
      <w:pPr>
        <w:spacing w:line="360" w:lineRule="auto"/>
        <w:ind w:firstLine="48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投标人：（加盖公章）</w:t>
      </w:r>
    </w:p>
    <w:p w14:paraId="29FABEB7">
      <w:pPr>
        <w:spacing w:line="360" w:lineRule="auto"/>
        <w:ind w:firstLine="480" w:firstLineChars="20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法定代表人或被授权人：（签字或盖章）</w:t>
      </w:r>
    </w:p>
    <w:p w14:paraId="6F3BAD68">
      <w:pPr>
        <w:spacing w:line="360" w:lineRule="auto"/>
        <w:ind w:firstLine="1320" w:firstLineChars="550"/>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      月     日</w:t>
      </w:r>
    </w:p>
    <w:p w14:paraId="4AEB342B">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280ECC16">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23057168">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5690B434">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3541A3F2">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7985E698">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4BEB8CDC">
      <w:pPr>
        <w:snapToGrid w:val="0"/>
        <w:spacing w:line="300" w:lineRule="auto"/>
        <w:outlineLvl w:val="0"/>
        <w:rPr>
          <w:rFonts w:ascii="宋体" w:hAnsi="宋体" w:cs="宋体"/>
          <w:color w:val="000000" w:themeColor="text1"/>
          <w:sz w:val="32"/>
          <w:szCs w:val="32"/>
          <w14:textFill>
            <w14:solidFill>
              <w14:schemeClr w14:val="tx1"/>
            </w14:solidFill>
          </w14:textFill>
        </w:rPr>
      </w:pPr>
    </w:p>
    <w:p w14:paraId="60370849">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br w:type="page"/>
      </w:r>
    </w:p>
    <w:p w14:paraId="78C6A285">
      <w:pPr>
        <w:pStyle w:val="75"/>
        <w:ind w:left="0"/>
        <w:rPr>
          <w:rFonts w:ascii="宋体" w:hAnsi="宋体" w:cs="宋体"/>
          <w:color w:val="000000" w:themeColor="text1"/>
          <w:sz w:val="32"/>
          <w:szCs w:val="32"/>
          <w:lang w:eastAsia="zh-CN"/>
          <w14:textFill>
            <w14:solidFill>
              <w14:schemeClr w14:val="tx1"/>
            </w14:solidFill>
          </w14:textFill>
        </w:rPr>
        <w:sectPr>
          <w:headerReference r:id="rId6" w:type="default"/>
          <w:pgSz w:w="11906" w:h="16838"/>
          <w:pgMar w:top="1440" w:right="1080" w:bottom="1440" w:left="1080" w:header="851" w:footer="992" w:gutter="0"/>
          <w:cols w:space="720" w:num="1"/>
          <w:docGrid w:type="lines" w:linePitch="312" w:charSpace="0"/>
        </w:sectPr>
      </w:pPr>
    </w:p>
    <w:p w14:paraId="6BB3FA23">
      <w:pPr>
        <w:pStyle w:val="75"/>
        <w:ind w:left="0"/>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lang w:eastAsia="zh-CN"/>
          <w14:textFill>
            <w14:solidFill>
              <w14:schemeClr w14:val="tx1"/>
            </w14:solidFill>
          </w14:textFill>
        </w:rPr>
        <w:t>附件</w:t>
      </w:r>
      <w:r>
        <w:rPr>
          <w:rFonts w:hint="eastAsia" w:ascii="宋体" w:hAnsi="宋体" w:cs="宋体"/>
          <w:color w:val="000000" w:themeColor="text1"/>
          <w:sz w:val="32"/>
          <w:szCs w:val="32"/>
          <w:lang w:val="en-US" w:eastAsia="zh-CN"/>
          <w14:textFill>
            <w14:solidFill>
              <w14:schemeClr w14:val="tx1"/>
            </w14:solidFill>
          </w14:textFill>
        </w:rPr>
        <w:t>8</w:t>
      </w:r>
    </w:p>
    <w:p w14:paraId="352F1CBB">
      <w:pPr>
        <w:pStyle w:val="86"/>
        <w:snapToGrid w:val="0"/>
        <w:spacing w:line="300" w:lineRule="auto"/>
        <w:ind w:firstLine="643" w:firstLineChars="200"/>
        <w:jc w:val="center"/>
        <w:outlineLvl w:val="0"/>
        <w:rPr>
          <w:rFonts w:ascii="宋体" w:eastAsia="宋体" w:cs="宋体"/>
          <w:b/>
          <w:bCs/>
          <w:color w:val="000000" w:themeColor="text1"/>
          <w:sz w:val="32"/>
          <w:szCs w:val="32"/>
          <w14:textFill>
            <w14:solidFill>
              <w14:schemeClr w14:val="tx1"/>
            </w14:solidFill>
          </w14:textFill>
        </w:rPr>
      </w:pPr>
      <w:r>
        <w:rPr>
          <w:rFonts w:hint="eastAsia" w:ascii="宋体" w:eastAsia="宋体" w:cs="宋体"/>
          <w:b/>
          <w:bCs/>
          <w:color w:val="000000" w:themeColor="text1"/>
          <w:sz w:val="32"/>
          <w:szCs w:val="32"/>
          <w14:textFill>
            <w14:solidFill>
              <w14:schemeClr w14:val="tx1"/>
            </w14:solidFill>
          </w14:textFill>
        </w:rPr>
        <w:t>报价总表</w:t>
      </w:r>
    </w:p>
    <w:p w14:paraId="587B5A89">
      <w:pPr>
        <w:widowControl/>
        <w:spacing w:line="440" w:lineRule="exact"/>
        <w:jc w:val="left"/>
        <w:rPr>
          <w:rFonts w:ascii="宋体" w:hAnsi="宋体" w:cs="宋体"/>
          <w:color w:val="000000" w:themeColor="text1"/>
          <w:kern w:val="0"/>
          <w:sz w:val="28"/>
          <w:szCs w:val="28"/>
          <w14:textFill>
            <w14:solidFill>
              <w14:schemeClr w14:val="tx1"/>
            </w14:solidFill>
          </w14:textFill>
        </w:rPr>
      </w:pPr>
    </w:p>
    <w:tbl>
      <w:tblPr>
        <w:tblStyle w:val="37"/>
        <w:tblpPr w:leftFromText="180" w:rightFromText="180" w:vertAnchor="text" w:horzAnchor="page" w:tblpX="1312" w:tblpY="414"/>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07"/>
        <w:gridCol w:w="2822"/>
        <w:gridCol w:w="1990"/>
        <w:gridCol w:w="1850"/>
      </w:tblGrid>
      <w:tr w14:paraId="04A63D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807" w:type="dxa"/>
            <w:tcBorders>
              <w:top w:val="single" w:color="auto" w:sz="4" w:space="0"/>
              <w:left w:val="single" w:color="auto" w:sz="4" w:space="0"/>
              <w:bottom w:val="single" w:color="auto" w:sz="4" w:space="0"/>
              <w:right w:val="single" w:color="auto" w:sz="4" w:space="0"/>
            </w:tcBorders>
            <w:vAlign w:val="center"/>
          </w:tcPr>
          <w:p w14:paraId="66D47637">
            <w:pPr>
              <w:kinsoku w:val="0"/>
              <w:topLinePunct/>
              <w:spacing w:line="440" w:lineRule="exact"/>
              <w:jc w:val="center"/>
              <w:rPr>
                <w:rFonts w:hAnsi="宋体" w:cs="宋体"/>
                <w:sz w:val="24"/>
              </w:rPr>
            </w:pPr>
            <w:r>
              <w:rPr>
                <w:rFonts w:hint="eastAsia" w:hAnsi="宋体" w:cs="宋体"/>
                <w:sz w:val="24"/>
              </w:rPr>
              <w:t>项目名称</w:t>
            </w:r>
          </w:p>
        </w:tc>
        <w:tc>
          <w:tcPr>
            <w:tcW w:w="2822" w:type="dxa"/>
            <w:tcBorders>
              <w:top w:val="single" w:color="auto" w:sz="4" w:space="0"/>
              <w:left w:val="single" w:color="auto" w:sz="4" w:space="0"/>
              <w:bottom w:val="single" w:color="auto" w:sz="4" w:space="0"/>
              <w:right w:val="single" w:color="auto" w:sz="4" w:space="0"/>
            </w:tcBorders>
            <w:vAlign w:val="center"/>
          </w:tcPr>
          <w:p w14:paraId="2F94D425">
            <w:pPr>
              <w:kinsoku w:val="0"/>
              <w:topLinePunct/>
              <w:spacing w:line="440" w:lineRule="exact"/>
              <w:jc w:val="center"/>
              <w:rPr>
                <w:rFonts w:hint="eastAsia" w:hAnsi="宋体" w:cs="宋体"/>
                <w:sz w:val="24"/>
                <w:lang w:eastAsia="zh-CN"/>
              </w:rPr>
            </w:pPr>
            <w:r>
              <w:rPr>
                <w:rFonts w:hint="eastAsia" w:hAnsi="宋体" w:cs="宋体"/>
                <w:sz w:val="24"/>
                <w:lang w:eastAsia="zh-CN"/>
              </w:rPr>
              <w:t>投标综合单价</w:t>
            </w:r>
          </w:p>
          <w:p w14:paraId="52FA1BE3">
            <w:pPr>
              <w:kinsoku w:val="0"/>
              <w:topLinePunct/>
              <w:spacing w:line="440" w:lineRule="exact"/>
              <w:jc w:val="center"/>
              <w:rPr>
                <w:rFonts w:hAnsi="宋体" w:cs="宋体"/>
                <w:sz w:val="24"/>
              </w:rPr>
            </w:pPr>
            <w:r>
              <w:rPr>
                <w:rFonts w:hint="eastAsia" w:hAnsi="宋体" w:cs="宋体"/>
                <w:sz w:val="24"/>
              </w:rPr>
              <w:t>（元/有效往返（次）/辆）</w:t>
            </w:r>
          </w:p>
        </w:tc>
        <w:tc>
          <w:tcPr>
            <w:tcW w:w="1990" w:type="dxa"/>
            <w:tcBorders>
              <w:top w:val="single" w:color="auto" w:sz="4" w:space="0"/>
              <w:left w:val="single" w:color="auto" w:sz="4" w:space="0"/>
              <w:bottom w:val="single" w:color="auto" w:sz="4" w:space="0"/>
              <w:right w:val="single" w:color="auto" w:sz="4" w:space="0"/>
            </w:tcBorders>
            <w:vAlign w:val="center"/>
          </w:tcPr>
          <w:p w14:paraId="3DE597DD">
            <w:pPr>
              <w:kinsoku w:val="0"/>
              <w:topLinePunct/>
              <w:spacing w:line="440" w:lineRule="exact"/>
              <w:jc w:val="center"/>
              <w:rPr>
                <w:rFonts w:hAnsi="宋体" w:cs="宋体"/>
                <w:sz w:val="24"/>
              </w:rPr>
            </w:pPr>
            <w:r>
              <w:rPr>
                <w:rFonts w:hint="eastAsia" w:hAnsi="宋体" w:cs="宋体"/>
                <w:sz w:val="24"/>
              </w:rPr>
              <w:t>项目完成时间</w:t>
            </w:r>
          </w:p>
        </w:tc>
        <w:tc>
          <w:tcPr>
            <w:tcW w:w="1850" w:type="dxa"/>
            <w:tcBorders>
              <w:top w:val="single" w:color="auto" w:sz="4" w:space="0"/>
              <w:left w:val="single" w:color="auto" w:sz="4" w:space="0"/>
              <w:bottom w:val="single" w:color="auto" w:sz="4" w:space="0"/>
              <w:right w:val="single" w:color="auto" w:sz="4" w:space="0"/>
            </w:tcBorders>
            <w:vAlign w:val="center"/>
          </w:tcPr>
          <w:p w14:paraId="097A2C39">
            <w:pPr>
              <w:kinsoku w:val="0"/>
              <w:topLinePunct/>
              <w:spacing w:line="440" w:lineRule="exact"/>
              <w:jc w:val="center"/>
              <w:rPr>
                <w:rFonts w:hAnsi="宋体" w:cs="宋体"/>
                <w:sz w:val="24"/>
              </w:rPr>
            </w:pPr>
            <w:r>
              <w:rPr>
                <w:rFonts w:hint="eastAsia" w:hAnsi="宋体" w:cs="宋体"/>
                <w:sz w:val="24"/>
              </w:rPr>
              <w:t>付款方式</w:t>
            </w:r>
          </w:p>
        </w:tc>
      </w:tr>
      <w:tr w14:paraId="70325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1" w:hRule="atLeast"/>
        </w:trPr>
        <w:tc>
          <w:tcPr>
            <w:tcW w:w="2807" w:type="dxa"/>
            <w:tcBorders>
              <w:top w:val="single" w:color="auto" w:sz="4" w:space="0"/>
              <w:left w:val="single" w:color="auto" w:sz="4" w:space="0"/>
              <w:bottom w:val="single" w:color="auto" w:sz="4" w:space="0"/>
              <w:right w:val="single" w:color="auto" w:sz="4" w:space="0"/>
            </w:tcBorders>
            <w:vAlign w:val="center"/>
          </w:tcPr>
          <w:p w14:paraId="5012A111">
            <w:pPr>
              <w:snapToGrid w:val="0"/>
              <w:spacing w:line="360" w:lineRule="auto"/>
              <w:rPr>
                <w:rFonts w:hAnsi="宋体" w:cs="宋体"/>
                <w:b/>
                <w:bCs/>
                <w:sz w:val="24"/>
              </w:rPr>
            </w:pPr>
          </w:p>
        </w:tc>
        <w:tc>
          <w:tcPr>
            <w:tcW w:w="2822" w:type="dxa"/>
            <w:tcBorders>
              <w:top w:val="single" w:color="auto" w:sz="4" w:space="0"/>
              <w:left w:val="single" w:color="auto" w:sz="4" w:space="0"/>
              <w:bottom w:val="single" w:color="auto" w:sz="4" w:space="0"/>
              <w:right w:val="single" w:color="auto" w:sz="4" w:space="0"/>
            </w:tcBorders>
            <w:vAlign w:val="center"/>
          </w:tcPr>
          <w:p w14:paraId="71BC3FA0">
            <w:pPr>
              <w:kinsoku w:val="0"/>
              <w:topLinePunct/>
              <w:spacing w:line="440" w:lineRule="exact"/>
              <w:rPr>
                <w:rFonts w:hAnsi="宋体" w:cs="宋体"/>
                <w:b/>
                <w:sz w:val="24"/>
              </w:rPr>
            </w:pPr>
            <w:r>
              <w:rPr>
                <w:rFonts w:hint="eastAsia" w:hAnsi="宋体" w:cs="宋体"/>
                <w:b/>
                <w:sz w:val="24"/>
              </w:rPr>
              <w:t>大写：</w:t>
            </w:r>
          </w:p>
          <w:p w14:paraId="62BC7427">
            <w:pPr>
              <w:kinsoku w:val="0"/>
              <w:topLinePunct/>
              <w:spacing w:line="440" w:lineRule="exact"/>
              <w:rPr>
                <w:rFonts w:hAnsi="宋体" w:cs="宋体"/>
                <w:sz w:val="24"/>
              </w:rPr>
            </w:pPr>
            <w:r>
              <w:rPr>
                <w:rFonts w:hint="eastAsia" w:hAnsi="宋体" w:cs="宋体"/>
                <w:b/>
                <w:sz w:val="24"/>
              </w:rPr>
              <w:t>小写：</w:t>
            </w:r>
          </w:p>
        </w:tc>
        <w:tc>
          <w:tcPr>
            <w:tcW w:w="1990" w:type="dxa"/>
            <w:tcBorders>
              <w:top w:val="single" w:color="auto" w:sz="4" w:space="0"/>
              <w:left w:val="single" w:color="auto" w:sz="4" w:space="0"/>
              <w:bottom w:val="single" w:color="auto" w:sz="4" w:space="0"/>
              <w:right w:val="single" w:color="auto" w:sz="4" w:space="0"/>
            </w:tcBorders>
            <w:vAlign w:val="center"/>
          </w:tcPr>
          <w:p w14:paraId="4E8E7C67">
            <w:pPr>
              <w:kinsoku w:val="0"/>
              <w:topLinePunct/>
              <w:spacing w:line="440" w:lineRule="exact"/>
              <w:rPr>
                <w:rFonts w:hAnsi="宋体" w:cs="宋体"/>
                <w:sz w:val="24"/>
              </w:rPr>
            </w:pPr>
            <w:r>
              <w:rPr>
                <w:rFonts w:hint="eastAsia" w:hAnsi="宋体" w:cs="宋体"/>
                <w:sz w:val="24"/>
              </w:rPr>
              <w:t>完全响应招标文件要求</w:t>
            </w:r>
          </w:p>
        </w:tc>
        <w:tc>
          <w:tcPr>
            <w:tcW w:w="1850" w:type="dxa"/>
            <w:tcBorders>
              <w:top w:val="single" w:color="auto" w:sz="4" w:space="0"/>
              <w:left w:val="single" w:color="auto" w:sz="4" w:space="0"/>
              <w:bottom w:val="single" w:color="auto" w:sz="4" w:space="0"/>
              <w:right w:val="single" w:color="auto" w:sz="4" w:space="0"/>
            </w:tcBorders>
            <w:vAlign w:val="center"/>
          </w:tcPr>
          <w:p w14:paraId="54988969">
            <w:pPr>
              <w:kinsoku w:val="0"/>
              <w:topLinePunct/>
              <w:spacing w:line="440" w:lineRule="exact"/>
              <w:jc w:val="center"/>
              <w:rPr>
                <w:rFonts w:hAnsi="宋体" w:cs="宋体"/>
                <w:sz w:val="24"/>
              </w:rPr>
            </w:pPr>
            <w:r>
              <w:rPr>
                <w:rFonts w:hint="eastAsia" w:hAnsi="宋体" w:cs="宋体"/>
                <w:sz w:val="24"/>
              </w:rPr>
              <w:t>完全响应招标文件要求的付款方式</w:t>
            </w:r>
          </w:p>
        </w:tc>
      </w:tr>
    </w:tbl>
    <w:p w14:paraId="3E46126F">
      <w:pPr>
        <w:snapToGrid w:val="0"/>
        <w:spacing w:line="460" w:lineRule="exact"/>
        <w:ind w:firstLine="470" w:firstLineChars="196"/>
        <w:outlineLvl w:val="1"/>
        <w:rPr>
          <w:rFonts w:ascii="宋体" w:hAnsi="宋体" w:cs="宋体"/>
          <w:color w:val="000000" w:themeColor="text1"/>
          <w:kern w:val="0"/>
          <w:sz w:val="24"/>
          <w14:textFill>
            <w14:solidFill>
              <w14:schemeClr w14:val="tx1"/>
            </w14:solidFill>
          </w14:textFill>
        </w:rPr>
      </w:pPr>
    </w:p>
    <w:p w14:paraId="32A0EF6D">
      <w:pPr>
        <w:snapToGrid w:val="0"/>
        <w:spacing w:line="460" w:lineRule="exact"/>
        <w:ind w:firstLine="470" w:firstLineChars="196"/>
        <w:outlineLvl w:val="1"/>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1.本表为格式表，不得自行改动，必须提供，否则视为未实质性响应招标文件。</w:t>
      </w:r>
    </w:p>
    <w:p w14:paraId="3972613E">
      <w:pPr>
        <w:snapToGrid w:val="0"/>
        <w:spacing w:line="460" w:lineRule="exact"/>
        <w:ind w:firstLine="470" w:firstLineChars="196"/>
        <w:outlineLvl w:val="1"/>
        <w:rPr>
          <w:rFonts w:ascii="宋体" w:hAnsi="宋体" w:cs="宋体"/>
          <w:color w:val="000000" w:themeColor="text1"/>
          <w:kern w:val="0"/>
          <w:sz w:val="24"/>
          <w14:textFill>
            <w14:solidFill>
              <w14:schemeClr w14:val="tx1"/>
            </w14:solidFill>
          </w14:textFill>
        </w:rPr>
      </w:pPr>
    </w:p>
    <w:p w14:paraId="716D533F">
      <w:pPr>
        <w:spacing w:line="480" w:lineRule="exact"/>
        <w:ind w:firstLine="480" w:firstLineChars="200"/>
        <w:rPr>
          <w:rFonts w:ascii="宋体" w:hAnsi="宋体" w:cs="宋体"/>
          <w:color w:val="000000" w:themeColor="text1"/>
          <w:kern w:val="0"/>
          <w:sz w:val="24"/>
          <w14:textFill>
            <w14:solidFill>
              <w14:schemeClr w14:val="tx1"/>
            </w14:solidFill>
          </w14:textFill>
        </w:rPr>
      </w:pPr>
    </w:p>
    <w:p w14:paraId="4516C917">
      <w:pPr>
        <w:snapToGrid w:val="0"/>
        <w:spacing w:line="460" w:lineRule="exact"/>
        <w:ind w:firstLine="470" w:firstLineChars="196"/>
        <w:outlineLvl w:val="1"/>
        <w:rPr>
          <w:rFonts w:ascii="宋体" w:hAnsi="宋体" w:cs="宋体"/>
          <w:color w:val="000000" w:themeColor="text1"/>
          <w:kern w:val="0"/>
          <w:sz w:val="24"/>
          <w14:textFill>
            <w14:solidFill>
              <w14:schemeClr w14:val="tx1"/>
            </w14:solidFill>
          </w14:textFill>
        </w:rPr>
      </w:pPr>
    </w:p>
    <w:p w14:paraId="172A0B43">
      <w:pPr>
        <w:snapToGrid w:val="0"/>
        <w:spacing w:line="460" w:lineRule="exact"/>
        <w:ind w:firstLine="470" w:firstLineChars="196"/>
        <w:outlineLvl w:val="1"/>
        <w:rPr>
          <w:rFonts w:ascii="宋体" w:hAnsi="宋体" w:cs="宋体"/>
          <w:color w:val="000000" w:themeColor="text1"/>
          <w:kern w:val="0"/>
          <w:sz w:val="24"/>
          <w14:textFill>
            <w14:solidFill>
              <w14:schemeClr w14:val="tx1"/>
            </w14:solidFill>
          </w14:textFill>
        </w:rPr>
      </w:pPr>
    </w:p>
    <w:p w14:paraId="78FF63FE">
      <w:pPr>
        <w:spacing w:line="480" w:lineRule="exact"/>
        <w:rPr>
          <w:rFonts w:ascii="宋体" w:hAnsi="宋体" w:cs="宋体"/>
          <w:color w:val="000000" w:themeColor="text1"/>
          <w:kern w:val="0"/>
          <w:sz w:val="24"/>
          <w14:textFill>
            <w14:solidFill>
              <w14:schemeClr w14:val="tx1"/>
            </w14:solidFill>
          </w14:textFill>
        </w:rPr>
      </w:pPr>
    </w:p>
    <w:p w14:paraId="3E24A870">
      <w:pPr>
        <w:snapToGrid w:val="0"/>
        <w:spacing w:line="480" w:lineRule="exact"/>
        <w:ind w:firstLine="463" w:firstLineChars="192"/>
        <w:contextualSpacing/>
        <w:rPr>
          <w:rFonts w:ascii="宋体" w:hAnsi="宋体" w:cs="宋体"/>
          <w:b/>
          <w:color w:val="000000" w:themeColor="text1"/>
          <w:kern w:val="0"/>
          <w:sz w:val="24"/>
          <w14:textFill>
            <w14:solidFill>
              <w14:schemeClr w14:val="tx1"/>
            </w14:solidFill>
          </w14:textFill>
        </w:rPr>
      </w:pPr>
    </w:p>
    <w:p w14:paraId="7C05F1BD">
      <w:pPr>
        <w:snapToGrid w:val="0"/>
        <w:spacing w:line="500" w:lineRule="exact"/>
        <w:ind w:left="1133" w:hanging="1132" w:hangingChars="472"/>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投标人名称：（盖章）</w:t>
      </w:r>
    </w:p>
    <w:p w14:paraId="276AF41D">
      <w:pPr>
        <w:snapToGrid w:val="0"/>
        <w:spacing w:line="500" w:lineRule="exact"/>
        <w:ind w:left="1133" w:hanging="1132" w:hangingChars="472"/>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法定代表人或授权委托人（签字）：</w:t>
      </w:r>
    </w:p>
    <w:p w14:paraId="0EA0D017">
      <w:pPr>
        <w:snapToGrid w:val="0"/>
        <w:spacing w:line="500" w:lineRule="exact"/>
        <w:ind w:left="1133" w:hanging="1132" w:hangingChars="472"/>
        <w:jc w:val="center"/>
        <w:rPr>
          <w:rFonts w:ascii="宋体" w:hAnsi="宋体" w:cs="宋体"/>
          <w:color w:val="000000" w:themeColor="text1"/>
          <w:sz w:val="24"/>
          <w14:textFill>
            <w14:solidFill>
              <w14:schemeClr w14:val="tx1"/>
            </w14:solidFill>
          </w14:textFill>
        </w:rPr>
        <w:sectPr>
          <w:pgSz w:w="11906" w:h="16838"/>
          <w:pgMar w:top="1440" w:right="1080" w:bottom="1440" w:left="1080" w:header="851" w:footer="992" w:gutter="0"/>
          <w:cols w:space="720" w:num="1"/>
          <w:docGrid w:type="lines" w:linePitch="312" w:charSpace="0"/>
        </w:sectPr>
      </w:pPr>
      <w:r>
        <w:rPr>
          <w:rFonts w:hint="eastAsia" w:ascii="宋体" w:hAnsi="宋体" w:cs="宋体"/>
          <w:color w:val="000000" w:themeColor="text1"/>
          <w:sz w:val="24"/>
          <w14:textFill>
            <w14:solidFill>
              <w14:schemeClr w14:val="tx1"/>
            </w14:solidFill>
          </w14:textFill>
        </w:rPr>
        <w:t>日期：</w:t>
      </w:r>
    </w:p>
    <w:p w14:paraId="3DA5A297">
      <w:pPr>
        <w:snapToGrid w:val="0"/>
        <w:spacing w:line="400" w:lineRule="exact"/>
        <w:contextualSpacing/>
        <w:rPr>
          <w:rFonts w:hint="eastAsia" w:ascii="宋体" w:hAnsi="宋体" w:eastAsia="宋体" w:cs="宋体"/>
          <w:b/>
          <w:color w:val="000000" w:themeColor="text1"/>
          <w:kern w:val="0"/>
          <w:sz w:val="28"/>
          <w:szCs w:val="28"/>
          <w:lang w:val="en-US" w:eastAsia="zh-CN"/>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附件</w:t>
      </w:r>
      <w:r>
        <w:rPr>
          <w:rFonts w:hint="eastAsia" w:ascii="宋体" w:hAnsi="宋体" w:cs="宋体"/>
          <w:color w:val="000000" w:themeColor="text1"/>
          <w:sz w:val="32"/>
          <w:szCs w:val="32"/>
          <w:lang w:val="en-US" w:eastAsia="zh-CN"/>
          <w14:textFill>
            <w14:solidFill>
              <w14:schemeClr w14:val="tx1"/>
            </w14:solidFill>
          </w14:textFill>
        </w:rPr>
        <w:t>9</w:t>
      </w:r>
    </w:p>
    <w:p w14:paraId="782F449E">
      <w:pPr>
        <w:spacing w:line="460" w:lineRule="exact"/>
        <w:jc w:val="center"/>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质疑函范本</w:t>
      </w:r>
    </w:p>
    <w:p w14:paraId="73ABDB77">
      <w:pPr>
        <w:adjustRightInd w:val="0"/>
        <w:snapToGrid w:val="0"/>
        <w:spacing w:before="312" w:beforeLines="100" w:line="460" w:lineRule="exac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一、质疑供应商基本信息</w:t>
      </w:r>
    </w:p>
    <w:p w14:paraId="2CE4CA4E">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质疑供应商：</w:t>
      </w:r>
    </w:p>
    <w:p w14:paraId="0B603E8D">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地址：邮编：</w:t>
      </w:r>
    </w:p>
    <w:p w14:paraId="7094468F">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联系人：联系电话：</w:t>
      </w:r>
    </w:p>
    <w:p w14:paraId="7EFDE08A">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授权代表：</w:t>
      </w:r>
    </w:p>
    <w:p w14:paraId="2CEEE5B4">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p>
    <w:p w14:paraId="15484D87">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地址：邮编：</w:t>
      </w:r>
    </w:p>
    <w:p w14:paraId="67DFC977">
      <w:pPr>
        <w:adjustRightInd w:val="0"/>
        <w:snapToGrid w:val="0"/>
        <w:spacing w:line="460" w:lineRule="exac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二、质疑项目基本情况</w:t>
      </w:r>
    </w:p>
    <w:p w14:paraId="65511560">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质疑项目的名称：</w:t>
      </w:r>
    </w:p>
    <w:p w14:paraId="75271EC7">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质疑项目的编号：包号：</w:t>
      </w:r>
    </w:p>
    <w:p w14:paraId="1AB42EE9">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招标人名称：</w:t>
      </w:r>
    </w:p>
    <w:p w14:paraId="72E7DF7E">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采购文件获取日期：</w:t>
      </w:r>
    </w:p>
    <w:p w14:paraId="2A039E45">
      <w:pPr>
        <w:adjustRightInd w:val="0"/>
        <w:snapToGrid w:val="0"/>
        <w:spacing w:line="460" w:lineRule="exac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三、质疑事项具体内容</w:t>
      </w:r>
    </w:p>
    <w:p w14:paraId="7752E5B1">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质疑事项1：</w:t>
      </w:r>
    </w:p>
    <w:p w14:paraId="549EE128">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事实依据：</w:t>
      </w:r>
    </w:p>
    <w:p w14:paraId="773188CB">
      <w:pPr>
        <w:adjustRightInd w:val="0"/>
        <w:snapToGrid w:val="0"/>
        <w:spacing w:line="460" w:lineRule="exact"/>
        <w:rPr>
          <w:rFonts w:ascii="宋体" w:hAnsi="宋体" w:cs="宋体"/>
          <w:color w:val="000000" w:themeColor="text1"/>
          <w:sz w:val="24"/>
          <w14:textFill>
            <w14:solidFill>
              <w14:schemeClr w14:val="tx1"/>
            </w14:solidFill>
          </w14:textFill>
        </w:rPr>
      </w:pPr>
    </w:p>
    <w:p w14:paraId="52443994">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法律依据：</w:t>
      </w:r>
    </w:p>
    <w:p w14:paraId="15F542C7">
      <w:pPr>
        <w:adjustRightInd w:val="0"/>
        <w:snapToGrid w:val="0"/>
        <w:spacing w:line="460" w:lineRule="exact"/>
        <w:rPr>
          <w:rFonts w:ascii="宋体" w:hAnsi="宋体" w:cs="宋体"/>
          <w:color w:val="000000" w:themeColor="text1"/>
          <w:sz w:val="24"/>
          <w:u w:val="dotted"/>
          <w14:textFill>
            <w14:solidFill>
              <w14:schemeClr w14:val="tx1"/>
            </w14:solidFill>
          </w14:textFill>
        </w:rPr>
      </w:pPr>
    </w:p>
    <w:p w14:paraId="73E79672">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质疑事项2</w:t>
      </w:r>
    </w:p>
    <w:p w14:paraId="6288BFE6">
      <w:pPr>
        <w:adjustRightInd w:val="0"/>
        <w:snapToGrid w:val="0"/>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p w14:paraId="20B5A264">
      <w:pPr>
        <w:adjustRightInd w:val="0"/>
        <w:snapToGrid w:val="0"/>
        <w:spacing w:line="460" w:lineRule="exac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四、与质疑事项相关的质疑请求</w:t>
      </w:r>
    </w:p>
    <w:p w14:paraId="5D4FE450">
      <w:pPr>
        <w:adjustRightInd w:val="0"/>
        <w:snapToGrid w:val="0"/>
        <w:spacing w:line="460" w:lineRule="exact"/>
        <w:rPr>
          <w:rFonts w:ascii="宋体" w:hAnsi="宋体" w:cs="宋体"/>
          <w:color w:val="000000" w:themeColor="text1"/>
          <w:sz w:val="24"/>
          <w:u w:val="dotted"/>
          <w14:textFill>
            <w14:solidFill>
              <w14:schemeClr w14:val="tx1"/>
            </w14:solidFill>
          </w14:textFill>
        </w:rPr>
      </w:pPr>
      <w:r>
        <w:rPr>
          <w:rFonts w:hint="eastAsia" w:ascii="宋体" w:hAnsi="宋体" w:cs="宋体"/>
          <w:color w:val="000000" w:themeColor="text1"/>
          <w:sz w:val="24"/>
          <w14:textFill>
            <w14:solidFill>
              <w14:schemeClr w14:val="tx1"/>
            </w14:solidFill>
          </w14:textFill>
        </w:rPr>
        <w:t>请求：</w:t>
      </w:r>
    </w:p>
    <w:p w14:paraId="14CBF04B">
      <w:pPr>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签字(签章)：                   公章：                      </w:t>
      </w:r>
    </w:p>
    <w:p w14:paraId="39183BDF">
      <w:pPr>
        <w:spacing w:line="46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日期：    </w:t>
      </w:r>
    </w:p>
    <w:p w14:paraId="488ECA9E">
      <w:pPr>
        <w:adjustRightInd w:val="0"/>
        <w:snapToGrid w:val="0"/>
        <w:spacing w:line="460" w:lineRule="exact"/>
        <w:rPr>
          <w:rFonts w:ascii="宋体" w:hAnsi="宋体" w:cs="宋体"/>
          <w:color w:val="000000" w:themeColor="text1"/>
          <w:sz w:val="24"/>
          <w14:textFill>
            <w14:solidFill>
              <w14:schemeClr w14:val="tx1"/>
            </w14:solidFill>
          </w14:textFill>
        </w:rPr>
      </w:pPr>
    </w:p>
    <w:p w14:paraId="133642C1">
      <w:pPr>
        <w:spacing w:line="460" w:lineRule="exact"/>
        <w:rPr>
          <w:rFonts w:ascii="宋体" w:hAnsi="宋体" w:cs="宋体"/>
          <w:b/>
          <w:color w:val="000000" w:themeColor="text1"/>
          <w:sz w:val="24"/>
          <w14:textFill>
            <w14:solidFill>
              <w14:schemeClr w14:val="tx1"/>
            </w14:solidFill>
          </w14:textFill>
        </w:rPr>
      </w:pPr>
    </w:p>
    <w:p w14:paraId="44176701">
      <w:pPr>
        <w:spacing w:line="460" w:lineRule="exac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质疑函制作说明：</w:t>
      </w:r>
    </w:p>
    <w:p w14:paraId="3643B45D">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1.供应商提出质疑时，应提交质疑函和必要的证明材料。</w:t>
      </w:r>
    </w:p>
    <w:p w14:paraId="260A21D5">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 w:val="24"/>
          <w14:textFill>
            <w14:solidFill>
              <w14:schemeClr w14:val="tx1"/>
            </w14:solidFill>
          </w14:textFill>
        </w:rPr>
        <w:t>供应商签署的授权委托书。授权委托书应载明代理人的姓名或者名称、代理事项、具体权限、期限和相关事项。</w:t>
      </w:r>
    </w:p>
    <w:p w14:paraId="0C113966">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3.质疑供应商若对项目的某一分包进行质疑，质疑函中应列明具体分包号。</w:t>
      </w:r>
    </w:p>
    <w:p w14:paraId="47ECFC56">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4.质疑函的质疑事项应具体、明确，并有必要的事实依据和法律依据。</w:t>
      </w:r>
    </w:p>
    <w:p w14:paraId="74B67559">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5.质疑函的质疑请求应与质疑事项相关。</w:t>
      </w:r>
    </w:p>
    <w:p w14:paraId="1E4433F3">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1E1C66B1">
      <w:pPr>
        <w:widowControl/>
        <w:spacing w:line="460" w:lineRule="exact"/>
        <w:ind w:firstLine="480" w:firstLineChars="200"/>
        <w:jc w:val="left"/>
        <w:rPr>
          <w:rFonts w:ascii="宋体" w:hAnsi="宋体" w:cs="宋体"/>
          <w:color w:val="000000" w:themeColor="text1"/>
          <w:sz w:val="24"/>
          <w14:textFill>
            <w14:solidFill>
              <w14:schemeClr w14:val="tx1"/>
            </w14:solidFill>
          </w14:textFill>
        </w:rPr>
      </w:pPr>
    </w:p>
    <w:sectPr>
      <w:headerReference r:id="rId7"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KSOF8080F95D">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E24E4">
    <w:pPr>
      <w:pStyle w:val="26"/>
      <w:tabs>
        <w:tab w:val="left" w:pos="485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D2D1D">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5D2D1D">
                    <w:pPr>
                      <w:pStyle w:val="26"/>
                    </w:pPr>
                    <w:r>
                      <w:fldChar w:fldCharType="begin"/>
                    </w:r>
                    <w:r>
                      <w:instrText xml:space="preserve"> PAGE  \* MERGEFORMAT </w:instrText>
                    </w:r>
                    <w:r>
                      <w:fldChar w:fldCharType="separate"/>
                    </w:r>
                    <w:r>
                      <w:t>1</w:t>
                    </w:r>
                    <w:r>
                      <w:fldChar w:fldCharType="end"/>
                    </w:r>
                  </w:p>
                </w:txbxContent>
              </v:textbox>
            </v:shape>
          </w:pict>
        </mc:Fallback>
      </mc:AlternateContent>
    </w:r>
    <w:r>
      <w:tab/>
    </w:r>
  </w:p>
  <w:p w14:paraId="5A693CB1">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3057E">
    <w:pPr>
      <w:pStyle w:val="2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6EE33">
    <w:pPr>
      <w:pStyle w:val="2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56D5">
    <w:pPr>
      <w:pStyle w:val="2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1A83">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bullet"/>
      <w:pStyle w:val="123"/>
      <w:lvlText w:val=""/>
      <w:lvlJc w:val="left"/>
      <w:pPr>
        <w:tabs>
          <w:tab w:val="left" w:pos="480"/>
        </w:tabs>
        <w:ind w:left="480" w:hanging="480"/>
      </w:pPr>
      <w:rPr>
        <w:rFonts w:hint="default" w:ascii="Wingdings" w:hAnsi="Wingdings"/>
        <w:sz w:val="16"/>
      </w:rPr>
    </w:lvl>
    <w:lvl w:ilvl="1" w:tentative="0">
      <w:start w:val="1"/>
      <w:numFmt w:val="ideographTraditional"/>
      <w:lvlText w:val="%2、"/>
      <w:lvlJc w:val="left"/>
      <w:pPr>
        <w:tabs>
          <w:tab w:val="left" w:pos="960"/>
        </w:tabs>
        <w:ind w:left="960" w:hanging="480"/>
      </w:pPr>
    </w:lvl>
    <w:lvl w:ilvl="2" w:tentative="0">
      <w:start w:val="1"/>
      <w:numFmt w:val="lowerRoman"/>
      <w:lvlText w:val="%3."/>
      <w:lvlJc w:val="right"/>
      <w:pPr>
        <w:tabs>
          <w:tab w:val="left" w:pos="1440"/>
        </w:tabs>
        <w:ind w:left="1440" w:hanging="480"/>
      </w:pPr>
    </w:lvl>
    <w:lvl w:ilvl="3" w:tentative="0">
      <w:start w:val="1"/>
      <w:numFmt w:val="decimal"/>
      <w:lvlText w:val="%4."/>
      <w:lvlJc w:val="left"/>
      <w:pPr>
        <w:tabs>
          <w:tab w:val="left" w:pos="1920"/>
        </w:tabs>
        <w:ind w:left="1920" w:hanging="480"/>
      </w:pPr>
    </w:lvl>
    <w:lvl w:ilvl="4" w:tentative="0">
      <w:start w:val="1"/>
      <w:numFmt w:val="ideographTraditional"/>
      <w:lvlText w:val="%5、"/>
      <w:lvlJc w:val="left"/>
      <w:pPr>
        <w:tabs>
          <w:tab w:val="left" w:pos="2400"/>
        </w:tabs>
        <w:ind w:left="2400" w:hanging="480"/>
      </w:pPr>
    </w:lvl>
    <w:lvl w:ilvl="5" w:tentative="0">
      <w:start w:val="1"/>
      <w:numFmt w:val="lowerRoman"/>
      <w:lvlText w:val="%6."/>
      <w:lvlJc w:val="right"/>
      <w:pPr>
        <w:tabs>
          <w:tab w:val="left" w:pos="2880"/>
        </w:tabs>
        <w:ind w:left="2880" w:hanging="480"/>
      </w:pPr>
    </w:lvl>
    <w:lvl w:ilvl="6" w:tentative="0">
      <w:start w:val="1"/>
      <w:numFmt w:val="decimal"/>
      <w:lvlText w:val="%7."/>
      <w:lvlJc w:val="left"/>
      <w:pPr>
        <w:tabs>
          <w:tab w:val="left" w:pos="3360"/>
        </w:tabs>
        <w:ind w:left="3360" w:hanging="480"/>
      </w:pPr>
    </w:lvl>
    <w:lvl w:ilvl="7" w:tentative="0">
      <w:start w:val="1"/>
      <w:numFmt w:val="ideographTraditional"/>
      <w:lvlText w:val="%8、"/>
      <w:lvlJc w:val="left"/>
      <w:pPr>
        <w:tabs>
          <w:tab w:val="left" w:pos="3840"/>
        </w:tabs>
        <w:ind w:left="3840" w:hanging="480"/>
      </w:pPr>
    </w:lvl>
    <w:lvl w:ilvl="8" w:tentative="0">
      <w:start w:val="1"/>
      <w:numFmt w:val="lowerRoman"/>
      <w:lvlText w:val="%9."/>
      <w:lvlJc w:val="right"/>
      <w:pPr>
        <w:tabs>
          <w:tab w:val="left" w:pos="4320"/>
        </w:tabs>
        <w:ind w:left="4320" w:hanging="480"/>
      </w:pPr>
    </w:lvl>
  </w:abstractNum>
  <w:abstractNum w:abstractNumId="1">
    <w:nsid w:val="2721BBA2"/>
    <w:multiLevelType w:val="singleLevel"/>
    <w:tmpl w:val="2721BBA2"/>
    <w:lvl w:ilvl="0" w:tentative="0">
      <w:start w:val="1"/>
      <w:numFmt w:val="decimal"/>
      <w:suff w:val="nothing"/>
      <w:lvlText w:val="%1、"/>
      <w:lvlJc w:val="left"/>
    </w:lvl>
  </w:abstractNum>
  <w:abstractNum w:abstractNumId="2">
    <w:nsid w:val="5FD07E3B"/>
    <w:multiLevelType w:val="singleLevel"/>
    <w:tmpl w:val="5FD07E3B"/>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lNTBlZTJkMzNmMTJlYTRlNDRkMzg2YjliNjZmZjgifQ=="/>
    <w:docVar w:name="KSO_WPS_MARK_KEY" w:val="d388c096-e43a-4156-b9c5-facd9b5ceb9b"/>
  </w:docVars>
  <w:rsids>
    <w:rsidRoot w:val="00B56D8D"/>
    <w:rsid w:val="000014C9"/>
    <w:rsid w:val="000041DB"/>
    <w:rsid w:val="000070F5"/>
    <w:rsid w:val="00010C7E"/>
    <w:rsid w:val="0001769C"/>
    <w:rsid w:val="00022A55"/>
    <w:rsid w:val="000349F2"/>
    <w:rsid w:val="00036E21"/>
    <w:rsid w:val="00041E72"/>
    <w:rsid w:val="00044218"/>
    <w:rsid w:val="00044686"/>
    <w:rsid w:val="00046C36"/>
    <w:rsid w:val="00057EE2"/>
    <w:rsid w:val="00060D0E"/>
    <w:rsid w:val="00070EAA"/>
    <w:rsid w:val="000747BD"/>
    <w:rsid w:val="00076BBD"/>
    <w:rsid w:val="0008055D"/>
    <w:rsid w:val="000876D1"/>
    <w:rsid w:val="00092030"/>
    <w:rsid w:val="00092219"/>
    <w:rsid w:val="000948F4"/>
    <w:rsid w:val="000A382B"/>
    <w:rsid w:val="000C2381"/>
    <w:rsid w:val="000E2758"/>
    <w:rsid w:val="000E7E9B"/>
    <w:rsid w:val="000F3C80"/>
    <w:rsid w:val="0010160F"/>
    <w:rsid w:val="00101B2D"/>
    <w:rsid w:val="001028B1"/>
    <w:rsid w:val="001211D4"/>
    <w:rsid w:val="00122122"/>
    <w:rsid w:val="00123412"/>
    <w:rsid w:val="001330E3"/>
    <w:rsid w:val="00135F1A"/>
    <w:rsid w:val="00141E66"/>
    <w:rsid w:val="00142080"/>
    <w:rsid w:val="00152AC9"/>
    <w:rsid w:val="00156499"/>
    <w:rsid w:val="0016052F"/>
    <w:rsid w:val="0016416E"/>
    <w:rsid w:val="00164A8B"/>
    <w:rsid w:val="00190CAA"/>
    <w:rsid w:val="001A1492"/>
    <w:rsid w:val="001E4565"/>
    <w:rsid w:val="00226070"/>
    <w:rsid w:val="0023001F"/>
    <w:rsid w:val="002424F4"/>
    <w:rsid w:val="00244656"/>
    <w:rsid w:val="0024686C"/>
    <w:rsid w:val="00252743"/>
    <w:rsid w:val="002547C0"/>
    <w:rsid w:val="00267797"/>
    <w:rsid w:val="00277E8E"/>
    <w:rsid w:val="00280515"/>
    <w:rsid w:val="00280A6D"/>
    <w:rsid w:val="00283B24"/>
    <w:rsid w:val="00284760"/>
    <w:rsid w:val="002979A7"/>
    <w:rsid w:val="00297FCA"/>
    <w:rsid w:val="002A05C4"/>
    <w:rsid w:val="002A63C3"/>
    <w:rsid w:val="002A7289"/>
    <w:rsid w:val="002B0C54"/>
    <w:rsid w:val="002B5C0B"/>
    <w:rsid w:val="002C4F53"/>
    <w:rsid w:val="002C7FDD"/>
    <w:rsid w:val="002D17CA"/>
    <w:rsid w:val="002E00F2"/>
    <w:rsid w:val="002E0AE8"/>
    <w:rsid w:val="002E361B"/>
    <w:rsid w:val="002E76BE"/>
    <w:rsid w:val="002F1FEA"/>
    <w:rsid w:val="00343552"/>
    <w:rsid w:val="0034762C"/>
    <w:rsid w:val="00354A06"/>
    <w:rsid w:val="003578C5"/>
    <w:rsid w:val="003660B4"/>
    <w:rsid w:val="0037650A"/>
    <w:rsid w:val="003960A9"/>
    <w:rsid w:val="003C172E"/>
    <w:rsid w:val="003D62D9"/>
    <w:rsid w:val="003E1FC5"/>
    <w:rsid w:val="003E3AC5"/>
    <w:rsid w:val="003E449D"/>
    <w:rsid w:val="003F38E7"/>
    <w:rsid w:val="00400627"/>
    <w:rsid w:val="004066B4"/>
    <w:rsid w:val="004078AF"/>
    <w:rsid w:val="0041047B"/>
    <w:rsid w:val="004152B4"/>
    <w:rsid w:val="00416E28"/>
    <w:rsid w:val="00421206"/>
    <w:rsid w:val="00422C8C"/>
    <w:rsid w:val="004247BB"/>
    <w:rsid w:val="00433C74"/>
    <w:rsid w:val="00443E8B"/>
    <w:rsid w:val="00465B25"/>
    <w:rsid w:val="00473812"/>
    <w:rsid w:val="00476B98"/>
    <w:rsid w:val="00493BD7"/>
    <w:rsid w:val="00493D2C"/>
    <w:rsid w:val="004A40B2"/>
    <w:rsid w:val="004C61AA"/>
    <w:rsid w:val="004D296F"/>
    <w:rsid w:val="004D4692"/>
    <w:rsid w:val="00504BE5"/>
    <w:rsid w:val="0050790D"/>
    <w:rsid w:val="0051659C"/>
    <w:rsid w:val="005308C8"/>
    <w:rsid w:val="005427A3"/>
    <w:rsid w:val="005516EA"/>
    <w:rsid w:val="00561E3B"/>
    <w:rsid w:val="00574DC4"/>
    <w:rsid w:val="00595171"/>
    <w:rsid w:val="005B07B4"/>
    <w:rsid w:val="005C2F60"/>
    <w:rsid w:val="005C3390"/>
    <w:rsid w:val="005C34B6"/>
    <w:rsid w:val="005D298C"/>
    <w:rsid w:val="005D30F9"/>
    <w:rsid w:val="005E67C6"/>
    <w:rsid w:val="005E6E0F"/>
    <w:rsid w:val="005F797C"/>
    <w:rsid w:val="0060172A"/>
    <w:rsid w:val="00605482"/>
    <w:rsid w:val="00605B68"/>
    <w:rsid w:val="00621429"/>
    <w:rsid w:val="00624814"/>
    <w:rsid w:val="00631330"/>
    <w:rsid w:val="006365D8"/>
    <w:rsid w:val="0065022C"/>
    <w:rsid w:val="00651A30"/>
    <w:rsid w:val="006539D4"/>
    <w:rsid w:val="00662D42"/>
    <w:rsid w:val="0067067E"/>
    <w:rsid w:val="00675C76"/>
    <w:rsid w:val="00681E06"/>
    <w:rsid w:val="00683347"/>
    <w:rsid w:val="0069698A"/>
    <w:rsid w:val="006A52DF"/>
    <w:rsid w:val="006C6723"/>
    <w:rsid w:val="006C7974"/>
    <w:rsid w:val="006D7024"/>
    <w:rsid w:val="006E07EE"/>
    <w:rsid w:val="006E7536"/>
    <w:rsid w:val="006F1E73"/>
    <w:rsid w:val="006F6616"/>
    <w:rsid w:val="00701A69"/>
    <w:rsid w:val="00707FAF"/>
    <w:rsid w:val="00732118"/>
    <w:rsid w:val="00765737"/>
    <w:rsid w:val="00780289"/>
    <w:rsid w:val="00786B2F"/>
    <w:rsid w:val="007B1243"/>
    <w:rsid w:val="007C2B89"/>
    <w:rsid w:val="007D3697"/>
    <w:rsid w:val="00810FC4"/>
    <w:rsid w:val="00850556"/>
    <w:rsid w:val="00857F69"/>
    <w:rsid w:val="0086128B"/>
    <w:rsid w:val="00861493"/>
    <w:rsid w:val="00863ECE"/>
    <w:rsid w:val="00881377"/>
    <w:rsid w:val="008865E2"/>
    <w:rsid w:val="00895D23"/>
    <w:rsid w:val="008A4897"/>
    <w:rsid w:val="008A682D"/>
    <w:rsid w:val="008B5A76"/>
    <w:rsid w:val="008B60D4"/>
    <w:rsid w:val="008C05B4"/>
    <w:rsid w:val="008D58A2"/>
    <w:rsid w:val="008F663D"/>
    <w:rsid w:val="008F6934"/>
    <w:rsid w:val="008F7C3F"/>
    <w:rsid w:val="00902B83"/>
    <w:rsid w:val="009143C5"/>
    <w:rsid w:val="009345E5"/>
    <w:rsid w:val="009407AE"/>
    <w:rsid w:val="00941B12"/>
    <w:rsid w:val="00941F46"/>
    <w:rsid w:val="00943D2C"/>
    <w:rsid w:val="00944119"/>
    <w:rsid w:val="00955693"/>
    <w:rsid w:val="00962FA5"/>
    <w:rsid w:val="00972EEC"/>
    <w:rsid w:val="00974C70"/>
    <w:rsid w:val="00983049"/>
    <w:rsid w:val="00983092"/>
    <w:rsid w:val="00985327"/>
    <w:rsid w:val="009964E9"/>
    <w:rsid w:val="00997257"/>
    <w:rsid w:val="009A0CD6"/>
    <w:rsid w:val="009B4DD5"/>
    <w:rsid w:val="009D00C1"/>
    <w:rsid w:val="009D24DD"/>
    <w:rsid w:val="009D327F"/>
    <w:rsid w:val="009E101D"/>
    <w:rsid w:val="009E160D"/>
    <w:rsid w:val="009F50CF"/>
    <w:rsid w:val="009F6D02"/>
    <w:rsid w:val="00A00B51"/>
    <w:rsid w:val="00A128EA"/>
    <w:rsid w:val="00A316A7"/>
    <w:rsid w:val="00A44322"/>
    <w:rsid w:val="00A4682E"/>
    <w:rsid w:val="00A50AF2"/>
    <w:rsid w:val="00A57627"/>
    <w:rsid w:val="00A61C9E"/>
    <w:rsid w:val="00A74714"/>
    <w:rsid w:val="00A8054A"/>
    <w:rsid w:val="00A93F66"/>
    <w:rsid w:val="00AA79EA"/>
    <w:rsid w:val="00AB064B"/>
    <w:rsid w:val="00AC3B98"/>
    <w:rsid w:val="00AE730F"/>
    <w:rsid w:val="00B006BA"/>
    <w:rsid w:val="00B00725"/>
    <w:rsid w:val="00B06B73"/>
    <w:rsid w:val="00B07103"/>
    <w:rsid w:val="00B073B9"/>
    <w:rsid w:val="00B10809"/>
    <w:rsid w:val="00B2317B"/>
    <w:rsid w:val="00B31518"/>
    <w:rsid w:val="00B407DA"/>
    <w:rsid w:val="00B55864"/>
    <w:rsid w:val="00B558F2"/>
    <w:rsid w:val="00B56D8D"/>
    <w:rsid w:val="00B644A0"/>
    <w:rsid w:val="00B678A6"/>
    <w:rsid w:val="00B86CAD"/>
    <w:rsid w:val="00B95AEC"/>
    <w:rsid w:val="00BA317D"/>
    <w:rsid w:val="00BA4169"/>
    <w:rsid w:val="00BA50B3"/>
    <w:rsid w:val="00BB60B4"/>
    <w:rsid w:val="00BC1795"/>
    <w:rsid w:val="00BC4331"/>
    <w:rsid w:val="00BC5543"/>
    <w:rsid w:val="00BD289D"/>
    <w:rsid w:val="00BE7DE9"/>
    <w:rsid w:val="00C164B1"/>
    <w:rsid w:val="00C259B2"/>
    <w:rsid w:val="00C275E2"/>
    <w:rsid w:val="00C32B3D"/>
    <w:rsid w:val="00C3475E"/>
    <w:rsid w:val="00C43887"/>
    <w:rsid w:val="00C504E6"/>
    <w:rsid w:val="00C52915"/>
    <w:rsid w:val="00C5593E"/>
    <w:rsid w:val="00C61FFF"/>
    <w:rsid w:val="00C85760"/>
    <w:rsid w:val="00C90FB0"/>
    <w:rsid w:val="00CA1575"/>
    <w:rsid w:val="00CA4350"/>
    <w:rsid w:val="00CB7F9E"/>
    <w:rsid w:val="00CC04E8"/>
    <w:rsid w:val="00CC30D9"/>
    <w:rsid w:val="00CC68B8"/>
    <w:rsid w:val="00CE224E"/>
    <w:rsid w:val="00CF6310"/>
    <w:rsid w:val="00D02A93"/>
    <w:rsid w:val="00D02D1C"/>
    <w:rsid w:val="00D02D61"/>
    <w:rsid w:val="00D033D8"/>
    <w:rsid w:val="00D056A3"/>
    <w:rsid w:val="00D13964"/>
    <w:rsid w:val="00D24EED"/>
    <w:rsid w:val="00D2528B"/>
    <w:rsid w:val="00D2650B"/>
    <w:rsid w:val="00D56DAB"/>
    <w:rsid w:val="00D71F15"/>
    <w:rsid w:val="00D8422B"/>
    <w:rsid w:val="00D87A65"/>
    <w:rsid w:val="00D9708D"/>
    <w:rsid w:val="00DA60AE"/>
    <w:rsid w:val="00DB2980"/>
    <w:rsid w:val="00DB7E0B"/>
    <w:rsid w:val="00E03B6A"/>
    <w:rsid w:val="00E11E07"/>
    <w:rsid w:val="00E14463"/>
    <w:rsid w:val="00E24C73"/>
    <w:rsid w:val="00E347B5"/>
    <w:rsid w:val="00E367C2"/>
    <w:rsid w:val="00E53713"/>
    <w:rsid w:val="00E5485C"/>
    <w:rsid w:val="00E81EAC"/>
    <w:rsid w:val="00E84DDD"/>
    <w:rsid w:val="00E92168"/>
    <w:rsid w:val="00EC1D6C"/>
    <w:rsid w:val="00ED26A5"/>
    <w:rsid w:val="00ED5663"/>
    <w:rsid w:val="00EE79FE"/>
    <w:rsid w:val="00EF030D"/>
    <w:rsid w:val="00EF696A"/>
    <w:rsid w:val="00EF7A3E"/>
    <w:rsid w:val="00F07093"/>
    <w:rsid w:val="00F15C42"/>
    <w:rsid w:val="00F20976"/>
    <w:rsid w:val="00F25672"/>
    <w:rsid w:val="00F314BE"/>
    <w:rsid w:val="00F34D54"/>
    <w:rsid w:val="00F5345A"/>
    <w:rsid w:val="00F53616"/>
    <w:rsid w:val="00F53883"/>
    <w:rsid w:val="00F5705A"/>
    <w:rsid w:val="00F600B7"/>
    <w:rsid w:val="00F64E9B"/>
    <w:rsid w:val="00F728FD"/>
    <w:rsid w:val="00F731A4"/>
    <w:rsid w:val="00F776D6"/>
    <w:rsid w:val="00F8214E"/>
    <w:rsid w:val="00F83EF4"/>
    <w:rsid w:val="00F85D13"/>
    <w:rsid w:val="00F92E74"/>
    <w:rsid w:val="00FA2CE0"/>
    <w:rsid w:val="00FA5C97"/>
    <w:rsid w:val="00FB28FC"/>
    <w:rsid w:val="00FC6D1B"/>
    <w:rsid w:val="00FD2656"/>
    <w:rsid w:val="00FF1674"/>
    <w:rsid w:val="00FF1EC0"/>
    <w:rsid w:val="01B464A4"/>
    <w:rsid w:val="02B22916"/>
    <w:rsid w:val="02D72E63"/>
    <w:rsid w:val="030B6CED"/>
    <w:rsid w:val="03467DB5"/>
    <w:rsid w:val="03767BF5"/>
    <w:rsid w:val="044466E0"/>
    <w:rsid w:val="04631FEA"/>
    <w:rsid w:val="04B1421C"/>
    <w:rsid w:val="0592156F"/>
    <w:rsid w:val="05AA2098"/>
    <w:rsid w:val="060519B5"/>
    <w:rsid w:val="07477067"/>
    <w:rsid w:val="079067C5"/>
    <w:rsid w:val="07EA70C4"/>
    <w:rsid w:val="088F0EC7"/>
    <w:rsid w:val="093476BB"/>
    <w:rsid w:val="09DC5814"/>
    <w:rsid w:val="0A9945B8"/>
    <w:rsid w:val="0ACE4A7B"/>
    <w:rsid w:val="0AF171D2"/>
    <w:rsid w:val="0B5C49E9"/>
    <w:rsid w:val="0C5C25B4"/>
    <w:rsid w:val="0C7E4557"/>
    <w:rsid w:val="0D33223A"/>
    <w:rsid w:val="0E737F9C"/>
    <w:rsid w:val="0E7A3365"/>
    <w:rsid w:val="0EB16245"/>
    <w:rsid w:val="0EC27258"/>
    <w:rsid w:val="0ECD6ED7"/>
    <w:rsid w:val="0F836746"/>
    <w:rsid w:val="0FFA3C1C"/>
    <w:rsid w:val="103F18EE"/>
    <w:rsid w:val="10694D6D"/>
    <w:rsid w:val="1101515A"/>
    <w:rsid w:val="11851C0B"/>
    <w:rsid w:val="128F2D41"/>
    <w:rsid w:val="130E3F24"/>
    <w:rsid w:val="13744A34"/>
    <w:rsid w:val="14861F22"/>
    <w:rsid w:val="15526772"/>
    <w:rsid w:val="155C2C83"/>
    <w:rsid w:val="15B40C80"/>
    <w:rsid w:val="15CE3B81"/>
    <w:rsid w:val="174F6690"/>
    <w:rsid w:val="17545CF1"/>
    <w:rsid w:val="17AF2616"/>
    <w:rsid w:val="17FB2C27"/>
    <w:rsid w:val="1833416F"/>
    <w:rsid w:val="18C41880"/>
    <w:rsid w:val="18F57676"/>
    <w:rsid w:val="1B392D05"/>
    <w:rsid w:val="1B9B4505"/>
    <w:rsid w:val="1BF9747E"/>
    <w:rsid w:val="1D68007C"/>
    <w:rsid w:val="1D965E95"/>
    <w:rsid w:val="1EB7EC78"/>
    <w:rsid w:val="1ED019E9"/>
    <w:rsid w:val="1F6743E6"/>
    <w:rsid w:val="1FDD07CD"/>
    <w:rsid w:val="204C04C4"/>
    <w:rsid w:val="20ED1C1A"/>
    <w:rsid w:val="217C0935"/>
    <w:rsid w:val="21C61BB0"/>
    <w:rsid w:val="21C8351B"/>
    <w:rsid w:val="22BE4310"/>
    <w:rsid w:val="22FF21DC"/>
    <w:rsid w:val="23063A8E"/>
    <w:rsid w:val="233D0F56"/>
    <w:rsid w:val="23B1063E"/>
    <w:rsid w:val="2412732E"/>
    <w:rsid w:val="270F5DA7"/>
    <w:rsid w:val="275B1730"/>
    <w:rsid w:val="28F33F64"/>
    <w:rsid w:val="293A4FD9"/>
    <w:rsid w:val="2A241B69"/>
    <w:rsid w:val="2A7778D7"/>
    <w:rsid w:val="2A9127FD"/>
    <w:rsid w:val="2B1A690A"/>
    <w:rsid w:val="2C3C3E5C"/>
    <w:rsid w:val="2D8C517E"/>
    <w:rsid w:val="2F456653"/>
    <w:rsid w:val="2FBB2F70"/>
    <w:rsid w:val="2FCB59C1"/>
    <w:rsid w:val="30D81900"/>
    <w:rsid w:val="31823820"/>
    <w:rsid w:val="31894E52"/>
    <w:rsid w:val="322008F8"/>
    <w:rsid w:val="32892EB1"/>
    <w:rsid w:val="333E1EEE"/>
    <w:rsid w:val="34857719"/>
    <w:rsid w:val="34C56343"/>
    <w:rsid w:val="34F715EC"/>
    <w:rsid w:val="35370F90"/>
    <w:rsid w:val="359838C2"/>
    <w:rsid w:val="35D42696"/>
    <w:rsid w:val="35DE521D"/>
    <w:rsid w:val="365C562B"/>
    <w:rsid w:val="366F4E34"/>
    <w:rsid w:val="375263D8"/>
    <w:rsid w:val="37B479B1"/>
    <w:rsid w:val="37EB1043"/>
    <w:rsid w:val="37F00FD4"/>
    <w:rsid w:val="37FFFEB1"/>
    <w:rsid w:val="38156132"/>
    <w:rsid w:val="381C6B9A"/>
    <w:rsid w:val="390A2872"/>
    <w:rsid w:val="39941001"/>
    <w:rsid w:val="39E5786C"/>
    <w:rsid w:val="39EB3791"/>
    <w:rsid w:val="39F240B7"/>
    <w:rsid w:val="3A1C25A1"/>
    <w:rsid w:val="3A7971F2"/>
    <w:rsid w:val="3ABA1B53"/>
    <w:rsid w:val="3B3340ED"/>
    <w:rsid w:val="3B5437A4"/>
    <w:rsid w:val="3BD038FF"/>
    <w:rsid w:val="3C3025F0"/>
    <w:rsid w:val="3C8C1F1C"/>
    <w:rsid w:val="3C9E57AB"/>
    <w:rsid w:val="3CDC62D4"/>
    <w:rsid w:val="3D1D0DC6"/>
    <w:rsid w:val="3E7FCAE4"/>
    <w:rsid w:val="3F2D1A62"/>
    <w:rsid w:val="3F604AB7"/>
    <w:rsid w:val="3F7D3144"/>
    <w:rsid w:val="3FC20A1F"/>
    <w:rsid w:val="3FCF152A"/>
    <w:rsid w:val="3FD34D41"/>
    <w:rsid w:val="3FD7BEFE"/>
    <w:rsid w:val="3FF57291"/>
    <w:rsid w:val="408156A6"/>
    <w:rsid w:val="41654AEA"/>
    <w:rsid w:val="419E7FFC"/>
    <w:rsid w:val="421D53C4"/>
    <w:rsid w:val="43225897"/>
    <w:rsid w:val="43B104BA"/>
    <w:rsid w:val="43B41D58"/>
    <w:rsid w:val="43CC5BD0"/>
    <w:rsid w:val="444E7545"/>
    <w:rsid w:val="44D05821"/>
    <w:rsid w:val="46471526"/>
    <w:rsid w:val="46E56104"/>
    <w:rsid w:val="476129EA"/>
    <w:rsid w:val="477F6C5D"/>
    <w:rsid w:val="47DC362C"/>
    <w:rsid w:val="487A2FF8"/>
    <w:rsid w:val="48BF71D5"/>
    <w:rsid w:val="491F7C74"/>
    <w:rsid w:val="49756FB7"/>
    <w:rsid w:val="4A9B234B"/>
    <w:rsid w:val="4CA926AC"/>
    <w:rsid w:val="4CC56D84"/>
    <w:rsid w:val="4D4839E1"/>
    <w:rsid w:val="4DAE7B58"/>
    <w:rsid w:val="4E295A47"/>
    <w:rsid w:val="4E4503DF"/>
    <w:rsid w:val="4F870B36"/>
    <w:rsid w:val="50A54F03"/>
    <w:rsid w:val="51A4340C"/>
    <w:rsid w:val="52D10A5C"/>
    <w:rsid w:val="54434490"/>
    <w:rsid w:val="54460539"/>
    <w:rsid w:val="54FE7884"/>
    <w:rsid w:val="55E71B19"/>
    <w:rsid w:val="56547E0B"/>
    <w:rsid w:val="57A44F3E"/>
    <w:rsid w:val="57AD21A3"/>
    <w:rsid w:val="581FF03C"/>
    <w:rsid w:val="597434C2"/>
    <w:rsid w:val="59800981"/>
    <w:rsid w:val="5AAF6DFC"/>
    <w:rsid w:val="5AC5CE84"/>
    <w:rsid w:val="5AC715D3"/>
    <w:rsid w:val="5B906302"/>
    <w:rsid w:val="5C734107"/>
    <w:rsid w:val="5C9757F6"/>
    <w:rsid w:val="5CC05393"/>
    <w:rsid w:val="5D891708"/>
    <w:rsid w:val="5DDFCE78"/>
    <w:rsid w:val="5E113BD7"/>
    <w:rsid w:val="5E555573"/>
    <w:rsid w:val="5F0C25F1"/>
    <w:rsid w:val="5F3A0F0C"/>
    <w:rsid w:val="5FBB7098"/>
    <w:rsid w:val="5FFE5C71"/>
    <w:rsid w:val="608766FA"/>
    <w:rsid w:val="62465560"/>
    <w:rsid w:val="62713796"/>
    <w:rsid w:val="62797F9D"/>
    <w:rsid w:val="636A0FBC"/>
    <w:rsid w:val="63FB07DE"/>
    <w:rsid w:val="6491331F"/>
    <w:rsid w:val="64D13A67"/>
    <w:rsid w:val="651D10B4"/>
    <w:rsid w:val="65353D60"/>
    <w:rsid w:val="65927733"/>
    <w:rsid w:val="66AF419A"/>
    <w:rsid w:val="67310E46"/>
    <w:rsid w:val="67693568"/>
    <w:rsid w:val="678539B0"/>
    <w:rsid w:val="67B65E66"/>
    <w:rsid w:val="68224C33"/>
    <w:rsid w:val="68326868"/>
    <w:rsid w:val="68A90CAE"/>
    <w:rsid w:val="691741BA"/>
    <w:rsid w:val="693C671A"/>
    <w:rsid w:val="69540E1C"/>
    <w:rsid w:val="6993156B"/>
    <w:rsid w:val="6A1C5DDE"/>
    <w:rsid w:val="6A8C0276"/>
    <w:rsid w:val="6AA933EA"/>
    <w:rsid w:val="6B9F3FD0"/>
    <w:rsid w:val="6C5A4C26"/>
    <w:rsid w:val="6C5F3F64"/>
    <w:rsid w:val="6CBD0472"/>
    <w:rsid w:val="6D501230"/>
    <w:rsid w:val="6EBE48B9"/>
    <w:rsid w:val="6F2537D5"/>
    <w:rsid w:val="6F827603"/>
    <w:rsid w:val="6F9208F0"/>
    <w:rsid w:val="6FB70357"/>
    <w:rsid w:val="6FF4AB1E"/>
    <w:rsid w:val="703D260A"/>
    <w:rsid w:val="70B64178"/>
    <w:rsid w:val="715F2A54"/>
    <w:rsid w:val="71625915"/>
    <w:rsid w:val="71A14E1B"/>
    <w:rsid w:val="724C4509"/>
    <w:rsid w:val="72811C9D"/>
    <w:rsid w:val="72946F8C"/>
    <w:rsid w:val="750E27C7"/>
    <w:rsid w:val="752F5F23"/>
    <w:rsid w:val="75475CD9"/>
    <w:rsid w:val="759656A5"/>
    <w:rsid w:val="75A01B77"/>
    <w:rsid w:val="75E11C8A"/>
    <w:rsid w:val="76484185"/>
    <w:rsid w:val="77262FBC"/>
    <w:rsid w:val="77E66DAC"/>
    <w:rsid w:val="77FEA287"/>
    <w:rsid w:val="785A23FA"/>
    <w:rsid w:val="790A7BA3"/>
    <w:rsid w:val="791C2EDB"/>
    <w:rsid w:val="7A97500D"/>
    <w:rsid w:val="7B134C05"/>
    <w:rsid w:val="7B231ABE"/>
    <w:rsid w:val="7B771CD3"/>
    <w:rsid w:val="7BB045D8"/>
    <w:rsid w:val="7BF2589C"/>
    <w:rsid w:val="7D180687"/>
    <w:rsid w:val="7D3B1482"/>
    <w:rsid w:val="7D7F7881"/>
    <w:rsid w:val="7D931EB5"/>
    <w:rsid w:val="7E7F26E5"/>
    <w:rsid w:val="7EDFC7C2"/>
    <w:rsid w:val="7F1665F2"/>
    <w:rsid w:val="7F1E2996"/>
    <w:rsid w:val="7F2C5B5E"/>
    <w:rsid w:val="7F7ADC69"/>
    <w:rsid w:val="7F9FDD98"/>
    <w:rsid w:val="97FDBE5C"/>
    <w:rsid w:val="9CEB3D0B"/>
    <w:rsid w:val="A7BF44BC"/>
    <w:rsid w:val="A7EF3F5E"/>
    <w:rsid w:val="AA7F5357"/>
    <w:rsid w:val="BEFCC3C0"/>
    <w:rsid w:val="BF3B77F5"/>
    <w:rsid w:val="BF7F4510"/>
    <w:rsid w:val="BF7FB1E6"/>
    <w:rsid w:val="D3F69DEE"/>
    <w:rsid w:val="DEFD0713"/>
    <w:rsid w:val="E1BF360E"/>
    <w:rsid w:val="ED951503"/>
    <w:rsid w:val="EFFFB1F9"/>
    <w:rsid w:val="F3C356F5"/>
    <w:rsid w:val="F4FAA1E7"/>
    <w:rsid w:val="F5BF6DDA"/>
    <w:rsid w:val="F6DC3A35"/>
    <w:rsid w:val="F7B558FB"/>
    <w:rsid w:val="F9FBA662"/>
    <w:rsid w:val="FAF44993"/>
    <w:rsid w:val="FCCE71B7"/>
    <w:rsid w:val="FDFF1D20"/>
    <w:rsid w:val="FDFF6AC9"/>
    <w:rsid w:val="FE584FA0"/>
    <w:rsid w:val="FFF6A0F3"/>
    <w:rsid w:val="FFF72ED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3"/>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54"/>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55"/>
    <w:qFormat/>
    <w:uiPriority w:val="0"/>
    <w:pPr>
      <w:keepNext/>
      <w:jc w:val="center"/>
      <w:outlineLvl w:val="3"/>
    </w:pPr>
    <w:rPr>
      <w:rFonts w:eastAsia="新宋体"/>
      <w:kern w:val="0"/>
      <w:sz w:val="30"/>
      <w:szCs w:val="21"/>
    </w:rPr>
  </w:style>
  <w:style w:type="paragraph" w:styleId="6">
    <w:name w:val="heading 5"/>
    <w:basedOn w:val="1"/>
    <w:next w:val="1"/>
    <w:link w:val="56"/>
    <w:autoRedefine/>
    <w:qFormat/>
    <w:uiPriority w:val="0"/>
    <w:pPr>
      <w:keepNext/>
      <w:keepLines/>
      <w:spacing w:before="280" w:after="290" w:line="376" w:lineRule="auto"/>
      <w:outlineLvl w:val="4"/>
    </w:pPr>
    <w:rPr>
      <w:b/>
      <w:bCs/>
      <w:kern w:val="0"/>
      <w:sz w:val="28"/>
      <w:szCs w:val="28"/>
    </w:rPr>
  </w:style>
  <w:style w:type="paragraph" w:styleId="7">
    <w:name w:val="heading 6"/>
    <w:basedOn w:val="1"/>
    <w:next w:val="8"/>
    <w:link w:val="57"/>
    <w:qFormat/>
    <w:uiPriority w:val="0"/>
    <w:pPr>
      <w:keepNext/>
      <w:jc w:val="center"/>
      <w:outlineLvl w:val="5"/>
    </w:pPr>
    <w:rPr>
      <w:b/>
      <w:kern w:val="0"/>
      <w:sz w:val="44"/>
      <w:szCs w:val="20"/>
    </w:rPr>
  </w:style>
  <w:style w:type="paragraph" w:styleId="9">
    <w:name w:val="heading 7"/>
    <w:basedOn w:val="1"/>
    <w:next w:val="1"/>
    <w:link w:val="60"/>
    <w:qFormat/>
    <w:uiPriority w:val="0"/>
    <w:pPr>
      <w:keepNext/>
      <w:keepLines/>
      <w:spacing w:before="240" w:after="64" w:line="320" w:lineRule="auto"/>
      <w:outlineLvl w:val="6"/>
    </w:pPr>
    <w:rPr>
      <w:b/>
      <w:bCs/>
      <w:kern w:val="0"/>
      <w:sz w:val="24"/>
    </w:rPr>
  </w:style>
  <w:style w:type="paragraph" w:styleId="10">
    <w:name w:val="heading 8"/>
    <w:basedOn w:val="1"/>
    <w:next w:val="1"/>
    <w:link w:val="61"/>
    <w:qFormat/>
    <w:uiPriority w:val="0"/>
    <w:pPr>
      <w:keepNext/>
      <w:keepLines/>
      <w:spacing w:before="240" w:after="64" w:line="320" w:lineRule="auto"/>
      <w:outlineLvl w:val="7"/>
    </w:pPr>
    <w:rPr>
      <w:rFonts w:ascii="Arial" w:hAnsi="Arial" w:eastAsia="黑体"/>
      <w:kern w:val="0"/>
      <w:sz w:val="24"/>
    </w:rPr>
  </w:style>
  <w:style w:type="paragraph" w:styleId="11">
    <w:name w:val="heading 9"/>
    <w:basedOn w:val="1"/>
    <w:next w:val="1"/>
    <w:link w:val="62"/>
    <w:qFormat/>
    <w:uiPriority w:val="0"/>
    <w:pPr>
      <w:keepNext/>
      <w:keepLines/>
      <w:spacing w:before="240" w:after="64" w:line="320" w:lineRule="auto"/>
      <w:outlineLvl w:val="8"/>
    </w:pPr>
    <w:rPr>
      <w:rFonts w:ascii="Arial" w:hAnsi="Arial" w:eastAsia="黑体"/>
      <w:kern w:val="0"/>
      <w:sz w:val="24"/>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link w:val="58"/>
    <w:qFormat/>
    <w:uiPriority w:val="0"/>
    <w:pPr>
      <w:ind w:firstLine="420"/>
    </w:pPr>
    <w:rPr>
      <w:kern w:val="0"/>
      <w:sz w:val="20"/>
      <w:szCs w:val="20"/>
    </w:rPr>
  </w:style>
  <w:style w:type="paragraph" w:styleId="12">
    <w:name w:val="Note Heading"/>
    <w:basedOn w:val="1"/>
    <w:next w:val="1"/>
    <w:qFormat/>
    <w:uiPriority w:val="0"/>
    <w:rPr>
      <w:rFonts w:ascii="Verdana" w:hAnsi="Verdana"/>
      <w:szCs w:val="20"/>
    </w:rPr>
  </w:style>
  <w:style w:type="paragraph" w:styleId="13">
    <w:name w:val="Document Map"/>
    <w:basedOn w:val="1"/>
    <w:link w:val="63"/>
    <w:qFormat/>
    <w:uiPriority w:val="0"/>
    <w:pPr>
      <w:shd w:val="clear" w:color="auto" w:fill="000080"/>
    </w:pPr>
    <w:rPr>
      <w:kern w:val="0"/>
      <w:sz w:val="20"/>
    </w:rPr>
  </w:style>
  <w:style w:type="paragraph" w:styleId="14">
    <w:name w:val="toa heading"/>
    <w:basedOn w:val="1"/>
    <w:next w:val="1"/>
    <w:autoRedefine/>
    <w:qFormat/>
    <w:uiPriority w:val="0"/>
    <w:pPr>
      <w:adjustRightInd w:val="0"/>
      <w:spacing w:line="360" w:lineRule="atLeast"/>
      <w:jc w:val="center"/>
      <w:textAlignment w:val="baseline"/>
    </w:pPr>
    <w:rPr>
      <w:rFonts w:ascii="Arial" w:hAnsi="Arial" w:eastAsia="黑体"/>
      <w:kern w:val="0"/>
      <w:sz w:val="36"/>
      <w:szCs w:val="20"/>
    </w:rPr>
  </w:style>
  <w:style w:type="paragraph" w:styleId="15">
    <w:name w:val="annotation text"/>
    <w:basedOn w:val="1"/>
    <w:link w:val="134"/>
    <w:autoRedefine/>
    <w:qFormat/>
    <w:uiPriority w:val="99"/>
    <w:pPr>
      <w:jc w:val="left"/>
    </w:pPr>
  </w:style>
  <w:style w:type="paragraph" w:styleId="16">
    <w:name w:val="Body Text 3"/>
    <w:basedOn w:val="1"/>
    <w:link w:val="64"/>
    <w:autoRedefine/>
    <w:qFormat/>
    <w:uiPriority w:val="0"/>
    <w:pPr>
      <w:spacing w:after="120"/>
    </w:pPr>
    <w:rPr>
      <w:kern w:val="0"/>
      <w:sz w:val="16"/>
      <w:szCs w:val="16"/>
    </w:rPr>
  </w:style>
  <w:style w:type="paragraph" w:styleId="17">
    <w:name w:val="Body Text"/>
    <w:basedOn w:val="1"/>
    <w:next w:val="1"/>
    <w:link w:val="65"/>
    <w:autoRedefine/>
    <w:qFormat/>
    <w:uiPriority w:val="0"/>
    <w:rPr>
      <w:rFonts w:ascii="仿宋_GB2312" w:eastAsia="仿宋_GB2312"/>
      <w:kern w:val="0"/>
      <w:sz w:val="24"/>
      <w:szCs w:val="20"/>
    </w:rPr>
  </w:style>
  <w:style w:type="paragraph" w:styleId="18">
    <w:name w:val="Body Text Indent"/>
    <w:basedOn w:val="1"/>
    <w:next w:val="19"/>
    <w:link w:val="66"/>
    <w:qFormat/>
    <w:uiPriority w:val="0"/>
    <w:pPr>
      <w:ind w:left="765"/>
    </w:pPr>
    <w:rPr>
      <w:rFonts w:ascii="仿宋_GB2312" w:eastAsia="仿宋_GB2312"/>
      <w:kern w:val="0"/>
      <w:sz w:val="28"/>
      <w:szCs w:val="20"/>
    </w:rPr>
  </w:style>
  <w:style w:type="paragraph" w:styleId="19">
    <w:name w:val="envelope return"/>
    <w:basedOn w:val="1"/>
    <w:qFormat/>
    <w:uiPriority w:val="99"/>
    <w:pPr>
      <w:snapToGrid w:val="0"/>
    </w:pPr>
    <w:rPr>
      <w:rFonts w:ascii="Arial" w:hAnsi="Arial"/>
    </w:rPr>
  </w:style>
  <w:style w:type="paragraph" w:styleId="20">
    <w:name w:val="Block Text"/>
    <w:basedOn w:val="1"/>
    <w:qFormat/>
    <w:uiPriority w:val="99"/>
  </w:style>
  <w:style w:type="paragraph" w:styleId="21">
    <w:name w:val="index 4"/>
    <w:basedOn w:val="1"/>
    <w:next w:val="1"/>
    <w:unhideWhenUsed/>
    <w:qFormat/>
    <w:uiPriority w:val="99"/>
    <w:pPr>
      <w:ind w:left="600" w:leftChars="600"/>
    </w:pPr>
    <w:rPr>
      <w:rFonts w:ascii="Verdana" w:hAnsi="Verdana"/>
      <w:szCs w:val="20"/>
    </w:rPr>
  </w:style>
  <w:style w:type="paragraph" w:styleId="22">
    <w:name w:val="Plain Text"/>
    <w:basedOn w:val="1"/>
    <w:link w:val="59"/>
    <w:qFormat/>
    <w:uiPriority w:val="0"/>
    <w:rPr>
      <w:rFonts w:ascii="宋体" w:hAnsi="Courier New"/>
      <w:kern w:val="0"/>
      <w:sz w:val="20"/>
      <w:szCs w:val="21"/>
    </w:rPr>
  </w:style>
  <w:style w:type="paragraph" w:styleId="23">
    <w:name w:val="Date"/>
    <w:basedOn w:val="1"/>
    <w:next w:val="1"/>
    <w:link w:val="67"/>
    <w:qFormat/>
    <w:uiPriority w:val="0"/>
    <w:rPr>
      <w:kern w:val="0"/>
      <w:sz w:val="24"/>
      <w:szCs w:val="20"/>
    </w:rPr>
  </w:style>
  <w:style w:type="paragraph" w:styleId="24">
    <w:name w:val="Body Text Indent 2"/>
    <w:basedOn w:val="1"/>
    <w:link w:val="68"/>
    <w:qFormat/>
    <w:uiPriority w:val="0"/>
    <w:pPr>
      <w:spacing w:line="500" w:lineRule="exact"/>
      <w:ind w:firstLine="560" w:firstLineChars="200"/>
    </w:pPr>
    <w:rPr>
      <w:rFonts w:eastAsia="仿宋_GB2312"/>
      <w:kern w:val="0"/>
      <w:sz w:val="28"/>
      <w:szCs w:val="20"/>
    </w:rPr>
  </w:style>
  <w:style w:type="paragraph" w:styleId="25">
    <w:name w:val="Balloon Text"/>
    <w:basedOn w:val="1"/>
    <w:link w:val="69"/>
    <w:qFormat/>
    <w:uiPriority w:val="0"/>
    <w:rPr>
      <w:kern w:val="0"/>
      <w:sz w:val="18"/>
      <w:szCs w:val="18"/>
    </w:rPr>
  </w:style>
  <w:style w:type="paragraph" w:styleId="26">
    <w:name w:val="footer"/>
    <w:basedOn w:val="1"/>
    <w:link w:val="70"/>
    <w:qFormat/>
    <w:uiPriority w:val="99"/>
    <w:pPr>
      <w:tabs>
        <w:tab w:val="center" w:pos="4153"/>
        <w:tab w:val="right" w:pos="8306"/>
      </w:tabs>
      <w:snapToGrid w:val="0"/>
      <w:jc w:val="left"/>
    </w:pPr>
    <w:rPr>
      <w:kern w:val="0"/>
      <w:sz w:val="18"/>
      <w:szCs w:val="20"/>
    </w:rPr>
  </w:style>
  <w:style w:type="paragraph" w:styleId="27">
    <w:name w:val="header"/>
    <w:basedOn w:val="1"/>
    <w:link w:val="71"/>
    <w:qFormat/>
    <w:uiPriority w:val="0"/>
    <w:pPr>
      <w:pBdr>
        <w:bottom w:val="single" w:color="auto" w:sz="6" w:space="1"/>
      </w:pBdr>
      <w:tabs>
        <w:tab w:val="center" w:pos="4153"/>
        <w:tab w:val="right" w:pos="8306"/>
      </w:tabs>
      <w:snapToGrid w:val="0"/>
      <w:jc w:val="center"/>
    </w:pPr>
    <w:rPr>
      <w:kern w:val="0"/>
      <w:sz w:val="18"/>
      <w:szCs w:val="18"/>
    </w:rPr>
  </w:style>
  <w:style w:type="paragraph" w:styleId="28">
    <w:name w:val="toc 1"/>
    <w:basedOn w:val="1"/>
    <w:next w:val="1"/>
    <w:qFormat/>
    <w:uiPriority w:val="0"/>
    <w:rPr>
      <w:sz w:val="24"/>
    </w:rPr>
  </w:style>
  <w:style w:type="paragraph" w:styleId="29">
    <w:name w:val="List"/>
    <w:basedOn w:val="1"/>
    <w:qFormat/>
    <w:uiPriority w:val="0"/>
    <w:pPr>
      <w:ind w:left="200" w:hanging="200" w:hangingChars="200"/>
    </w:pPr>
  </w:style>
  <w:style w:type="paragraph" w:styleId="30">
    <w:name w:val="Body Text Indent 3"/>
    <w:basedOn w:val="1"/>
    <w:next w:val="14"/>
    <w:link w:val="72"/>
    <w:qFormat/>
    <w:uiPriority w:val="0"/>
    <w:pPr>
      <w:spacing w:after="120"/>
      <w:ind w:left="420" w:leftChars="200"/>
    </w:pPr>
    <w:rPr>
      <w:kern w:val="0"/>
      <w:sz w:val="16"/>
      <w:szCs w:val="16"/>
    </w:rPr>
  </w:style>
  <w:style w:type="paragraph" w:styleId="31">
    <w:name w:val="Body Text 2"/>
    <w:basedOn w:val="1"/>
    <w:next w:val="17"/>
    <w:link w:val="73"/>
    <w:qFormat/>
    <w:uiPriority w:val="0"/>
    <w:pPr>
      <w:snapToGrid w:val="0"/>
    </w:pPr>
    <w:rPr>
      <w:b/>
      <w:bCs/>
      <w:kern w:val="0"/>
      <w:sz w:val="18"/>
    </w:rPr>
  </w:style>
  <w:style w:type="paragraph" w:styleId="32">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3">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34">
    <w:name w:val="annotation subject"/>
    <w:basedOn w:val="15"/>
    <w:next w:val="15"/>
    <w:link w:val="135"/>
    <w:qFormat/>
    <w:uiPriority w:val="99"/>
    <w:rPr>
      <w:b/>
      <w:bCs/>
    </w:rPr>
  </w:style>
  <w:style w:type="paragraph" w:styleId="35">
    <w:name w:val="Body Text First Indent"/>
    <w:basedOn w:val="17"/>
    <w:link w:val="74"/>
    <w:autoRedefine/>
    <w:qFormat/>
    <w:uiPriority w:val="0"/>
    <w:pPr>
      <w:spacing w:after="120"/>
      <w:ind w:firstLine="420" w:firstLineChars="100"/>
    </w:pPr>
    <w:rPr>
      <w:rFonts w:ascii="Times New Roman" w:eastAsia="宋体"/>
      <w:szCs w:val="24"/>
    </w:rPr>
  </w:style>
  <w:style w:type="paragraph" w:styleId="36">
    <w:name w:val="Body Text First Indent 2"/>
    <w:basedOn w:val="18"/>
    <w:qFormat/>
    <w:uiPriority w:val="99"/>
    <w:pPr>
      <w:ind w:firstLine="200" w:firstLineChars="200"/>
    </w:pPr>
  </w:style>
  <w:style w:type="table" w:styleId="38">
    <w:name w:val="Table Grid"/>
    <w:basedOn w:val="3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qFormat/>
    <w:uiPriority w:val="0"/>
    <w:rPr>
      <w:b/>
      <w:bCs/>
    </w:rPr>
  </w:style>
  <w:style w:type="character" w:styleId="41">
    <w:name w:val="page number"/>
    <w:autoRedefine/>
    <w:qFormat/>
    <w:uiPriority w:val="0"/>
  </w:style>
  <w:style w:type="character" w:styleId="42">
    <w:name w:val="FollowedHyperlink"/>
    <w:qFormat/>
    <w:uiPriority w:val="0"/>
    <w:rPr>
      <w:color w:val="666666"/>
      <w:u w:val="none"/>
    </w:rPr>
  </w:style>
  <w:style w:type="character" w:styleId="43">
    <w:name w:val="Emphasis"/>
    <w:qFormat/>
    <w:uiPriority w:val="20"/>
  </w:style>
  <w:style w:type="character" w:styleId="44">
    <w:name w:val="Hyperlink"/>
    <w:qFormat/>
    <w:uiPriority w:val="0"/>
    <w:rPr>
      <w:color w:val="666666"/>
      <w:u w:val="none"/>
    </w:rPr>
  </w:style>
  <w:style w:type="character" w:styleId="45">
    <w:name w:val="annotation reference"/>
    <w:qFormat/>
    <w:uiPriority w:val="99"/>
    <w:rPr>
      <w:sz w:val="21"/>
      <w:szCs w:val="21"/>
    </w:rPr>
  </w:style>
  <w:style w:type="paragraph" w:customStyle="1" w:styleId="46">
    <w:name w:val="正文首行缩进1"/>
    <w:basedOn w:val="47"/>
    <w:qFormat/>
    <w:uiPriority w:val="0"/>
    <w:pPr>
      <w:spacing w:before="100" w:beforeAutospacing="1" w:line="360" w:lineRule="auto"/>
      <w:ind w:firstLine="482"/>
    </w:pPr>
    <w:rPr>
      <w:b/>
      <w:bCs/>
      <w:sz w:val="24"/>
      <w:szCs w:val="24"/>
    </w:rPr>
  </w:style>
  <w:style w:type="paragraph" w:customStyle="1" w:styleId="47">
    <w:name w:val="正文文本11"/>
    <w:basedOn w:val="1"/>
    <w:next w:val="1"/>
    <w:qFormat/>
    <w:uiPriority w:val="0"/>
    <w:rPr>
      <w:rFonts w:ascii="楷体_GB2312" w:hAnsi="Arial" w:eastAsia="楷体_GB2312"/>
      <w:sz w:val="28"/>
      <w:szCs w:val="28"/>
    </w:rPr>
  </w:style>
  <w:style w:type="paragraph" w:customStyle="1" w:styleId="48">
    <w:name w:val="正文文本1"/>
    <w:basedOn w:val="1"/>
    <w:next w:val="1"/>
    <w:autoRedefine/>
    <w:qFormat/>
    <w:uiPriority w:val="0"/>
    <w:rPr>
      <w:rFonts w:ascii="楷体_GB2312" w:hAnsi="Arial" w:eastAsia="楷体_GB2312"/>
      <w:sz w:val="28"/>
      <w:szCs w:val="28"/>
    </w:rPr>
  </w:style>
  <w:style w:type="paragraph" w:customStyle="1" w:styleId="49">
    <w:name w:val="style4"/>
    <w:basedOn w:val="1"/>
    <w:next w:val="50"/>
    <w:autoRedefine/>
    <w:qFormat/>
    <w:uiPriority w:val="0"/>
    <w:pPr>
      <w:widowControl/>
      <w:spacing w:before="280" w:after="280"/>
    </w:pPr>
    <w:rPr>
      <w:rFonts w:ascii="宋体"/>
      <w:sz w:val="18"/>
    </w:rPr>
  </w:style>
  <w:style w:type="paragraph" w:customStyle="1" w:styleId="50">
    <w:name w:val="2"/>
    <w:next w:val="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51">
    <w:name w:val="Default"/>
    <w:autoRedefine/>
    <w:qFormat/>
    <w:uiPriority w:val="99"/>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52">
    <w:name w:val="标题 1 字符"/>
    <w:link w:val="2"/>
    <w:autoRedefine/>
    <w:qFormat/>
    <w:uiPriority w:val="0"/>
    <w:rPr>
      <w:rFonts w:ascii="Times New Roman" w:hAnsi="Times New Roman" w:eastAsia="宋体" w:cs="Times New Roman"/>
      <w:b/>
      <w:bCs/>
      <w:kern w:val="44"/>
      <w:sz w:val="44"/>
      <w:szCs w:val="44"/>
    </w:rPr>
  </w:style>
  <w:style w:type="character" w:customStyle="1" w:styleId="53">
    <w:name w:val="标题 2 字符"/>
    <w:link w:val="3"/>
    <w:autoRedefine/>
    <w:qFormat/>
    <w:uiPriority w:val="0"/>
    <w:rPr>
      <w:rFonts w:ascii="Arial" w:hAnsi="Arial" w:eastAsia="黑体" w:cs="Times New Roman"/>
      <w:b/>
      <w:bCs/>
      <w:sz w:val="32"/>
      <w:szCs w:val="32"/>
    </w:rPr>
  </w:style>
  <w:style w:type="character" w:customStyle="1" w:styleId="54">
    <w:name w:val="标题 3 字符"/>
    <w:link w:val="4"/>
    <w:qFormat/>
    <w:uiPriority w:val="0"/>
    <w:rPr>
      <w:rFonts w:ascii="Times New Roman" w:hAnsi="Times New Roman" w:eastAsia="宋体" w:cs="Times New Roman"/>
      <w:b/>
      <w:bCs/>
      <w:sz w:val="32"/>
      <w:szCs w:val="32"/>
    </w:rPr>
  </w:style>
  <w:style w:type="character" w:customStyle="1" w:styleId="55">
    <w:name w:val="标题 4 字符"/>
    <w:link w:val="5"/>
    <w:qFormat/>
    <w:uiPriority w:val="0"/>
    <w:rPr>
      <w:rFonts w:ascii="Times New Roman" w:hAnsi="Times New Roman" w:eastAsia="新宋体" w:cs="Times New Roman"/>
      <w:sz w:val="30"/>
      <w:szCs w:val="21"/>
    </w:rPr>
  </w:style>
  <w:style w:type="character" w:customStyle="1" w:styleId="56">
    <w:name w:val="标题 5 字符"/>
    <w:link w:val="6"/>
    <w:autoRedefine/>
    <w:qFormat/>
    <w:uiPriority w:val="0"/>
    <w:rPr>
      <w:rFonts w:ascii="Times New Roman" w:hAnsi="Times New Roman" w:eastAsia="宋体" w:cs="Times New Roman"/>
      <w:b/>
      <w:bCs/>
      <w:sz w:val="28"/>
      <w:szCs w:val="28"/>
    </w:rPr>
  </w:style>
  <w:style w:type="character" w:customStyle="1" w:styleId="57">
    <w:name w:val="标题 6 字符"/>
    <w:link w:val="7"/>
    <w:autoRedefine/>
    <w:qFormat/>
    <w:uiPriority w:val="0"/>
    <w:rPr>
      <w:rFonts w:ascii="Times New Roman" w:hAnsi="Times New Roman" w:eastAsia="宋体" w:cs="Times New Roman"/>
      <w:b/>
      <w:sz w:val="44"/>
      <w:szCs w:val="20"/>
    </w:rPr>
  </w:style>
  <w:style w:type="character" w:customStyle="1" w:styleId="58">
    <w:name w:val="正文缩进 字符"/>
    <w:link w:val="8"/>
    <w:autoRedefine/>
    <w:qFormat/>
    <w:uiPriority w:val="0"/>
    <w:rPr>
      <w:rFonts w:ascii="Times New Roman" w:hAnsi="Times New Roman" w:eastAsia="宋体" w:cs="Times New Roman"/>
      <w:kern w:val="0"/>
      <w:sz w:val="20"/>
      <w:szCs w:val="20"/>
    </w:rPr>
  </w:style>
  <w:style w:type="character" w:customStyle="1" w:styleId="59">
    <w:name w:val="纯文本 字符"/>
    <w:link w:val="22"/>
    <w:autoRedefine/>
    <w:qFormat/>
    <w:uiPriority w:val="0"/>
    <w:rPr>
      <w:rFonts w:ascii="宋体" w:hAnsi="Courier New" w:eastAsia="宋体" w:cs="Courier New"/>
      <w:szCs w:val="21"/>
    </w:rPr>
  </w:style>
  <w:style w:type="character" w:customStyle="1" w:styleId="60">
    <w:name w:val="标题 7 字符"/>
    <w:link w:val="9"/>
    <w:autoRedefine/>
    <w:qFormat/>
    <w:uiPriority w:val="0"/>
    <w:rPr>
      <w:rFonts w:ascii="Times New Roman" w:hAnsi="Times New Roman" w:eastAsia="宋体" w:cs="Times New Roman"/>
      <w:b/>
      <w:bCs/>
      <w:sz w:val="24"/>
      <w:szCs w:val="24"/>
    </w:rPr>
  </w:style>
  <w:style w:type="character" w:customStyle="1" w:styleId="61">
    <w:name w:val="标题 8 字符"/>
    <w:link w:val="10"/>
    <w:qFormat/>
    <w:uiPriority w:val="0"/>
    <w:rPr>
      <w:rFonts w:ascii="Arial" w:hAnsi="Arial" w:eastAsia="黑体" w:cs="Times New Roman"/>
      <w:sz w:val="24"/>
      <w:szCs w:val="24"/>
    </w:rPr>
  </w:style>
  <w:style w:type="character" w:customStyle="1" w:styleId="62">
    <w:name w:val="标题 9 字符"/>
    <w:link w:val="11"/>
    <w:autoRedefine/>
    <w:qFormat/>
    <w:uiPriority w:val="0"/>
    <w:rPr>
      <w:rFonts w:ascii="Arial" w:hAnsi="Arial" w:eastAsia="黑体" w:cs="Times New Roman"/>
      <w:sz w:val="24"/>
      <w:szCs w:val="21"/>
    </w:rPr>
  </w:style>
  <w:style w:type="character" w:customStyle="1" w:styleId="63">
    <w:name w:val="文档结构图 字符"/>
    <w:link w:val="13"/>
    <w:qFormat/>
    <w:uiPriority w:val="0"/>
    <w:rPr>
      <w:szCs w:val="24"/>
      <w:shd w:val="clear" w:color="auto" w:fill="000080"/>
    </w:rPr>
  </w:style>
  <w:style w:type="character" w:customStyle="1" w:styleId="64">
    <w:name w:val="正文文本 3 字符"/>
    <w:link w:val="16"/>
    <w:qFormat/>
    <w:uiPriority w:val="0"/>
    <w:rPr>
      <w:rFonts w:ascii="Times New Roman" w:hAnsi="Times New Roman" w:eastAsia="宋体" w:cs="Times New Roman"/>
      <w:sz w:val="16"/>
      <w:szCs w:val="16"/>
    </w:rPr>
  </w:style>
  <w:style w:type="character" w:customStyle="1" w:styleId="65">
    <w:name w:val="正文文本 字符"/>
    <w:link w:val="17"/>
    <w:qFormat/>
    <w:uiPriority w:val="0"/>
    <w:rPr>
      <w:rFonts w:ascii="仿宋_GB2312" w:hAnsi="Times New Roman" w:eastAsia="仿宋_GB2312" w:cs="Times New Roman"/>
      <w:sz w:val="24"/>
      <w:szCs w:val="20"/>
    </w:rPr>
  </w:style>
  <w:style w:type="character" w:customStyle="1" w:styleId="66">
    <w:name w:val="正文文本缩进 字符"/>
    <w:link w:val="18"/>
    <w:qFormat/>
    <w:uiPriority w:val="0"/>
    <w:rPr>
      <w:rFonts w:ascii="仿宋_GB2312" w:hAnsi="Times New Roman" w:eastAsia="仿宋_GB2312" w:cs="Times New Roman"/>
      <w:sz w:val="28"/>
      <w:szCs w:val="20"/>
    </w:rPr>
  </w:style>
  <w:style w:type="character" w:customStyle="1" w:styleId="67">
    <w:name w:val="日期 字符"/>
    <w:link w:val="23"/>
    <w:autoRedefine/>
    <w:qFormat/>
    <w:uiPriority w:val="0"/>
    <w:rPr>
      <w:rFonts w:ascii="Times New Roman" w:hAnsi="Times New Roman" w:eastAsia="宋体" w:cs="Times New Roman"/>
      <w:sz w:val="24"/>
      <w:szCs w:val="20"/>
    </w:rPr>
  </w:style>
  <w:style w:type="character" w:customStyle="1" w:styleId="68">
    <w:name w:val="正文文本缩进 2 字符"/>
    <w:link w:val="24"/>
    <w:autoRedefine/>
    <w:qFormat/>
    <w:uiPriority w:val="0"/>
    <w:rPr>
      <w:rFonts w:ascii="Times New Roman" w:hAnsi="Times New Roman" w:eastAsia="仿宋_GB2312" w:cs="Times New Roman"/>
      <w:sz w:val="28"/>
      <w:szCs w:val="20"/>
    </w:rPr>
  </w:style>
  <w:style w:type="character" w:customStyle="1" w:styleId="69">
    <w:name w:val="批注框文本 字符"/>
    <w:link w:val="25"/>
    <w:autoRedefine/>
    <w:qFormat/>
    <w:uiPriority w:val="0"/>
    <w:rPr>
      <w:sz w:val="18"/>
      <w:szCs w:val="18"/>
    </w:rPr>
  </w:style>
  <w:style w:type="character" w:customStyle="1" w:styleId="70">
    <w:name w:val="页脚 字符"/>
    <w:link w:val="26"/>
    <w:autoRedefine/>
    <w:qFormat/>
    <w:uiPriority w:val="99"/>
    <w:rPr>
      <w:rFonts w:ascii="Times New Roman" w:hAnsi="Times New Roman" w:eastAsia="宋体" w:cs="Times New Roman"/>
      <w:sz w:val="18"/>
      <w:szCs w:val="20"/>
    </w:rPr>
  </w:style>
  <w:style w:type="character" w:customStyle="1" w:styleId="71">
    <w:name w:val="页眉 字符"/>
    <w:link w:val="27"/>
    <w:qFormat/>
    <w:uiPriority w:val="0"/>
    <w:rPr>
      <w:rFonts w:ascii="Times New Roman" w:hAnsi="Times New Roman" w:eastAsia="宋体" w:cs="Times New Roman"/>
      <w:sz w:val="18"/>
      <w:szCs w:val="18"/>
    </w:rPr>
  </w:style>
  <w:style w:type="character" w:customStyle="1" w:styleId="72">
    <w:name w:val="正文文本缩进 3 字符"/>
    <w:link w:val="30"/>
    <w:autoRedefine/>
    <w:qFormat/>
    <w:uiPriority w:val="0"/>
    <w:rPr>
      <w:rFonts w:ascii="Times New Roman" w:hAnsi="Times New Roman" w:eastAsia="宋体" w:cs="Times New Roman"/>
      <w:sz w:val="16"/>
      <w:szCs w:val="16"/>
    </w:rPr>
  </w:style>
  <w:style w:type="character" w:customStyle="1" w:styleId="73">
    <w:name w:val="正文文本 2 字符"/>
    <w:link w:val="31"/>
    <w:qFormat/>
    <w:uiPriority w:val="0"/>
    <w:rPr>
      <w:rFonts w:ascii="Times New Roman" w:hAnsi="Times New Roman" w:eastAsia="宋体" w:cs="Times New Roman"/>
      <w:b/>
      <w:bCs/>
      <w:sz w:val="18"/>
      <w:szCs w:val="24"/>
    </w:rPr>
  </w:style>
  <w:style w:type="character" w:customStyle="1" w:styleId="74">
    <w:name w:val="正文首行缩进 字符"/>
    <w:link w:val="35"/>
    <w:autoRedefine/>
    <w:qFormat/>
    <w:uiPriority w:val="0"/>
    <w:rPr>
      <w:rFonts w:ascii="Times New Roman" w:hAnsi="Times New Roman" w:eastAsia="宋体" w:cs="Times New Roman"/>
      <w:sz w:val="24"/>
      <w:szCs w:val="24"/>
    </w:rPr>
  </w:style>
  <w:style w:type="paragraph" w:customStyle="1" w:styleId="75">
    <w:name w:val="列出段落1"/>
    <w:basedOn w:val="1"/>
    <w:autoRedefine/>
    <w:qFormat/>
    <w:uiPriority w:val="34"/>
    <w:pPr>
      <w:widowControl/>
      <w:ind w:left="720"/>
      <w:contextualSpacing/>
      <w:jc w:val="left"/>
    </w:pPr>
    <w:rPr>
      <w:kern w:val="0"/>
      <w:sz w:val="24"/>
      <w:lang w:eastAsia="en-US" w:bidi="en-US"/>
    </w:rPr>
  </w:style>
  <w:style w:type="paragraph" w:customStyle="1" w:styleId="76">
    <w:name w:val="无间隔1"/>
    <w:qFormat/>
    <w:uiPriority w:val="0"/>
    <w:rPr>
      <w:rFonts w:ascii="Times New Roman" w:hAnsi="Times New Roman" w:eastAsia="宋体" w:cs="Calibri"/>
      <w:sz w:val="22"/>
      <w:lang w:val="en-US" w:eastAsia="zh-CN" w:bidi="ar-SA"/>
    </w:rPr>
  </w:style>
  <w:style w:type="paragraph" w:customStyle="1" w:styleId="77">
    <w:name w:val="段"/>
    <w:next w:val="1"/>
    <w:autoRedefine/>
    <w:qFormat/>
    <w:uiPriority w:val="0"/>
    <w:pPr>
      <w:autoSpaceDE w:val="0"/>
      <w:autoSpaceDN w:val="0"/>
      <w:ind w:firstLine="200" w:firstLineChars="200"/>
      <w:jc w:val="both"/>
    </w:pPr>
    <w:rPr>
      <w:rFonts w:ascii="宋体" w:hAnsi="Times New Roman" w:eastAsia="Times New Roman" w:cs="Times New Roman"/>
      <w:sz w:val="21"/>
      <w:lang w:val="en-US" w:eastAsia="zh-CN" w:bidi="ar-SA"/>
    </w:rPr>
  </w:style>
  <w:style w:type="character" w:customStyle="1" w:styleId="78">
    <w:name w:val="列出段落 字符"/>
    <w:link w:val="79"/>
    <w:autoRedefine/>
    <w:qFormat/>
    <w:uiPriority w:val="99"/>
  </w:style>
  <w:style w:type="paragraph" w:styleId="79">
    <w:name w:val="List Paragraph"/>
    <w:basedOn w:val="1"/>
    <w:link w:val="78"/>
    <w:autoRedefine/>
    <w:qFormat/>
    <w:uiPriority w:val="99"/>
    <w:pPr>
      <w:ind w:firstLine="420" w:firstLineChars="200"/>
    </w:pPr>
    <w:rPr>
      <w:kern w:val="0"/>
      <w:sz w:val="20"/>
      <w:szCs w:val="20"/>
    </w:rPr>
  </w:style>
  <w:style w:type="character" w:customStyle="1" w:styleId="80">
    <w:name w:val="文档结构图 Char1"/>
    <w:autoRedefine/>
    <w:qFormat/>
    <w:uiPriority w:val="99"/>
    <w:rPr>
      <w:rFonts w:ascii="宋体" w:hAnsi="Times New Roman" w:eastAsia="宋体" w:cs="Times New Roman"/>
      <w:sz w:val="18"/>
      <w:szCs w:val="18"/>
    </w:rPr>
  </w:style>
  <w:style w:type="character" w:customStyle="1" w:styleId="81">
    <w:name w:val="普通正文 Char"/>
    <w:link w:val="82"/>
    <w:autoRedefine/>
    <w:qFormat/>
    <w:uiPriority w:val="0"/>
    <w:rPr>
      <w:rFonts w:ascii="Arial" w:hAnsi="Arial"/>
      <w:sz w:val="24"/>
      <w:szCs w:val="24"/>
    </w:rPr>
  </w:style>
  <w:style w:type="paragraph" w:customStyle="1" w:styleId="82">
    <w:name w:val="普通正文"/>
    <w:basedOn w:val="1"/>
    <w:link w:val="81"/>
    <w:autoRedefine/>
    <w:qFormat/>
    <w:uiPriority w:val="0"/>
    <w:pPr>
      <w:adjustRightInd w:val="0"/>
      <w:spacing w:before="120" w:after="120" w:line="360" w:lineRule="auto"/>
      <w:ind w:left="-2" w:right="120" w:firstLine="480"/>
      <w:jc w:val="center"/>
      <w:textAlignment w:val="baseline"/>
    </w:pPr>
    <w:rPr>
      <w:rFonts w:ascii="Arial" w:hAnsi="Arial"/>
      <w:kern w:val="0"/>
      <w:sz w:val="24"/>
    </w:rPr>
  </w:style>
  <w:style w:type="character" w:customStyle="1" w:styleId="83">
    <w:name w:val="FA正文 Char"/>
    <w:link w:val="84"/>
    <w:autoRedefine/>
    <w:qFormat/>
    <w:uiPriority w:val="0"/>
    <w:rPr>
      <w:rFonts w:ascii="宋体" w:hAnsi="宋体" w:eastAsia="宋体" w:cs="Times New Roman"/>
      <w:sz w:val="28"/>
      <w:szCs w:val="28"/>
    </w:rPr>
  </w:style>
  <w:style w:type="paragraph" w:customStyle="1" w:styleId="84">
    <w:name w:val="FA正文"/>
    <w:basedOn w:val="1"/>
    <w:link w:val="83"/>
    <w:autoRedefine/>
    <w:qFormat/>
    <w:uiPriority w:val="0"/>
    <w:pPr>
      <w:tabs>
        <w:tab w:val="left" w:pos="3375"/>
      </w:tabs>
      <w:spacing w:line="440" w:lineRule="atLeast"/>
      <w:ind w:firstLine="538" w:firstLineChars="192"/>
    </w:pPr>
    <w:rPr>
      <w:rFonts w:ascii="宋体" w:hAnsi="宋体"/>
      <w:kern w:val="0"/>
      <w:sz w:val="28"/>
      <w:szCs w:val="28"/>
    </w:rPr>
  </w:style>
  <w:style w:type="character" w:customStyle="1" w:styleId="85">
    <w:name w:val="正文缩进2格 Char"/>
    <w:link w:val="86"/>
    <w:autoRedefine/>
    <w:qFormat/>
    <w:uiPriority w:val="0"/>
    <w:rPr>
      <w:rFonts w:ascii="仿宋_GB2312" w:hAnsi="宋体" w:eastAsia="仿宋_GB2312" w:cs="Times New Roman"/>
      <w:sz w:val="31"/>
      <w:szCs w:val="28"/>
    </w:rPr>
  </w:style>
  <w:style w:type="paragraph" w:customStyle="1" w:styleId="86">
    <w:name w:val="正文缩进2格"/>
    <w:basedOn w:val="1"/>
    <w:link w:val="85"/>
    <w:autoRedefine/>
    <w:qFormat/>
    <w:uiPriority w:val="0"/>
    <w:pPr>
      <w:spacing w:line="600" w:lineRule="exact"/>
      <w:ind w:firstLine="639" w:firstLineChars="206"/>
    </w:pPr>
    <w:rPr>
      <w:rFonts w:ascii="仿宋_GB2312" w:hAnsi="宋体" w:eastAsia="仿宋_GB2312"/>
      <w:kern w:val="0"/>
      <w:sz w:val="31"/>
      <w:szCs w:val="28"/>
    </w:rPr>
  </w:style>
  <w:style w:type="character" w:customStyle="1" w:styleId="87">
    <w:name w:val="cn_text1"/>
    <w:autoRedefine/>
    <w:qFormat/>
    <w:uiPriority w:val="0"/>
    <w:rPr>
      <w:rFonts w:hint="default" w:ascii="ˎ̥" w:hAnsi="ˎ̥"/>
      <w:color w:val="003399"/>
      <w:spacing w:val="15"/>
      <w:sz w:val="18"/>
      <w:szCs w:val="18"/>
    </w:rPr>
  </w:style>
  <w:style w:type="character" w:customStyle="1" w:styleId="88">
    <w:name w:val="ssss Char"/>
    <w:autoRedefine/>
    <w:qFormat/>
    <w:uiPriority w:val="0"/>
    <w:rPr>
      <w:rFonts w:eastAsia="宋体"/>
      <w:kern w:val="2"/>
      <w:sz w:val="24"/>
      <w:szCs w:val="24"/>
      <w:lang w:val="en-US" w:eastAsia="zh-CN" w:bidi="ar-SA"/>
    </w:rPr>
  </w:style>
  <w:style w:type="character" w:customStyle="1" w:styleId="89">
    <w:name w:val="ssss Char1"/>
    <w:link w:val="90"/>
    <w:autoRedefine/>
    <w:qFormat/>
    <w:uiPriority w:val="0"/>
    <w:rPr>
      <w:rFonts w:ascii="Times New Roman" w:hAnsi="Times New Roman" w:eastAsia="宋体" w:cs="Times New Roman"/>
      <w:sz w:val="24"/>
      <w:szCs w:val="24"/>
    </w:rPr>
  </w:style>
  <w:style w:type="paragraph" w:customStyle="1" w:styleId="90">
    <w:name w:val="ssss"/>
    <w:basedOn w:val="1"/>
    <w:link w:val="89"/>
    <w:autoRedefine/>
    <w:qFormat/>
    <w:uiPriority w:val="0"/>
    <w:pPr>
      <w:spacing w:line="360" w:lineRule="auto"/>
      <w:ind w:firstLine="480" w:firstLineChars="200"/>
    </w:pPr>
    <w:rPr>
      <w:kern w:val="0"/>
      <w:sz w:val="24"/>
    </w:rPr>
  </w:style>
  <w:style w:type="character" w:customStyle="1" w:styleId="91">
    <w:name w:val="标题 4 Char1"/>
    <w:autoRedefine/>
    <w:qFormat/>
    <w:uiPriority w:val="0"/>
    <w:rPr>
      <w:rFonts w:ascii="Arial" w:hAnsi="Arial" w:eastAsia="黑体"/>
      <w:b/>
      <w:bCs/>
      <w:kern w:val="2"/>
      <w:sz w:val="28"/>
      <w:szCs w:val="28"/>
      <w:lang w:val="en-US" w:eastAsia="zh-CN" w:bidi="ar-SA"/>
    </w:rPr>
  </w:style>
  <w:style w:type="character" w:customStyle="1" w:styleId="92">
    <w:name w:val="列表段落 字符"/>
    <w:autoRedefine/>
    <w:qFormat/>
    <w:uiPriority w:val="34"/>
    <w:rPr>
      <w:rFonts w:ascii="Calibri" w:hAnsi="Calibri"/>
      <w:kern w:val="2"/>
      <w:sz w:val="21"/>
      <w:szCs w:val="22"/>
    </w:rPr>
  </w:style>
  <w:style w:type="character" w:customStyle="1" w:styleId="93">
    <w:name w:val="批注框文本 Char1"/>
    <w:autoRedefine/>
    <w:qFormat/>
    <w:uiPriority w:val="99"/>
    <w:rPr>
      <w:rFonts w:ascii="Times New Roman" w:hAnsi="Times New Roman" w:eastAsia="宋体" w:cs="Times New Roman"/>
      <w:sz w:val="18"/>
      <w:szCs w:val="18"/>
    </w:rPr>
  </w:style>
  <w:style w:type="character" w:customStyle="1" w:styleId="94">
    <w:name w:val="样式 ssss + 宋体 五号1 Char"/>
    <w:link w:val="95"/>
    <w:autoRedefine/>
    <w:qFormat/>
    <w:uiPriority w:val="0"/>
    <w:rPr>
      <w:rFonts w:ascii="宋体" w:hAnsi="宋体" w:eastAsia="宋体" w:cs="Times New Roman"/>
      <w:sz w:val="24"/>
      <w:szCs w:val="24"/>
    </w:rPr>
  </w:style>
  <w:style w:type="paragraph" w:customStyle="1" w:styleId="95">
    <w:name w:val="样式 ssss + 宋体 五号1"/>
    <w:basedOn w:val="90"/>
    <w:link w:val="94"/>
    <w:autoRedefine/>
    <w:qFormat/>
    <w:uiPriority w:val="0"/>
    <w:rPr>
      <w:rFonts w:ascii="宋体" w:hAnsi="宋体"/>
    </w:rPr>
  </w:style>
  <w:style w:type="character" w:customStyle="1" w:styleId="96">
    <w:name w:val="point_normal1"/>
    <w:autoRedefine/>
    <w:qFormat/>
    <w:uiPriority w:val="0"/>
    <w:rPr>
      <w:rFonts w:hint="default" w:ascii="Arial" w:hAnsi="Arial" w:cs="Arial"/>
      <w:sz w:val="16"/>
      <w:szCs w:val="16"/>
    </w:rPr>
  </w:style>
  <w:style w:type="paragraph" w:customStyle="1" w:styleId="97">
    <w:name w:val="样式 正文文本缩进 3 + 四号"/>
    <w:basedOn w:val="30"/>
    <w:autoRedefine/>
    <w:qFormat/>
    <w:uiPriority w:val="0"/>
    <w:pPr>
      <w:spacing w:after="0" w:line="360" w:lineRule="auto"/>
      <w:ind w:left="0" w:leftChars="0" w:firstLine="437"/>
    </w:pPr>
    <w:rPr>
      <w:sz w:val="24"/>
      <w:szCs w:val="21"/>
    </w:rPr>
  </w:style>
  <w:style w:type="paragraph" w:customStyle="1" w:styleId="98">
    <w:name w:val="2cxsplas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99">
    <w:name w:val="ec_msonormal"/>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100">
    <w:name w:val="Char Char Char Char"/>
    <w:basedOn w:val="1"/>
    <w:autoRedefine/>
    <w:qFormat/>
    <w:uiPriority w:val="0"/>
    <w:rPr>
      <w:rFonts w:ascii="Tahoma" w:hAnsi="Tahoma"/>
      <w:sz w:val="24"/>
      <w:szCs w:val="20"/>
    </w:rPr>
  </w:style>
  <w:style w:type="paragraph" w:customStyle="1" w:styleId="101">
    <w:name w:val="Char Char Char Char Char Char Char Char Char Char Char Char Char"/>
    <w:basedOn w:val="1"/>
    <w:autoRedefine/>
    <w:qFormat/>
    <w:uiPriority w:val="0"/>
  </w:style>
  <w:style w:type="paragraph" w:customStyle="1" w:styleId="102">
    <w:name w:val="表格正文"/>
    <w:basedOn w:val="1"/>
    <w:autoRedefine/>
    <w:qFormat/>
    <w:uiPriority w:val="0"/>
    <w:pPr>
      <w:spacing w:line="360" w:lineRule="auto"/>
      <w:jc w:val="left"/>
    </w:pPr>
    <w:rPr>
      <w:rFonts w:ascii="Calibri" w:hAnsi="Calibri"/>
      <w:color w:val="000000"/>
      <w:szCs w:val="28"/>
    </w:rPr>
  </w:style>
  <w:style w:type="paragraph" w:customStyle="1" w:styleId="103">
    <w:name w:val="正文1"/>
    <w:autoRedefine/>
    <w:qFormat/>
    <w:uiPriority w:val="0"/>
    <w:pPr>
      <w:widowControl w:val="0"/>
      <w:adjustRightInd w:val="0"/>
      <w:spacing w:line="315" w:lineRule="atLeast"/>
      <w:jc w:val="both"/>
      <w:textAlignment w:val="baseline"/>
    </w:pPr>
    <w:rPr>
      <w:rFonts w:ascii="宋体" w:hAnsi="Times New Roman" w:eastAsia="宋体" w:cs="Times New Roman"/>
      <w:sz w:val="24"/>
      <w:lang w:val="en-US" w:eastAsia="zh-CN" w:bidi="ar-SA"/>
    </w:rPr>
  </w:style>
  <w:style w:type="paragraph" w:customStyle="1" w:styleId="104">
    <w:name w:val="Char Char Char Char1"/>
    <w:basedOn w:val="1"/>
    <w:autoRedefine/>
    <w:qFormat/>
    <w:uiPriority w:val="0"/>
    <w:rPr>
      <w:rFonts w:ascii="Tahoma" w:hAnsi="Tahoma"/>
      <w:sz w:val="24"/>
      <w:szCs w:val="20"/>
    </w:rPr>
  </w:style>
  <w:style w:type="paragraph" w:customStyle="1" w:styleId="105">
    <w:name w:val="Char Char Char"/>
    <w:basedOn w:val="1"/>
    <w:autoRedefine/>
    <w:qFormat/>
    <w:uiPriority w:val="0"/>
    <w:rPr>
      <w:rFonts w:ascii="Tahoma" w:hAnsi="Tahoma"/>
      <w:sz w:val="24"/>
      <w:szCs w:val="20"/>
    </w:rPr>
  </w:style>
  <w:style w:type="paragraph" w:customStyle="1" w:styleId="106">
    <w:name w:val="标题-----3"/>
    <w:basedOn w:val="4"/>
    <w:autoRedefine/>
    <w:qFormat/>
    <w:uiPriority w:val="0"/>
    <w:pPr>
      <w:spacing w:before="0" w:after="0" w:line="240" w:lineRule="auto"/>
      <w:outlineLvl w:val="0"/>
    </w:pPr>
    <w:rPr>
      <w:rFonts w:ascii="宋体" w:hAnsi="宋体"/>
      <w:b w:val="0"/>
      <w:bCs w:val="0"/>
      <w:sz w:val="28"/>
      <w:szCs w:val="28"/>
    </w:rPr>
  </w:style>
  <w:style w:type="paragraph" w:customStyle="1" w:styleId="107">
    <w:name w:val="样式 ssss + 居中"/>
    <w:basedOn w:val="90"/>
    <w:qFormat/>
    <w:uiPriority w:val="0"/>
    <w:pPr>
      <w:jc w:val="center"/>
    </w:pPr>
    <w:rPr>
      <w:rFonts w:cs="宋体"/>
      <w:szCs w:val="20"/>
    </w:rPr>
  </w:style>
  <w:style w:type="paragraph" w:customStyle="1" w:styleId="108">
    <w:name w:val="样式 宋体 四号 黑色 左侧:  0.74 厘米 首行缩进:  0.74 厘米 行距: 1.5 倍行距"/>
    <w:basedOn w:val="1"/>
    <w:qFormat/>
    <w:uiPriority w:val="0"/>
    <w:pPr>
      <w:spacing w:line="360" w:lineRule="auto"/>
      <w:ind w:firstLine="420"/>
    </w:pPr>
    <w:rPr>
      <w:rFonts w:ascii="宋体"/>
      <w:color w:val="000000"/>
      <w:sz w:val="24"/>
      <w:szCs w:val="21"/>
    </w:rPr>
  </w:style>
  <w:style w:type="paragraph" w:customStyle="1" w:styleId="109">
    <w:name w:val="样式 样式 ssss + 宋体 五号 + 首行缩进:  2 字符"/>
    <w:basedOn w:val="110"/>
    <w:qFormat/>
    <w:uiPriority w:val="0"/>
    <w:pPr>
      <w:ind w:firstLine="480"/>
    </w:pPr>
  </w:style>
  <w:style w:type="paragraph" w:customStyle="1" w:styleId="110">
    <w:name w:val="样式 ssss + 宋体 五号"/>
    <w:basedOn w:val="90"/>
    <w:qFormat/>
    <w:uiPriority w:val="0"/>
    <w:pPr>
      <w:ind w:firstLine="420"/>
    </w:pPr>
    <w:rPr>
      <w:rFonts w:ascii="宋体" w:hAnsi="宋体" w:cs="宋体"/>
      <w:szCs w:val="20"/>
    </w:rPr>
  </w:style>
  <w:style w:type="paragraph" w:customStyle="1" w:styleId="111">
    <w:name w:val="msonormalcxsplast"/>
    <w:basedOn w:val="1"/>
    <w:qFormat/>
    <w:uiPriority w:val="0"/>
    <w:pPr>
      <w:widowControl/>
      <w:spacing w:before="100" w:beforeAutospacing="1" w:after="100" w:afterAutospacing="1"/>
      <w:jc w:val="left"/>
    </w:pPr>
    <w:rPr>
      <w:rFonts w:ascii="宋体" w:hAnsi="宋体" w:cs="宋体"/>
      <w:kern w:val="0"/>
      <w:sz w:val="24"/>
    </w:rPr>
  </w:style>
  <w:style w:type="paragraph" w:customStyle="1" w:styleId="112">
    <w:name w:val="Char"/>
    <w:basedOn w:val="1"/>
    <w:qFormat/>
    <w:uiPriority w:val="0"/>
    <w:rPr>
      <w:rFonts w:ascii="Tahoma" w:hAnsi="Tahoma"/>
      <w:sz w:val="24"/>
      <w:szCs w:val="20"/>
    </w:rPr>
  </w:style>
  <w:style w:type="paragraph" w:customStyle="1" w:styleId="113">
    <w:name w:val="xl25"/>
    <w:basedOn w:val="1"/>
    <w:qFormat/>
    <w:uiPriority w:val="0"/>
    <w:pPr>
      <w:widowControl/>
      <w:pBdr>
        <w:bottom w:val="single" w:color="auto" w:sz="4" w:space="0"/>
        <w:right w:val="single" w:color="auto" w:sz="4" w:space="0"/>
      </w:pBdr>
      <w:spacing w:before="100" w:beforeAutospacing="1" w:after="100" w:afterAutospacing="1"/>
    </w:pPr>
    <w:rPr>
      <w:rFonts w:hint="eastAsia" w:ascii="华文细黑" w:hAnsi="华文细黑" w:eastAsia="华文细黑"/>
      <w:kern w:val="0"/>
      <w:sz w:val="18"/>
      <w:szCs w:val="18"/>
    </w:rPr>
  </w:style>
  <w:style w:type="paragraph" w:customStyle="1" w:styleId="114">
    <w:name w:val="标题------4"/>
    <w:basedOn w:val="5"/>
    <w:qFormat/>
    <w:uiPriority w:val="0"/>
    <w:pPr>
      <w:keepLines/>
      <w:spacing w:line="360" w:lineRule="auto"/>
      <w:ind w:left="960" w:hanging="420"/>
      <w:jc w:val="both"/>
    </w:pPr>
    <w:rPr>
      <w:rFonts w:ascii="仿宋_GB2312" w:hAnsi="宋体" w:eastAsia="仿宋_GB2312" w:cs="仿宋_GB2312"/>
      <w:b/>
      <w:sz w:val="28"/>
      <w:szCs w:val="28"/>
      <w:lang w:val="zh-CN"/>
    </w:rPr>
  </w:style>
  <w:style w:type="paragraph" w:customStyle="1" w:styleId="115">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16">
    <w:name w:val="Char Char Char Char Char Char Char Char Char Char Char Char Char1"/>
    <w:basedOn w:val="1"/>
    <w:autoRedefine/>
    <w:qFormat/>
    <w:uiPriority w:val="0"/>
    <w:rPr>
      <w:sz w:val="24"/>
    </w:rPr>
  </w:style>
  <w:style w:type="paragraph" w:customStyle="1" w:styleId="117">
    <w:name w:val="表格"/>
    <w:basedOn w:val="1"/>
    <w:qFormat/>
    <w:uiPriority w:val="0"/>
    <w:rPr>
      <w:rFonts w:ascii="Arial" w:hAnsi="Arial"/>
      <w:sz w:val="24"/>
    </w:rPr>
  </w:style>
  <w:style w:type="paragraph" w:customStyle="1" w:styleId="118">
    <w:name w:val="正文样式1"/>
    <w:basedOn w:val="1"/>
    <w:autoRedefine/>
    <w:qFormat/>
    <w:uiPriority w:val="0"/>
    <w:pPr>
      <w:spacing w:before="120" w:after="120" w:line="360" w:lineRule="auto"/>
      <w:ind w:firstLine="480" w:firstLineChars="200"/>
    </w:pPr>
    <w:rPr>
      <w:sz w:val="24"/>
      <w:szCs w:val="20"/>
    </w:rPr>
  </w:style>
  <w:style w:type="paragraph" w:customStyle="1" w:styleId="11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
    <w:name w:val="Char Char Char Char Char Char Char Char Char Char"/>
    <w:basedOn w:val="1"/>
    <w:autoRedefine/>
    <w:qFormat/>
    <w:uiPriority w:val="0"/>
    <w:rPr>
      <w:rFonts w:ascii="Tahoma" w:hAnsi="Tahoma"/>
      <w:sz w:val="24"/>
      <w:szCs w:val="20"/>
    </w:rPr>
  </w:style>
  <w:style w:type="paragraph" w:customStyle="1" w:styleId="121">
    <w:name w:val="Char1"/>
    <w:basedOn w:val="1"/>
    <w:qFormat/>
    <w:uiPriority w:val="0"/>
    <w:pPr>
      <w:tabs>
        <w:tab w:val="left" w:pos="360"/>
      </w:tabs>
    </w:pPr>
    <w:rPr>
      <w:sz w:val="24"/>
    </w:rPr>
  </w:style>
  <w:style w:type="paragraph" w:customStyle="1" w:styleId="122">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123">
    <w:name w:val="Header2"/>
    <w:basedOn w:val="1"/>
    <w:qFormat/>
    <w:uiPriority w:val="0"/>
    <w:pPr>
      <w:numPr>
        <w:ilvl w:val="0"/>
        <w:numId w:val="1"/>
      </w:numPr>
    </w:pPr>
  </w:style>
  <w:style w:type="paragraph" w:customStyle="1" w:styleId="124">
    <w:name w:val="Char Char 字元 字元 字元 Char Char Char Char"/>
    <w:basedOn w:val="1"/>
    <w:qFormat/>
    <w:uiPriority w:val="0"/>
    <w:pPr>
      <w:adjustRightInd w:val="0"/>
      <w:spacing w:line="360" w:lineRule="auto"/>
    </w:pPr>
    <w:rPr>
      <w:kern w:val="0"/>
      <w:sz w:val="24"/>
      <w:szCs w:val="20"/>
    </w:rPr>
  </w:style>
  <w:style w:type="paragraph" w:customStyle="1" w:styleId="125">
    <w:name w:val="2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126">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28">
    <w:name w:val="网格型1"/>
    <w:basedOn w:val="37"/>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9">
    <w:name w:val="DAS正文"/>
    <w:basedOn w:val="1"/>
    <w:qFormat/>
    <w:uiPriority w:val="0"/>
    <w:pPr>
      <w:spacing w:line="360" w:lineRule="auto"/>
      <w:ind w:right="181" w:firstLine="480" w:firstLineChars="200"/>
    </w:pPr>
    <w:rPr>
      <w:rFonts w:ascii="Verdana" w:hAnsi="Verdana"/>
      <w:sz w:val="24"/>
      <w:szCs w:val="20"/>
    </w:rPr>
  </w:style>
  <w:style w:type="paragraph" w:customStyle="1" w:styleId="130">
    <w:name w:val="普通(网站) Char"/>
    <w:basedOn w:val="1"/>
    <w:qFormat/>
    <w:uiPriority w:val="99"/>
    <w:pPr>
      <w:widowControl/>
      <w:spacing w:before="100" w:beforeAutospacing="1" w:after="100" w:afterAutospacing="1"/>
      <w:jc w:val="left"/>
    </w:pPr>
    <w:rPr>
      <w:rFonts w:ascii="宋体" w:hAnsi="宋体" w:cs="宋体"/>
      <w:kern w:val="0"/>
      <w:sz w:val="24"/>
    </w:rPr>
  </w:style>
  <w:style w:type="paragraph" w:customStyle="1" w:styleId="131">
    <w:name w:val="标书的正文"/>
    <w:basedOn w:val="1"/>
    <w:qFormat/>
    <w:uiPriority w:val="0"/>
    <w:pPr>
      <w:spacing w:line="360" w:lineRule="auto"/>
      <w:ind w:firstLine="482"/>
      <w:jc w:val="left"/>
    </w:pPr>
    <w:rPr>
      <w:rFonts w:ascii="宋体" w:hAnsi="宋体"/>
      <w:kern w:val="3"/>
      <w:sz w:val="24"/>
      <w:szCs w:val="20"/>
    </w:rPr>
  </w:style>
  <w:style w:type="paragraph" w:customStyle="1" w:styleId="132">
    <w:name w:val="样式 标题 1 + 宋体 段前: 0 磅 段后: 0 磅 行距: 单倍行距"/>
    <w:basedOn w:val="2"/>
    <w:next w:val="1"/>
    <w:qFormat/>
    <w:uiPriority w:val="99"/>
    <w:pPr>
      <w:spacing w:beforeLines="100" w:afterLines="100"/>
    </w:pPr>
    <w:rPr>
      <w:rFonts w:ascii="仿宋_GB2312" w:hAnsi="宋体" w:cs="仿宋_GB2312"/>
    </w:rPr>
  </w:style>
  <w:style w:type="paragraph" w:customStyle="1" w:styleId="133">
    <w:name w:val="标准文本"/>
    <w:basedOn w:val="1"/>
    <w:qFormat/>
    <w:uiPriority w:val="0"/>
    <w:pPr>
      <w:spacing w:line="360" w:lineRule="auto"/>
      <w:ind w:firstLine="480" w:firstLineChars="200"/>
    </w:pPr>
    <w:rPr>
      <w:rFonts w:cs="宋体"/>
      <w:sz w:val="24"/>
    </w:rPr>
  </w:style>
  <w:style w:type="character" w:customStyle="1" w:styleId="134">
    <w:name w:val="批注文字 字符"/>
    <w:basedOn w:val="39"/>
    <w:link w:val="15"/>
    <w:qFormat/>
    <w:uiPriority w:val="99"/>
    <w:rPr>
      <w:kern w:val="2"/>
      <w:sz w:val="21"/>
      <w:szCs w:val="24"/>
    </w:rPr>
  </w:style>
  <w:style w:type="character" w:customStyle="1" w:styleId="135">
    <w:name w:val="批注主题 字符"/>
    <w:basedOn w:val="134"/>
    <w:link w:val="34"/>
    <w:qFormat/>
    <w:uiPriority w:val="99"/>
    <w:rPr>
      <w:b/>
      <w:bCs/>
      <w:kern w:val="2"/>
      <w:sz w:val="21"/>
      <w:szCs w:val="24"/>
    </w:rPr>
  </w:style>
  <w:style w:type="character" w:customStyle="1" w:styleId="136">
    <w:name w:val="未处理的提及1"/>
    <w:basedOn w:val="39"/>
    <w:autoRedefine/>
    <w:semiHidden/>
    <w:unhideWhenUsed/>
    <w:qFormat/>
    <w:uiPriority w:val="99"/>
    <w:rPr>
      <w:color w:val="605E5C"/>
      <w:shd w:val="clear" w:color="auto" w:fill="E1DFDD"/>
    </w:rPr>
  </w:style>
  <w:style w:type="paragraph" w:customStyle="1" w:styleId="137">
    <w:name w:val="列出段落2"/>
    <w:basedOn w:val="1"/>
    <w:autoRedefine/>
    <w:qFormat/>
    <w:uiPriority w:val="99"/>
    <w:pPr>
      <w:ind w:firstLine="420" w:firstLineChars="200"/>
    </w:pPr>
    <w:rPr>
      <w:kern w:val="0"/>
      <w:sz w:val="20"/>
      <w:szCs w:val="20"/>
    </w:rPr>
  </w:style>
  <w:style w:type="paragraph" w:customStyle="1" w:styleId="13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139">
    <w:name w:val="Hyperlink.0"/>
    <w:autoRedefine/>
    <w:qFormat/>
    <w:uiPriority w:val="0"/>
    <w:rPr>
      <w:rFonts w:ascii="宋体" w:hAnsi="宋体" w:eastAsia="宋体" w:cs="宋体"/>
      <w:sz w:val="24"/>
      <w:szCs w:val="24"/>
      <w:lang w:val="zh-TW" w:eastAsia="zh-TW"/>
    </w:rPr>
  </w:style>
  <w:style w:type="character" w:customStyle="1" w:styleId="140">
    <w:name w:val="页脚 Char"/>
    <w:autoRedefine/>
    <w:qFormat/>
    <w:uiPriority w:val="99"/>
    <w:rPr>
      <w:rFonts w:ascii="Times New Roman" w:hAnsi="Times New Roman" w:eastAsia="宋体" w:cs="Times New Roman"/>
      <w:kern w:val="0"/>
      <w:sz w:val="18"/>
      <w:szCs w:val="20"/>
    </w:rPr>
  </w:style>
  <w:style w:type="paragraph" w:customStyle="1" w:styleId="141">
    <w:name w:val="首行缩进"/>
    <w:basedOn w:val="1"/>
    <w:autoRedefine/>
    <w:qFormat/>
    <w:uiPriority w:val="0"/>
    <w:pPr>
      <w:spacing w:line="360" w:lineRule="auto"/>
      <w:ind w:firstLine="480" w:firstLineChars="200"/>
    </w:pPr>
    <w:rPr>
      <w:sz w:val="24"/>
    </w:rPr>
  </w:style>
  <w:style w:type="character" w:customStyle="1" w:styleId="142">
    <w:name w:val="15"/>
    <w:basedOn w:val="39"/>
    <w:qFormat/>
    <w:uiPriority w:val="0"/>
    <w:rPr>
      <w:rFonts w:hint="eastAsia" w:ascii="宋体" w:hAnsi="宋体" w:eastAsia="宋体"/>
      <w:color w:val="000000"/>
      <w:sz w:val="22"/>
      <w:szCs w:val="22"/>
    </w:rPr>
  </w:style>
  <w:style w:type="character" w:customStyle="1" w:styleId="143">
    <w:name w:val="font01"/>
    <w:autoRedefine/>
    <w:qFormat/>
    <w:uiPriority w:val="0"/>
    <w:rPr>
      <w:rFonts w:hint="default" w:ascii="等线" w:hAnsi="等线" w:eastAsia="等线" w:cs="等线"/>
      <w:color w:val="000000"/>
      <w:sz w:val="22"/>
      <w:szCs w:val="22"/>
      <w:u w:val="none"/>
    </w:rPr>
  </w:style>
  <w:style w:type="paragraph" w:customStyle="1" w:styleId="144">
    <w:name w:val="p0"/>
    <w:basedOn w:val="1"/>
    <w:qFormat/>
    <w:uiPriority w:val="99"/>
    <w:pPr>
      <w:widowControl/>
    </w:pPr>
    <w:rPr>
      <w:rFonts w:ascii="Calibri" w:hAnsi="Calibri" w:cs="Calibri"/>
      <w:kern w:val="0"/>
      <w:szCs w:val="21"/>
    </w:rPr>
  </w:style>
  <w:style w:type="paragraph" w:customStyle="1" w:styleId="145">
    <w:name w:val="Table Text"/>
    <w:basedOn w:val="1"/>
    <w:semiHidden/>
    <w:qFormat/>
    <w:uiPriority w:val="0"/>
    <w:rPr>
      <w:rFonts w:ascii="宋体" w:hAnsi="宋体" w:cs="宋体"/>
      <w:sz w:val="24"/>
      <w:lang w:eastAsia="en-US"/>
    </w:rPr>
  </w:style>
  <w:style w:type="paragraph" w:customStyle="1" w:styleId="146">
    <w:name w:val="*正文"/>
    <w:basedOn w:val="1"/>
    <w:qFormat/>
    <w:uiPriority w:val="0"/>
    <w:pPr>
      <w:spacing w:line="360" w:lineRule="auto"/>
    </w:pPr>
    <w:rPr>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7D0D12-A15A-47CC-A3C4-00173A3BDC4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12173</Words>
  <Characters>12922</Characters>
  <Lines>140</Lines>
  <Paragraphs>39</Paragraphs>
  <TotalTime>5</TotalTime>
  <ScaleCrop>false</ScaleCrop>
  <LinksUpToDate>false</LinksUpToDate>
  <CharactersWithSpaces>13073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2024-10-14T16:30:00Z</dcterms:created>
  <dc:creator>User</dc:creator>
  <cp:lastModifiedBy>jessie</cp:lastModifiedBy>
  <cp:lastPrinted>2024-07-03T08:41:00Z</cp:lastPrinted>
  <dcterms:modified xsi:type="dcterms:W3CDTF">2026-09-24T07:42:33Z</dcterms:modified>
  <dc:title>南通市Ⅹ项目</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5DD3FA47A5C24103B8BAA7E2EFD5BFB8_13</vt:lpwstr>
  </property>
  <property fmtid="{D5CDD505-2E9C-101B-9397-08002B2CF9AE}" pid="4" name="KSOTemplateDocerSaveRecord">
    <vt:lpwstr>eyJoZGlkIjoiMTY2YTExYjU4MWEzY2MzM2I4OTY2NWYxMWY5ZTNlMmIiLCJ1c2VySWQiOiI2Mzc4MTQzODgifQ==</vt:lpwstr>
  </property>
</Properties>
</file>