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B01BD">
      <w:pPr>
        <w:pStyle w:val="57"/>
        <w:ind w:left="1984" w:hanging="1984" w:hangingChars="400"/>
        <w:jc w:val="both"/>
        <w:rPr>
          <w:rFonts w:hint="eastAsia" w:ascii="宋体" w:hAnsi="宋体" w:cs="宋体"/>
          <w:b/>
          <w:color w:val="333333"/>
          <w:spacing w:val="7"/>
          <w:sz w:val="72"/>
          <w:szCs w:val="72"/>
        </w:rPr>
      </w:pPr>
      <w:r>
        <w:rPr>
          <w:rFonts w:hint="eastAsia" w:ascii="宋体" w:hAnsi="宋体" w:cs="宋体"/>
          <w:b/>
          <w:color w:val="333333"/>
          <w:spacing w:val="7"/>
          <w:sz w:val="48"/>
          <w:szCs w:val="48"/>
          <w:lang w:eastAsia="zh-CN"/>
        </w:rPr>
        <w:t>江苏商贸职业学院人文学院智慧养老专业</w:t>
      </w:r>
      <w:r>
        <w:rPr>
          <w:rFonts w:hint="eastAsia" w:ascii="宋体" w:hAnsi="宋体" w:cs="宋体"/>
          <w:b/>
          <w:color w:val="333333"/>
          <w:spacing w:val="7"/>
          <w:sz w:val="48"/>
          <w:szCs w:val="48"/>
          <w:lang w:val="en-US" w:eastAsia="zh-CN"/>
        </w:rPr>
        <w:t>实训所需设备及材料采购</w:t>
      </w:r>
      <w:r>
        <w:rPr>
          <w:rFonts w:hint="eastAsia" w:ascii="宋体" w:hAnsi="宋体" w:cs="宋体"/>
          <w:b/>
          <w:color w:val="333333"/>
          <w:spacing w:val="7"/>
          <w:sz w:val="48"/>
          <w:szCs w:val="48"/>
          <w:lang w:eastAsia="zh-CN"/>
        </w:rPr>
        <w:t>项目</w:t>
      </w:r>
    </w:p>
    <w:p w14:paraId="087754C8">
      <w:pPr>
        <w:pStyle w:val="57"/>
        <w:ind w:firstLine="0"/>
        <w:jc w:val="center"/>
        <w:rPr>
          <w:rFonts w:hint="eastAsia" w:ascii="宋体" w:hAnsi="宋体" w:cs="宋体"/>
          <w:b/>
          <w:color w:val="333333"/>
          <w:spacing w:val="7"/>
          <w:sz w:val="72"/>
          <w:szCs w:val="72"/>
        </w:rPr>
      </w:pPr>
    </w:p>
    <w:p w14:paraId="2283C6E6">
      <w:pPr>
        <w:pStyle w:val="57"/>
        <w:ind w:firstLine="0"/>
        <w:jc w:val="center"/>
        <w:rPr>
          <w:rFonts w:hint="eastAsia" w:ascii="宋体" w:hAnsi="宋体" w:cs="宋体"/>
          <w:b/>
          <w:color w:val="333333"/>
          <w:spacing w:val="7"/>
          <w:sz w:val="72"/>
          <w:szCs w:val="72"/>
        </w:rPr>
      </w:pPr>
    </w:p>
    <w:p w14:paraId="4BEA95ED">
      <w:pPr>
        <w:pStyle w:val="57"/>
        <w:ind w:firstLine="2947" w:firstLineChars="400"/>
        <w:jc w:val="both"/>
        <w:rPr>
          <w:rFonts w:ascii="宋体" w:hAnsi="宋体" w:cs="宋体"/>
          <w:b/>
          <w:color w:val="333333"/>
          <w:spacing w:val="7"/>
          <w:sz w:val="56"/>
          <w:szCs w:val="56"/>
        </w:rPr>
      </w:pPr>
      <w:r>
        <w:rPr>
          <w:rFonts w:hint="eastAsia" w:ascii="宋体" w:hAnsi="宋体" w:cs="宋体"/>
          <w:b/>
          <w:color w:val="333333"/>
          <w:spacing w:val="7"/>
          <w:sz w:val="72"/>
          <w:szCs w:val="72"/>
        </w:rPr>
        <w:t>询价文件</w:t>
      </w:r>
    </w:p>
    <w:p w14:paraId="08D8453C">
      <w:pPr>
        <w:pStyle w:val="57"/>
        <w:ind w:firstLine="0"/>
        <w:jc w:val="center"/>
        <w:rPr>
          <w:rFonts w:ascii="宋体" w:hAnsi="宋体" w:cs="宋体"/>
          <w:b/>
          <w:bCs/>
          <w:color w:val="auto"/>
          <w:spacing w:val="7"/>
          <w:sz w:val="32"/>
          <w:szCs w:val="32"/>
        </w:rPr>
      </w:pPr>
      <w:r>
        <w:rPr>
          <w:rFonts w:hint="eastAsia" w:ascii="宋体" w:hAnsi="宋体" w:cs="宋体"/>
          <w:b/>
          <w:bCs/>
          <w:color w:val="auto"/>
          <w:spacing w:val="7"/>
          <w:sz w:val="32"/>
          <w:szCs w:val="32"/>
        </w:rPr>
        <w:t>项目编号：JSSYCG20251031065</w:t>
      </w:r>
    </w:p>
    <w:p w14:paraId="7D1984B5">
      <w:pPr>
        <w:pStyle w:val="57"/>
        <w:rPr>
          <w:rFonts w:ascii="宋体" w:hAnsi="宋体" w:cs="宋体"/>
          <w:color w:val="333333"/>
          <w:spacing w:val="7"/>
          <w:sz w:val="28"/>
          <w:szCs w:val="28"/>
        </w:rPr>
      </w:pPr>
    </w:p>
    <w:p w14:paraId="037071B2">
      <w:pPr>
        <w:pStyle w:val="57"/>
        <w:rPr>
          <w:rFonts w:ascii="宋体" w:hAnsi="宋体" w:cs="宋体"/>
          <w:b/>
          <w:bCs/>
          <w:color w:val="000000"/>
          <w:sz w:val="36"/>
          <w:szCs w:val="36"/>
        </w:rPr>
      </w:pPr>
    </w:p>
    <w:p w14:paraId="6A45F689">
      <w:pPr>
        <w:pStyle w:val="57"/>
        <w:rPr>
          <w:rFonts w:ascii="宋体" w:hAnsi="宋体" w:cs="宋体"/>
          <w:b/>
          <w:bCs/>
          <w:color w:val="000000"/>
          <w:sz w:val="36"/>
          <w:szCs w:val="36"/>
        </w:rPr>
      </w:pPr>
    </w:p>
    <w:p w14:paraId="5729FD43">
      <w:pPr>
        <w:pStyle w:val="57"/>
        <w:rPr>
          <w:rFonts w:ascii="宋体" w:hAnsi="宋体" w:cs="宋体"/>
          <w:b/>
          <w:bCs/>
          <w:color w:val="000000"/>
          <w:sz w:val="36"/>
          <w:szCs w:val="36"/>
        </w:rPr>
      </w:pPr>
    </w:p>
    <w:p w14:paraId="5B863C43">
      <w:pPr>
        <w:spacing w:line="500" w:lineRule="exact"/>
        <w:jc w:val="both"/>
        <w:rPr>
          <w:rFonts w:ascii="宋体" w:hAnsi="宋体" w:cs="宋体"/>
          <w:b/>
          <w:bCs/>
          <w:spacing w:val="20"/>
          <w:sz w:val="32"/>
          <w:szCs w:val="32"/>
        </w:rPr>
      </w:pPr>
    </w:p>
    <w:p w14:paraId="21C1A8F2">
      <w:pPr>
        <w:spacing w:line="500" w:lineRule="exact"/>
        <w:jc w:val="center"/>
        <w:rPr>
          <w:rFonts w:ascii="宋体" w:hAnsi="宋体" w:cs="宋体"/>
          <w:b/>
          <w:sz w:val="36"/>
          <w:szCs w:val="36"/>
        </w:rPr>
      </w:pPr>
      <w:r>
        <w:rPr>
          <w:rFonts w:hint="eastAsia" w:ascii="宋体" w:hAnsi="宋体" w:cs="宋体"/>
          <w:b/>
          <w:bCs/>
          <w:spacing w:val="20"/>
          <w:sz w:val="32"/>
          <w:szCs w:val="32"/>
        </w:rPr>
        <w:t>江苏商贸职业学院</w:t>
      </w:r>
    </w:p>
    <w:p w14:paraId="67F81023">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二○二</w:t>
      </w:r>
      <w:r>
        <w:rPr>
          <w:rFonts w:hint="eastAsia" w:ascii="宋体" w:hAnsi="宋体" w:cs="宋体"/>
          <w:b/>
          <w:bCs/>
          <w:spacing w:val="20"/>
          <w:sz w:val="32"/>
          <w:szCs w:val="32"/>
          <w:lang w:val="en-US" w:eastAsia="zh-CN"/>
        </w:rPr>
        <w:t>五</w:t>
      </w:r>
      <w:r>
        <w:rPr>
          <w:rFonts w:hint="eastAsia" w:ascii="宋体" w:hAnsi="宋体" w:cs="宋体"/>
          <w:b/>
          <w:bCs/>
          <w:spacing w:val="20"/>
          <w:sz w:val="32"/>
          <w:szCs w:val="32"/>
        </w:rPr>
        <w:t>年十</w:t>
      </w:r>
      <w:r>
        <w:rPr>
          <w:rFonts w:hint="eastAsia" w:ascii="宋体" w:hAnsi="宋体" w:cs="宋体"/>
          <w:b/>
          <w:bCs/>
          <w:spacing w:val="20"/>
          <w:sz w:val="32"/>
          <w:szCs w:val="32"/>
          <w:lang w:val="en-US" w:eastAsia="zh-CN"/>
        </w:rPr>
        <w:t>一</w:t>
      </w:r>
      <w:r>
        <w:rPr>
          <w:rFonts w:hint="eastAsia" w:ascii="宋体" w:hAnsi="宋体" w:cs="宋体"/>
          <w:b/>
          <w:bCs/>
          <w:spacing w:val="20"/>
          <w:sz w:val="32"/>
          <w:szCs w:val="32"/>
        </w:rPr>
        <w:t xml:space="preserve">月   </w:t>
      </w:r>
    </w:p>
    <w:p w14:paraId="100A9D45">
      <w:pPr>
        <w:shd w:val="clear" w:color="auto" w:fill="FFFFFF"/>
        <w:ind w:firstLine="503"/>
        <w:jc w:val="center"/>
        <w:rPr>
          <w:rFonts w:ascii="宋体" w:hAnsi="宋体" w:cs="宋体"/>
          <w:b/>
          <w:bCs/>
          <w:color w:val="000000"/>
          <w:sz w:val="36"/>
          <w:szCs w:val="36"/>
        </w:rPr>
        <w:sectPr>
          <w:headerReference r:id="rId4" w:type="default"/>
          <w:footerReference r:id="rId5" w:type="default"/>
          <w:pgSz w:w="11906" w:h="16838"/>
          <w:pgMar w:top="1361" w:right="1361" w:bottom="1361" w:left="1361" w:header="708" w:footer="709" w:gutter="0"/>
          <w:cols w:space="720" w:num="1"/>
          <w:docGrid w:linePitch="360" w:charSpace="0"/>
        </w:sectPr>
      </w:pPr>
    </w:p>
    <w:p w14:paraId="173D16BF">
      <w:pPr>
        <w:shd w:val="clear" w:color="auto" w:fill="FFFFFF"/>
        <w:spacing w:line="360" w:lineRule="auto"/>
        <w:ind w:firstLine="602" w:firstLineChars="200"/>
        <w:jc w:val="center"/>
        <w:rPr>
          <w:rFonts w:hint="eastAsia" w:ascii="宋体" w:hAnsi="宋体" w:cs="宋体"/>
          <w:b/>
          <w:bCs/>
          <w:color w:val="333333"/>
          <w:spacing w:val="7"/>
          <w:sz w:val="30"/>
          <w:szCs w:val="30"/>
        </w:rPr>
      </w:pPr>
      <w:r>
        <w:rPr>
          <w:rFonts w:hint="eastAsia" w:ascii="宋体" w:hAnsi="宋体" w:cs="宋体"/>
          <w:b/>
          <w:bCs/>
          <w:color w:val="000000"/>
          <w:sz w:val="30"/>
          <w:szCs w:val="30"/>
          <w:lang w:eastAsia="zh-CN"/>
        </w:rPr>
        <w:t>江苏商贸职业学院人文学院智慧养老专业2025年零星采购设备项目</w:t>
      </w:r>
      <w:r>
        <w:rPr>
          <w:rFonts w:hint="eastAsia" w:ascii="宋体" w:hAnsi="宋体" w:cs="宋体"/>
          <w:b/>
          <w:bCs/>
          <w:color w:val="000000"/>
          <w:sz w:val="30"/>
          <w:szCs w:val="30"/>
        </w:rPr>
        <w:t>询价公告</w:t>
      </w:r>
    </w:p>
    <w:p w14:paraId="1A9EC1F1">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项目概况：</w:t>
      </w:r>
    </w:p>
    <w:p w14:paraId="40F5C6D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lang w:eastAsia="zh-CN"/>
        </w:rPr>
        <w:t>江苏商贸职业学院人文学院智慧养老专业实训所需设备及材料采购项目</w:t>
      </w:r>
      <w:r>
        <w:rPr>
          <w:rFonts w:hint="eastAsia" w:ascii="宋体" w:hAnsi="宋体" w:cs="宋体"/>
          <w:color w:val="333333"/>
          <w:spacing w:val="7"/>
          <w:sz w:val="24"/>
          <w:szCs w:val="28"/>
        </w:rPr>
        <w:t xml:space="preserve">的潜在供应商应在江苏商贸职业学院网站获取采购文件，并于2025年 </w:t>
      </w:r>
      <w:r>
        <w:rPr>
          <w:rFonts w:hint="eastAsia" w:ascii="宋体" w:hAnsi="宋体" w:cs="宋体"/>
          <w:color w:val="333333"/>
          <w:spacing w:val="7"/>
          <w:sz w:val="24"/>
          <w:szCs w:val="28"/>
          <w:lang w:val="en-US" w:eastAsia="zh-CN"/>
        </w:rPr>
        <w:t>1</w:t>
      </w:r>
      <w:r>
        <w:rPr>
          <w:rFonts w:hint="eastAsia" w:ascii="宋体" w:hAnsi="宋体" w:cs="宋体"/>
          <w:color w:val="auto"/>
          <w:spacing w:val="7"/>
          <w:sz w:val="24"/>
          <w:szCs w:val="28"/>
          <w:lang w:val="en-US" w:eastAsia="zh-CN"/>
        </w:rPr>
        <w:t>1</w:t>
      </w:r>
      <w:r>
        <w:rPr>
          <w:rFonts w:hint="eastAsia" w:ascii="宋体" w:hAnsi="宋体" w:cs="宋体"/>
          <w:color w:val="auto"/>
          <w:spacing w:val="7"/>
          <w:sz w:val="24"/>
          <w:szCs w:val="28"/>
        </w:rPr>
        <w:t>月</w:t>
      </w:r>
      <w:r>
        <w:rPr>
          <w:rFonts w:hint="eastAsia" w:ascii="宋体" w:hAnsi="宋体" w:cs="宋体"/>
          <w:color w:val="auto"/>
          <w:spacing w:val="7"/>
          <w:sz w:val="24"/>
          <w:szCs w:val="28"/>
          <w:lang w:val="en-US" w:eastAsia="zh-CN"/>
        </w:rPr>
        <w:t>12</w:t>
      </w:r>
      <w:r>
        <w:rPr>
          <w:rFonts w:hint="eastAsia" w:ascii="宋体" w:hAnsi="宋体" w:cs="宋体"/>
          <w:color w:val="auto"/>
          <w:spacing w:val="7"/>
          <w:sz w:val="24"/>
          <w:szCs w:val="28"/>
        </w:rPr>
        <w:t>日09点00分</w:t>
      </w:r>
      <w:r>
        <w:rPr>
          <w:rFonts w:hint="eastAsia" w:ascii="宋体" w:hAnsi="宋体" w:cs="宋体"/>
          <w:color w:val="333333"/>
          <w:spacing w:val="7"/>
          <w:sz w:val="24"/>
          <w:szCs w:val="28"/>
        </w:rPr>
        <w:t>（北京时间）前提交响应文件。</w:t>
      </w:r>
    </w:p>
    <w:p w14:paraId="0B71269E">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一、项目基本情况</w:t>
      </w:r>
      <w:bookmarkStart w:id="15" w:name="_GoBack"/>
      <w:bookmarkEnd w:id="15"/>
    </w:p>
    <w:p w14:paraId="7B2CFA0C">
      <w:pPr>
        <w:shd w:val="clear" w:color="auto" w:fill="FFFFFF"/>
        <w:spacing w:after="0" w:line="360" w:lineRule="auto"/>
        <w:ind w:firstLine="508" w:firstLineChars="200"/>
        <w:rPr>
          <w:rFonts w:hint="eastAsia" w:ascii="宋体" w:hAnsi="宋体" w:cs="宋体"/>
          <w:color w:val="auto"/>
          <w:spacing w:val="7"/>
          <w:sz w:val="24"/>
          <w:szCs w:val="28"/>
        </w:rPr>
      </w:pPr>
      <w:r>
        <w:rPr>
          <w:rFonts w:hint="eastAsia" w:ascii="宋体" w:hAnsi="宋体" w:cs="宋体"/>
          <w:color w:val="auto"/>
          <w:spacing w:val="7"/>
          <w:sz w:val="24"/>
          <w:szCs w:val="28"/>
        </w:rPr>
        <w:t>项目编号：JSSYCG20251031065</w:t>
      </w:r>
    </w:p>
    <w:p w14:paraId="4C8782EA">
      <w:pPr>
        <w:shd w:val="clear" w:color="auto" w:fill="FFFFFF"/>
        <w:spacing w:after="0" w:line="360" w:lineRule="auto"/>
        <w:ind w:firstLine="508" w:firstLineChars="200"/>
        <w:rPr>
          <w:rFonts w:hint="eastAsia" w:ascii="宋体" w:hAnsi="宋体" w:cs="宋体"/>
          <w:color w:val="333333"/>
          <w:spacing w:val="7"/>
          <w:sz w:val="24"/>
          <w:szCs w:val="28"/>
          <w:lang w:eastAsia="zh-CN"/>
        </w:rPr>
      </w:pPr>
      <w:r>
        <w:rPr>
          <w:rFonts w:hint="eastAsia" w:ascii="宋体" w:hAnsi="宋体" w:cs="宋体"/>
          <w:color w:val="333333"/>
          <w:spacing w:val="7"/>
          <w:sz w:val="24"/>
          <w:szCs w:val="28"/>
        </w:rPr>
        <w:t>项目名称：</w:t>
      </w:r>
      <w:r>
        <w:rPr>
          <w:rFonts w:hint="eastAsia" w:ascii="宋体" w:hAnsi="宋体" w:cs="宋体"/>
          <w:color w:val="333333"/>
          <w:spacing w:val="7"/>
          <w:sz w:val="24"/>
          <w:szCs w:val="28"/>
          <w:lang w:eastAsia="zh-CN"/>
        </w:rPr>
        <w:t>江苏商贸职业学院人文学院智慧养老专业实训所需设备及材料采购项目</w:t>
      </w:r>
    </w:p>
    <w:p w14:paraId="61483A14">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项目类型：货物</w:t>
      </w:r>
    </w:p>
    <w:p w14:paraId="77B01FC7">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所属行业：工业</w:t>
      </w:r>
    </w:p>
    <w:p w14:paraId="47315A50">
      <w:pPr>
        <w:shd w:val="clear" w:color="auto" w:fill="FFFFFF"/>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预算金额：</w:t>
      </w:r>
      <w:r>
        <w:rPr>
          <w:rFonts w:hint="eastAsia" w:ascii="宋体" w:hAnsi="宋体" w:cs="宋体"/>
          <w:spacing w:val="7"/>
          <w:sz w:val="24"/>
          <w:szCs w:val="28"/>
          <w:lang w:val="en-US" w:eastAsia="zh-CN"/>
        </w:rPr>
        <w:t>4.95万</w:t>
      </w:r>
      <w:r>
        <w:rPr>
          <w:rFonts w:hint="eastAsia" w:ascii="宋体" w:hAnsi="宋体" w:cs="宋体"/>
          <w:spacing w:val="7"/>
          <w:sz w:val="24"/>
          <w:szCs w:val="28"/>
        </w:rPr>
        <w:t>元</w:t>
      </w:r>
    </w:p>
    <w:p w14:paraId="027E94C9">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最高限价：</w:t>
      </w:r>
      <w:r>
        <w:rPr>
          <w:rFonts w:hint="eastAsia" w:ascii="宋体" w:hAnsi="宋体" w:cs="宋体"/>
          <w:spacing w:val="7"/>
          <w:sz w:val="24"/>
          <w:szCs w:val="28"/>
          <w:lang w:val="en-US" w:eastAsia="zh-CN"/>
        </w:rPr>
        <w:t>4.9万</w:t>
      </w:r>
      <w:r>
        <w:rPr>
          <w:rFonts w:hint="eastAsia" w:ascii="宋体" w:hAnsi="宋体" w:cs="宋体"/>
          <w:spacing w:val="7"/>
          <w:sz w:val="24"/>
          <w:szCs w:val="28"/>
        </w:rPr>
        <w:t>元，</w:t>
      </w:r>
      <w:r>
        <w:rPr>
          <w:rFonts w:hint="eastAsia" w:ascii="宋体" w:hAnsi="宋体" w:cs="宋体"/>
          <w:color w:val="333333"/>
          <w:spacing w:val="7"/>
          <w:sz w:val="24"/>
          <w:szCs w:val="28"/>
        </w:rPr>
        <w:t>投标报价高于最高限价的作无效报价处理。</w:t>
      </w:r>
    </w:p>
    <w:p w14:paraId="2AC362AA">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spacing w:val="7"/>
          <w:sz w:val="24"/>
          <w:szCs w:val="28"/>
        </w:rPr>
        <w:t>合同履约期限：</w:t>
      </w:r>
      <w:r>
        <w:rPr>
          <w:rFonts w:hint="eastAsia"/>
          <w:sz w:val="24"/>
          <w:szCs w:val="24"/>
        </w:rPr>
        <w:t xml:space="preserve">合同签订生效之日起 </w:t>
      </w:r>
      <w:r>
        <w:rPr>
          <w:rFonts w:hint="eastAsia"/>
          <w:sz w:val="24"/>
          <w:szCs w:val="24"/>
          <w:lang w:val="en-US" w:eastAsia="zh-CN"/>
        </w:rPr>
        <w:t>10</w:t>
      </w:r>
      <w:r>
        <w:rPr>
          <w:rFonts w:hint="eastAsia"/>
          <w:sz w:val="24"/>
          <w:szCs w:val="24"/>
        </w:rPr>
        <w:t xml:space="preserve"> 日内完成供货、安装、调试、验收合格</w:t>
      </w:r>
      <w:r>
        <w:rPr>
          <w:rFonts w:hint="eastAsia" w:ascii="宋体" w:hAnsi="宋体" w:cs="宋体"/>
          <w:spacing w:val="7"/>
          <w:sz w:val="24"/>
          <w:szCs w:val="28"/>
        </w:rPr>
        <w:t>。</w:t>
      </w:r>
      <w:r>
        <w:rPr>
          <w:rFonts w:hint="eastAsia" w:ascii="宋体" w:hAnsi="宋体" w:cs="宋体"/>
          <w:color w:val="333333"/>
          <w:spacing w:val="7"/>
          <w:sz w:val="24"/>
          <w:szCs w:val="28"/>
        </w:rPr>
        <w:t xml:space="preserve">  </w:t>
      </w:r>
    </w:p>
    <w:p w14:paraId="46F67048">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本项目不接受联合体。</w:t>
      </w:r>
    </w:p>
    <w:p w14:paraId="7BFD640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二、申请人的资格要求：</w:t>
      </w:r>
    </w:p>
    <w:p w14:paraId="1D19CF1F">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14:paraId="2DD819FC">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2</w:t>
      </w:r>
      <w:r>
        <w:rPr>
          <w:rFonts w:hint="eastAsia" w:ascii="宋体" w:hAnsi="宋体" w:cs="宋体"/>
          <w:color w:val="333333"/>
          <w:spacing w:val="7"/>
          <w:sz w:val="24"/>
          <w:szCs w:val="28"/>
        </w:rPr>
        <w:t>.</w:t>
      </w:r>
      <w:r>
        <w:rPr>
          <w:rFonts w:hint="eastAsia" w:ascii="宋体" w:hAnsi="宋体" w:cs="宋体"/>
          <w:color w:val="333333"/>
          <w:spacing w:val="7"/>
          <w:sz w:val="24"/>
          <w:szCs w:val="28"/>
          <w:lang w:val="zh-CN"/>
        </w:rPr>
        <w:t>供应商其它要求：</w:t>
      </w:r>
    </w:p>
    <w:p w14:paraId="649DA946">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（1）</w:t>
      </w:r>
      <w:r>
        <w:rPr>
          <w:rFonts w:hint="eastAsia" w:ascii="宋体" w:hAnsi="宋体" w:cs="宋体"/>
          <w:color w:val="333333"/>
          <w:spacing w:val="7"/>
          <w:sz w:val="24"/>
          <w:szCs w:val="28"/>
        </w:rPr>
        <w:t>供应商必须具有有效的营业执照；</w:t>
      </w:r>
    </w:p>
    <w:p w14:paraId="38F076AB">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2）</w:t>
      </w:r>
      <w:r>
        <w:rPr>
          <w:rFonts w:hint="eastAsia" w:ascii="宋体" w:hAnsi="宋体" w:cs="宋体"/>
          <w:color w:val="333333"/>
          <w:spacing w:val="7"/>
          <w:sz w:val="24"/>
          <w:szCs w:val="28"/>
          <w:lang w:val="zh-CN"/>
        </w:rPr>
        <w:t>未被“信用中国”网站列入失信被执行人、重大税收违法案件当事人名单、采购严重失信行为记录名单；</w:t>
      </w:r>
    </w:p>
    <w:p w14:paraId="3B8C2F1F">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lang w:val="zh-CN"/>
        </w:rPr>
        <w:t>（</w:t>
      </w: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）法定代表人为同一个人的两个及两个以上法人，母公司、全资子公司及其控股公司，都不得在同一采购项目相同标段中同时投标，一经发现，将视同围标处理。</w:t>
      </w:r>
    </w:p>
    <w:p w14:paraId="246AB8E3">
      <w:pPr>
        <w:shd w:val="clear" w:color="auto" w:fill="FFFFFF"/>
        <w:spacing w:after="0" w:line="360" w:lineRule="auto"/>
        <w:ind w:firstLine="508" w:firstLineChars="200"/>
        <w:rPr>
          <w:rFonts w:hint="eastAsia" w:ascii="宋体" w:hAnsi="宋体" w:cs="宋体"/>
          <w:color w:val="333333"/>
          <w:spacing w:val="7"/>
          <w:sz w:val="24"/>
          <w:szCs w:val="28"/>
          <w:lang w:val="zh-CN"/>
        </w:rPr>
      </w:pPr>
      <w:r>
        <w:rPr>
          <w:rFonts w:hint="eastAsia" w:ascii="宋体" w:hAnsi="宋体" w:cs="宋体"/>
          <w:color w:val="333333"/>
          <w:spacing w:val="7"/>
          <w:sz w:val="24"/>
          <w:szCs w:val="28"/>
        </w:rPr>
        <w:t>3</w:t>
      </w:r>
      <w:r>
        <w:rPr>
          <w:rFonts w:hint="eastAsia" w:ascii="宋体" w:hAnsi="宋体" w:cs="宋体"/>
          <w:color w:val="333333"/>
          <w:spacing w:val="7"/>
          <w:sz w:val="24"/>
          <w:szCs w:val="28"/>
          <w:lang w:val="zh-CN"/>
        </w:rPr>
        <w:t>.本项目的特定资格要求：</w:t>
      </w:r>
      <w:r>
        <w:rPr>
          <w:rFonts w:hint="eastAsia"/>
          <w:sz w:val="24"/>
          <w:lang w:val="en-US" w:eastAsia="zh-CN"/>
        </w:rPr>
        <w:t>无</w:t>
      </w:r>
      <w:r>
        <w:rPr>
          <w:rFonts w:hint="eastAsia" w:ascii="宋体" w:hAnsi="宋体" w:cs="宋体"/>
          <w:color w:val="333333"/>
          <w:spacing w:val="7"/>
          <w:sz w:val="24"/>
          <w:szCs w:val="28"/>
          <w:lang w:val="zh-CN"/>
        </w:rPr>
        <w:t>。</w:t>
      </w:r>
    </w:p>
    <w:p w14:paraId="45D7D6D9">
      <w:pPr>
        <w:shd w:val="clear" w:color="auto" w:fill="FFFFFF"/>
        <w:spacing w:after="0" w:line="360" w:lineRule="auto"/>
        <w:ind w:firstLine="508" w:firstLineChars="200"/>
        <w:outlineLvl w:val="1"/>
        <w:rPr>
          <w:rFonts w:hint="eastAsia" w:ascii="宋体" w:hAnsi="宋体" w:cs="宋体"/>
          <w:color w:val="000000" w:themeColor="text1"/>
          <w:spacing w:val="7"/>
          <w:sz w:val="24"/>
          <w:szCs w:val="28"/>
          <w14:textFill>
            <w14:solidFill>
              <w14:schemeClr w14:val="tx1"/>
            </w14:solidFill>
          </w14:textFill>
        </w:rPr>
      </w:pPr>
      <w:r>
        <w:rPr>
          <w:rFonts w:hint="eastAsia" w:ascii="宋体" w:hAnsi="宋体" w:cs="宋体"/>
          <w:color w:val="333333"/>
          <w:spacing w:val="7"/>
          <w:sz w:val="24"/>
          <w:szCs w:val="28"/>
        </w:rPr>
        <w:t>三、获取采购文件</w:t>
      </w:r>
    </w:p>
    <w:p w14:paraId="51186242">
      <w:pPr>
        <w:shd w:val="clear" w:color="auto" w:fill="FFFFFF"/>
        <w:spacing w:after="0" w:line="360" w:lineRule="auto"/>
        <w:ind w:firstLine="482" w:firstLineChars="200"/>
        <w:rPr>
          <w:rFonts w:hint="eastAsia" w:ascii="宋体" w:hAnsi="宋体" w:cs="宋体"/>
          <w:b/>
          <w:bCs/>
          <w:color w:val="FF0000"/>
          <w:sz w:val="24"/>
          <w:szCs w:val="28"/>
        </w:rPr>
      </w:pPr>
      <w:r>
        <w:rPr>
          <w:rFonts w:hint="eastAsia" w:ascii="宋体" w:hAnsi="宋体" w:cs="宋体"/>
          <w:b/>
          <w:bCs/>
          <w:color w:val="000000" w:themeColor="text1"/>
          <w:sz w:val="24"/>
          <w:szCs w:val="28"/>
          <w14:textFill>
            <w14:solidFill>
              <w14:schemeClr w14:val="tx1"/>
            </w14:solidFill>
          </w14:textFill>
        </w:rPr>
        <w:t>时间：公告发布之日起至2025年</w:t>
      </w:r>
      <w:r>
        <w:rPr>
          <w:rFonts w:hint="eastAsia" w:ascii="宋体" w:hAnsi="宋体" w:cs="宋体"/>
          <w:b/>
          <w:bCs/>
          <w:color w:val="auto"/>
          <w:sz w:val="24"/>
          <w:szCs w:val="28"/>
          <w:lang w:val="en-US" w:eastAsia="zh-CN"/>
        </w:rPr>
        <w:t>11月11</w:t>
      </w:r>
      <w:r>
        <w:rPr>
          <w:rFonts w:hint="eastAsia" w:ascii="宋体" w:hAnsi="宋体" w:cs="宋体"/>
          <w:b/>
          <w:bCs/>
          <w:color w:val="auto"/>
          <w:sz w:val="24"/>
          <w:szCs w:val="28"/>
        </w:rPr>
        <w:t>日</w:t>
      </w:r>
    </w:p>
    <w:p w14:paraId="0595EEFD">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 xml:space="preserve">地点：江苏商贸职业学院官网  </w:t>
      </w:r>
    </w:p>
    <w:p w14:paraId="416860B6">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方式：自行下载</w:t>
      </w:r>
    </w:p>
    <w:p w14:paraId="260394A5">
      <w:pPr>
        <w:shd w:val="clear" w:color="auto" w:fill="FFFFFF"/>
        <w:spacing w:after="0" w:line="360" w:lineRule="auto"/>
        <w:ind w:firstLine="508" w:firstLineChars="200"/>
        <w:outlineLvl w:val="1"/>
        <w:rPr>
          <w:rFonts w:hint="eastAsia" w:ascii="宋体" w:hAnsi="宋体" w:cs="宋体"/>
          <w:color w:val="auto"/>
          <w:spacing w:val="7"/>
          <w:sz w:val="24"/>
          <w:szCs w:val="28"/>
        </w:rPr>
      </w:pPr>
      <w:r>
        <w:rPr>
          <w:rFonts w:hint="eastAsia" w:ascii="宋体" w:hAnsi="宋体" w:cs="宋体"/>
          <w:color w:val="333333"/>
          <w:spacing w:val="7"/>
          <w:sz w:val="24"/>
          <w:szCs w:val="28"/>
        </w:rPr>
        <w:t>四、响应文件</w:t>
      </w:r>
      <w:r>
        <w:rPr>
          <w:rFonts w:hint="eastAsia" w:ascii="宋体" w:hAnsi="宋体" w:cs="宋体"/>
          <w:color w:val="auto"/>
          <w:spacing w:val="7"/>
          <w:sz w:val="24"/>
          <w:szCs w:val="28"/>
        </w:rPr>
        <w:t>提交</w:t>
      </w:r>
    </w:p>
    <w:p w14:paraId="42CCFF8F">
      <w:pPr>
        <w:shd w:val="clear" w:color="auto" w:fill="FFFFFF"/>
        <w:spacing w:after="0" w:line="360" w:lineRule="auto"/>
        <w:ind w:firstLine="482" w:firstLineChars="200"/>
        <w:rPr>
          <w:rFonts w:hint="eastAsia" w:ascii="宋体" w:hAnsi="宋体" w:cs="宋体"/>
          <w:color w:val="auto"/>
          <w:spacing w:val="7"/>
          <w:sz w:val="24"/>
          <w:szCs w:val="28"/>
          <w:u w:val="single"/>
        </w:rPr>
      </w:pPr>
      <w:r>
        <w:rPr>
          <w:rFonts w:hint="eastAsia" w:ascii="宋体" w:hAnsi="宋体" w:cs="宋体"/>
          <w:b/>
          <w:bCs/>
          <w:color w:val="auto"/>
          <w:sz w:val="24"/>
          <w:szCs w:val="28"/>
        </w:rPr>
        <w:t xml:space="preserve">截止时间：2025年 </w:t>
      </w:r>
      <w:r>
        <w:rPr>
          <w:rFonts w:hint="eastAsia" w:ascii="宋体" w:hAnsi="宋体" w:cs="宋体"/>
          <w:b/>
          <w:bCs/>
          <w:color w:val="auto"/>
          <w:sz w:val="24"/>
          <w:szCs w:val="28"/>
          <w:lang w:val="en-US" w:eastAsia="zh-CN"/>
        </w:rPr>
        <w:t>11</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12</w:t>
      </w:r>
      <w:r>
        <w:rPr>
          <w:rFonts w:hint="eastAsia" w:ascii="宋体" w:hAnsi="宋体" w:cs="宋体"/>
          <w:b/>
          <w:bCs/>
          <w:color w:val="auto"/>
          <w:sz w:val="24"/>
          <w:szCs w:val="28"/>
        </w:rPr>
        <w:t>日09点00分（北京时间）</w:t>
      </w:r>
    </w:p>
    <w:p w14:paraId="77E2C167">
      <w:pPr>
        <w:tabs>
          <w:tab w:val="left" w:pos="360"/>
        </w:tabs>
        <w:spacing w:after="60" w:line="360" w:lineRule="auto"/>
        <w:ind w:firstLine="508" w:firstLineChars="200"/>
        <w:rPr>
          <w:rFonts w:hint="eastAsia" w:ascii="宋体" w:hAnsi="宋体" w:cs="宋体"/>
          <w:kern w:val="2"/>
          <w:sz w:val="24"/>
          <w:szCs w:val="24"/>
        </w:rPr>
      </w:pPr>
      <w:r>
        <w:rPr>
          <w:rFonts w:hint="eastAsia" w:ascii="宋体" w:hAnsi="宋体" w:cs="宋体"/>
          <w:color w:val="333333"/>
          <w:spacing w:val="7"/>
          <w:sz w:val="24"/>
          <w:szCs w:val="28"/>
        </w:rPr>
        <w:t>地点：江苏省南通市江通路48号，江苏商贸职业学院资产管理处（西大门南侧）办公室，如有变动另行通知。</w:t>
      </w:r>
    </w:p>
    <w:p w14:paraId="001F4EF5">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五、开启</w:t>
      </w:r>
    </w:p>
    <w:p w14:paraId="582DF787">
      <w:pPr>
        <w:shd w:val="clear" w:color="auto" w:fill="FFFFFF"/>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时间：2025</w:t>
      </w:r>
      <w:r>
        <w:rPr>
          <w:rFonts w:hint="eastAsia" w:ascii="宋体" w:hAnsi="宋体" w:cs="宋体"/>
          <w:b/>
          <w:bCs/>
          <w:color w:val="auto"/>
          <w:sz w:val="24"/>
          <w:szCs w:val="28"/>
        </w:rPr>
        <w:t>年</w:t>
      </w:r>
      <w:r>
        <w:rPr>
          <w:rFonts w:hint="eastAsia" w:ascii="宋体" w:hAnsi="宋体" w:cs="宋体"/>
          <w:b/>
          <w:bCs/>
          <w:color w:val="auto"/>
          <w:sz w:val="24"/>
          <w:szCs w:val="28"/>
          <w:lang w:val="en-US" w:eastAsia="zh-CN"/>
        </w:rPr>
        <w:t>11</w:t>
      </w:r>
      <w:r>
        <w:rPr>
          <w:rFonts w:hint="eastAsia" w:ascii="宋体" w:hAnsi="宋体" w:cs="宋体"/>
          <w:b/>
          <w:bCs/>
          <w:color w:val="auto"/>
          <w:sz w:val="24"/>
          <w:szCs w:val="28"/>
        </w:rPr>
        <w:t>月</w:t>
      </w:r>
      <w:r>
        <w:rPr>
          <w:rFonts w:hint="eastAsia" w:ascii="宋体" w:hAnsi="宋体" w:cs="宋体"/>
          <w:b/>
          <w:bCs/>
          <w:color w:val="auto"/>
          <w:sz w:val="24"/>
          <w:szCs w:val="28"/>
          <w:lang w:val="en-US" w:eastAsia="zh-CN"/>
        </w:rPr>
        <w:t>12</w:t>
      </w:r>
      <w:r>
        <w:rPr>
          <w:rFonts w:hint="eastAsia" w:ascii="宋体" w:hAnsi="宋体" w:cs="宋体"/>
          <w:b/>
          <w:bCs/>
          <w:color w:val="auto"/>
          <w:sz w:val="24"/>
          <w:szCs w:val="28"/>
        </w:rPr>
        <w:t>日09点00分（北京时间）</w:t>
      </w:r>
    </w:p>
    <w:p w14:paraId="423B453C">
      <w:pPr>
        <w:widowControl w:val="0"/>
        <w:adjustRightInd/>
        <w:snapToGrid/>
        <w:spacing w:after="0" w:line="360" w:lineRule="auto"/>
        <w:ind w:firstLine="480" w:firstLineChars="200"/>
        <w:rPr>
          <w:rFonts w:hint="eastAsia" w:ascii="宋体" w:hAnsi="宋体" w:cs="宋体"/>
          <w:color w:val="333333"/>
          <w:spacing w:val="7"/>
          <w:sz w:val="24"/>
          <w:szCs w:val="28"/>
        </w:rPr>
      </w:pPr>
      <w:r>
        <w:rPr>
          <w:rFonts w:hint="eastAsia" w:ascii="宋体" w:hAnsi="宋体" w:cs="宋体"/>
          <w:sz w:val="24"/>
          <w:szCs w:val="28"/>
        </w:rPr>
        <w:t>地点：</w:t>
      </w:r>
      <w:r>
        <w:rPr>
          <w:rFonts w:hint="eastAsia" w:ascii="宋体" w:hAnsi="宋体" w:cs="宋体"/>
          <w:color w:val="333333"/>
          <w:spacing w:val="7"/>
          <w:sz w:val="24"/>
          <w:szCs w:val="28"/>
        </w:rPr>
        <w:t>江苏商贸职业学院基建会议室，如有变动另行通知。</w:t>
      </w:r>
    </w:p>
    <w:p w14:paraId="4921F66D">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六、公告期限</w:t>
      </w:r>
    </w:p>
    <w:p w14:paraId="42202903">
      <w:pPr>
        <w:shd w:val="clear" w:color="auto" w:fill="FFFFFF"/>
        <w:spacing w:after="0" w:line="360" w:lineRule="auto"/>
        <w:ind w:firstLine="508" w:firstLineChars="200"/>
        <w:rPr>
          <w:rFonts w:hint="eastAsia" w:ascii="宋体" w:hAnsi="宋体" w:cs="宋体"/>
          <w:color w:val="333333"/>
          <w:spacing w:val="7"/>
          <w:sz w:val="24"/>
          <w:szCs w:val="28"/>
        </w:rPr>
      </w:pPr>
      <w:r>
        <w:rPr>
          <w:rFonts w:hint="eastAsia" w:ascii="宋体" w:hAnsi="宋体" w:cs="宋体"/>
          <w:color w:val="333333"/>
          <w:spacing w:val="7"/>
          <w:sz w:val="24"/>
          <w:szCs w:val="28"/>
        </w:rPr>
        <w:t>自本公告发布之日起</w:t>
      </w:r>
      <w:r>
        <w:rPr>
          <w:rFonts w:hint="eastAsia" w:ascii="宋体" w:hAnsi="宋体" w:cs="宋体"/>
          <w:color w:val="333333"/>
          <w:spacing w:val="7"/>
          <w:sz w:val="24"/>
          <w:szCs w:val="28"/>
          <w:lang w:val="en-US" w:eastAsia="zh-CN"/>
        </w:rPr>
        <w:t>5</w:t>
      </w:r>
      <w:r>
        <w:rPr>
          <w:rFonts w:hint="eastAsia" w:ascii="宋体" w:hAnsi="宋体" w:cs="宋体"/>
          <w:color w:val="333333"/>
          <w:spacing w:val="7"/>
          <w:sz w:val="24"/>
          <w:szCs w:val="28"/>
        </w:rPr>
        <w:t>个工作日。</w:t>
      </w:r>
    </w:p>
    <w:p w14:paraId="48E4A858">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七、其他补充事宜</w:t>
      </w:r>
    </w:p>
    <w:p w14:paraId="2FADA04A">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对项目需求部分的询问、质疑请向采购人提出，由采购人负责答复。对采购文件其他有关问题请向代理公司经办人员提出。</w:t>
      </w:r>
    </w:p>
    <w:p w14:paraId="7414170D">
      <w:pPr>
        <w:shd w:val="clear" w:color="auto" w:fill="FFFFFF"/>
        <w:spacing w:after="0" w:line="360" w:lineRule="auto"/>
        <w:ind w:firstLine="482" w:firstLineChars="200"/>
        <w:outlineLvl w:val="1"/>
        <w:rPr>
          <w:rFonts w:hint="eastAsia" w:ascii="宋体" w:hAnsi="宋体" w:cs="宋体"/>
          <w:color w:val="333333"/>
          <w:spacing w:val="7"/>
          <w:sz w:val="24"/>
          <w:szCs w:val="28"/>
        </w:rPr>
      </w:pPr>
      <w:r>
        <w:rPr>
          <w:rFonts w:hint="eastAsia" w:ascii="宋体" w:hAnsi="宋体" w:cs="宋体"/>
          <w:b/>
          <w:bCs/>
          <w:sz w:val="24"/>
          <w:szCs w:val="28"/>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4F9D8BCB">
      <w:pPr>
        <w:shd w:val="clear" w:color="auto" w:fill="FFFFFF"/>
        <w:spacing w:after="0" w:line="360" w:lineRule="auto"/>
        <w:ind w:firstLine="508" w:firstLineChars="200"/>
        <w:outlineLvl w:val="1"/>
        <w:rPr>
          <w:rFonts w:hint="eastAsia" w:ascii="宋体" w:hAnsi="宋体" w:cs="宋体"/>
          <w:color w:val="333333"/>
          <w:spacing w:val="7"/>
          <w:sz w:val="24"/>
          <w:szCs w:val="28"/>
        </w:rPr>
      </w:pPr>
      <w:r>
        <w:rPr>
          <w:rFonts w:hint="eastAsia" w:ascii="宋体" w:hAnsi="宋体" w:cs="宋体"/>
          <w:color w:val="333333"/>
          <w:spacing w:val="7"/>
          <w:sz w:val="24"/>
          <w:szCs w:val="28"/>
        </w:rPr>
        <w:t>八、凡对本次采购提出询问，请按以下方式联系。</w:t>
      </w:r>
    </w:p>
    <w:p w14:paraId="343407C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1、采购人信息</w:t>
      </w:r>
    </w:p>
    <w:p w14:paraId="7A4FFEB8">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单位名称：江苏商贸职业学院</w:t>
      </w:r>
    </w:p>
    <w:p w14:paraId="6A397DD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单位地址：江苏省南通市江通路48号</w:t>
      </w:r>
    </w:p>
    <w:p w14:paraId="6756BAED">
      <w:pPr>
        <w:spacing w:after="0" w:line="360" w:lineRule="auto"/>
        <w:ind w:firstLine="508" w:firstLineChars="200"/>
        <w:rPr>
          <w:rFonts w:hint="default" w:ascii="宋体" w:hAnsi="宋体" w:eastAsia="宋体" w:cs="宋体"/>
          <w:spacing w:val="7"/>
          <w:sz w:val="24"/>
          <w:szCs w:val="28"/>
          <w:lang w:val="en-US" w:eastAsia="zh-CN"/>
        </w:rPr>
      </w:pPr>
      <w:r>
        <w:rPr>
          <w:rFonts w:hint="eastAsia" w:ascii="宋体" w:hAnsi="宋体" w:cs="宋体"/>
          <w:spacing w:val="7"/>
          <w:sz w:val="24"/>
          <w:szCs w:val="28"/>
          <w:lang w:val="en-US" w:eastAsia="zh-CN"/>
        </w:rPr>
        <w:t xml:space="preserve">丁老师 </w:t>
      </w:r>
      <w:r>
        <w:rPr>
          <w:rFonts w:hint="eastAsia" w:ascii="宋体" w:hAnsi="宋体" w:cs="宋体"/>
          <w:spacing w:val="7"/>
          <w:sz w:val="24"/>
          <w:szCs w:val="28"/>
        </w:rPr>
        <w:t>（</w:t>
      </w:r>
      <w:r>
        <w:rPr>
          <w:rFonts w:hint="eastAsia" w:ascii="宋体" w:hAnsi="宋体" w:cs="宋体"/>
          <w:spacing w:val="7"/>
          <w:sz w:val="24"/>
          <w:szCs w:val="28"/>
          <w:lang w:val="en-US" w:eastAsia="zh-CN"/>
        </w:rPr>
        <w:t>人文与旅游学院</w:t>
      </w:r>
      <w:r>
        <w:rPr>
          <w:rFonts w:hint="eastAsia" w:ascii="宋体" w:hAnsi="宋体" w:cs="宋体"/>
          <w:spacing w:val="7"/>
          <w:sz w:val="24"/>
          <w:szCs w:val="28"/>
          <w:lang w:eastAsia="zh-CN"/>
        </w:rPr>
        <w:t>）</w:t>
      </w:r>
      <w:r>
        <w:rPr>
          <w:rFonts w:hint="eastAsia" w:ascii="宋体" w:hAnsi="宋体" w:cs="宋体"/>
          <w:spacing w:val="7"/>
          <w:sz w:val="24"/>
          <w:szCs w:val="28"/>
        </w:rPr>
        <w:t xml:space="preserve">   联系电话：</w:t>
      </w:r>
      <w:r>
        <w:rPr>
          <w:rFonts w:hint="eastAsia" w:asciiTheme="minorEastAsia" w:hAnsiTheme="minorEastAsia" w:eastAsiaTheme="minorEastAsia" w:cstheme="minorEastAsia"/>
          <w:sz w:val="24"/>
          <w:szCs w:val="24"/>
          <w:lang w:val="en-US" w:eastAsia="zh-CN"/>
        </w:rPr>
        <w:t>15919331028</w:t>
      </w:r>
    </w:p>
    <w:p w14:paraId="5C38783B">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 xml:space="preserve">杨老师 （资产管理处）      </w:t>
      </w:r>
      <w:r>
        <w:rPr>
          <w:rFonts w:hint="eastAsia" w:ascii="宋体" w:hAnsi="宋体" w:cs="宋体"/>
          <w:spacing w:val="7"/>
          <w:sz w:val="24"/>
          <w:szCs w:val="28"/>
          <w:lang w:val="en-US" w:eastAsia="zh-CN"/>
        </w:rPr>
        <w:t xml:space="preserve"> </w:t>
      </w:r>
      <w:r>
        <w:rPr>
          <w:rFonts w:hint="eastAsia" w:ascii="宋体" w:hAnsi="宋体" w:cs="宋体"/>
          <w:spacing w:val="7"/>
          <w:sz w:val="24"/>
          <w:szCs w:val="28"/>
        </w:rPr>
        <w:t>联系电话：0513-85679264；</w:t>
      </w:r>
    </w:p>
    <w:p w14:paraId="3BCC9261">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联系邮箱：jssyzcglc@ jsbc.edu.cn</w:t>
      </w:r>
    </w:p>
    <w:p w14:paraId="4B4A4447">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2、监督、投诉联系方式</w:t>
      </w:r>
    </w:p>
    <w:p w14:paraId="0337B609">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电话：0513-85679216，联系邮箱：jssyjjjc@163.com.</w:t>
      </w:r>
    </w:p>
    <w:p w14:paraId="24165FE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3、采购代理机构信息</w:t>
      </w:r>
    </w:p>
    <w:p w14:paraId="47D2CEF4">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名称：东方华星建设管理（江苏）有限公司</w:t>
      </w:r>
    </w:p>
    <w:p w14:paraId="60C3A9A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地址：南通市崇川区北大街万科壹中心2402室</w:t>
      </w:r>
    </w:p>
    <w:p w14:paraId="47C06813">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经办人联系方式：王江 15922159523</w:t>
      </w:r>
    </w:p>
    <w:p w14:paraId="2C3A3866">
      <w:pPr>
        <w:spacing w:after="0" w:line="360" w:lineRule="auto"/>
        <w:ind w:firstLine="508" w:firstLineChars="200"/>
        <w:rPr>
          <w:rFonts w:hint="eastAsia" w:ascii="宋体" w:hAnsi="宋体" w:cs="宋体"/>
          <w:spacing w:val="7"/>
          <w:sz w:val="24"/>
          <w:szCs w:val="28"/>
        </w:rPr>
      </w:pPr>
      <w:r>
        <w:rPr>
          <w:rFonts w:hint="eastAsia" w:ascii="宋体" w:hAnsi="宋体" w:cs="宋体"/>
          <w:spacing w:val="7"/>
          <w:sz w:val="24"/>
          <w:szCs w:val="28"/>
        </w:rPr>
        <w:t>邮箱：dfhxnt@126.com</w:t>
      </w:r>
    </w:p>
    <w:p w14:paraId="2D995773">
      <w:pPr>
        <w:pStyle w:val="76"/>
        <w:adjustRightInd w:val="0"/>
        <w:snapToGrid w:val="0"/>
        <w:spacing w:line="360" w:lineRule="auto"/>
        <w:ind w:firstLine="482"/>
        <w:jc w:val="center"/>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第二部分  项目需求</w:t>
      </w:r>
    </w:p>
    <w:p w14:paraId="72F083E4">
      <w:pPr>
        <w:spacing w:after="0" w:line="360" w:lineRule="auto"/>
        <w:ind w:firstLine="480" w:firstLineChars="200"/>
        <w:rPr>
          <w:rFonts w:hint="eastAsia" w:ascii="宋体" w:hAnsi="宋体" w:cs="宋体"/>
          <w:spacing w:val="7"/>
          <w:sz w:val="24"/>
          <w:szCs w:val="28"/>
        </w:rPr>
      </w:pPr>
      <w:r>
        <w:rPr>
          <w:rFonts w:hint="eastAsia" w:ascii="宋体" w:hAnsi="宋体" w:cs="宋体"/>
          <w:sz w:val="24"/>
          <w:szCs w:val="28"/>
        </w:rPr>
        <w:t>采购人江苏商贸职业学院对</w:t>
      </w:r>
      <w:r>
        <w:rPr>
          <w:rFonts w:hint="eastAsia" w:ascii="宋体" w:hAnsi="宋体" w:cs="宋体"/>
          <w:sz w:val="24"/>
          <w:szCs w:val="28"/>
          <w:lang w:eastAsia="zh-CN"/>
        </w:rPr>
        <w:t>江苏商贸职业学院人文学院智慧养老专业2025年零星采购设备项目</w:t>
      </w:r>
      <w:r>
        <w:rPr>
          <w:rFonts w:hint="eastAsia" w:ascii="宋体" w:hAnsi="宋体" w:cs="宋体"/>
          <w:sz w:val="24"/>
          <w:szCs w:val="28"/>
        </w:rPr>
        <w:t>进行采购招标。响应供应商需仔细研读采购文件，以充分了解</w:t>
      </w:r>
      <w:r>
        <w:rPr>
          <w:rFonts w:hint="eastAsia" w:ascii="宋体" w:hAnsi="宋体" w:cs="宋体"/>
          <w:sz w:val="24"/>
          <w:szCs w:val="28"/>
          <w:lang w:val="en-US" w:eastAsia="zh-CN"/>
        </w:rPr>
        <w:t>采购</w:t>
      </w:r>
      <w:r>
        <w:rPr>
          <w:rFonts w:hint="eastAsia" w:ascii="宋体" w:hAnsi="宋体" w:cs="宋体"/>
          <w:sz w:val="24"/>
          <w:szCs w:val="28"/>
        </w:rPr>
        <w:t>人</w:t>
      </w:r>
      <w:r>
        <w:rPr>
          <w:rFonts w:hint="eastAsia" w:ascii="宋体" w:hAnsi="宋体" w:cs="宋体"/>
          <w:sz w:val="24"/>
          <w:szCs w:val="28"/>
          <w:lang w:val="en-US" w:eastAsia="zh-CN"/>
        </w:rPr>
        <w:t>的</w:t>
      </w:r>
      <w:r>
        <w:rPr>
          <w:rFonts w:hint="eastAsia" w:ascii="宋体" w:hAnsi="宋体" w:cs="宋体"/>
          <w:sz w:val="24"/>
          <w:szCs w:val="28"/>
        </w:rPr>
        <w:t>采购需要，作出合理的响应。具体内容如下：</w:t>
      </w:r>
    </w:p>
    <w:p w14:paraId="6C071021">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auto"/>
        <w:ind w:firstLine="482" w:firstLineChars="200"/>
        <w:textAlignment w:val="auto"/>
        <w:outlineLvl w:val="1"/>
        <w:rPr>
          <w:rFonts w:hint="eastAsia" w:ascii="宋体" w:hAnsi="宋体" w:eastAsia="宋体" w:cs="宋体"/>
          <w:b/>
          <w:color w:val="000000" w:themeColor="text1"/>
          <w:kern w:val="0"/>
          <w:sz w:val="24"/>
          <w:szCs w:val="24"/>
          <w:lang w:val="en-US" w:eastAsia="en-US" w:bidi="en-US"/>
          <w14:textFill>
            <w14:solidFill>
              <w14:schemeClr w14:val="tx1"/>
            </w14:solidFill>
          </w14:textFill>
        </w:rPr>
      </w:pPr>
      <w:r>
        <w:rPr>
          <w:rFonts w:hint="eastAsia" w:ascii="宋体" w:hAnsi="宋体" w:eastAsia="宋体" w:cs="宋体"/>
          <w:b/>
          <w:color w:val="000000" w:themeColor="text1"/>
          <w:kern w:val="0"/>
          <w:sz w:val="24"/>
          <w:szCs w:val="24"/>
          <w:lang w:val="en-US" w:eastAsia="en-US" w:bidi="en-US"/>
          <w14:textFill>
            <w14:solidFill>
              <w14:schemeClr w14:val="tx1"/>
            </w14:solidFill>
          </w14:textFill>
        </w:rPr>
        <w:t>项目说明</w:t>
      </w:r>
    </w:p>
    <w:p w14:paraId="6CA40099">
      <w:pPr>
        <w:keepNext w:val="0"/>
        <w:keepLines w:val="0"/>
        <w:pageBreakBefore w:val="0"/>
        <w:widowControl w:val="0"/>
        <w:kinsoku/>
        <w:wordWrap/>
        <w:overflowPunct/>
        <w:topLinePunct w:val="0"/>
        <w:autoSpaceDE/>
        <w:autoSpaceDN/>
        <w:bidi w:val="0"/>
        <w:adjustRightInd w:val="0"/>
        <w:snapToGrid/>
        <w:spacing w:line="360" w:lineRule="auto"/>
        <w:ind w:left="0" w:firstLine="480" w:firstLineChars="200"/>
        <w:textAlignment w:val="auto"/>
        <w:rPr>
          <w:rFonts w:hint="eastAsia" w:ascii="宋体" w:hAnsi="宋体" w:eastAsia="宋体" w:cs="宋体"/>
          <w:b/>
          <w:color w:val="000000" w:themeColor="text1"/>
          <w:kern w:val="0"/>
          <w:sz w:val="24"/>
          <w:szCs w:val="24"/>
          <w:lang w:val="en-US" w:eastAsia="en-US" w:bidi="en-US"/>
          <w14:textFill>
            <w14:solidFill>
              <w14:schemeClr w14:val="tx1"/>
            </w14:solidFill>
          </w14:textFill>
        </w:rPr>
      </w:pPr>
      <w:r>
        <w:rPr>
          <w:rFonts w:hint="eastAsia" w:ascii="宋体" w:hAnsi="宋体" w:eastAsia="宋体" w:cs="宋体"/>
          <w:b w:val="0"/>
          <w:bCs w:val="0"/>
          <w:color w:val="000000"/>
          <w:kern w:val="2"/>
          <w:sz w:val="24"/>
          <w:szCs w:val="24"/>
          <w:lang w:val="en-US" w:eastAsia="zh-CN" w:bidi="ar-SA"/>
        </w:rPr>
        <w:t>下表</w:t>
      </w:r>
      <w:r>
        <w:rPr>
          <w:rFonts w:hint="eastAsia" w:ascii="宋体" w:hAnsi="宋体" w:eastAsia="宋体" w:cs="宋体"/>
          <w:b w:val="0"/>
          <w:bCs w:val="0"/>
          <w:color w:val="000000"/>
          <w:kern w:val="2"/>
          <w:sz w:val="24"/>
          <w:szCs w:val="24"/>
          <w:lang w:val="zh-CN" w:eastAsia="zh-CN" w:bidi="ar-SA"/>
        </w:rPr>
        <w:t>中所列的产品参数</w:t>
      </w:r>
      <w:r>
        <w:rPr>
          <w:rFonts w:hint="eastAsia" w:ascii="宋体" w:hAnsi="宋体" w:eastAsia="宋体" w:cs="宋体"/>
          <w:b w:val="0"/>
          <w:bCs w:val="0"/>
          <w:color w:val="000000"/>
          <w:kern w:val="2"/>
          <w:sz w:val="24"/>
          <w:szCs w:val="24"/>
          <w:lang w:val="en-US" w:eastAsia="zh-CN" w:bidi="ar-SA"/>
        </w:rPr>
        <w:t>及建议品牌</w:t>
      </w:r>
      <w:r>
        <w:rPr>
          <w:rFonts w:hint="eastAsia" w:ascii="宋体" w:hAnsi="宋体" w:eastAsia="宋体" w:cs="宋体"/>
          <w:b w:val="0"/>
          <w:bCs w:val="0"/>
          <w:color w:val="000000"/>
          <w:kern w:val="2"/>
          <w:sz w:val="24"/>
          <w:szCs w:val="24"/>
          <w:lang w:val="zh-CN" w:eastAsia="zh-CN" w:bidi="ar-SA"/>
        </w:rPr>
        <w:t>仅起参考作用，</w:t>
      </w:r>
      <w:r>
        <w:rPr>
          <w:rFonts w:hint="eastAsia" w:ascii="宋体" w:hAnsi="宋体" w:eastAsia="宋体" w:cs="宋体"/>
          <w:b w:val="0"/>
          <w:bCs w:val="0"/>
          <w:color w:val="000000"/>
          <w:kern w:val="2"/>
          <w:sz w:val="24"/>
          <w:szCs w:val="24"/>
          <w:lang w:val="en-US" w:eastAsia="zh-CN" w:bidi="ar-SA"/>
        </w:rPr>
        <w:t>响应</w:t>
      </w:r>
      <w:r>
        <w:rPr>
          <w:rFonts w:hint="eastAsia" w:ascii="宋体" w:hAnsi="宋体" w:eastAsia="宋体" w:cs="宋体"/>
          <w:b w:val="0"/>
          <w:bCs w:val="0"/>
          <w:color w:val="000000"/>
          <w:kern w:val="2"/>
          <w:sz w:val="24"/>
          <w:szCs w:val="24"/>
          <w:lang w:val="zh-CN" w:eastAsia="zh-CN" w:bidi="ar-SA"/>
        </w:rPr>
        <w:t>人可选用其他产品参数</w:t>
      </w:r>
      <w:r>
        <w:rPr>
          <w:rFonts w:hint="eastAsia" w:ascii="宋体" w:hAnsi="宋体" w:eastAsia="宋体" w:cs="宋体"/>
          <w:b w:val="0"/>
          <w:bCs w:val="0"/>
          <w:color w:val="000000"/>
          <w:kern w:val="2"/>
          <w:sz w:val="24"/>
          <w:szCs w:val="24"/>
          <w:lang w:val="en-US" w:eastAsia="zh-CN" w:bidi="ar-SA"/>
        </w:rPr>
        <w:t>或者品牌</w:t>
      </w:r>
      <w:r>
        <w:rPr>
          <w:rFonts w:hint="eastAsia" w:ascii="宋体" w:hAnsi="宋体" w:eastAsia="宋体" w:cs="宋体"/>
          <w:b w:val="0"/>
          <w:bCs w:val="0"/>
          <w:color w:val="000000"/>
          <w:kern w:val="2"/>
          <w:sz w:val="24"/>
          <w:szCs w:val="24"/>
          <w:lang w:val="zh-CN" w:eastAsia="zh-CN" w:bidi="ar-SA"/>
        </w:rPr>
        <w:t>替代，但替代的产品参数</w:t>
      </w:r>
      <w:r>
        <w:rPr>
          <w:rFonts w:hint="eastAsia" w:ascii="宋体" w:hAnsi="宋体" w:eastAsia="宋体" w:cs="宋体"/>
          <w:b w:val="0"/>
          <w:bCs w:val="0"/>
          <w:color w:val="000000"/>
          <w:kern w:val="2"/>
          <w:sz w:val="24"/>
          <w:szCs w:val="24"/>
          <w:lang w:val="en-US" w:eastAsia="zh-CN" w:bidi="ar-SA"/>
        </w:rPr>
        <w:t>及品牌</w:t>
      </w:r>
      <w:r>
        <w:rPr>
          <w:rFonts w:hint="eastAsia" w:ascii="宋体" w:hAnsi="宋体" w:eastAsia="宋体" w:cs="宋体"/>
          <w:b w:val="0"/>
          <w:bCs w:val="0"/>
          <w:color w:val="000000"/>
          <w:kern w:val="2"/>
          <w:sz w:val="24"/>
          <w:szCs w:val="24"/>
          <w:lang w:val="zh-CN" w:eastAsia="zh-CN" w:bidi="ar-SA"/>
        </w:rPr>
        <w:t>在实质性要求和条件上要相当于或优于参考产品参数</w:t>
      </w:r>
      <w:r>
        <w:rPr>
          <w:rFonts w:hint="eastAsia" w:ascii="宋体" w:hAnsi="宋体" w:eastAsia="宋体" w:cs="宋体"/>
          <w:b w:val="0"/>
          <w:bCs w:val="0"/>
          <w:color w:val="000000"/>
          <w:kern w:val="2"/>
          <w:sz w:val="24"/>
          <w:szCs w:val="24"/>
          <w:lang w:val="en-US" w:eastAsia="zh-CN" w:bidi="ar-SA"/>
        </w:rPr>
        <w:t>及建议品牌</w:t>
      </w:r>
      <w:r>
        <w:rPr>
          <w:rFonts w:hint="eastAsia" w:ascii="宋体" w:hAnsi="宋体" w:eastAsia="宋体" w:cs="宋体"/>
          <w:b w:val="0"/>
          <w:bCs w:val="0"/>
          <w:color w:val="000000"/>
          <w:kern w:val="2"/>
          <w:sz w:val="24"/>
          <w:szCs w:val="24"/>
          <w:lang w:val="zh-CN" w:eastAsia="zh-CN" w:bidi="ar-SA"/>
        </w:rPr>
        <w:t>。</w:t>
      </w:r>
    </w:p>
    <w:p w14:paraId="2A7987DF">
      <w:pPr>
        <w:keepNext w:val="0"/>
        <w:keepLines w:val="0"/>
        <w:pageBreakBefore w:val="0"/>
        <w:widowControl w:val="0"/>
        <w:kinsoku/>
        <w:wordWrap/>
        <w:overflowPunct/>
        <w:topLinePunct w:val="0"/>
        <w:autoSpaceDE/>
        <w:autoSpaceDN/>
        <w:bidi w:val="0"/>
        <w:adjustRightInd/>
        <w:snapToGrid w:val="0"/>
        <w:spacing w:after="0" w:line="360" w:lineRule="auto"/>
        <w:ind w:firstLine="482" w:firstLineChars="200"/>
        <w:textAlignment w:val="auto"/>
        <w:rPr>
          <w:rFonts w:hint="eastAsia" w:ascii="宋体" w:hAnsi="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项目需求清单及技术参数</w:t>
      </w:r>
      <w:r>
        <w:rPr>
          <w:rFonts w:hint="eastAsia" w:ascii="宋体" w:hAnsi="宋体" w:cs="宋体"/>
          <w:b/>
          <w:bCs/>
          <w:color w:val="000000" w:themeColor="text1"/>
          <w:sz w:val="24"/>
          <w:szCs w:val="24"/>
          <w:lang w:eastAsia="zh-CN"/>
          <w14:textFill>
            <w14:solidFill>
              <w14:schemeClr w14:val="tx1"/>
            </w14:solidFill>
          </w14:textFill>
        </w:rPr>
        <w:t>：</w:t>
      </w:r>
    </w:p>
    <w:tbl>
      <w:tblPr>
        <w:tblStyle w:val="25"/>
        <w:tblW w:w="93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685"/>
        <w:gridCol w:w="6123"/>
        <w:gridCol w:w="426"/>
        <w:gridCol w:w="426"/>
        <w:gridCol w:w="1307"/>
      </w:tblGrid>
      <w:tr w14:paraId="102F2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393" w:type="dxa"/>
            <w:gridSpan w:val="6"/>
            <w:tcBorders>
              <w:top w:val="nil"/>
              <w:left w:val="nil"/>
              <w:bottom w:val="single" w:color="auto" w:sz="4" w:space="0"/>
              <w:right w:val="nil"/>
            </w:tcBorders>
            <w:shd w:val="clear" w:color="auto" w:fill="auto"/>
            <w:noWrap/>
            <w:vAlign w:val="center"/>
          </w:tcPr>
          <w:p w14:paraId="7738C93C">
            <w:pPr>
              <w:snapToGrid w:val="0"/>
              <w:ind w:left="0" w:leftChars="0" w:right="0" w:rightChars="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4"/>
                <w:szCs w:val="24"/>
                <w:u w:val="none"/>
                <w:lang w:val="en-US" w:eastAsia="zh-CN" w:bidi="ar"/>
              </w:rPr>
              <w:t>江苏商贸智慧养老专业核心课程实训所需设备及材料采购清单</w:t>
            </w:r>
          </w:p>
        </w:tc>
      </w:tr>
      <w:tr w14:paraId="6B86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B8759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68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EDCC5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产品名称</w:t>
            </w:r>
          </w:p>
        </w:tc>
        <w:tc>
          <w:tcPr>
            <w:tcW w:w="61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51B4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参数</w:t>
            </w:r>
          </w:p>
        </w:tc>
        <w:tc>
          <w:tcPr>
            <w:tcW w:w="4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E675B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2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90959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30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9AEB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备注：建议品牌</w:t>
            </w:r>
          </w:p>
        </w:tc>
      </w:tr>
      <w:tr w14:paraId="2DAF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C0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8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电动护理床</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56EC">
            <w:pPr>
              <w:keepNext w:val="0"/>
              <w:keepLines w:val="0"/>
              <w:pageBreakBefore w:val="0"/>
              <w:widowControl/>
              <w:suppressLineNumbers w:val="0"/>
              <w:kinsoku/>
              <w:wordWrap/>
              <w:overflowPunct/>
              <w:topLinePunct w:val="0"/>
              <w:autoSpaceDE/>
              <w:autoSpaceDN/>
              <w:bidi w:val="0"/>
              <w:adjustRightInd w:val="0"/>
              <w:snapToGrid w:val="0"/>
              <w:spacing w:after="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外径尺寸：长:2025mm、宽:1025mm、高:470mm±10mm。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功    能：起背、抬腿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调节角度：背部倾斜角度：0-70°±5°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腿部倾斜角度：0-35°±5°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配置：滑道实木升降护栏、床头床尾三边全实木橡木中间板压缩板，整体方管焊接床面，5寸插式带刹车双面静音轮，8cm床垫（4cm环保棕+4cm高密度海绵）</w:t>
            </w:r>
          </w:p>
          <w:p w14:paraId="45A420A3">
            <w:pPr>
              <w:keepNext w:val="0"/>
              <w:keepLines w:val="0"/>
              <w:pageBreakBefore w:val="0"/>
              <w:widowControl/>
              <w:suppressLineNumbers w:val="0"/>
              <w:kinsoku/>
              <w:wordWrap/>
              <w:overflowPunct/>
              <w:topLinePunct w:val="0"/>
              <w:autoSpaceDE/>
              <w:autoSpaceDN/>
              <w:bidi w:val="0"/>
              <w:adjustRightInd w:val="0"/>
              <w:snapToGrid w:val="0"/>
              <w:spacing w:after="200"/>
              <w:ind w:left="0" w:leftChars="0" w:right="0" w:rightChars="0" w:firstLine="0" w:firstLineChars="0"/>
              <w:jc w:val="left"/>
              <w:textAlignment w:val="center"/>
              <w:rPr>
                <w:rFonts w:hint="eastAsia"/>
              </w:rPr>
            </w:pPr>
            <w:r>
              <w:rPr>
                <w:rFonts w:hint="eastAsia"/>
                <w:sz w:val="21"/>
                <w:szCs w:val="21"/>
              </w:rPr>
              <w:t>体动感知：体重、体位、睡眠、体位转移能力、肌肉力量及衰弱指数监测，提供坠床/跌倒预警、翻身及叩背排痰有效性检测等，为保障设备稳定性，床体和传感器为一体化设计。</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77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8BA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龙芯</w:t>
            </w:r>
            <w:r>
              <w:rPr>
                <w:rFonts w:hint="eastAsia" w:ascii="宋体" w:hAnsi="宋体" w:cs="宋体"/>
                <w:i w:val="0"/>
                <w:iCs w:val="0"/>
                <w:color w:val="000000"/>
                <w:kern w:val="0"/>
                <w:sz w:val="21"/>
                <w:szCs w:val="21"/>
                <w:u w:val="none"/>
                <w:lang w:val="en-US" w:eastAsia="zh-CN" w:bidi="ar"/>
              </w:rPr>
              <w:t>、迈德斯特、丹崧</w:t>
            </w:r>
          </w:p>
        </w:tc>
      </w:tr>
      <w:tr w14:paraId="1FE2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9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E00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床上用品</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B5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纯棉护理床用品五件套，含枕芯、被子</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2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55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E75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九护</w:t>
            </w:r>
            <w:r>
              <w:rPr>
                <w:rFonts w:hint="eastAsia" w:ascii="宋体" w:hAnsi="宋体" w:cs="宋体"/>
                <w:i w:val="0"/>
                <w:iCs w:val="0"/>
                <w:color w:val="000000"/>
                <w:kern w:val="0"/>
                <w:sz w:val="21"/>
                <w:szCs w:val="21"/>
                <w:u w:val="none"/>
                <w:lang w:val="en-US" w:eastAsia="zh-CN" w:bidi="ar"/>
              </w:rPr>
              <w:t>、梦洁、罗莱</w:t>
            </w:r>
          </w:p>
        </w:tc>
      </w:tr>
      <w:tr w14:paraId="4E2C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30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06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床旁椅</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CA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产品采用进口优质橡胶实木材质，外层天然环保木蜡油涂装。结实耐用表面光滑，边角处圆弧设计，符合适老化设计及制作工艺。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尺寸：把手2.6cm厚 尺寸56*53*86cm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1.椅子边角做圆滑处理，手感舒适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2.做易清扫设计，杜绝卫生死角</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00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2C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7E8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伟誉</w:t>
            </w:r>
            <w:r>
              <w:rPr>
                <w:rFonts w:hint="eastAsia" w:ascii="宋体" w:hAnsi="宋体" w:cs="宋体"/>
                <w:i w:val="0"/>
                <w:iCs w:val="0"/>
                <w:color w:val="000000"/>
                <w:kern w:val="0"/>
                <w:sz w:val="21"/>
                <w:szCs w:val="21"/>
                <w:u w:val="none"/>
                <w:lang w:val="en-US" w:eastAsia="zh-CN" w:bidi="ar"/>
              </w:rPr>
              <w:t>、冠泽、舜千</w:t>
            </w:r>
          </w:p>
        </w:tc>
      </w:tr>
      <w:tr w14:paraId="6951D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F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F1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床头柜</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43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一抽屉一柜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1.床头柜尺寸：400*400*600mm(人工测量稍有误差）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2.整体柜采用颗粒板打造，优质板材加工制作木纹清晰纹理细腻。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3.容量大，使用方便。</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64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2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7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伟誉</w:t>
            </w:r>
            <w:r>
              <w:rPr>
                <w:rFonts w:hint="eastAsia" w:ascii="宋体" w:hAnsi="宋体" w:cs="宋体"/>
                <w:i w:val="0"/>
                <w:iCs w:val="0"/>
                <w:color w:val="000000"/>
                <w:kern w:val="0"/>
                <w:sz w:val="21"/>
                <w:szCs w:val="21"/>
                <w:u w:val="none"/>
                <w:lang w:val="en-US" w:eastAsia="zh-CN" w:bidi="ar"/>
              </w:rPr>
              <w:t>、冠泽、舜千</w:t>
            </w:r>
          </w:p>
        </w:tc>
      </w:tr>
      <w:tr w14:paraId="163D7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4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67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治疗车</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1B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产品尺寸：70*550*1000mm；双抽屉</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C5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84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AB6E">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华仁</w:t>
            </w:r>
            <w:r>
              <w:rPr>
                <w:rFonts w:hint="eastAsia" w:ascii="宋体" w:hAnsi="宋体" w:cs="宋体"/>
                <w:i w:val="0"/>
                <w:iCs w:val="0"/>
                <w:color w:val="000000"/>
                <w:kern w:val="0"/>
                <w:sz w:val="21"/>
                <w:szCs w:val="21"/>
                <w:u w:val="none"/>
                <w:lang w:val="en-US" w:eastAsia="zh-CN" w:bidi="ar"/>
              </w:rPr>
              <w:t>、丹崧、罗脉</w:t>
            </w:r>
          </w:p>
        </w:tc>
      </w:tr>
      <w:tr w14:paraId="41BC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C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8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全功能护理人训练模型（男性）</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61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1、模拟瞳孔：一侧为正常瞳孔，一侧为散大瞳孔，可进行临床示教。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2、基础护理功能：洗头，洗脸，眼、耳清洗，口腔护理，假牙护理。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3、气管切开护理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4、吸氧疗法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5、鼻饲法：插入45-55cm时，可以通过抽出模拟胃液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6、造瘘口护理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7、胸腔、腰椎穿刺（无液体）临床示教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8、手臂静脉穿刺，注射，输液（输血）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9、三角肌皮下注射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10、股外侧肌、臀部肌肉注射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11、男性导尿术，膀胱冲洗术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模型人可取仰卧屈膝位，两腿外展后可独立支撑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男性阴茎可提起与腹壁成60度角，插管时可真实感受男性尿道的三个狭窄、两个弯曲，真实尿道长度（18—20cm）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导尿成功后可导出模拟尿液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12、灌肠法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13、整体护理：四肢关节可活动，可进行擦浴，穿换衣服，冷热疗法等操作。</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08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6C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A7C0">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人卫</w:t>
            </w:r>
            <w:r>
              <w:rPr>
                <w:rFonts w:hint="eastAsia" w:ascii="宋体" w:hAnsi="宋体" w:cs="宋体"/>
                <w:i w:val="0"/>
                <w:iCs w:val="0"/>
                <w:color w:val="000000"/>
                <w:kern w:val="0"/>
                <w:sz w:val="21"/>
                <w:szCs w:val="21"/>
                <w:u w:val="none"/>
                <w:lang w:val="en-US" w:eastAsia="zh-CN" w:bidi="ar"/>
              </w:rPr>
              <w:t>、医博士、医士康</w:t>
            </w:r>
          </w:p>
        </w:tc>
      </w:tr>
      <w:tr w14:paraId="550C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B7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A1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海姆立克训练马甲</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D4D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窒息急救、实训穿戴马甲：意外窒息意味着丢掉生命！防窒息急救教育和实训的时候，穿戴在学员身上，针对异物造成的呼吸气道堵塞状况时，练习腹部按压（即海姆立克手法），做出正确步骤处理，挤出堵塞气道异物（异物塞），直观的教学模式给学员带来自信和应用实效。模拟者可采用站姿、坐姿、用教具或借助柜台、桌椅，实习体验窒息自救、急救、达到救人一命的教学目的。</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F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8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7588">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人卫</w:t>
            </w:r>
            <w:r>
              <w:rPr>
                <w:rFonts w:hint="eastAsia" w:ascii="宋体" w:hAnsi="宋体" w:cs="宋体"/>
                <w:i w:val="0"/>
                <w:iCs w:val="0"/>
                <w:color w:val="000000"/>
                <w:kern w:val="0"/>
                <w:sz w:val="21"/>
                <w:szCs w:val="21"/>
                <w:u w:val="none"/>
                <w:lang w:val="en-US" w:eastAsia="zh-CN" w:bidi="ar"/>
              </w:rPr>
              <w:t>、柏舟科教、欣曼科教</w:t>
            </w:r>
          </w:p>
        </w:tc>
      </w:tr>
      <w:tr w14:paraId="48DA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69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56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AED训练机</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92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品牌切换 覆盖飞利浦、迈瑞、鱼跃、科曼、久心等10+品牌，可自由切换，替代传统单品牌训练局限，省10倍预算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反馈功能 蓝牙连接CPR按压反馈设备，动态显示按压深度、频率、回弹等参数，实时反馈训练准确性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系统配置 智能安卓系统，支持安装/更新各品牌训练APP，赠送专业模拟软件，系统可扩展“不会过时”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场景模拟 采用医用级电极片设计，还原真机操作全流程，训练效率提升10倍，适用于多种环境</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DE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91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35F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心速援</w:t>
            </w:r>
            <w:r>
              <w:rPr>
                <w:rFonts w:hint="eastAsia" w:ascii="宋体" w:hAnsi="宋体" w:cs="宋体"/>
                <w:i w:val="0"/>
                <w:iCs w:val="0"/>
                <w:color w:val="000000"/>
                <w:kern w:val="0"/>
                <w:sz w:val="21"/>
                <w:szCs w:val="21"/>
                <w:u w:val="none"/>
                <w:lang w:val="en-US" w:eastAsia="zh-CN" w:bidi="ar"/>
              </w:rPr>
              <w:t>、讯丰通、博友</w:t>
            </w:r>
          </w:p>
        </w:tc>
      </w:tr>
      <w:tr w14:paraId="10A5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0B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2D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高龄模拟套装</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0FA0">
            <w:pPr>
              <w:keepNext w:val="0"/>
              <w:keepLines w:val="0"/>
              <w:widowControl/>
              <w:numPr>
                <w:ilvl w:val="0"/>
                <w:numId w:val="3"/>
              </w:numPr>
              <w:suppressLineNumbers w:val="0"/>
              <w:snapToGrid w:val="0"/>
              <w:ind w:left="0" w:leftChars="0" w:right="0" w:righ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负重装置参数模块</w:t>
            </w:r>
          </w:p>
          <w:p w14:paraId="0219DEE3">
            <w:pPr>
              <w:keepNext w:val="0"/>
              <w:keepLines w:val="0"/>
              <w:widowControl/>
              <w:numPr>
                <w:ilvl w:val="0"/>
                <w:numId w:val="0"/>
              </w:numPr>
              <w:suppressLineNumbers w:val="0"/>
              <w:snapToGrid w:val="0"/>
              <w:ind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a.负重背心背部有印logo（高龄模拟体验）起到一种警示作用，负量可以在5kg内自由调节。当年老的时候身体会有身体沉重感、平衡感、体力不足。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b.戴上脚腕（2～2.2kg）、手腕（0.5～0.7kg）负重感受腿部与手臂肌力减弱、负重的感觉。主要材质1.负重背心材质采用牛津布 海绵，绒布，钢板。采用拉链式设计方便穿戴，可以调节尼龙魔术贴，方便让更多人可以体验，防脱口袋让钢板不会掉出来。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2.模拟手、脚腕负重沙袋材质采用弹性面料，优质铁砂丸，强力魔术贴，方便穿戴。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关节限制套模块：会让手指不灵活、关节不灵活、手不好弯曲、脚不好弯曲，减缓老人的动作迟缓。主要材质1.模拟膝部约束套材质主要采用OK面料，优质莱卡包边，4根定制不锈钢弹簧线粗1.2～1.4mm，宽度1.5～1.7cm，尼龙魔术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2.模拟肘部约束带材质主要采用OK面料，优质莱卡包边，2根定制不锈钢弹簧1.2～1.4mm，宽度1.5～1.7cmm，尼龙魔术贴等。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3.手约束带采用OK面料，魔术贴，钢板。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眼镜模拟模块：可以体验因眼疾引起的视觉改变、视线模糊、视野减小等症状。可以体验白内障特有的浑浊的视野（低度白浊1张、中度白浊2张、高度白浊3张）。根据症状也会出现黄色的情况，在这种情况下，在白浊镜片上放上黄色的镜片一起模拟体验。视野全盲和视野狭窄。白内障模拟眼镜是国产，一个塑料眼镜框架+可以旋转镜头+左右各4张可以更换的镜片，材质：塑料；镜片颜色：3张白色、1张黄色。眼镜可以旋转镜头，更换镜片。眼镜大致尺寸：长19cm～20cm*宽8cm～9cm；眼镜重量约：120g～122g。4.听力损失模拟装置：作用就是减小声音，模拟老人听觉不好的效果。主要材质：采用电绝缘头带，乳胶海绵弹性十足与高密度海绵耳垫，可旋转可调节活动区，降噪值：SNR不少于37d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5.模拟驼背身体前倾带：可以根据体格不同调节束带的前倾角度，体验各种不同程度的驼背状态。主要材质：身体前倾带单侧长度110～112cm，采用扁平细毛绒、织带、不抓毛尼龙A级魔术贴，调节最大高度小于110cm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6.折叠拐杖：支撑不听使唤身体的用具，体验者可以体验到它的安全效果。主要材质：采用铝合金主杆，厚度1.2～1.4mm，双重橡胶线，优质橡筋耐用，五档调节高度，磨砂橡胶防滑脚垫，实木手柄，承重不小于100kg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7.收纳袋：用于收纳高龄者模拟体验设备配件，携带方便，轻巧。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8.体验道具模块：可以用于通过简单互动游戏来感受老年人生活行为不易。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1个穿鞋板+10个彩色杯子+1套用餐道具。含模拟用餐道具一套（盘子，筷子 ，仿真实物：大米 肉 玉米 黄豆等）穿鞋板一套 模拟体验穿鞋带，10个小杯子方便盛仿真实物，或者进行叠杯子。</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4E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E8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B70B">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龙芯</w:t>
            </w:r>
            <w:r>
              <w:rPr>
                <w:rFonts w:hint="eastAsia" w:ascii="宋体" w:hAnsi="宋体" w:cs="宋体"/>
                <w:i w:val="0"/>
                <w:iCs w:val="0"/>
                <w:color w:val="000000"/>
                <w:kern w:val="0"/>
                <w:sz w:val="21"/>
                <w:szCs w:val="21"/>
                <w:u w:val="none"/>
                <w:lang w:val="en-US" w:eastAsia="zh-CN" w:bidi="ar"/>
              </w:rPr>
              <w:t>、欣曼科教、宸博科教</w:t>
            </w:r>
          </w:p>
        </w:tc>
      </w:tr>
      <w:tr w14:paraId="22D6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64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BF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防压疮模型</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98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阶段的压疮类型，分别为：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第1期：淤血红润期；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第2期：炎症浸润期；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第3期：浅度溃疡期；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第4期：坏死溃疡期。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2、显示错综复杂的褥疮类型：窦、瘘、腐痂、褥疮感染、骨头暴露、焦痂、缝合的伤口、疮疹和念珠菌感染。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3、模型共显示了12个特征：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特征1：左侧坐骨压疮，第1期皮肤红肿；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特征2：左侧股骨大转子压疮，第2期炎症浸润呈紫红色，露出疮面；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特征3：右侧股骨大转子压疮，第3期浅度溃疡，破溃，黄色脓液渗出伴有感染；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特征4：骶骨压疮，第4期坏死溃疡，坏死组织发黑、发臭深达骨面、骨头暴露；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特征5：压疮伴有瘘管；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特征6：压疮伴有窦道；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特征7：压疮伴有腐肉；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特征8：右侧坐骨压疮焦痂；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特征9：肛瘘；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特征10：肛门皱襞周围念珠菌感染；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特征11：左侧臀沟皮肤疱疹；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特征12：右侧臀部皮肤切口缝合。</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25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D8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55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人卫</w:t>
            </w:r>
            <w:r>
              <w:rPr>
                <w:rFonts w:hint="eastAsia" w:ascii="宋体" w:hAnsi="宋体" w:cs="宋体"/>
                <w:i w:val="0"/>
                <w:iCs w:val="0"/>
                <w:color w:val="000000"/>
                <w:kern w:val="0"/>
                <w:sz w:val="21"/>
                <w:szCs w:val="21"/>
                <w:u w:val="none"/>
                <w:lang w:val="en-US" w:eastAsia="zh-CN" w:bidi="ar"/>
              </w:rPr>
              <w:t>、欣曼科教、宸博科教</w:t>
            </w:r>
          </w:p>
        </w:tc>
      </w:tr>
      <w:tr w14:paraId="526E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98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A8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口腔模型</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CD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PVC材料，带舌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1、模型造型逼真，为放大三倍的牙齿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2、解剖结构精确，包括：腭、牙龈、上牙弓、下牙弓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3、可示范如可正确的清洁牙齿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4、可练习口腔护理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5、可活动金属杆可以调节口腔的大小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6、下颌底部装有平衡支撑脚垫</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0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7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943F">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人卫</w:t>
            </w:r>
            <w:r>
              <w:rPr>
                <w:rFonts w:hint="eastAsia" w:ascii="宋体" w:hAnsi="宋体" w:cs="宋体"/>
                <w:i w:val="0"/>
                <w:iCs w:val="0"/>
                <w:color w:val="000000"/>
                <w:kern w:val="0"/>
                <w:sz w:val="21"/>
                <w:szCs w:val="21"/>
                <w:u w:val="none"/>
                <w:lang w:val="en-US" w:eastAsia="zh-CN" w:bidi="ar"/>
              </w:rPr>
              <w:t>、医博士、康人</w:t>
            </w:r>
          </w:p>
        </w:tc>
      </w:tr>
      <w:tr w14:paraId="792B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13D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97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鼻饲管与气管护理模型</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7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1、该模型模拟成年男性上半身结构，可进行各种基础护理操作，可通过鼻腔和口腔进行病人呼吸气道管理与胃部的各项护理技术训练。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2、可进行各种护理操作：洗脸，眼耳的滴药、清洗，口腔护理，氧气吸入疗法，鼻胃管放置，气管切开护理，气管吸痰处理。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3、可模拟颈动脉搏动</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20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F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799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人卫</w:t>
            </w:r>
            <w:r>
              <w:rPr>
                <w:rFonts w:hint="eastAsia" w:ascii="宋体" w:hAnsi="宋体" w:cs="宋体"/>
                <w:i w:val="0"/>
                <w:iCs w:val="0"/>
                <w:color w:val="000000"/>
                <w:kern w:val="0"/>
                <w:sz w:val="21"/>
                <w:szCs w:val="21"/>
                <w:u w:val="none"/>
                <w:lang w:val="en-US" w:eastAsia="zh-CN" w:bidi="ar"/>
              </w:rPr>
              <w:t>、康人、欣曼科教</w:t>
            </w:r>
          </w:p>
        </w:tc>
      </w:tr>
      <w:tr w14:paraId="5B0FA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72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6D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臂式血压计</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D5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测量方法:示波法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压力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0mmHg~295mmHg(0.0kPa~39.3kPa) 脉搏率 :(40~199)次/分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允许误差压力:士3mmHg(+0.4kPa)、脉搏率士5%工作电压:3.7V _(可充电鲤电池)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记忆功能:可储存双人 120 组数据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工作环境温度:5°C~40°C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相对湿度 15%~80%RH ;大气压力范围 80kPa~105kPa;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贮存运输环境温度 : -20°C-55C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93%RH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大气压力范围 :70kPa~106kPa;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测量臂围:22cm - 32cm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数据通信:支持蓝牙 、支持 4G 无线通信按防电击类型分类:内部电源设备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按防电击的程度分类:具有 BF 型应用部分按对进液的防护程度分类:IP22按运行模式分类:连续运行设备</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1F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59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CD3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辰浩</w:t>
            </w:r>
            <w:r>
              <w:rPr>
                <w:rFonts w:hint="eastAsia" w:ascii="宋体" w:hAnsi="宋体" w:cs="宋体"/>
                <w:i w:val="0"/>
                <w:iCs w:val="0"/>
                <w:color w:val="000000"/>
                <w:kern w:val="0"/>
                <w:sz w:val="21"/>
                <w:szCs w:val="21"/>
                <w:u w:val="none"/>
                <w:lang w:val="en-US" w:eastAsia="zh-CN" w:bidi="ar"/>
              </w:rPr>
              <w:t>、欧姆龙、鱼跃</w:t>
            </w:r>
          </w:p>
        </w:tc>
      </w:tr>
      <w:tr w14:paraId="6606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71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33B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电子体温器</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B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测量模式 额温+物温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测量距离 lcm-3cm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温度测量范围 32.0°C~43.0°C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温度分辨率 0.1°C/0.1°F</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操作环境：温度:16℃℃~35°℃ 相对湿度:&lt;85%RH 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压:70kPa~106kPa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运输和贮存环境 温度:-20°C~+55°C 相对湿度:&lt;93%RH</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气压:50kPa~106kPa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记忆组数 32 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 DC3.0V(2 节 AAA 电池）</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05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73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CE51">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辰浩</w:t>
            </w:r>
            <w:r>
              <w:rPr>
                <w:rFonts w:hint="eastAsia" w:ascii="宋体" w:hAnsi="宋体" w:cs="宋体"/>
                <w:i w:val="0"/>
                <w:iCs w:val="0"/>
                <w:color w:val="000000"/>
                <w:kern w:val="0"/>
                <w:sz w:val="21"/>
                <w:szCs w:val="21"/>
                <w:u w:val="none"/>
                <w:lang w:val="en-US" w:eastAsia="zh-CN" w:bidi="ar"/>
              </w:rPr>
              <w:t>、欧姆龙、鱼跃</w:t>
            </w:r>
          </w:p>
        </w:tc>
      </w:tr>
      <w:tr w14:paraId="42E6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C3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49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血糖仪</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6F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检测范围 0.6-33.3mmol/L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血样类型：新鲜毛细血管全血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血样量 1μL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记忆组数：200组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检测时间：8s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自动关机：15 秒~3 分钟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校正标准：血浆校正</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65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87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76E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微泰</w:t>
            </w:r>
            <w:r>
              <w:rPr>
                <w:rFonts w:hint="eastAsia" w:ascii="宋体" w:hAnsi="宋体" w:cs="宋体"/>
                <w:i w:val="0"/>
                <w:iCs w:val="0"/>
                <w:color w:val="000000"/>
                <w:kern w:val="0"/>
                <w:sz w:val="21"/>
                <w:szCs w:val="21"/>
                <w:u w:val="none"/>
                <w:lang w:val="en-US" w:eastAsia="zh-CN" w:bidi="ar"/>
              </w:rPr>
              <w:t>、强生、罗氏</w:t>
            </w:r>
          </w:p>
        </w:tc>
      </w:tr>
      <w:tr w14:paraId="03848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4B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05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血氧仪</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55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测量范围：35%～100%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最大平均光输出功率：≤2mW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测量误差：在 70%～100%范围内，测量误差为±2%（%为脉搏氧饱和度和百分比）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准确度 ：70%～100%测量范围内小于 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脉率测量误差 ：30～250bpm</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73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79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72C3">
            <w:pPr>
              <w:keepNext w:val="0"/>
              <w:keepLines w:val="0"/>
              <w:widowControl/>
              <w:suppressLineNumbers w:val="0"/>
              <w:snapToGrid w:val="0"/>
              <w:ind w:left="0" w:leftChars="0" w:right="0" w:rightChars="0" w:firstLine="0" w:firstLineChars="0"/>
              <w:jc w:val="left"/>
              <w:textAlignment w:val="center"/>
              <w:rPr>
                <w:rFonts w:hint="default"/>
                <w:lang w:val="en-US"/>
              </w:rPr>
            </w:pPr>
            <w:r>
              <w:rPr>
                <w:rFonts w:hint="eastAsia" w:ascii="宋体" w:hAnsi="宋体" w:eastAsia="宋体" w:cs="宋体"/>
                <w:i w:val="0"/>
                <w:iCs w:val="0"/>
                <w:color w:val="000000"/>
                <w:kern w:val="0"/>
                <w:sz w:val="21"/>
                <w:szCs w:val="21"/>
                <w:u w:val="none"/>
                <w:lang w:val="en-US" w:eastAsia="zh-CN" w:bidi="ar"/>
              </w:rPr>
              <w:t>健奥</w:t>
            </w:r>
            <w:r>
              <w:rPr>
                <w:rFonts w:hint="eastAsia" w:ascii="宋体" w:hAnsi="宋体" w:cs="宋体"/>
                <w:i w:val="0"/>
                <w:iCs w:val="0"/>
                <w:color w:val="000000"/>
                <w:kern w:val="0"/>
                <w:sz w:val="21"/>
                <w:szCs w:val="21"/>
                <w:u w:val="none"/>
                <w:lang w:val="en-US" w:eastAsia="zh-CN" w:bidi="ar"/>
              </w:rPr>
              <w:t>、鱼跃、康泰</w:t>
            </w:r>
          </w:p>
        </w:tc>
      </w:tr>
      <w:tr w14:paraId="32FF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86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EE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制氧雾化一体机</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9B4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制氧+雾化一体机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产品型号：WY401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电源：220V  50Hz</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流量范围：1-9L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输入功率：130W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氧气浓度：≥90%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工作制  连续运行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净重  5.2kg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处理方式  7级过滤系统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产品体积  280*200*312mm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配置遥控器，吸氧面罩1个、雾化面罩1个，附赠一套过滤棉、密封圈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制氧雾化一体机，智能语音播报提示，稳定制取高氧浓度，流量1-9升可调节，智能定时，自由设定吸氧时间，适合更多人群使用</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1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2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D57F">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伟誉</w:t>
            </w:r>
            <w:r>
              <w:rPr>
                <w:rFonts w:hint="eastAsia" w:ascii="宋体" w:hAnsi="宋体" w:cs="宋体"/>
                <w:i w:val="0"/>
                <w:iCs w:val="0"/>
                <w:color w:val="000000"/>
                <w:kern w:val="0"/>
                <w:sz w:val="21"/>
                <w:szCs w:val="21"/>
                <w:u w:val="none"/>
                <w:lang w:val="en-US" w:eastAsia="zh-CN" w:bidi="ar"/>
              </w:rPr>
              <w:t>、鱼跃、欧姆龙</w:t>
            </w:r>
          </w:p>
        </w:tc>
      </w:tr>
      <w:tr w14:paraId="27C9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77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30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负压引流器</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57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核心性能参数：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型号：7A23D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产品名称：电动吸引器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电机功率：120VA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抽气速率：&gt;20L/min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极限负压值：&gt;0.08Map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负压调节范围：0.02Mpa至极限负压值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吸引泵：活塞泵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噪声：&lt;60dB（A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尺寸与重量参数：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外形尺寸：360×320×480mm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包装尺寸：455×400×565mm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包装数量：1台/件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毛重/净重：17/15.5KG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附件清单：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电源线1根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脚踏开关1只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腹腔吸引管1支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熔丝管（RF1Φ5×20×20A）2只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空气过滤器2只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吸引软导管（两米）1根</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5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4E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BCD1">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鱼跃</w:t>
            </w:r>
            <w:r>
              <w:rPr>
                <w:rFonts w:hint="eastAsia" w:ascii="宋体" w:hAnsi="宋体" w:cs="宋体"/>
                <w:i w:val="0"/>
                <w:iCs w:val="0"/>
                <w:color w:val="000000"/>
                <w:kern w:val="0"/>
                <w:sz w:val="21"/>
                <w:szCs w:val="21"/>
                <w:u w:val="none"/>
                <w:lang w:val="en-US" w:eastAsia="zh-CN" w:bidi="ar"/>
              </w:rPr>
              <w:t>、永宁、维斯第</w:t>
            </w:r>
          </w:p>
        </w:tc>
      </w:tr>
      <w:tr w14:paraId="373C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F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86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视力表灯箱</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2AC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力评估测试以在光线充足条件的环境下，能否辨别影像的能力。可佩戴日常使用的眼镜来进行测试。若双眼单均不能达到标准，可采用双眼同视测试。阿姆斯勒视力测试表作为辅助初步判断仗着是否患有老化、青光眼、白内障、黄斑病变、飞蚊症等老年人常见眼疾，并据此提出就医建议。</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9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49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D23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可孚</w:t>
            </w:r>
            <w:r>
              <w:rPr>
                <w:rFonts w:hint="eastAsia" w:ascii="宋体" w:hAnsi="宋体" w:cs="宋体"/>
                <w:i w:val="0"/>
                <w:iCs w:val="0"/>
                <w:color w:val="000000"/>
                <w:kern w:val="0"/>
                <w:sz w:val="21"/>
                <w:szCs w:val="21"/>
                <w:u w:val="none"/>
                <w:lang w:val="en-US" w:eastAsia="zh-CN" w:bidi="ar"/>
              </w:rPr>
              <w:t>、星康、汉魏康</w:t>
            </w:r>
          </w:p>
        </w:tc>
      </w:tr>
      <w:tr w14:paraId="7F66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5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E5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音叉</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25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听力检测，操作简便，医用级别</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D2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58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10563">
            <w:pPr>
              <w:keepNext w:val="0"/>
              <w:keepLines w:val="0"/>
              <w:widowControl/>
              <w:suppressLineNumbers w:val="0"/>
              <w:snapToGrid w:val="0"/>
              <w:ind w:left="0" w:leftChars="0" w:right="0" w:rightChars="0" w:firstLine="0" w:firstLineChars="0"/>
              <w:jc w:val="left"/>
              <w:textAlignment w:val="center"/>
              <w:rPr>
                <w:rFonts w:hint="default"/>
                <w:lang w:val="en-US"/>
              </w:rPr>
            </w:pPr>
            <w:r>
              <w:rPr>
                <w:rFonts w:hint="eastAsia" w:ascii="宋体" w:hAnsi="宋体" w:eastAsia="宋体" w:cs="宋体"/>
                <w:i w:val="0"/>
                <w:iCs w:val="0"/>
                <w:color w:val="000000"/>
                <w:kern w:val="0"/>
                <w:sz w:val="21"/>
                <w:szCs w:val="21"/>
                <w:u w:val="none"/>
                <w:lang w:val="en-US" w:eastAsia="zh-CN" w:bidi="ar"/>
              </w:rPr>
              <w:t>今康</w:t>
            </w:r>
            <w:r>
              <w:rPr>
                <w:rFonts w:hint="eastAsia" w:ascii="宋体" w:hAnsi="宋体" w:cs="宋体"/>
                <w:i w:val="0"/>
                <w:iCs w:val="0"/>
                <w:color w:val="000000"/>
                <w:kern w:val="0"/>
                <w:sz w:val="21"/>
                <w:szCs w:val="21"/>
                <w:u w:val="none"/>
                <w:lang w:val="en-US" w:eastAsia="zh-CN" w:bidi="ar"/>
              </w:rPr>
              <w:t>、百耀科教、易太新科教</w:t>
            </w:r>
          </w:p>
        </w:tc>
      </w:tr>
      <w:tr w14:paraId="31E1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B7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16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起居评估展板</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70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穿衣辅助杆、穿扣器、拉链辅助器、穿脱袜器、万能旋物器、折叠取物器、辅助挂板60cm*100cm</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EC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91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0C52">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福康怡乐</w:t>
            </w:r>
            <w:r>
              <w:rPr>
                <w:rFonts w:hint="eastAsia" w:ascii="宋体" w:hAnsi="宋体" w:cs="宋体"/>
                <w:i w:val="0"/>
                <w:iCs w:val="0"/>
                <w:color w:val="000000"/>
                <w:kern w:val="0"/>
                <w:sz w:val="21"/>
                <w:szCs w:val="21"/>
                <w:u w:val="none"/>
                <w:lang w:val="en-US" w:eastAsia="zh-CN" w:bidi="ar"/>
              </w:rPr>
              <w:t>、灵康医疗、</w:t>
            </w:r>
            <w:r>
              <w:rPr>
                <w:rFonts w:hint="eastAsia" w:ascii="宋体" w:hAnsi="宋体" w:eastAsia="宋体" w:cs="宋体"/>
                <w:i w:val="0"/>
                <w:iCs w:val="0"/>
                <w:color w:val="000000"/>
                <w:kern w:val="0"/>
                <w:sz w:val="21"/>
                <w:szCs w:val="21"/>
                <w:u w:val="none"/>
                <w:lang w:val="en-US" w:eastAsia="zh-CN" w:bidi="ar"/>
              </w:rPr>
              <w:t>伟誉</w:t>
            </w:r>
          </w:p>
        </w:tc>
      </w:tr>
      <w:tr w14:paraId="10DF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8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1F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饮食评估展板</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4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辅助筷子、防抖勺子、防洒碗、防洒盘子、辅助叉子、辅助挂板60cm*100cm等</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3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CD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AD2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伟誉</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福康怡乐</w:t>
            </w:r>
            <w:r>
              <w:rPr>
                <w:rFonts w:hint="eastAsia" w:ascii="宋体" w:hAnsi="宋体" w:cs="宋体"/>
                <w:i w:val="0"/>
                <w:iCs w:val="0"/>
                <w:color w:val="000000"/>
                <w:kern w:val="0"/>
                <w:sz w:val="21"/>
                <w:szCs w:val="21"/>
                <w:u w:val="none"/>
                <w:lang w:val="en-US" w:eastAsia="zh-CN" w:bidi="ar"/>
              </w:rPr>
              <w:t>、灵康医疗</w:t>
            </w:r>
          </w:p>
        </w:tc>
      </w:tr>
      <w:tr w14:paraId="770F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28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4F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洗漱评估展板</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F88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粗柄梳、记忆成人牙刷、长柄梳、弯柄擦背刷、柱状长柄刷、辅助挂板60cm*100cm</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2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14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E5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福康怡乐</w:t>
            </w:r>
            <w:r>
              <w:rPr>
                <w:rFonts w:hint="eastAsia" w:ascii="宋体" w:hAnsi="宋体" w:cs="宋体"/>
                <w:i w:val="0"/>
                <w:iCs w:val="0"/>
                <w:color w:val="000000"/>
                <w:kern w:val="0"/>
                <w:sz w:val="21"/>
                <w:szCs w:val="21"/>
                <w:u w:val="none"/>
                <w:lang w:val="en-US" w:eastAsia="zh-CN" w:bidi="ar"/>
              </w:rPr>
              <w:t>、灵康医疗、</w:t>
            </w:r>
            <w:r>
              <w:rPr>
                <w:rFonts w:hint="eastAsia" w:ascii="宋体" w:hAnsi="宋体" w:eastAsia="宋体" w:cs="宋体"/>
                <w:i w:val="0"/>
                <w:iCs w:val="0"/>
                <w:color w:val="000000"/>
                <w:kern w:val="0"/>
                <w:sz w:val="21"/>
                <w:szCs w:val="21"/>
                <w:u w:val="none"/>
                <w:lang w:val="en-US" w:eastAsia="zh-CN" w:bidi="ar"/>
              </w:rPr>
              <w:t>伟誉</w:t>
            </w:r>
          </w:p>
        </w:tc>
      </w:tr>
      <w:tr w14:paraId="04DC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5C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FB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角度尺</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F0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结构型式：脊椎角度尺、肢体角度尺（大）、肢体角度尺（中）、肢体角度尺（小）、手指角度尺、箱体；材质：ABS；外形尺寸/㎝：34×17×5；测量器具共5件适用于脊椎、上肢、下肢、手指等关节活动度测量。</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FC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F7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FC7D">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博创</w:t>
            </w:r>
            <w:r>
              <w:rPr>
                <w:rFonts w:hint="eastAsia" w:ascii="宋体" w:hAnsi="宋体" w:cs="宋体"/>
                <w:i w:val="0"/>
                <w:iCs w:val="0"/>
                <w:color w:val="000000"/>
                <w:kern w:val="0"/>
                <w:sz w:val="21"/>
                <w:szCs w:val="21"/>
                <w:u w:val="none"/>
                <w:lang w:val="en-US" w:eastAsia="zh-CN" w:bidi="ar"/>
              </w:rPr>
              <w:t>、钱璟康复、迪普</w:t>
            </w:r>
          </w:p>
        </w:tc>
      </w:tr>
      <w:tr w14:paraId="120E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AB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F3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握力计（机械式）</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13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测力范围：0~1000牛顿（0~100公斤）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刻 度 值：10牛顿（N）（1公斤）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精    度：±3%</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指针显示，用于测试、训练手指抓握力</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D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4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9F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博创</w:t>
            </w:r>
            <w:r>
              <w:rPr>
                <w:rFonts w:hint="eastAsia" w:ascii="宋体" w:hAnsi="宋体" w:cs="宋体"/>
                <w:i w:val="0"/>
                <w:iCs w:val="0"/>
                <w:color w:val="000000"/>
                <w:kern w:val="0"/>
                <w:sz w:val="21"/>
                <w:szCs w:val="21"/>
                <w:u w:val="none"/>
                <w:lang w:val="en-US" w:eastAsia="zh-CN" w:bidi="ar"/>
              </w:rPr>
              <w:t>、钱璟康复、迪普</w:t>
            </w:r>
          </w:p>
        </w:tc>
      </w:tr>
      <w:tr w14:paraId="3461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E7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33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简易上肢功能评估器</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67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规格：42×41×10cm，检测工具一套，秒表1个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网球303P   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中球       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大木方     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中木方     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木圆板     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小木方     5个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人革布     6张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金属圆片   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小钢球     6个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钢棍       6根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对上肢能力、运动速度进行客观的检测，判断上肢功能受限程度</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28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29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532E">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博创</w:t>
            </w:r>
            <w:r>
              <w:rPr>
                <w:rFonts w:hint="eastAsia" w:ascii="宋体" w:hAnsi="宋体" w:cs="宋体"/>
                <w:i w:val="0"/>
                <w:iCs w:val="0"/>
                <w:color w:val="000000"/>
                <w:kern w:val="0"/>
                <w:sz w:val="21"/>
                <w:szCs w:val="21"/>
                <w:u w:val="none"/>
                <w:lang w:val="en-US" w:eastAsia="zh-CN" w:bidi="ar"/>
              </w:rPr>
              <w:t>、钱璟康复、建本医疗</w:t>
            </w:r>
          </w:p>
        </w:tc>
      </w:tr>
      <w:tr w14:paraId="1700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6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93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步行贴纸</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DB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材质：PVC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用于测试不步行功能</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DE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84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E59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鹿凌清</w:t>
            </w:r>
            <w:r>
              <w:rPr>
                <w:rFonts w:hint="eastAsia" w:ascii="宋体" w:hAnsi="宋体" w:cs="宋体"/>
                <w:i w:val="0"/>
                <w:iCs w:val="0"/>
                <w:color w:val="000000"/>
                <w:kern w:val="0"/>
                <w:sz w:val="21"/>
                <w:szCs w:val="21"/>
                <w:u w:val="none"/>
                <w:lang w:val="en-US" w:eastAsia="zh-CN" w:bidi="ar"/>
              </w:rPr>
              <w:t>、杰开扬、壹达顺</w:t>
            </w:r>
          </w:p>
        </w:tc>
      </w:tr>
      <w:tr w14:paraId="52F5A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D0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59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训练用扶梯（二面）</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27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材质：不锈钢管扶手、密度板、地毯、静电喷塑架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结构型式： 扶手杠、固定管柱、阶梯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扶手杠调节范围（cm）：0-25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扶手杠侧向额定载荷(kg)：≥70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梯面高度：10㎝、11㎝、12㎝,深28cm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阶梯额定载荷(kg)： ≥135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参考规格(cm)：337×83×120～147</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5B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8F11">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博创</w:t>
            </w:r>
            <w:r>
              <w:rPr>
                <w:rFonts w:hint="eastAsia" w:ascii="宋体" w:hAnsi="宋体" w:cs="宋体"/>
                <w:i w:val="0"/>
                <w:iCs w:val="0"/>
                <w:color w:val="000000"/>
                <w:kern w:val="0"/>
                <w:sz w:val="21"/>
                <w:szCs w:val="21"/>
                <w:u w:val="none"/>
                <w:lang w:val="en-US" w:eastAsia="zh-CN" w:bidi="ar"/>
              </w:rPr>
              <w:t>、仟璟康复、亚菲医疗</w:t>
            </w:r>
          </w:p>
        </w:tc>
      </w:tr>
      <w:tr w14:paraId="5DE3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8A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6E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轮椅</w:t>
            </w:r>
          </w:p>
        </w:tc>
        <w:tc>
          <w:tcPr>
            <w:tcW w:w="61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0D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1.产品符合 GB/T13800-2009《手动轮椅车》国家标准；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2.车架：由Ф22mm*2.0mm铝合金焊接组合成型，采用固定式扶手，固定式脚托，锁紧装置可靠，安全性能好，表面氧化处理；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3.前轮：360度万向7寸轴承款实心前轮，配一体冲压成型铝合金拐臂，强度高不变形，配置优质碗轴承。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4.后轮：24寸铝合金轮毂实心胎，配置手轮圈。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5.刹车：前后都有刹车，驻车采用钢制肘节式刹车装置，刹车装置制动后低于座位面，方便使用者上下车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6.座靠垫：采用蜂窝坐垫，透气舒适，缝边牢固整齐；扶手：采用皮革软扶手垫。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7.护板：选用pp护板。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8.脚踏板：配置铝合金脚踏板，脚踏板高度可调，脚踏板可开合。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9.安全带：座位配有按扣安全带。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10.配有护腿带，防止小腿后移，更加安全。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11.规格：折叠宽度 26cm，座位深度 42cm，座位宽度 45cm，座位离地面高度47cm；轮椅尺寸（CM)：长103*宽68*高89。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12.承重：100KG；</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49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88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2A13">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龙芯</w:t>
            </w:r>
            <w:r>
              <w:rPr>
                <w:rFonts w:hint="eastAsia" w:ascii="宋体" w:hAnsi="宋体" w:cs="宋体"/>
                <w:i w:val="0"/>
                <w:iCs w:val="0"/>
                <w:color w:val="000000"/>
                <w:kern w:val="0"/>
                <w:sz w:val="21"/>
                <w:szCs w:val="21"/>
                <w:u w:val="none"/>
                <w:lang w:val="en-US" w:eastAsia="zh-CN" w:bidi="ar"/>
              </w:rPr>
              <w:t>、丹崧、好为康</w:t>
            </w:r>
          </w:p>
        </w:tc>
      </w:tr>
      <w:tr w14:paraId="293A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BFF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B9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助行器</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CE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单弯助行器*1、双弯助行器*1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3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AE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FE8C">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龙芯</w:t>
            </w:r>
            <w:r>
              <w:rPr>
                <w:rFonts w:hint="eastAsia" w:ascii="宋体" w:hAnsi="宋体" w:cs="宋体"/>
                <w:i w:val="0"/>
                <w:iCs w:val="0"/>
                <w:color w:val="000000"/>
                <w:kern w:val="0"/>
                <w:sz w:val="21"/>
                <w:szCs w:val="21"/>
                <w:u w:val="none"/>
                <w:lang w:val="en-US" w:eastAsia="zh-CN" w:bidi="ar"/>
              </w:rPr>
              <w:t>、丹崧、鱼跃</w:t>
            </w:r>
          </w:p>
        </w:tc>
      </w:tr>
      <w:tr w14:paraId="0AE5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8C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9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拐杖</w:t>
            </w:r>
          </w:p>
        </w:tc>
        <w:tc>
          <w:tcPr>
            <w:tcW w:w="61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0A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手杖*1、四角拐杖*1、腋杖*1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DB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689B">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龙芯</w:t>
            </w:r>
            <w:r>
              <w:rPr>
                <w:rFonts w:hint="eastAsia" w:ascii="宋体" w:hAnsi="宋体" w:cs="宋体"/>
                <w:i w:val="0"/>
                <w:iCs w:val="0"/>
                <w:color w:val="000000"/>
                <w:kern w:val="0"/>
                <w:sz w:val="21"/>
                <w:szCs w:val="21"/>
                <w:u w:val="none"/>
                <w:lang w:val="en-US" w:eastAsia="zh-CN" w:bidi="ar"/>
              </w:rPr>
              <w:t>、丹崧、鱼跃</w:t>
            </w:r>
          </w:p>
        </w:tc>
      </w:tr>
    </w:tbl>
    <w:p w14:paraId="72B06578">
      <w:pPr>
        <w:bidi w:val="0"/>
        <w:rPr>
          <w:rFonts w:hint="eastAsia"/>
          <w:b/>
          <w:bCs/>
          <w:sz w:val="24"/>
          <w:szCs w:val="24"/>
        </w:rPr>
      </w:pPr>
      <w:r>
        <w:rPr>
          <w:rFonts w:hint="eastAsia"/>
          <w:b/>
          <w:bCs/>
          <w:sz w:val="24"/>
          <w:szCs w:val="24"/>
          <w:lang w:val="en-US" w:eastAsia="zh-CN"/>
        </w:rPr>
        <w:t>二、</w:t>
      </w:r>
      <w:r>
        <w:rPr>
          <w:rFonts w:hint="eastAsia"/>
          <w:b/>
          <w:bCs/>
          <w:sz w:val="24"/>
          <w:szCs w:val="24"/>
        </w:rPr>
        <w:t>商务需求</w:t>
      </w:r>
    </w:p>
    <w:p w14:paraId="7726A31A">
      <w:pPr>
        <w:bidi w:val="0"/>
        <w:rPr>
          <w:sz w:val="24"/>
          <w:szCs w:val="24"/>
        </w:rPr>
      </w:pPr>
      <w:bookmarkStart w:id="0" w:name="_Toc13223601"/>
      <w:bookmarkStart w:id="1" w:name="_Toc13223696"/>
      <w:r>
        <w:rPr>
          <w:rFonts w:hint="eastAsia"/>
          <w:sz w:val="24"/>
          <w:szCs w:val="24"/>
        </w:rPr>
        <w:t>（一）完工期及交货地点</w:t>
      </w:r>
      <w:bookmarkEnd w:id="0"/>
      <w:bookmarkEnd w:id="1"/>
    </w:p>
    <w:p w14:paraId="7199AD40">
      <w:pPr>
        <w:bidi w:val="0"/>
        <w:rPr>
          <w:sz w:val="24"/>
          <w:szCs w:val="24"/>
        </w:rPr>
      </w:pPr>
      <w:r>
        <w:rPr>
          <w:rFonts w:hint="eastAsia"/>
          <w:sz w:val="24"/>
          <w:szCs w:val="24"/>
        </w:rPr>
        <w:t xml:space="preserve">完工期：合同签订生效之日起 </w:t>
      </w:r>
      <w:r>
        <w:rPr>
          <w:rFonts w:hint="eastAsia"/>
          <w:sz w:val="24"/>
          <w:szCs w:val="24"/>
          <w:lang w:val="en-US" w:eastAsia="zh-CN"/>
        </w:rPr>
        <w:t>10</w:t>
      </w:r>
      <w:r>
        <w:rPr>
          <w:rFonts w:hint="eastAsia"/>
          <w:sz w:val="24"/>
          <w:szCs w:val="24"/>
        </w:rPr>
        <w:t xml:space="preserve"> 日内完成供货、安装、调试、验收合格。</w:t>
      </w:r>
    </w:p>
    <w:p w14:paraId="0F8B505E">
      <w:pPr>
        <w:bidi w:val="0"/>
        <w:rPr>
          <w:sz w:val="24"/>
          <w:szCs w:val="24"/>
        </w:rPr>
      </w:pPr>
      <w:r>
        <w:rPr>
          <w:rFonts w:hint="eastAsia"/>
          <w:sz w:val="24"/>
          <w:szCs w:val="24"/>
        </w:rPr>
        <w:t>交货地点：采购人指定地点，运送所产生的所有费用由</w:t>
      </w:r>
      <w:r>
        <w:rPr>
          <w:rFonts w:hint="eastAsia"/>
          <w:sz w:val="24"/>
          <w:szCs w:val="24"/>
          <w:lang w:eastAsia="zh-CN"/>
        </w:rPr>
        <w:t>成交人</w:t>
      </w:r>
      <w:r>
        <w:rPr>
          <w:rFonts w:hint="eastAsia"/>
          <w:sz w:val="24"/>
          <w:szCs w:val="24"/>
        </w:rPr>
        <w:t>承担。</w:t>
      </w:r>
    </w:p>
    <w:p w14:paraId="35238532">
      <w:pPr>
        <w:bidi w:val="0"/>
        <w:rPr>
          <w:sz w:val="24"/>
          <w:szCs w:val="24"/>
        </w:rPr>
      </w:pPr>
      <w:bookmarkStart w:id="2" w:name="_Toc13223602"/>
      <w:bookmarkStart w:id="3" w:name="_Toc13223697"/>
      <w:r>
        <w:rPr>
          <w:rFonts w:hint="eastAsia"/>
          <w:sz w:val="24"/>
          <w:szCs w:val="24"/>
        </w:rPr>
        <w:t>（二）质量要求</w:t>
      </w:r>
      <w:bookmarkEnd w:id="2"/>
      <w:bookmarkEnd w:id="3"/>
    </w:p>
    <w:p w14:paraId="51C2FED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1.所有产品必须是厂商原装、全新的产品，符合国家及该产品的出厂标准、安全标准及环保标准。</w:t>
      </w:r>
    </w:p>
    <w:p w14:paraId="5C1ED72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2.设备外观清洁，标记编号以及盘面显示等字体清晰，明确。</w:t>
      </w:r>
    </w:p>
    <w:p w14:paraId="63A0005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3.对于影响设备正常工作的必要组成部分，无论在技术规范中指出与否，报价人都应提供在响应文件中明确列出。</w:t>
      </w:r>
    </w:p>
    <w:p w14:paraId="639987C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4.</w:t>
      </w:r>
      <w:r>
        <w:rPr>
          <w:rFonts w:hint="eastAsia"/>
          <w:sz w:val="24"/>
          <w:szCs w:val="24"/>
          <w:lang w:val="en-US" w:eastAsia="zh-CN"/>
        </w:rPr>
        <w:t>成交后</w:t>
      </w:r>
      <w:r>
        <w:rPr>
          <w:rFonts w:hint="eastAsia"/>
          <w:sz w:val="24"/>
          <w:szCs w:val="24"/>
        </w:rPr>
        <w:t>所有产品、设备提供出厂合格证等质量证明文件。</w:t>
      </w:r>
    </w:p>
    <w:p w14:paraId="368A5EA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5.所提供的产品必须是在中国范围内合法销售，原装、全新、并完全符合采购人要求的产品。</w:t>
      </w:r>
    </w:p>
    <w:p w14:paraId="0D70ECF6">
      <w:pPr>
        <w:bidi w:val="0"/>
        <w:rPr>
          <w:sz w:val="24"/>
          <w:szCs w:val="24"/>
        </w:rPr>
      </w:pPr>
      <w:bookmarkStart w:id="4" w:name="_Toc13223698"/>
      <w:bookmarkStart w:id="5" w:name="_Toc13223603"/>
      <w:r>
        <w:rPr>
          <w:rFonts w:hint="eastAsia"/>
          <w:sz w:val="24"/>
          <w:szCs w:val="24"/>
        </w:rPr>
        <w:t>（三）包装、设备安装调试、培训要求</w:t>
      </w:r>
      <w:bookmarkEnd w:id="4"/>
      <w:bookmarkEnd w:id="5"/>
    </w:p>
    <w:p w14:paraId="0E73C90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1.包装要求</w:t>
      </w:r>
    </w:p>
    <w:p w14:paraId="301192A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（1）由</w:t>
      </w:r>
      <w:r>
        <w:rPr>
          <w:rFonts w:hint="eastAsia"/>
          <w:sz w:val="24"/>
          <w:szCs w:val="24"/>
          <w:lang w:eastAsia="zh-CN"/>
        </w:rPr>
        <w:t>成交人</w:t>
      </w:r>
      <w:r>
        <w:rPr>
          <w:rFonts w:hint="eastAsia"/>
          <w:sz w:val="24"/>
          <w:szCs w:val="24"/>
        </w:rPr>
        <w:t>负责按国家相关标准进行货物包装，货物的包装均应有良好的防湿、防锈、防潮、防雨、防腐及防碰撞的措施，并适宜南通的气候条件。凡由于包装不良造成的损失和由此产生的费用均由</w:t>
      </w:r>
      <w:r>
        <w:rPr>
          <w:rFonts w:hint="eastAsia"/>
          <w:sz w:val="24"/>
          <w:szCs w:val="24"/>
          <w:lang w:eastAsia="zh-CN"/>
        </w:rPr>
        <w:t>成交人</w:t>
      </w:r>
      <w:r>
        <w:rPr>
          <w:rFonts w:hint="eastAsia"/>
          <w:sz w:val="24"/>
          <w:szCs w:val="24"/>
        </w:rPr>
        <w:t>承担。</w:t>
      </w:r>
    </w:p>
    <w:p w14:paraId="61C7A08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（2）所有货物在开箱检验时必须完好，无破损，配置与装箱单相符。货物外观清洁，标记编号以及等字体清晰、明确。</w:t>
      </w:r>
    </w:p>
    <w:p w14:paraId="17857FE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2.设备安装调试</w:t>
      </w:r>
    </w:p>
    <w:p w14:paraId="12B2ED5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（1）</w:t>
      </w:r>
      <w:r>
        <w:rPr>
          <w:rFonts w:hint="eastAsia"/>
          <w:sz w:val="24"/>
          <w:szCs w:val="24"/>
          <w:lang w:eastAsia="zh-CN"/>
        </w:rPr>
        <w:t>成交人</w:t>
      </w:r>
      <w:r>
        <w:rPr>
          <w:rFonts w:hint="eastAsia"/>
          <w:sz w:val="24"/>
          <w:szCs w:val="24"/>
        </w:rPr>
        <w:t>负责全部设备的安装调试工作，并负责保证整个安装工作的质量和技术指标符合技术要求。</w:t>
      </w:r>
    </w:p>
    <w:p w14:paraId="1E4A3F7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（2）</w:t>
      </w:r>
      <w:r>
        <w:rPr>
          <w:rFonts w:hint="eastAsia"/>
          <w:sz w:val="24"/>
          <w:szCs w:val="24"/>
          <w:lang w:eastAsia="zh-CN"/>
        </w:rPr>
        <w:t>成交人</w:t>
      </w:r>
      <w:r>
        <w:rPr>
          <w:rFonts w:hint="eastAsia"/>
          <w:sz w:val="24"/>
          <w:szCs w:val="24"/>
        </w:rPr>
        <w:t>在货物安装期间应遵守相关规定，设备内部和外接线路的供电要符合安全标准，加强保护和防漏电措施。</w:t>
      </w:r>
    </w:p>
    <w:p w14:paraId="44A0468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（3）在安装和配套服务的实施中，如果需要办理报批、报建手续的，</w:t>
      </w:r>
      <w:r>
        <w:rPr>
          <w:rFonts w:hint="eastAsia"/>
          <w:sz w:val="24"/>
          <w:szCs w:val="24"/>
          <w:lang w:eastAsia="zh-CN"/>
        </w:rPr>
        <w:t>成交人</w:t>
      </w:r>
      <w:r>
        <w:rPr>
          <w:rFonts w:hint="eastAsia"/>
          <w:sz w:val="24"/>
          <w:szCs w:val="24"/>
        </w:rPr>
        <w:t>应协助办理，相关费用由采购人负担。</w:t>
      </w:r>
    </w:p>
    <w:p w14:paraId="640BBD3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（4）本项目使用的所有材料必须按照</w:t>
      </w:r>
      <w:r>
        <w:rPr>
          <w:rFonts w:hint="eastAsia"/>
          <w:sz w:val="24"/>
          <w:szCs w:val="24"/>
          <w:lang w:eastAsia="zh-CN"/>
        </w:rPr>
        <w:t>成交人</w:t>
      </w:r>
      <w:r>
        <w:rPr>
          <w:rFonts w:hint="eastAsia"/>
          <w:sz w:val="24"/>
          <w:szCs w:val="24"/>
        </w:rPr>
        <w:t>的</w:t>
      </w:r>
      <w:r>
        <w:rPr>
          <w:rFonts w:hint="eastAsia"/>
          <w:sz w:val="24"/>
          <w:szCs w:val="24"/>
          <w:lang w:val="en-US" w:eastAsia="zh-CN"/>
        </w:rPr>
        <w:t>响应</w:t>
      </w:r>
      <w:r>
        <w:rPr>
          <w:rFonts w:hint="eastAsia"/>
          <w:sz w:val="24"/>
          <w:szCs w:val="24"/>
        </w:rPr>
        <w:t>文件执行，</w:t>
      </w:r>
      <w:r>
        <w:rPr>
          <w:rFonts w:hint="eastAsia"/>
          <w:sz w:val="24"/>
          <w:szCs w:val="24"/>
          <w:lang w:eastAsia="zh-CN"/>
        </w:rPr>
        <w:t>成交人</w:t>
      </w:r>
      <w:r>
        <w:rPr>
          <w:rFonts w:hint="eastAsia"/>
          <w:sz w:val="24"/>
          <w:szCs w:val="24"/>
        </w:rPr>
        <w:t>需更换材料或</w:t>
      </w:r>
      <w:r>
        <w:rPr>
          <w:rFonts w:hint="eastAsia"/>
          <w:sz w:val="24"/>
          <w:szCs w:val="24"/>
          <w:lang w:val="en-US" w:eastAsia="zh-CN"/>
        </w:rPr>
        <w:t>响应</w:t>
      </w:r>
      <w:r>
        <w:rPr>
          <w:rFonts w:hint="eastAsia"/>
          <w:sz w:val="24"/>
          <w:szCs w:val="24"/>
        </w:rPr>
        <w:t>文件及采购文件没有规定的材料，</w:t>
      </w:r>
      <w:r>
        <w:rPr>
          <w:rFonts w:hint="eastAsia"/>
          <w:sz w:val="24"/>
          <w:szCs w:val="24"/>
          <w:lang w:eastAsia="zh-CN"/>
        </w:rPr>
        <w:t>成交人</w:t>
      </w:r>
      <w:r>
        <w:rPr>
          <w:rFonts w:hint="eastAsia"/>
          <w:sz w:val="24"/>
          <w:szCs w:val="24"/>
        </w:rPr>
        <w:t>须经采购人书面确认才可予以更换及采用，并按照国家检测标准要求进行验收。</w:t>
      </w:r>
    </w:p>
    <w:p w14:paraId="25A736B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（5）根据设计的修改和现场的实际情况，采购人可在不违反国家有关法规的前提下对</w:t>
      </w:r>
      <w:r>
        <w:rPr>
          <w:rFonts w:hint="eastAsia"/>
          <w:sz w:val="24"/>
          <w:szCs w:val="24"/>
          <w:lang w:val="en-US" w:eastAsia="zh-CN"/>
        </w:rPr>
        <w:t>成交</w:t>
      </w:r>
      <w:r>
        <w:rPr>
          <w:rFonts w:hint="eastAsia"/>
          <w:sz w:val="24"/>
          <w:szCs w:val="24"/>
        </w:rPr>
        <w:t>货物（规格、数量、外型尺寸等）作出适当的调整，并以双方签署的有关文件为依据。</w:t>
      </w:r>
    </w:p>
    <w:p w14:paraId="3435D9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（6）所有含电源线的设备必须符合国家安全规范，电源线应得到足够保护和位置固定，有相关防漏电的措施。</w:t>
      </w:r>
    </w:p>
    <w:p w14:paraId="3861EFE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3.培训</w:t>
      </w:r>
    </w:p>
    <w:p w14:paraId="1C00D44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rFonts w:hint="eastAsia"/>
          <w:sz w:val="24"/>
          <w:szCs w:val="24"/>
          <w:lang w:eastAsia="zh-CN"/>
        </w:rPr>
        <w:t>成交人</w:t>
      </w:r>
      <w:r>
        <w:rPr>
          <w:rFonts w:hint="eastAsia"/>
          <w:sz w:val="24"/>
          <w:szCs w:val="24"/>
        </w:rPr>
        <w:t>应派技术人员对采购人单位设备使用人员进行培训，使其熟练掌握所有设备的操作使用和简易维护。培训工作的完成需经采购人的认可方可结束。</w:t>
      </w:r>
      <w:bookmarkStart w:id="6" w:name="_Toc13223699"/>
      <w:bookmarkStart w:id="7" w:name="_Toc13223604"/>
    </w:p>
    <w:p w14:paraId="286D6B6E">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（四）验收要求</w:t>
      </w:r>
      <w:bookmarkEnd w:id="6"/>
      <w:bookmarkEnd w:id="7"/>
    </w:p>
    <w:p w14:paraId="3E1FE2E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1.验收的标准按照国内、国际最新相关标准实施。</w:t>
      </w:r>
    </w:p>
    <w:p w14:paraId="4131892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2.验收内容由</w:t>
      </w:r>
      <w:r>
        <w:rPr>
          <w:rFonts w:hint="eastAsia"/>
          <w:sz w:val="24"/>
          <w:szCs w:val="24"/>
          <w:lang w:eastAsia="zh-CN"/>
        </w:rPr>
        <w:t>成交人</w:t>
      </w:r>
      <w:r>
        <w:rPr>
          <w:rFonts w:hint="eastAsia"/>
          <w:sz w:val="24"/>
          <w:szCs w:val="24"/>
        </w:rPr>
        <w:t>给出具体的验收计划、测试的内容和方法，并得到采购人的认可，方可进行验收测试。</w:t>
      </w:r>
    </w:p>
    <w:p w14:paraId="37A60BD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3.验收测试的过程和结果必须详细记录，测试中如发现设备性能指标或功能上不符合相关要求时，将被看作性能不合格，采购人有权拒收并要求赔偿。</w:t>
      </w:r>
    </w:p>
    <w:p w14:paraId="2E41C30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4.技术文件和资料：所有设备必须提供培训资料及电子版使用说明书、操作手册、维护手册、合格证明书、装箱单、保修单等技术文件和资料。</w:t>
      </w:r>
    </w:p>
    <w:p w14:paraId="0A1D904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5.如果合同货物运输和安装调试过程中因事故造成货物短缺、损坏，</w:t>
      </w:r>
      <w:r>
        <w:rPr>
          <w:rFonts w:hint="eastAsia"/>
          <w:sz w:val="24"/>
          <w:szCs w:val="24"/>
          <w:lang w:eastAsia="zh-CN"/>
        </w:rPr>
        <w:t>成交人</w:t>
      </w:r>
      <w:r>
        <w:rPr>
          <w:rFonts w:hint="eastAsia"/>
          <w:sz w:val="24"/>
          <w:szCs w:val="24"/>
        </w:rPr>
        <w:t>应及时安排换货，以保证合同货物成功完整交付。换货的相关费用由</w:t>
      </w:r>
      <w:r>
        <w:rPr>
          <w:rFonts w:hint="eastAsia"/>
          <w:sz w:val="24"/>
          <w:szCs w:val="24"/>
          <w:lang w:eastAsia="zh-CN"/>
        </w:rPr>
        <w:t>成交人</w:t>
      </w:r>
      <w:r>
        <w:rPr>
          <w:rFonts w:hint="eastAsia"/>
          <w:sz w:val="24"/>
          <w:szCs w:val="24"/>
        </w:rPr>
        <w:t>承担。</w:t>
      </w:r>
    </w:p>
    <w:p w14:paraId="5E25BF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bookmarkStart w:id="8" w:name="_Toc13223700"/>
      <w:bookmarkStart w:id="9" w:name="_Toc13223605"/>
      <w:r>
        <w:rPr>
          <w:rFonts w:hint="eastAsia"/>
          <w:sz w:val="24"/>
          <w:szCs w:val="24"/>
        </w:rPr>
        <w:t>（五）质保期</w:t>
      </w:r>
      <w:bookmarkEnd w:id="8"/>
      <w:bookmarkEnd w:id="9"/>
    </w:p>
    <w:p w14:paraId="371F2D9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为货物从验收合格之日起</w:t>
      </w:r>
      <w:r>
        <w:rPr>
          <w:rFonts w:hint="eastAsia"/>
          <w:sz w:val="24"/>
          <w:szCs w:val="24"/>
          <w:lang w:val="en-US" w:eastAsia="zh-CN"/>
        </w:rPr>
        <w:t>3</w:t>
      </w:r>
      <w:r>
        <w:rPr>
          <w:rFonts w:hint="eastAsia"/>
          <w:sz w:val="24"/>
          <w:szCs w:val="24"/>
        </w:rPr>
        <w:t>年。在质保期内因</w:t>
      </w:r>
      <w:r>
        <w:rPr>
          <w:rFonts w:hint="eastAsia"/>
          <w:sz w:val="24"/>
          <w:szCs w:val="24"/>
          <w:lang w:eastAsia="zh-CN"/>
        </w:rPr>
        <w:t>成交人</w:t>
      </w:r>
      <w:r>
        <w:rPr>
          <w:rFonts w:hint="eastAsia"/>
          <w:sz w:val="24"/>
          <w:szCs w:val="24"/>
        </w:rPr>
        <w:t>责任而产生的质量问题，由其负责无偿返修。不能维修的，整件免费更换。由于采购人人为原因造成的损坏</w:t>
      </w:r>
      <w:r>
        <w:rPr>
          <w:rFonts w:hint="eastAsia"/>
          <w:sz w:val="24"/>
          <w:szCs w:val="24"/>
          <w:lang w:eastAsia="zh-CN"/>
        </w:rPr>
        <w:t>成交人</w:t>
      </w:r>
      <w:r>
        <w:rPr>
          <w:rFonts w:hint="eastAsia"/>
          <w:sz w:val="24"/>
          <w:szCs w:val="24"/>
        </w:rPr>
        <w:t>只收配件费不收人工费。</w:t>
      </w:r>
    </w:p>
    <w:p w14:paraId="77660D2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bookmarkStart w:id="10" w:name="_Toc13223701"/>
      <w:bookmarkStart w:id="11" w:name="_Toc13223606"/>
      <w:r>
        <w:rPr>
          <w:rFonts w:hint="eastAsia"/>
          <w:sz w:val="24"/>
          <w:szCs w:val="24"/>
        </w:rPr>
        <w:t>（六）售后服务要求</w:t>
      </w:r>
      <w:bookmarkEnd w:id="10"/>
      <w:bookmarkEnd w:id="11"/>
    </w:p>
    <w:p w14:paraId="68CF7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rFonts w:hint="eastAsia"/>
          <w:sz w:val="24"/>
          <w:szCs w:val="24"/>
        </w:rPr>
        <w:t>质保期内</w:t>
      </w:r>
      <w:r>
        <w:rPr>
          <w:rFonts w:hint="eastAsia"/>
          <w:sz w:val="24"/>
          <w:szCs w:val="24"/>
          <w:lang w:eastAsia="zh-CN"/>
        </w:rPr>
        <w:t>成交人</w:t>
      </w:r>
      <w:r>
        <w:rPr>
          <w:rFonts w:hint="eastAsia"/>
          <w:sz w:val="24"/>
          <w:szCs w:val="24"/>
        </w:rPr>
        <w:t>提供免费上门服务，在质保期内设置7×24小时技术支持热线电话（固话或手机）。如电话响应无法解决，则</w:t>
      </w:r>
      <w:r>
        <w:rPr>
          <w:sz w:val="24"/>
          <w:szCs w:val="24"/>
        </w:rPr>
        <w:t>12</w:t>
      </w:r>
      <w:r>
        <w:rPr>
          <w:rFonts w:hint="eastAsia"/>
          <w:sz w:val="24"/>
          <w:szCs w:val="24"/>
        </w:rPr>
        <w:t>小时内到达现场，24小时内修复完成；如果设备故障在检修24小时后仍无法排除，</w:t>
      </w:r>
      <w:r>
        <w:rPr>
          <w:rFonts w:hint="eastAsia"/>
          <w:sz w:val="24"/>
          <w:szCs w:val="24"/>
          <w:lang w:eastAsia="zh-CN"/>
        </w:rPr>
        <w:t>成交人</w:t>
      </w:r>
      <w:r>
        <w:rPr>
          <w:rFonts w:hint="eastAsia"/>
          <w:sz w:val="24"/>
          <w:szCs w:val="24"/>
        </w:rPr>
        <w:t>应在此后48小时内提供不低于故障设备规格型号档次的备用设备供采购人使用，直至故障设备修复。</w:t>
      </w:r>
      <w:r>
        <w:rPr>
          <w:rFonts w:hint="eastAsia"/>
          <w:sz w:val="24"/>
          <w:szCs w:val="24"/>
          <w:lang w:eastAsia="zh-CN"/>
        </w:rPr>
        <w:t>成交人</w:t>
      </w:r>
      <w:r>
        <w:rPr>
          <w:rFonts w:hint="eastAsia"/>
          <w:sz w:val="24"/>
          <w:szCs w:val="24"/>
        </w:rPr>
        <w:t>未按上述规定解决故障的，采购人可采取必要的补救措施，但风险和费用全部由</w:t>
      </w:r>
      <w:r>
        <w:rPr>
          <w:rFonts w:hint="eastAsia"/>
          <w:sz w:val="24"/>
          <w:szCs w:val="24"/>
          <w:lang w:eastAsia="zh-CN"/>
        </w:rPr>
        <w:t>成交人</w:t>
      </w:r>
      <w:r>
        <w:rPr>
          <w:rFonts w:hint="eastAsia"/>
          <w:sz w:val="24"/>
          <w:szCs w:val="24"/>
        </w:rPr>
        <w:t>承担。</w:t>
      </w:r>
    </w:p>
    <w:p w14:paraId="438D748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七</w:t>
      </w:r>
      <w:r>
        <w:rPr>
          <w:rFonts w:hint="eastAsia"/>
          <w:sz w:val="24"/>
          <w:szCs w:val="24"/>
          <w:lang w:eastAsia="zh-CN"/>
        </w:rPr>
        <w:t>）</w:t>
      </w:r>
      <w:r>
        <w:rPr>
          <w:rFonts w:hint="eastAsia"/>
          <w:sz w:val="24"/>
          <w:szCs w:val="24"/>
        </w:rPr>
        <w:t>采购标的付款方式</w:t>
      </w:r>
    </w:p>
    <w:p w14:paraId="5DC51A33">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sz w:val="24"/>
          <w:szCs w:val="24"/>
        </w:rPr>
        <w:t>1</w:t>
      </w:r>
      <w:r>
        <w:rPr>
          <w:rFonts w:hint="eastAsia"/>
          <w:sz w:val="24"/>
          <w:szCs w:val="24"/>
        </w:rPr>
        <w:t>.付款方式：</w:t>
      </w:r>
    </w:p>
    <w:p w14:paraId="72F4166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rFonts w:hint="eastAsia"/>
          <w:sz w:val="24"/>
          <w:szCs w:val="24"/>
        </w:rPr>
        <w:t xml:space="preserve"> 第一笔款项（</w:t>
      </w:r>
      <w:r>
        <w:rPr>
          <w:rFonts w:hint="eastAsia"/>
          <w:sz w:val="24"/>
          <w:szCs w:val="24"/>
          <w:lang w:val="en-US" w:eastAsia="zh-CN"/>
        </w:rPr>
        <w:t>90</w:t>
      </w:r>
      <w:r>
        <w:rPr>
          <w:rFonts w:hint="eastAsia"/>
          <w:sz w:val="24"/>
          <w:szCs w:val="24"/>
        </w:rPr>
        <w:t>%）：项目所有设备完成供货、安装调试，并通过采购人组织的最终验收（含功能测试、培训效果验证）后15个工作日内，收到供应商开具的全额发票后支付；</w:t>
      </w:r>
    </w:p>
    <w:p w14:paraId="5E32D43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rFonts w:hint="eastAsia"/>
          <w:sz w:val="24"/>
          <w:szCs w:val="24"/>
        </w:rPr>
        <w:t>第二笔款项（</w:t>
      </w:r>
      <w:r>
        <w:rPr>
          <w:rFonts w:hint="eastAsia"/>
          <w:sz w:val="24"/>
          <w:szCs w:val="24"/>
          <w:lang w:val="en-US" w:eastAsia="zh-CN"/>
        </w:rPr>
        <w:t>5</w:t>
      </w:r>
      <w:r>
        <w:rPr>
          <w:rFonts w:hint="eastAsia"/>
          <w:sz w:val="24"/>
          <w:szCs w:val="24"/>
        </w:rPr>
        <w:t>%）：待项目整体运行满6个月且无任何质量问题后支付；</w:t>
      </w:r>
    </w:p>
    <w:p w14:paraId="1FB4EBF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rFonts w:hint="eastAsia"/>
          <w:sz w:val="24"/>
          <w:szCs w:val="24"/>
        </w:rPr>
        <w:t>第三笔款项（5%）：待项目整体验收合格满3年质保期，且质保期内设备无重大质量问题、售后服务符合约定后15个工作日内无息支付。</w:t>
      </w:r>
    </w:p>
    <w:p w14:paraId="66C9EEF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以上付款均不计利息。由采购单位按相关财务支付规定办理支付手续。不得故意拖延支付时间。</w:t>
      </w:r>
    </w:p>
    <w:p w14:paraId="58E83F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lang w:eastAsia="zh-CN"/>
        </w:rPr>
        <w:t>（</w:t>
      </w:r>
      <w:r>
        <w:rPr>
          <w:rFonts w:hint="eastAsia"/>
          <w:sz w:val="24"/>
          <w:szCs w:val="24"/>
          <w:lang w:val="en-US" w:eastAsia="zh-CN"/>
        </w:rPr>
        <w:t>八</w:t>
      </w:r>
      <w:r>
        <w:rPr>
          <w:rFonts w:hint="eastAsia"/>
          <w:sz w:val="24"/>
          <w:szCs w:val="24"/>
          <w:lang w:eastAsia="zh-CN"/>
        </w:rPr>
        <w:t>）</w:t>
      </w:r>
      <w:r>
        <w:rPr>
          <w:rFonts w:hint="eastAsia"/>
          <w:sz w:val="24"/>
          <w:szCs w:val="24"/>
        </w:rPr>
        <w:t>履约保证金</w:t>
      </w:r>
    </w:p>
    <w:p w14:paraId="7CC4203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1.本项目</w:t>
      </w:r>
      <w:r>
        <w:rPr>
          <w:rFonts w:hint="eastAsia"/>
          <w:sz w:val="24"/>
          <w:szCs w:val="24"/>
          <w:lang w:eastAsia="zh-CN"/>
        </w:rPr>
        <w:t>成交</w:t>
      </w:r>
      <w:r>
        <w:rPr>
          <w:rFonts w:hint="eastAsia"/>
          <w:sz w:val="24"/>
          <w:szCs w:val="24"/>
        </w:rPr>
        <w:t>后的履约保证金为项目</w:t>
      </w:r>
      <w:r>
        <w:rPr>
          <w:rFonts w:hint="eastAsia"/>
          <w:sz w:val="24"/>
          <w:szCs w:val="24"/>
          <w:lang w:eastAsia="zh-CN"/>
        </w:rPr>
        <w:t>成交价</w:t>
      </w:r>
      <w:r>
        <w:rPr>
          <w:rFonts w:hint="eastAsia"/>
          <w:sz w:val="24"/>
          <w:szCs w:val="24"/>
        </w:rPr>
        <w:t>的</w:t>
      </w:r>
      <w:r>
        <w:rPr>
          <w:rFonts w:hint="eastAsia"/>
          <w:sz w:val="24"/>
          <w:szCs w:val="24"/>
          <w:lang w:val="en-US" w:eastAsia="zh-CN"/>
        </w:rPr>
        <w:t>10</w:t>
      </w:r>
      <w:r>
        <w:rPr>
          <w:rFonts w:hint="eastAsia"/>
          <w:sz w:val="24"/>
          <w:szCs w:val="24"/>
        </w:rPr>
        <w:t>%。</w:t>
      </w:r>
    </w:p>
    <w:p w14:paraId="7A5C457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2.</w:t>
      </w:r>
      <w:r>
        <w:rPr>
          <w:rFonts w:hint="eastAsia"/>
          <w:sz w:val="24"/>
          <w:szCs w:val="24"/>
          <w:lang w:eastAsia="zh-CN"/>
        </w:rPr>
        <w:t>成交供应商</w:t>
      </w:r>
      <w:r>
        <w:rPr>
          <w:rFonts w:hint="eastAsia"/>
          <w:sz w:val="24"/>
          <w:szCs w:val="24"/>
        </w:rPr>
        <w:t>的履约保证金须在</w:t>
      </w:r>
      <w:r>
        <w:rPr>
          <w:rFonts w:hint="eastAsia"/>
          <w:sz w:val="24"/>
          <w:szCs w:val="24"/>
          <w:lang w:eastAsia="zh-CN"/>
        </w:rPr>
        <w:t>成交通知书</w:t>
      </w:r>
      <w:r>
        <w:rPr>
          <w:rFonts w:hint="eastAsia"/>
          <w:sz w:val="24"/>
          <w:szCs w:val="24"/>
        </w:rPr>
        <w:t>发出之日起至合同签订前将保证金汇入采购人账户（应当以支票、汇票或者金融机构、担保机构出具的保函等非现金形式提交），</w:t>
      </w:r>
      <w:r>
        <w:rPr>
          <w:rFonts w:hint="eastAsia"/>
          <w:sz w:val="24"/>
          <w:szCs w:val="24"/>
          <w:lang w:eastAsia="zh-CN"/>
        </w:rPr>
        <w:t>成交供应商</w:t>
      </w:r>
      <w:r>
        <w:rPr>
          <w:rFonts w:hint="eastAsia"/>
          <w:sz w:val="24"/>
          <w:szCs w:val="24"/>
        </w:rPr>
        <w:t>凭</w:t>
      </w:r>
      <w:r>
        <w:rPr>
          <w:rFonts w:hint="eastAsia"/>
          <w:sz w:val="24"/>
          <w:szCs w:val="24"/>
          <w:lang w:eastAsia="zh-CN"/>
        </w:rPr>
        <w:t>成交通知书</w:t>
      </w:r>
      <w:r>
        <w:rPr>
          <w:rFonts w:hint="eastAsia"/>
          <w:sz w:val="24"/>
          <w:szCs w:val="24"/>
        </w:rPr>
        <w:t>与采购单位签订合同。超期或未有协商，则视为自动放弃</w:t>
      </w:r>
      <w:r>
        <w:rPr>
          <w:rFonts w:hint="eastAsia"/>
          <w:sz w:val="24"/>
          <w:szCs w:val="24"/>
          <w:lang w:eastAsia="zh-CN"/>
        </w:rPr>
        <w:t>成交</w:t>
      </w:r>
      <w:r>
        <w:rPr>
          <w:rFonts w:hint="eastAsia"/>
          <w:sz w:val="24"/>
          <w:szCs w:val="24"/>
        </w:rPr>
        <w:t>资格。</w:t>
      </w:r>
    </w:p>
    <w:p w14:paraId="506F5D0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sz w:val="24"/>
          <w:szCs w:val="24"/>
        </w:rPr>
      </w:pPr>
      <w:r>
        <w:rPr>
          <w:rFonts w:hint="eastAsia"/>
          <w:sz w:val="24"/>
          <w:szCs w:val="24"/>
        </w:rPr>
        <w:t>3.</w:t>
      </w:r>
      <w:r>
        <w:rPr>
          <w:rFonts w:hint="eastAsia"/>
          <w:sz w:val="24"/>
          <w:szCs w:val="24"/>
          <w:lang w:eastAsia="zh-CN"/>
        </w:rPr>
        <w:t>成交供应商</w:t>
      </w:r>
      <w:r>
        <w:rPr>
          <w:rFonts w:hint="eastAsia"/>
          <w:sz w:val="24"/>
          <w:szCs w:val="24"/>
        </w:rPr>
        <w:t>在按要求保质保量的完成该项目合同并通过验收后，采购单位凭</w:t>
      </w:r>
      <w:r>
        <w:rPr>
          <w:rFonts w:hint="eastAsia"/>
          <w:sz w:val="24"/>
          <w:szCs w:val="24"/>
          <w:lang w:eastAsia="zh-CN"/>
        </w:rPr>
        <w:t>成交供应商</w:t>
      </w:r>
      <w:r>
        <w:rPr>
          <w:rFonts w:hint="eastAsia"/>
          <w:sz w:val="24"/>
          <w:szCs w:val="24"/>
        </w:rPr>
        <w:t>提交的申请，一次性无息退还该合同项目的履约保证金。</w:t>
      </w:r>
    </w:p>
    <w:p w14:paraId="302B979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sz w:val="24"/>
          <w:szCs w:val="24"/>
        </w:rPr>
      </w:pPr>
      <w:r>
        <w:rPr>
          <w:rFonts w:hint="eastAsia"/>
          <w:sz w:val="24"/>
          <w:szCs w:val="24"/>
        </w:rPr>
        <w:t>4.由于</w:t>
      </w:r>
      <w:r>
        <w:rPr>
          <w:rFonts w:hint="eastAsia"/>
          <w:sz w:val="24"/>
          <w:szCs w:val="24"/>
          <w:lang w:eastAsia="zh-CN"/>
        </w:rPr>
        <w:t>成交供应商</w:t>
      </w:r>
      <w:r>
        <w:rPr>
          <w:rFonts w:hint="eastAsia"/>
          <w:sz w:val="24"/>
          <w:szCs w:val="24"/>
        </w:rPr>
        <w:t>原因，在签订合同后出现不按合同履行的情况，采购单位有权将履约保证金作为违约金，全额不予退还，同时采购单位有权终止合同，</w:t>
      </w:r>
      <w:r>
        <w:rPr>
          <w:rFonts w:hint="eastAsia"/>
          <w:sz w:val="24"/>
          <w:szCs w:val="24"/>
          <w:lang w:eastAsia="zh-CN"/>
        </w:rPr>
        <w:t>成交供应商</w:t>
      </w:r>
      <w:r>
        <w:rPr>
          <w:rFonts w:hint="eastAsia"/>
          <w:sz w:val="24"/>
          <w:szCs w:val="24"/>
        </w:rPr>
        <w:t>还须承担相应的法律赔偿责任。</w:t>
      </w:r>
    </w:p>
    <w:p w14:paraId="3B8FD974">
      <w:pPr>
        <w:rPr>
          <w:rFonts w:hint="eastAsia" w:ascii="宋体" w:hAnsi="宋体" w:cs="宋体"/>
          <w:b/>
          <w:bCs/>
          <w:sz w:val="24"/>
          <w:szCs w:val="24"/>
        </w:rPr>
      </w:pPr>
    </w:p>
    <w:p w14:paraId="34A39201">
      <w:pPr>
        <w:spacing w:after="0" w:line="360" w:lineRule="auto"/>
        <w:ind w:firstLine="482" w:firstLineChars="200"/>
        <w:jc w:val="center"/>
        <w:rPr>
          <w:rFonts w:hint="eastAsia" w:ascii="宋体" w:hAnsi="宋体" w:cs="宋体"/>
          <w:b/>
          <w:bCs/>
          <w:sz w:val="24"/>
          <w:szCs w:val="24"/>
          <w:lang w:val="zh-CN"/>
        </w:rPr>
      </w:pPr>
      <w:r>
        <w:rPr>
          <w:rFonts w:hint="eastAsia" w:ascii="宋体" w:hAnsi="宋体" w:cs="宋体"/>
          <w:b/>
          <w:bCs/>
          <w:sz w:val="24"/>
          <w:szCs w:val="24"/>
        </w:rPr>
        <w:t xml:space="preserve">第三部分 </w:t>
      </w:r>
      <w:r>
        <w:rPr>
          <w:rFonts w:hint="eastAsia" w:ascii="宋体" w:hAnsi="宋体" w:cs="宋体"/>
          <w:b/>
          <w:bCs/>
          <w:sz w:val="24"/>
          <w:szCs w:val="24"/>
          <w:lang w:val="zh-CN"/>
        </w:rPr>
        <w:t>开标、评标</w:t>
      </w:r>
    </w:p>
    <w:p w14:paraId="000EAB4B">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rPr>
        <w:t>一、</w:t>
      </w:r>
      <w:r>
        <w:rPr>
          <w:rFonts w:hint="eastAsia" w:ascii="宋体" w:hAnsi="宋体" w:cs="宋体"/>
          <w:b/>
          <w:bCs/>
          <w:sz w:val="24"/>
          <w:szCs w:val="28"/>
          <w:lang w:val="zh-CN"/>
        </w:rPr>
        <w:t>评标流程</w:t>
      </w:r>
    </w:p>
    <w:p w14:paraId="3AE24E8C">
      <w:pPr>
        <w:spacing w:after="0" w:line="360" w:lineRule="auto"/>
        <w:ind w:firstLine="482" w:firstLineChars="200"/>
        <w:rPr>
          <w:rFonts w:hint="eastAsia" w:ascii="宋体" w:hAnsi="宋体" w:cs="宋体"/>
          <w:b/>
          <w:bCs/>
          <w:sz w:val="24"/>
          <w:szCs w:val="28"/>
          <w:lang w:val="zh-CN"/>
        </w:rPr>
      </w:pPr>
      <w:r>
        <w:rPr>
          <w:rFonts w:hint="eastAsia" w:ascii="宋体" w:hAnsi="宋体" w:cs="宋体"/>
          <w:b/>
          <w:bCs/>
          <w:sz w:val="24"/>
          <w:szCs w:val="28"/>
          <w:lang w:val="zh-CN"/>
        </w:rPr>
        <w:t>询价小组将根据询价文件相关标准对供应商的资格进行审查，审查通过方可参与项目的价格评标。符合招标商务条款和技术参数要求的前提下，按供应商</w:t>
      </w:r>
      <w:r>
        <w:rPr>
          <w:rFonts w:hint="eastAsia" w:ascii="宋体" w:hAnsi="宋体" w:cs="宋体"/>
          <w:b/>
          <w:bCs/>
          <w:sz w:val="24"/>
          <w:szCs w:val="28"/>
        </w:rPr>
        <w:t>评审价</w:t>
      </w:r>
      <w:r>
        <w:rPr>
          <w:rFonts w:hint="eastAsia" w:ascii="宋体" w:hAnsi="宋体" w:cs="宋体"/>
          <w:b/>
          <w:bCs/>
          <w:sz w:val="24"/>
          <w:szCs w:val="28"/>
          <w:lang w:val="zh-CN"/>
        </w:rPr>
        <w:t>由低到高排序，推荐前三名为成交候选人，排名第一的为第一成交候选人，即为本项目的供应商，其投标价为本项目成交价,评审价如有相同者，抽签确定成交供应商。</w:t>
      </w:r>
    </w:p>
    <w:p w14:paraId="421A72C7">
      <w:pPr>
        <w:spacing w:after="0" w:line="360" w:lineRule="auto"/>
        <w:ind w:firstLine="482" w:firstLineChars="200"/>
        <w:rPr>
          <w:rFonts w:hint="eastAsia" w:ascii="宋体" w:hAnsi="宋体" w:cs="宋体"/>
          <w:b/>
          <w:bCs/>
          <w:sz w:val="24"/>
          <w:szCs w:val="28"/>
        </w:rPr>
      </w:pPr>
      <w:r>
        <w:rPr>
          <w:rFonts w:hint="eastAsia" w:ascii="宋体" w:hAnsi="宋体" w:cs="宋体"/>
          <w:b/>
          <w:bCs/>
          <w:sz w:val="24"/>
          <w:szCs w:val="28"/>
        </w:rPr>
        <w:t>二、询价评审方法</w:t>
      </w:r>
    </w:p>
    <w:p w14:paraId="11D37659">
      <w:pPr>
        <w:spacing w:after="0" w:line="360" w:lineRule="auto"/>
        <w:ind w:firstLine="480" w:firstLineChars="200"/>
        <w:rPr>
          <w:rFonts w:hint="eastAsia" w:ascii="宋体" w:hAnsi="宋体" w:cs="宋体"/>
          <w:sz w:val="24"/>
          <w:szCs w:val="28"/>
        </w:rPr>
      </w:pPr>
      <w:r>
        <w:rPr>
          <w:rFonts w:hint="eastAsia" w:ascii="宋体" w:hAnsi="宋体" w:cs="宋体"/>
          <w:sz w:val="24"/>
          <w:szCs w:val="28"/>
        </w:rPr>
        <w:t>2.1询价小组严格按照询价文件的规定要求、条件标准，对询价响应供应商所提供的完整计划标的物采购的服务是否符合采购需求，对其质量和服务等实质性响应内容进行比较评价。</w:t>
      </w:r>
    </w:p>
    <w:p w14:paraId="4EDAE9A5">
      <w:pPr>
        <w:spacing w:after="0" w:line="360" w:lineRule="auto"/>
        <w:ind w:firstLine="480" w:firstLineChars="200"/>
        <w:rPr>
          <w:rFonts w:hint="eastAsia" w:ascii="宋体" w:hAnsi="宋体" w:cs="宋体"/>
          <w:sz w:val="24"/>
          <w:szCs w:val="28"/>
        </w:rPr>
      </w:pPr>
      <w:r>
        <w:rPr>
          <w:rFonts w:hint="eastAsia" w:ascii="宋体" w:hAnsi="宋体" w:cs="宋体"/>
          <w:sz w:val="24"/>
          <w:szCs w:val="28"/>
        </w:rPr>
        <w:t>2.2判定符合采购需求、质量和服务相等的询价响应供应商后，针对其报价进行最终判定。</w:t>
      </w:r>
    </w:p>
    <w:p w14:paraId="28EF53AA">
      <w:pPr>
        <w:spacing w:after="0" w:line="360" w:lineRule="auto"/>
        <w:ind w:firstLine="480" w:firstLineChars="200"/>
        <w:rPr>
          <w:rFonts w:hint="eastAsia" w:ascii="宋体" w:hAnsi="宋体" w:cs="宋体"/>
          <w:sz w:val="24"/>
          <w:szCs w:val="28"/>
        </w:rPr>
      </w:pPr>
      <w:r>
        <w:rPr>
          <w:rFonts w:hint="eastAsia" w:ascii="宋体" w:hAnsi="宋体" w:cs="宋体"/>
          <w:sz w:val="24"/>
          <w:szCs w:val="28"/>
        </w:rPr>
        <w:t xml:space="preserve">2.3价格评审 </w:t>
      </w:r>
    </w:p>
    <w:p w14:paraId="4F0BF938">
      <w:pPr>
        <w:spacing w:after="0" w:line="360" w:lineRule="auto"/>
        <w:ind w:firstLine="480" w:firstLineChars="200"/>
        <w:rPr>
          <w:rFonts w:hint="eastAsia" w:ascii="宋体" w:hAnsi="宋体" w:cs="宋体"/>
          <w:sz w:val="24"/>
          <w:szCs w:val="28"/>
        </w:rPr>
      </w:pPr>
      <w:r>
        <w:rPr>
          <w:rFonts w:hint="eastAsia" w:ascii="宋体" w:hAnsi="宋体" w:cs="宋体"/>
          <w:sz w:val="24"/>
          <w:szCs w:val="28"/>
        </w:rPr>
        <w:t>（1）价格评审内容包括分析项目需求各</w:t>
      </w:r>
      <w:r>
        <w:rPr>
          <w:rFonts w:hint="eastAsia" w:ascii="宋体" w:hAnsi="宋体" w:cs="宋体"/>
          <w:sz w:val="24"/>
          <w:szCs w:val="28"/>
          <w:lang w:eastAsia="zh-CN"/>
        </w:rPr>
        <w:t>货物</w:t>
      </w:r>
      <w:r>
        <w:rPr>
          <w:rFonts w:hint="eastAsia" w:ascii="宋体" w:hAnsi="宋体" w:cs="宋体"/>
          <w:sz w:val="24"/>
          <w:szCs w:val="28"/>
        </w:rPr>
        <w:t>单价是否合理，价格所含范围是否完整，有无重大错漏项。如果询价响应供应商的响应</w:t>
      </w:r>
      <w:r>
        <w:rPr>
          <w:rFonts w:hint="eastAsia" w:ascii="宋体" w:hAnsi="宋体" w:cs="宋体"/>
          <w:sz w:val="24"/>
          <w:szCs w:val="28"/>
          <w:lang w:eastAsia="zh-CN"/>
        </w:rPr>
        <w:t>货物</w:t>
      </w:r>
      <w:r>
        <w:rPr>
          <w:rFonts w:hint="eastAsia" w:ascii="宋体" w:hAnsi="宋体" w:cs="宋体"/>
          <w:sz w:val="24"/>
          <w:szCs w:val="28"/>
        </w:rPr>
        <w:t>清单中有漏项并构成未实质性响应询价文件要求的，按无效询价处理。</w:t>
      </w:r>
    </w:p>
    <w:p w14:paraId="66EB6BA3">
      <w:pPr>
        <w:spacing w:after="0" w:line="360" w:lineRule="auto"/>
        <w:ind w:firstLine="482" w:firstLineChars="200"/>
        <w:rPr>
          <w:rFonts w:hint="eastAsia" w:ascii="宋体" w:hAnsi="宋体" w:cs="宋体"/>
          <w:b/>
          <w:bCs/>
          <w:sz w:val="24"/>
          <w:szCs w:val="24"/>
          <w:u w:val="single"/>
        </w:rPr>
      </w:pPr>
      <w:r>
        <w:rPr>
          <w:rFonts w:hint="eastAsia" w:ascii="宋体" w:hAnsi="宋体" w:cs="宋体"/>
          <w:b/>
          <w:bCs/>
          <w:sz w:val="24"/>
          <w:szCs w:val="24"/>
          <w:u w:val="single"/>
        </w:rPr>
        <w:t>（2）响应报价低于采购项目预算50%的，即响应报价＜采购项目预算×50%或者响应报价低于采购项目最高限价45%的，即响应报价＜采购项目最高限价×45%或者询价小组认为询价响应供应商报价过低，有可能影响</w:t>
      </w:r>
      <w:r>
        <w:rPr>
          <w:rFonts w:hint="eastAsia" w:ascii="宋体" w:hAnsi="宋体" w:cs="宋体"/>
          <w:b/>
          <w:bCs/>
          <w:sz w:val="24"/>
          <w:szCs w:val="24"/>
          <w:u w:val="single"/>
          <w:lang w:val="en-US" w:eastAsia="zh-CN"/>
        </w:rPr>
        <w:t>产品</w:t>
      </w:r>
      <w:r>
        <w:rPr>
          <w:rFonts w:hint="eastAsia" w:ascii="宋体" w:hAnsi="宋体" w:cs="宋体"/>
          <w:b/>
          <w:bCs/>
          <w:sz w:val="24"/>
          <w:szCs w:val="24"/>
          <w:u w:val="single"/>
        </w:rPr>
        <w:t>或服务的质量或者不能诚信履约的，应当要求其“在评审现场”合理的时间内提供“书面”说明，必要时提交“相关证明”材料；被要求的询价响应供应商不能证明其“报价合理性”的，询价小组应当将其作为无效询价处理。</w:t>
      </w:r>
    </w:p>
    <w:p w14:paraId="5BB9D04B">
      <w:pPr>
        <w:spacing w:after="0" w:line="360" w:lineRule="auto"/>
        <w:ind w:firstLine="480" w:firstLineChars="200"/>
        <w:rPr>
          <w:rFonts w:hint="eastAsia" w:ascii="宋体" w:hAnsi="宋体" w:cs="宋体"/>
          <w:sz w:val="24"/>
          <w:szCs w:val="28"/>
        </w:rPr>
      </w:pPr>
      <w:r>
        <w:rPr>
          <w:rFonts w:hint="eastAsia" w:ascii="宋体" w:hAnsi="宋体" w:cs="宋体"/>
          <w:sz w:val="24"/>
          <w:szCs w:val="28"/>
        </w:rPr>
        <w:t>2.4本项目在全部满足询价文件实质性要求前提下，依据“符合采购需求、质量和服务相等且报价最低的原则”，采购人授权询价小组确定成交人，并编写评审报告。</w:t>
      </w:r>
    </w:p>
    <w:p w14:paraId="030BDF3D">
      <w:pPr>
        <w:spacing w:after="0" w:line="360" w:lineRule="auto"/>
        <w:ind w:firstLine="480" w:firstLineChars="200"/>
        <w:rPr>
          <w:rFonts w:hint="eastAsia" w:ascii="宋体" w:hAnsi="宋体" w:cs="宋体"/>
          <w:sz w:val="24"/>
          <w:szCs w:val="28"/>
        </w:rPr>
      </w:pPr>
      <w:r>
        <w:rPr>
          <w:rFonts w:hint="eastAsia" w:ascii="宋体" w:hAnsi="宋体" w:cs="宋体"/>
          <w:sz w:val="24"/>
          <w:szCs w:val="28"/>
        </w:rPr>
        <w:t>2.5评审时的特殊情况处理：</w:t>
      </w:r>
    </w:p>
    <w:p w14:paraId="520E7331">
      <w:pPr>
        <w:spacing w:after="0" w:line="360" w:lineRule="auto"/>
        <w:ind w:firstLine="480" w:firstLineChars="200"/>
        <w:rPr>
          <w:rFonts w:hint="eastAsia" w:ascii="宋体" w:hAnsi="宋体" w:cs="宋体"/>
          <w:sz w:val="24"/>
          <w:szCs w:val="28"/>
        </w:rPr>
      </w:pPr>
      <w:r>
        <w:rPr>
          <w:rFonts w:hint="eastAsia" w:ascii="宋体" w:hAnsi="宋体" w:cs="宋体"/>
          <w:sz w:val="24"/>
          <w:szCs w:val="28"/>
        </w:rPr>
        <w:t>报价由低到高的顺序排列；报价相同的并列；排序并列第一的，则采取现场抽签的方式确定（供应商的抽签顺序分别为各供应商递交询价响应文件签到顺序号）。</w:t>
      </w:r>
    </w:p>
    <w:p w14:paraId="468548AE">
      <w:pPr>
        <w:spacing w:after="0" w:line="360" w:lineRule="auto"/>
        <w:ind w:firstLine="480" w:firstLineChars="200"/>
        <w:rPr>
          <w:rFonts w:hint="eastAsia" w:ascii="宋体" w:hAnsi="宋体" w:cs="宋体"/>
          <w:sz w:val="24"/>
          <w:szCs w:val="28"/>
        </w:rPr>
      </w:pPr>
      <w:r>
        <w:rPr>
          <w:rFonts w:hint="eastAsia" w:ascii="宋体" w:hAnsi="宋体" w:cs="宋体"/>
          <w:sz w:val="24"/>
          <w:szCs w:val="28"/>
        </w:rPr>
        <w:t>2.6询价小组对询价响应文件的判定，只依据询价响应文件内容本身，不依靠询价采购活动开始后的任何外来证明</w:t>
      </w:r>
      <w:bookmarkStart w:id="12" w:name="_Hlk67508224"/>
      <w:r>
        <w:rPr>
          <w:rFonts w:hint="eastAsia" w:ascii="宋体" w:hAnsi="宋体" w:cs="宋体"/>
          <w:sz w:val="24"/>
          <w:szCs w:val="28"/>
        </w:rPr>
        <w:t>【本章第四条第2.3点第（2）款除外】</w:t>
      </w:r>
      <w:bookmarkEnd w:id="12"/>
      <w:r>
        <w:rPr>
          <w:rFonts w:hint="eastAsia" w:ascii="宋体" w:hAnsi="宋体" w:cs="宋体"/>
          <w:sz w:val="24"/>
          <w:szCs w:val="28"/>
        </w:rPr>
        <w:t>。</w:t>
      </w:r>
    </w:p>
    <w:p w14:paraId="22DFC813">
      <w:pPr>
        <w:spacing w:after="0" w:line="360" w:lineRule="auto"/>
        <w:ind w:firstLine="480" w:firstLineChars="200"/>
        <w:rPr>
          <w:rFonts w:hint="eastAsia" w:ascii="宋体" w:hAnsi="宋体" w:cs="宋体"/>
          <w:sz w:val="24"/>
          <w:szCs w:val="28"/>
        </w:rPr>
      </w:pPr>
      <w:r>
        <w:rPr>
          <w:rFonts w:hint="eastAsia" w:ascii="宋体" w:hAnsi="宋体" w:cs="宋体"/>
          <w:sz w:val="24"/>
          <w:szCs w:val="28"/>
        </w:rPr>
        <w:t>2.7询价活动开始后，询价小组对询价文件的细则若有争议，由询价小组成员集体讨论确定。询价小组成员对需要共同认定的事项存有争议，应当按照少数服从多数的原则做出结论。持不同意见的询价小组成员应当在评审报告上签署不同意见及理由，否则视为同意评审报告。</w:t>
      </w:r>
    </w:p>
    <w:p w14:paraId="77FB0A1D">
      <w:pPr>
        <w:spacing w:after="0" w:line="360" w:lineRule="auto"/>
        <w:ind w:firstLine="480" w:firstLineChars="200"/>
        <w:rPr>
          <w:rFonts w:hint="eastAsia" w:ascii="宋体" w:hAnsi="宋体" w:cs="宋体"/>
          <w:b/>
          <w:bCs/>
          <w:sz w:val="24"/>
          <w:szCs w:val="28"/>
        </w:rPr>
      </w:pPr>
      <w:r>
        <w:rPr>
          <w:rFonts w:hint="eastAsia" w:ascii="宋体" w:hAnsi="宋体" w:cs="宋体"/>
          <w:sz w:val="24"/>
          <w:szCs w:val="28"/>
        </w:rPr>
        <w:t>2.8询价小组对评审未尽情况有最终解释权，且对落标的询价响应供应商不做落标原因的解释。</w:t>
      </w:r>
    </w:p>
    <w:p w14:paraId="1232AE6A">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三、政府采购政策功能落实</w:t>
      </w:r>
    </w:p>
    <w:p w14:paraId="646A9A0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3.1小微型企业价格扣除</w:t>
      </w:r>
    </w:p>
    <w:p w14:paraId="797D860A">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（1）本项目对小型和微型企业</w:t>
      </w:r>
      <w:r>
        <w:rPr>
          <w:rFonts w:hint="eastAsia" w:ascii="宋体" w:hAnsi="宋体" w:cs="宋体"/>
          <w:color w:val="auto"/>
          <w:sz w:val="24"/>
          <w:szCs w:val="28"/>
        </w:rPr>
        <w:t>货物</w:t>
      </w:r>
      <w:r>
        <w:rPr>
          <w:rFonts w:hint="eastAsia" w:ascii="宋体" w:hAnsi="宋体" w:cs="宋体"/>
          <w:sz w:val="24"/>
          <w:szCs w:val="28"/>
        </w:rPr>
        <w:t>给予10%的扣除价格，用扣除后的价格参与评审。</w:t>
      </w:r>
    </w:p>
    <w:p w14:paraId="25E4A0D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（2）供应商需按照《政府采购促进中小企业发展管理办法》（财库﹝2020﹞46 号）的规定提供相应的《中小企业声明函》。</w:t>
      </w:r>
    </w:p>
    <w:p w14:paraId="6880FCC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（3）企业标准请参照《关于印发中小企业划型标准规定的通知》（工信部联企业﹝2011﹞300号）文件规定自行填写。</w:t>
      </w:r>
    </w:p>
    <w:p w14:paraId="0E528628">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3.2残疾人福利单位价格扣除</w:t>
      </w:r>
    </w:p>
    <w:p w14:paraId="79661B1F">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（1）本项目对残疾人福利性单位，给予10%的价格扣除，用扣除后的价格参与评审。</w:t>
      </w:r>
    </w:p>
    <w:p w14:paraId="5FE836C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（2）残疾人福利单位需按照采购文件的要求提供《残疾人福利性单位声明函》。</w:t>
      </w:r>
    </w:p>
    <w:p w14:paraId="52E7611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（3）残疾人福利单位标准请参照《关于促进残疾人就业政府采购政策的通知》（财库〔2017〕141号）。</w:t>
      </w:r>
    </w:p>
    <w:p w14:paraId="7F2D815D">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3.3监狱和戒毒企业价格扣除</w:t>
      </w:r>
    </w:p>
    <w:p w14:paraId="5AFAC0BC">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（1）本项目对监狱和戒毒企业（简称监狱企业）给予10%的价格扣除，用扣除后的价格参与评审。</w:t>
      </w:r>
    </w:p>
    <w:p w14:paraId="4EAB4C8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（2）监狱企业参加政府采购活动时，需提供由省级以上监狱管理局、戒毒管理局(含新疆生产建设兵团)出具的属于监狱企业的证明文件。供应商如不提供上述证明文件，价格将不做相应扣除。</w:t>
      </w:r>
    </w:p>
    <w:p w14:paraId="79E4A587">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（3）监狱企业标准请参照《关于政府采购支持监狱企业发展有关问题的通知》（财库﹝2014﹞68号）。</w:t>
      </w:r>
    </w:p>
    <w:p w14:paraId="676756D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rPr>
        <w:t>3.4残疾人福利单位、监狱企业属于小型、微型企业的，不重复享受政策。</w:t>
      </w:r>
    </w:p>
    <w:p w14:paraId="6DF8BDB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四、</w:t>
      </w:r>
      <w:r>
        <w:rPr>
          <w:rFonts w:hint="eastAsia" w:ascii="宋体" w:hAnsi="宋体" w:cs="宋体"/>
          <w:b/>
          <w:bCs/>
          <w:sz w:val="24"/>
          <w:szCs w:val="28"/>
          <w:lang w:val="zh-CN"/>
        </w:rPr>
        <w:t>询价小组负责具体评标事务。</w:t>
      </w:r>
    </w:p>
    <w:p w14:paraId="6FBE646F">
      <w:pPr>
        <w:spacing w:after="0" w:line="360" w:lineRule="auto"/>
        <w:ind w:firstLine="482" w:firstLineChars="200"/>
        <w:jc w:val="both"/>
        <w:rPr>
          <w:rFonts w:hint="eastAsia" w:ascii="宋体" w:hAnsi="宋体" w:cs="宋体"/>
          <w:b/>
          <w:bCs/>
          <w:sz w:val="24"/>
          <w:szCs w:val="28"/>
          <w:highlight w:val="none"/>
          <w:lang w:val="zh-CN"/>
        </w:rPr>
      </w:pPr>
      <w:r>
        <w:rPr>
          <w:rFonts w:hint="eastAsia" w:ascii="宋体" w:hAnsi="宋体" w:cs="宋体"/>
          <w:b/>
          <w:bCs/>
          <w:sz w:val="24"/>
          <w:szCs w:val="28"/>
          <w:highlight w:val="none"/>
        </w:rPr>
        <w:t>五、</w:t>
      </w:r>
      <w:r>
        <w:rPr>
          <w:rFonts w:hint="eastAsia" w:ascii="宋体" w:hAnsi="宋体" w:cs="宋体"/>
          <w:b/>
          <w:bCs/>
          <w:sz w:val="24"/>
          <w:szCs w:val="28"/>
          <w:highlight w:val="none"/>
          <w:lang w:val="zh-CN"/>
        </w:rPr>
        <w:t>投标费用</w:t>
      </w:r>
    </w:p>
    <w:p w14:paraId="4FC452D9">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无论询价过程和结果如何，参加询价的响应人自行承担与本次项目询价有关的全部费用。</w:t>
      </w:r>
    </w:p>
    <w:p w14:paraId="79320A46">
      <w:pPr>
        <w:shd w:val="clear" w:color="auto" w:fill="FFFFFF"/>
        <w:spacing w:after="0" w:line="360" w:lineRule="auto"/>
        <w:ind w:firstLine="480" w:firstLineChars="200"/>
        <w:rPr>
          <w:rFonts w:hint="eastAsia" w:ascii="宋体" w:hAnsi="宋体" w:cs="宋体"/>
          <w:sz w:val="24"/>
          <w:szCs w:val="28"/>
          <w:shd w:val="clear" w:color="auto" w:fill="FFFFFF"/>
        </w:rPr>
      </w:pPr>
      <w:r>
        <w:rPr>
          <w:rFonts w:hint="eastAsia" w:ascii="宋体" w:hAnsi="宋体" w:cs="宋体"/>
          <w:sz w:val="24"/>
          <w:szCs w:val="28"/>
          <w:shd w:val="clear" w:color="auto" w:fill="FFFFFF"/>
        </w:rPr>
        <w:t>2.本项目招标代理费收取标准以成交价为基准，乘以招标代理收费费率，由成交供应商支付，响应供应商综合考虑在报价内（不单列）。</w:t>
      </w:r>
    </w:p>
    <w:tbl>
      <w:tblPr>
        <w:tblStyle w:val="2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2"/>
        <w:gridCol w:w="4390"/>
        <w:gridCol w:w="3083"/>
      </w:tblGrid>
      <w:tr w14:paraId="2A0D9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88" w:type="pct"/>
            <w:vMerge w:val="restart"/>
            <w:tcBorders>
              <w:top w:val="single" w:color="auto" w:sz="4" w:space="0"/>
              <w:left w:val="single" w:color="auto" w:sz="4" w:space="0"/>
              <w:right w:val="single" w:color="auto" w:sz="4" w:space="0"/>
            </w:tcBorders>
            <w:vAlign w:val="center"/>
          </w:tcPr>
          <w:p w14:paraId="3AB0D9F6">
            <w:pPr>
              <w:spacing w:line="360" w:lineRule="auto"/>
              <w:ind w:firstLine="482" w:firstLineChars="200"/>
              <w:jc w:val="center"/>
              <w:rPr>
                <w:rFonts w:hint="eastAsia" w:ascii="宋体" w:hAnsi="宋体" w:cs="宋体"/>
                <w:b/>
                <w:bCs/>
                <w:sz w:val="24"/>
              </w:rPr>
            </w:pPr>
            <w:r>
              <w:rPr>
                <w:rFonts w:hint="eastAsia" w:ascii="宋体" w:hAnsi="宋体" w:cs="宋体"/>
                <w:b/>
                <w:bCs/>
                <w:sz w:val="24"/>
              </w:rPr>
              <w:t>序号</w:t>
            </w:r>
          </w:p>
        </w:tc>
        <w:tc>
          <w:tcPr>
            <w:tcW w:w="2533" w:type="pct"/>
            <w:vMerge w:val="restart"/>
            <w:tcBorders>
              <w:top w:val="single" w:color="auto" w:sz="4" w:space="0"/>
              <w:left w:val="single" w:color="auto" w:sz="4" w:space="0"/>
              <w:right w:val="single" w:color="auto" w:sz="4" w:space="0"/>
            </w:tcBorders>
            <w:vAlign w:val="center"/>
          </w:tcPr>
          <w:p w14:paraId="07C46AD9">
            <w:pPr>
              <w:spacing w:line="360" w:lineRule="auto"/>
              <w:ind w:firstLine="482" w:firstLineChars="200"/>
              <w:jc w:val="center"/>
              <w:rPr>
                <w:rFonts w:hint="eastAsia" w:ascii="宋体" w:hAnsi="宋体" w:cs="宋体"/>
                <w:b/>
                <w:bCs/>
                <w:sz w:val="24"/>
              </w:rPr>
            </w:pPr>
            <w:r>
              <w:rPr>
                <w:rFonts w:hint="eastAsia" w:ascii="宋体" w:hAnsi="宋体" w:cs="宋体"/>
                <w:b/>
                <w:bCs/>
                <w:sz w:val="24"/>
              </w:rPr>
              <w:t>服务费类型（按成交金额）</w:t>
            </w:r>
          </w:p>
        </w:tc>
        <w:tc>
          <w:tcPr>
            <w:tcW w:w="1779" w:type="pct"/>
            <w:vMerge w:val="restart"/>
            <w:tcBorders>
              <w:top w:val="single" w:color="auto" w:sz="4" w:space="0"/>
              <w:left w:val="single" w:color="auto" w:sz="4" w:space="0"/>
              <w:right w:val="single" w:color="auto" w:sz="4" w:space="0"/>
            </w:tcBorders>
            <w:vAlign w:val="center"/>
          </w:tcPr>
          <w:p w14:paraId="2DE84566">
            <w:pPr>
              <w:spacing w:line="360" w:lineRule="auto"/>
              <w:ind w:firstLine="482" w:firstLineChars="200"/>
              <w:jc w:val="center"/>
              <w:rPr>
                <w:rFonts w:hint="eastAsia" w:ascii="宋体" w:hAnsi="宋体" w:cs="宋体"/>
                <w:b/>
                <w:bCs/>
                <w:sz w:val="24"/>
              </w:rPr>
            </w:pPr>
            <w:r>
              <w:rPr>
                <w:rFonts w:hint="eastAsia" w:ascii="宋体" w:hAnsi="宋体" w:cs="宋体"/>
                <w:b/>
                <w:bCs/>
                <w:sz w:val="24"/>
              </w:rPr>
              <w:t xml:space="preserve">收费标准 </w:t>
            </w:r>
          </w:p>
        </w:tc>
      </w:tr>
      <w:tr w14:paraId="7E44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88" w:type="pct"/>
            <w:vMerge w:val="continue"/>
            <w:tcBorders>
              <w:left w:val="single" w:color="auto" w:sz="4" w:space="0"/>
              <w:bottom w:val="single" w:color="auto" w:sz="4" w:space="0"/>
              <w:right w:val="single" w:color="auto" w:sz="4" w:space="0"/>
            </w:tcBorders>
            <w:vAlign w:val="center"/>
          </w:tcPr>
          <w:p w14:paraId="69070B4C">
            <w:pPr>
              <w:spacing w:line="360" w:lineRule="auto"/>
              <w:ind w:firstLine="480" w:firstLineChars="200"/>
              <w:jc w:val="center"/>
              <w:rPr>
                <w:rFonts w:hint="eastAsia" w:ascii="宋体" w:hAnsi="宋体" w:cs="宋体"/>
                <w:sz w:val="24"/>
              </w:rPr>
            </w:pPr>
          </w:p>
        </w:tc>
        <w:tc>
          <w:tcPr>
            <w:tcW w:w="2533" w:type="pct"/>
            <w:vMerge w:val="continue"/>
            <w:tcBorders>
              <w:left w:val="single" w:color="auto" w:sz="4" w:space="0"/>
              <w:bottom w:val="single" w:color="auto" w:sz="4" w:space="0"/>
              <w:right w:val="single" w:color="auto" w:sz="4" w:space="0"/>
            </w:tcBorders>
            <w:vAlign w:val="center"/>
          </w:tcPr>
          <w:p w14:paraId="3D5FC4DB">
            <w:pPr>
              <w:spacing w:line="360" w:lineRule="auto"/>
              <w:ind w:firstLine="480" w:firstLineChars="200"/>
              <w:jc w:val="center"/>
              <w:rPr>
                <w:rFonts w:hint="eastAsia" w:ascii="宋体" w:hAnsi="宋体" w:cs="宋体"/>
                <w:sz w:val="24"/>
              </w:rPr>
            </w:pPr>
          </w:p>
        </w:tc>
        <w:tc>
          <w:tcPr>
            <w:tcW w:w="1779" w:type="pct"/>
            <w:vMerge w:val="continue"/>
            <w:tcBorders>
              <w:left w:val="single" w:color="auto" w:sz="4" w:space="0"/>
              <w:bottom w:val="single" w:color="auto" w:sz="4" w:space="0"/>
              <w:right w:val="single" w:color="auto" w:sz="4" w:space="0"/>
            </w:tcBorders>
            <w:vAlign w:val="center"/>
          </w:tcPr>
          <w:p w14:paraId="2B04E2C8">
            <w:pPr>
              <w:spacing w:line="360" w:lineRule="auto"/>
              <w:ind w:firstLine="480" w:firstLineChars="200"/>
              <w:jc w:val="center"/>
              <w:rPr>
                <w:rFonts w:hint="eastAsia" w:ascii="宋体" w:hAnsi="宋体" w:cs="宋体"/>
                <w:sz w:val="24"/>
              </w:rPr>
            </w:pPr>
          </w:p>
        </w:tc>
      </w:tr>
      <w:tr w14:paraId="39B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70D5A870">
            <w:pPr>
              <w:spacing w:line="360" w:lineRule="auto"/>
              <w:ind w:firstLine="480" w:firstLineChars="200"/>
              <w:jc w:val="center"/>
              <w:rPr>
                <w:rFonts w:hint="eastAsia" w:ascii="宋体" w:hAnsi="宋体" w:cs="宋体"/>
                <w:sz w:val="24"/>
              </w:rPr>
            </w:pPr>
            <w:r>
              <w:rPr>
                <w:rFonts w:hint="eastAsia" w:ascii="宋体" w:hAnsi="宋体" w:cs="宋体"/>
                <w:sz w:val="24"/>
              </w:rPr>
              <w:t>1</w:t>
            </w:r>
          </w:p>
        </w:tc>
        <w:tc>
          <w:tcPr>
            <w:tcW w:w="2533" w:type="pct"/>
            <w:tcBorders>
              <w:top w:val="single" w:color="auto" w:sz="4" w:space="0"/>
              <w:left w:val="single" w:color="auto" w:sz="4" w:space="0"/>
              <w:bottom w:val="single" w:color="auto" w:sz="4" w:space="0"/>
              <w:right w:val="single" w:color="auto" w:sz="4" w:space="0"/>
            </w:tcBorders>
            <w:vAlign w:val="center"/>
          </w:tcPr>
          <w:p w14:paraId="23DF2594">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货物、服务和工程招标代理、咨询服务费(5万元-50万元）含5万</w:t>
            </w:r>
          </w:p>
        </w:tc>
        <w:tc>
          <w:tcPr>
            <w:tcW w:w="1779" w:type="pct"/>
            <w:tcBorders>
              <w:top w:val="single" w:color="auto" w:sz="4" w:space="0"/>
              <w:left w:val="single" w:color="auto" w:sz="4" w:space="0"/>
              <w:bottom w:val="single" w:color="auto" w:sz="4" w:space="0"/>
              <w:right w:val="single" w:color="auto" w:sz="4" w:space="0"/>
            </w:tcBorders>
            <w:vAlign w:val="center"/>
          </w:tcPr>
          <w:p w14:paraId="2BC7AEA9">
            <w:pPr>
              <w:spacing w:line="360" w:lineRule="auto"/>
              <w:ind w:firstLine="480" w:firstLineChars="200"/>
              <w:jc w:val="center"/>
              <w:rPr>
                <w:rFonts w:hint="eastAsia" w:ascii="宋体" w:hAnsi="宋体" w:cs="宋体"/>
                <w:sz w:val="24"/>
              </w:rPr>
            </w:pPr>
            <w:r>
              <w:rPr>
                <w:rFonts w:hint="eastAsia" w:ascii="宋体" w:hAnsi="宋体" w:cs="宋体"/>
                <w:sz w:val="24"/>
              </w:rPr>
              <w:t>2000.00元</w:t>
            </w:r>
          </w:p>
        </w:tc>
      </w:tr>
      <w:tr w14:paraId="52D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88" w:type="pct"/>
            <w:tcBorders>
              <w:top w:val="single" w:color="auto" w:sz="4" w:space="0"/>
              <w:left w:val="single" w:color="auto" w:sz="4" w:space="0"/>
              <w:bottom w:val="single" w:color="auto" w:sz="4" w:space="0"/>
              <w:right w:val="single" w:color="auto" w:sz="4" w:space="0"/>
            </w:tcBorders>
            <w:vAlign w:val="center"/>
          </w:tcPr>
          <w:p w14:paraId="4B785E57">
            <w:pPr>
              <w:spacing w:line="360" w:lineRule="auto"/>
              <w:ind w:firstLine="480" w:firstLineChars="200"/>
              <w:jc w:val="center"/>
              <w:rPr>
                <w:rFonts w:hint="eastAsia" w:ascii="宋体" w:hAnsi="宋体" w:cs="宋体"/>
                <w:sz w:val="24"/>
              </w:rPr>
            </w:pPr>
            <w:r>
              <w:rPr>
                <w:rFonts w:hint="eastAsia" w:ascii="宋体" w:hAnsi="宋体" w:cs="宋体"/>
                <w:sz w:val="24"/>
              </w:rPr>
              <w:t>2</w:t>
            </w:r>
          </w:p>
        </w:tc>
        <w:tc>
          <w:tcPr>
            <w:tcW w:w="2533" w:type="pct"/>
            <w:tcBorders>
              <w:top w:val="single" w:color="auto" w:sz="4" w:space="0"/>
              <w:left w:val="single" w:color="auto" w:sz="4" w:space="0"/>
              <w:bottom w:val="single" w:color="auto" w:sz="4" w:space="0"/>
              <w:right w:val="single" w:color="auto" w:sz="4" w:space="0"/>
            </w:tcBorders>
            <w:vAlign w:val="center"/>
          </w:tcPr>
          <w:p w14:paraId="4C9ABB86">
            <w:pPr>
              <w:spacing w:line="360" w:lineRule="auto"/>
              <w:ind w:firstLine="480" w:firstLineChars="200"/>
              <w:jc w:val="center"/>
              <w:rPr>
                <w:rFonts w:hint="eastAsia" w:ascii="宋体" w:hAnsi="宋体" w:cs="宋体"/>
                <w:sz w:val="24"/>
              </w:rPr>
            </w:pPr>
            <w:r>
              <w:rPr>
                <w:rFonts w:hint="eastAsia" w:ascii="宋体" w:hAnsi="宋体" w:cs="宋体"/>
                <w:sz w:val="24"/>
              </w:rPr>
              <w:t>货物、服务和工程招标代理、咨询服务（2万元-5万元）含2万</w:t>
            </w:r>
          </w:p>
        </w:tc>
        <w:tc>
          <w:tcPr>
            <w:tcW w:w="1779" w:type="pct"/>
            <w:tcBorders>
              <w:top w:val="single" w:color="auto" w:sz="4" w:space="0"/>
              <w:left w:val="single" w:color="auto" w:sz="4" w:space="0"/>
              <w:bottom w:val="single" w:color="auto" w:sz="4" w:space="0"/>
              <w:right w:val="single" w:color="auto" w:sz="4" w:space="0"/>
            </w:tcBorders>
            <w:vAlign w:val="center"/>
          </w:tcPr>
          <w:p w14:paraId="545BB23E">
            <w:pPr>
              <w:spacing w:line="360" w:lineRule="auto"/>
              <w:ind w:firstLine="480" w:firstLineChars="200"/>
              <w:jc w:val="center"/>
              <w:rPr>
                <w:rFonts w:hint="eastAsia" w:ascii="宋体" w:hAnsi="宋体" w:cs="宋体"/>
                <w:sz w:val="24"/>
              </w:rPr>
            </w:pPr>
            <w:r>
              <w:rPr>
                <w:rFonts w:hint="eastAsia" w:ascii="宋体" w:hAnsi="宋体" w:cs="宋体"/>
                <w:sz w:val="24"/>
              </w:rPr>
              <w:t>1500.00元</w:t>
            </w:r>
          </w:p>
        </w:tc>
      </w:tr>
    </w:tbl>
    <w:p w14:paraId="044962AC">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询价文件未列明，而响应供应商认为必需的费用也需列入报价。</w:t>
      </w:r>
    </w:p>
    <w:p w14:paraId="4E2BAC48">
      <w:pPr>
        <w:spacing w:after="0" w:line="360" w:lineRule="auto"/>
        <w:ind w:firstLine="480" w:firstLineChars="200"/>
        <w:rPr>
          <w:rFonts w:hint="eastAsia" w:ascii="宋体" w:hAnsi="宋体" w:cs="宋体"/>
          <w:sz w:val="24"/>
          <w:szCs w:val="28"/>
          <w:lang w:val="zh-CN"/>
        </w:rPr>
      </w:pPr>
      <w:r>
        <w:rPr>
          <w:rFonts w:hint="eastAsia" w:ascii="宋体" w:hAnsi="宋体" w:cs="宋体"/>
          <w:sz w:val="24"/>
          <w:szCs w:val="28"/>
          <w:lang w:val="zh-CN"/>
        </w:rPr>
        <w:t>代理费由成交供应商在开标现场定标后支付给代理机构，如因成交供应商原因导致本项目流标或改变成交结果或其被取消成交资格的，代理费不予退还。</w:t>
      </w:r>
    </w:p>
    <w:p w14:paraId="553F0F7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六、</w:t>
      </w:r>
      <w:r>
        <w:rPr>
          <w:rFonts w:hint="eastAsia" w:ascii="宋体" w:hAnsi="宋体" w:cs="宋体"/>
          <w:b/>
          <w:bCs/>
          <w:sz w:val="24"/>
          <w:szCs w:val="28"/>
          <w:lang w:val="zh-CN"/>
        </w:rPr>
        <w:t>询价响应文件的编写及装订</w:t>
      </w:r>
    </w:p>
    <w:p w14:paraId="7EC4B840">
      <w:pPr>
        <w:spacing w:after="0" w:line="360" w:lineRule="auto"/>
        <w:ind w:firstLine="480" w:firstLineChars="200"/>
        <w:jc w:val="both"/>
        <w:rPr>
          <w:rFonts w:hint="eastAsia" w:ascii="宋体" w:hAnsi="宋体" w:cs="宋体"/>
          <w:sz w:val="24"/>
          <w:szCs w:val="28"/>
        </w:rPr>
      </w:pPr>
      <w:r>
        <w:rPr>
          <w:rFonts w:hint="eastAsia" w:ascii="宋体" w:hAnsi="宋体" w:cs="宋体"/>
          <w:sz w:val="24"/>
          <w:szCs w:val="28"/>
          <w:lang w:val="zh-CN"/>
        </w:rPr>
        <w:t>（一）询价响应文件应包括“</w:t>
      </w:r>
      <w:r>
        <w:rPr>
          <w:rFonts w:hint="eastAsia" w:ascii="宋体" w:hAnsi="宋体" w:cs="宋体"/>
          <w:sz w:val="24"/>
          <w:szCs w:val="28"/>
        </w:rPr>
        <w:t>A资格审查文件”、“B商务报价文件”和</w:t>
      </w:r>
      <w:r>
        <w:rPr>
          <w:rFonts w:ascii="宋体" w:hAnsi="宋体" w:cs="宋体"/>
          <w:sz w:val="24"/>
          <w:szCs w:val="28"/>
        </w:rPr>
        <w:t>”</w:t>
      </w:r>
      <w:r>
        <w:rPr>
          <w:rFonts w:hint="eastAsia" w:ascii="宋体" w:hAnsi="宋体" w:cs="宋体"/>
          <w:sz w:val="24"/>
          <w:szCs w:val="28"/>
        </w:rPr>
        <w:t>C电子响应文件</w:t>
      </w:r>
      <w:r>
        <w:rPr>
          <w:rFonts w:ascii="宋体" w:hAnsi="宋体" w:cs="宋体"/>
          <w:sz w:val="24"/>
          <w:szCs w:val="28"/>
        </w:rPr>
        <w:t>”</w:t>
      </w:r>
      <w:r>
        <w:rPr>
          <w:rFonts w:hint="eastAsia" w:ascii="宋体" w:hAnsi="宋体" w:cs="宋体"/>
          <w:sz w:val="24"/>
          <w:szCs w:val="28"/>
        </w:rPr>
        <w:t>，具体要求如下：</w:t>
      </w:r>
    </w:p>
    <w:p w14:paraId="19699A20">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A、资格审查文件</w:t>
      </w:r>
    </w:p>
    <w:p w14:paraId="10D084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（1）提供营业执照复印件加盖公章；</w:t>
      </w:r>
    </w:p>
    <w:p w14:paraId="7C0C524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（2）符合本项目采购人资格要求的承诺函</w:t>
      </w:r>
      <w:r>
        <w:rPr>
          <w:rFonts w:hint="eastAsia" w:ascii="宋体" w:hAnsi="宋体" w:cs="宋体"/>
          <w:sz w:val="24"/>
          <w:szCs w:val="28"/>
          <w:lang w:val="zh-CN"/>
        </w:rPr>
        <w:t>（</w:t>
      </w:r>
      <w:r>
        <w:rPr>
          <w:rFonts w:hint="eastAsia" w:ascii="宋体" w:hAnsi="宋体" w:cs="宋体"/>
          <w:color w:val="000000"/>
          <w:sz w:val="24"/>
          <w:szCs w:val="28"/>
        </w:rPr>
        <w:t>格式参见附件</w:t>
      </w:r>
      <w:r>
        <w:rPr>
          <w:rFonts w:hint="eastAsia" w:ascii="宋体" w:hAnsi="宋体" w:cs="宋体"/>
          <w:sz w:val="24"/>
          <w:szCs w:val="28"/>
          <w:lang w:val="zh-CN"/>
        </w:rPr>
        <w:t>）；</w:t>
      </w:r>
    </w:p>
    <w:p w14:paraId="44A7281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w:t>
      </w:r>
      <w:r>
        <w:rPr>
          <w:rFonts w:hint="eastAsia" w:ascii="宋体" w:hAnsi="宋体" w:cs="宋体"/>
          <w:sz w:val="24"/>
          <w:szCs w:val="28"/>
        </w:rPr>
        <w:t>3</w:t>
      </w:r>
      <w:r>
        <w:rPr>
          <w:rFonts w:hint="eastAsia" w:ascii="宋体" w:hAnsi="宋体" w:cs="宋体"/>
          <w:sz w:val="24"/>
          <w:szCs w:val="28"/>
          <w:lang w:val="zh-CN"/>
        </w:rPr>
        <w:t>）如法定代表人参加投标，则提供法定代表人身份证明书（格式见附件）；如授权委托人参加投标，则提供法定代表人授权委托书（格式见附件）；</w:t>
      </w:r>
    </w:p>
    <w:p w14:paraId="194D0D5D">
      <w:pPr>
        <w:spacing w:after="0" w:line="360" w:lineRule="auto"/>
        <w:ind w:firstLine="480" w:firstLineChars="200"/>
        <w:jc w:val="both"/>
        <w:rPr>
          <w:rFonts w:hint="eastAsia" w:ascii="宋体" w:hAnsi="宋体" w:cs="宋体"/>
          <w:color w:val="000000"/>
          <w:sz w:val="24"/>
          <w:szCs w:val="28"/>
          <w:lang w:val="zh-CN"/>
        </w:rPr>
      </w:pPr>
      <w:r>
        <w:rPr>
          <w:rFonts w:hint="eastAsia" w:ascii="宋体" w:hAnsi="宋体" w:cs="宋体"/>
          <w:sz w:val="24"/>
          <w:szCs w:val="28"/>
        </w:rPr>
        <w:t>（4）</w:t>
      </w:r>
      <w:r>
        <w:rPr>
          <w:rFonts w:hint="eastAsia" w:ascii="宋体" w:hAnsi="宋体" w:cs="宋体"/>
          <w:color w:val="000000"/>
          <w:sz w:val="24"/>
          <w:szCs w:val="28"/>
          <w:lang w:val="zh-CN"/>
        </w:rPr>
        <w:t>未被“信用中国”网站列入失信被执行人、重大税收违法案件当事人名单、采购严重失信行为记录名单，</w:t>
      </w:r>
      <w:r>
        <w:rPr>
          <w:rFonts w:hint="eastAsia" w:ascii="宋体" w:hAnsi="宋体" w:cs="宋体"/>
          <w:color w:val="000000"/>
          <w:sz w:val="24"/>
          <w:szCs w:val="28"/>
        </w:rPr>
        <w:t>并提供无重大违法记录声明（格式参见附件）</w:t>
      </w:r>
      <w:r>
        <w:rPr>
          <w:rFonts w:hint="eastAsia" w:ascii="宋体" w:hAnsi="宋体" w:cs="宋体"/>
          <w:color w:val="000000"/>
          <w:sz w:val="24"/>
          <w:szCs w:val="28"/>
          <w:lang w:val="zh-CN"/>
        </w:rPr>
        <w:t>；</w:t>
      </w:r>
    </w:p>
    <w:p w14:paraId="22F0FBF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对询价文件要求的商务条款和技术参数的响应情况</w:t>
      </w:r>
      <w:r>
        <w:rPr>
          <w:rFonts w:hint="eastAsia" w:ascii="宋体" w:hAnsi="宋体" w:cs="宋体"/>
          <w:sz w:val="24"/>
          <w:szCs w:val="28"/>
          <w:lang w:val="zh-CN"/>
        </w:rPr>
        <w:t>（格式参见附件）；</w:t>
      </w:r>
    </w:p>
    <w:p w14:paraId="203BF805">
      <w:pPr>
        <w:pStyle w:val="2"/>
        <w:spacing w:after="0" w:line="360" w:lineRule="auto"/>
        <w:ind w:firstLine="480" w:firstLineChars="200"/>
        <w:rPr>
          <w:sz w:val="24"/>
        </w:rPr>
      </w:pPr>
      <w:r>
        <w:rPr>
          <w:rFonts w:hint="eastAsia" w:ascii="宋体" w:hAnsi="宋体" w:cs="宋体"/>
          <w:sz w:val="24"/>
          <w:szCs w:val="28"/>
        </w:rPr>
        <w:t>（</w:t>
      </w:r>
      <w:r>
        <w:rPr>
          <w:rFonts w:hint="eastAsia" w:ascii="宋体" w:hAnsi="宋体" w:cs="宋体"/>
          <w:sz w:val="24"/>
          <w:szCs w:val="28"/>
          <w:lang w:val="en-US" w:eastAsia="zh-CN"/>
        </w:rPr>
        <w:t>6</w:t>
      </w:r>
      <w:r>
        <w:rPr>
          <w:rFonts w:hint="eastAsia" w:ascii="宋体" w:hAnsi="宋体" w:cs="宋体"/>
          <w:sz w:val="24"/>
          <w:szCs w:val="28"/>
        </w:rPr>
        <w:t>）询价文件中要求提供的其他材料。</w:t>
      </w:r>
    </w:p>
    <w:p w14:paraId="0D6DF1C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B、商务报价响应文件</w:t>
      </w:r>
    </w:p>
    <w:p w14:paraId="10ED353D">
      <w:pPr>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宋体" w:hAnsi="宋体" w:cs="宋体"/>
          <w:sz w:val="24"/>
          <w:szCs w:val="28"/>
          <w:lang w:val="zh-CN"/>
        </w:rPr>
      </w:pPr>
      <w:r>
        <w:rPr>
          <w:rFonts w:hint="eastAsia" w:ascii="宋体" w:hAnsi="宋体" w:cs="宋体"/>
          <w:sz w:val="24"/>
          <w:szCs w:val="28"/>
          <w:lang w:val="zh-CN"/>
        </w:rPr>
        <w:t>商务报价应包括询价文件所确定的全部范围及相应说明的全部内容，包含</w:t>
      </w:r>
      <w:r>
        <w:rPr>
          <w:rFonts w:hint="eastAsia" w:ascii="宋体" w:hAnsi="宋体" w:cs="宋体"/>
          <w:sz w:val="24"/>
        </w:rPr>
        <w:t>所有</w:t>
      </w:r>
      <w:r>
        <w:rPr>
          <w:rFonts w:hint="eastAsia" w:ascii="宋体" w:hAnsi="宋体" w:cs="宋体"/>
          <w:color w:val="000000"/>
          <w:sz w:val="24"/>
          <w:lang w:eastAsia="zh-CN"/>
        </w:rPr>
        <w:t xml:space="preserve">货物 </w:t>
      </w:r>
      <w:r>
        <w:rPr>
          <w:rFonts w:hint="eastAsia" w:ascii="宋体" w:hAnsi="宋体" w:cs="宋体"/>
          <w:color w:val="000000"/>
          <w:sz w:val="24"/>
        </w:rPr>
        <w:t>的</w:t>
      </w:r>
      <w:r>
        <w:rPr>
          <w:rFonts w:hint="eastAsia" w:ascii="宋体" w:hAnsi="宋体" w:cs="宋体"/>
          <w:color w:val="000000"/>
          <w:sz w:val="24"/>
          <w:lang w:val="zh-CN"/>
        </w:rPr>
        <w:t>货物成本、劳务费、管理费、材料费、设备费、机械费、包装费、运输费、装卸费（含上下力资费）、二次搬运费、安装费、成品保护费、服务费、售后服务费、检测试验费、利润和税金、质保期内的维护保养费</w:t>
      </w:r>
      <w:r>
        <w:rPr>
          <w:rFonts w:hint="eastAsia" w:ascii="宋体" w:hAnsi="宋体" w:cs="宋体"/>
          <w:color w:val="000000"/>
          <w:sz w:val="24"/>
        </w:rPr>
        <w:t>等工作所发生的全部费用以及企业利润、税金和政策性文件规定及合同包含的所有风险、责任等各项应有费用。即</w:t>
      </w:r>
      <w:r>
        <w:rPr>
          <w:rFonts w:hint="eastAsia" w:ascii="宋体" w:hAnsi="宋体" w:cs="宋体"/>
          <w:color w:val="000000"/>
          <w:sz w:val="24"/>
          <w:lang w:val="en-US" w:eastAsia="zh-CN"/>
        </w:rPr>
        <w:t>采购</w:t>
      </w:r>
      <w:r>
        <w:rPr>
          <w:rFonts w:hint="eastAsia" w:ascii="宋体" w:hAnsi="宋体" w:cs="宋体"/>
          <w:color w:val="000000"/>
          <w:sz w:val="24"/>
        </w:rPr>
        <w:t>项目交付使用前的所有费用以及交付时和交付使用后的免保期内的费用。</w:t>
      </w:r>
      <w:r>
        <w:rPr>
          <w:rFonts w:hint="eastAsia" w:ascii="宋体" w:hAnsi="宋体" w:cs="宋体"/>
          <w:sz w:val="24"/>
          <w:szCs w:val="28"/>
          <w:lang w:val="zh-CN"/>
        </w:rPr>
        <w:t>且该价格不因市场价格因素及政策性调整的变化而调整。</w:t>
      </w:r>
    </w:p>
    <w:p w14:paraId="64B23B7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报价总表</w:t>
      </w:r>
      <w:r>
        <w:rPr>
          <w:rFonts w:hint="eastAsia" w:ascii="宋体" w:hAnsi="宋体" w:cs="宋体"/>
          <w:sz w:val="24"/>
          <w:szCs w:val="28"/>
          <w:lang w:val="zh-CN"/>
        </w:rPr>
        <w:t>（格式参见附件）；</w:t>
      </w:r>
    </w:p>
    <w:p w14:paraId="3611046F">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分项报价</w:t>
      </w:r>
      <w:r>
        <w:rPr>
          <w:rFonts w:hint="eastAsia" w:ascii="宋体" w:hAnsi="宋体" w:cs="宋体"/>
          <w:sz w:val="24"/>
          <w:szCs w:val="28"/>
          <w:lang w:val="zh-CN"/>
        </w:rPr>
        <w:t>表（格式参见附件）；</w:t>
      </w:r>
    </w:p>
    <w:p w14:paraId="601E3F01">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w:t>
      </w:r>
      <w:r>
        <w:rPr>
          <w:rFonts w:hint="eastAsia" w:ascii="宋体" w:hAnsi="宋体" w:cs="宋体"/>
          <w:sz w:val="24"/>
          <w:szCs w:val="28"/>
        </w:rPr>
        <w:t>政府采购政策功能落实</w:t>
      </w:r>
      <w:r>
        <w:rPr>
          <w:rFonts w:hint="eastAsia" w:ascii="宋体" w:hAnsi="宋体" w:cs="宋体"/>
          <w:sz w:val="24"/>
          <w:szCs w:val="28"/>
          <w:lang w:val="zh-CN"/>
        </w:rPr>
        <w:t>（</w:t>
      </w:r>
      <w:r>
        <w:rPr>
          <w:rFonts w:hint="eastAsia" w:ascii="宋体" w:hAnsi="宋体" w:cs="宋体"/>
          <w:sz w:val="24"/>
          <w:szCs w:val="28"/>
        </w:rPr>
        <w:t>如有</w:t>
      </w:r>
      <w:r>
        <w:rPr>
          <w:rFonts w:hint="eastAsia" w:ascii="宋体" w:hAnsi="宋体" w:cs="宋体"/>
          <w:sz w:val="24"/>
          <w:szCs w:val="28"/>
          <w:lang w:val="zh-CN"/>
        </w:rPr>
        <w:t>）：</w:t>
      </w:r>
    </w:p>
    <w:p w14:paraId="4BCCEB5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3.1</w:t>
      </w:r>
      <w:r>
        <w:rPr>
          <w:rFonts w:hint="eastAsia" w:ascii="宋体" w:hAnsi="宋体" w:cs="宋体"/>
          <w:sz w:val="24"/>
          <w:szCs w:val="28"/>
          <w:lang w:val="zh-CN"/>
        </w:rPr>
        <w:t>小型、微型企业声明函（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52407C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3.2</w:t>
      </w:r>
      <w:r>
        <w:rPr>
          <w:rFonts w:hint="eastAsia" w:ascii="宋体" w:hAnsi="宋体" w:cs="宋体"/>
          <w:sz w:val="24"/>
          <w:szCs w:val="28"/>
          <w:lang w:val="zh-CN"/>
        </w:rPr>
        <w:t>残疾人福利性单位声明函（</w:t>
      </w:r>
      <w:r>
        <w:rPr>
          <w:rFonts w:hint="eastAsia" w:ascii="宋体" w:hAnsi="宋体" w:cs="宋体"/>
          <w:color w:val="000000"/>
          <w:sz w:val="24"/>
          <w:szCs w:val="28"/>
        </w:rPr>
        <w:t>格式参见附件</w:t>
      </w:r>
      <w:r>
        <w:rPr>
          <w:rFonts w:hint="eastAsia" w:ascii="宋体" w:hAnsi="宋体" w:cs="宋体"/>
          <w:sz w:val="24"/>
          <w:szCs w:val="28"/>
          <w:lang w:val="zh-CN"/>
        </w:rPr>
        <w:t>）；</w:t>
      </w:r>
    </w:p>
    <w:p w14:paraId="6EEBCA0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3.3</w:t>
      </w:r>
      <w:r>
        <w:rPr>
          <w:rFonts w:hint="eastAsia" w:ascii="宋体" w:hAnsi="宋体" w:cs="宋体"/>
          <w:sz w:val="24"/>
          <w:szCs w:val="28"/>
          <w:lang w:val="zh-CN"/>
        </w:rPr>
        <w:t>监狱和戒毒企业证明材料（</w:t>
      </w:r>
      <w:r>
        <w:rPr>
          <w:rFonts w:hint="eastAsia" w:ascii="宋体" w:hAnsi="宋体" w:cs="宋体"/>
          <w:color w:val="000000"/>
          <w:sz w:val="24"/>
          <w:szCs w:val="28"/>
        </w:rPr>
        <w:t>格式参见附件</w:t>
      </w:r>
      <w:r>
        <w:rPr>
          <w:rFonts w:hint="eastAsia" w:ascii="宋体" w:hAnsi="宋体" w:cs="宋体"/>
          <w:sz w:val="24"/>
          <w:szCs w:val="28"/>
          <w:lang w:val="zh-CN"/>
        </w:rPr>
        <w:t>）。</w:t>
      </w:r>
    </w:p>
    <w:p w14:paraId="0D1ED948">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lang w:val="zh-CN"/>
        </w:rPr>
        <w:t>▲C、电子响应文件</w:t>
      </w:r>
    </w:p>
    <w:p w14:paraId="29F388C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电子响应文件一份，电子响应文件的内容为资格审查文件、商务报价响应文件的打印盖章后的响应文件的扫描件（资格审查文件、价格文件需分别逐页连续扫描为两个独立的PDF文件，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4"/>
        </w:rPr>
        <w:t>采用U盘方式单独密封提交</w:t>
      </w:r>
      <w:r>
        <w:rPr>
          <w:rFonts w:hint="eastAsia" w:ascii="宋体" w:hAnsi="宋体" w:cs="宋体"/>
          <w:sz w:val="24"/>
          <w:szCs w:val="28"/>
          <w:lang w:val="zh-CN"/>
        </w:rPr>
        <w:t>。</w:t>
      </w:r>
    </w:p>
    <w:p w14:paraId="3186E41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（二）询价响应文件的编制及装订</w:t>
      </w:r>
    </w:p>
    <w:p w14:paraId="3346D4E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.纸质</w:t>
      </w:r>
      <w:r>
        <w:rPr>
          <w:rFonts w:hint="eastAsia" w:ascii="宋体" w:hAnsi="宋体" w:cs="宋体"/>
          <w:sz w:val="24"/>
          <w:szCs w:val="28"/>
          <w:lang w:val="zh-CN"/>
        </w:rPr>
        <w:t>询价响应文件由：①资格审查文件、②商务报价响应文件共两部分组成。</w:t>
      </w:r>
    </w:p>
    <w:p w14:paraId="1E1992C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14:paraId="32D1B8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.纸质</w:t>
      </w:r>
      <w:r>
        <w:rPr>
          <w:rFonts w:hint="eastAsia" w:ascii="宋体" w:hAnsi="宋体" w:cs="宋体"/>
          <w:sz w:val="24"/>
          <w:szCs w:val="28"/>
          <w:lang w:val="zh-CN"/>
        </w:rPr>
        <w:t>询价响应文件的 “资格审查文件”、 “商务报价响应文件”各自装订成册。特别提示：“商务报价响应文件”必须单独装订和封装，不得出现在“资格审查文件”中。</w:t>
      </w:r>
    </w:p>
    <w:p w14:paraId="660EF22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（三）询价响应文件的份数、签署</w:t>
      </w:r>
    </w:p>
    <w:p w14:paraId="3EF51EA0">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供应商应准备</w:t>
      </w:r>
      <w:r>
        <w:rPr>
          <w:rFonts w:hint="eastAsia" w:ascii="宋体" w:hAnsi="宋体" w:cs="宋体"/>
          <w:b/>
          <w:bCs/>
          <w:sz w:val="24"/>
          <w:szCs w:val="28"/>
          <w:u w:val="single"/>
          <w:lang w:val="zh-CN"/>
        </w:rPr>
        <w:t xml:space="preserve"> </w:t>
      </w:r>
      <w:r>
        <w:rPr>
          <w:rFonts w:hint="eastAsia" w:ascii="宋体" w:hAnsi="宋体" w:cs="宋体"/>
          <w:b/>
          <w:bCs/>
          <w:sz w:val="24"/>
          <w:szCs w:val="28"/>
          <w:u w:val="single"/>
        </w:rPr>
        <w:t>肆</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份完整的询价响应文件，其中正本</w:t>
      </w:r>
      <w:r>
        <w:rPr>
          <w:rFonts w:hint="eastAsia" w:ascii="宋体" w:hAnsi="宋体" w:cs="宋体"/>
          <w:b/>
          <w:bCs/>
          <w:sz w:val="24"/>
          <w:szCs w:val="28"/>
          <w:u w:val="single"/>
          <w:lang w:val="zh-CN"/>
        </w:rPr>
        <w:t xml:space="preserve"> 壹 </w:t>
      </w:r>
      <w:r>
        <w:rPr>
          <w:rFonts w:hint="eastAsia" w:ascii="宋体" w:hAnsi="宋体" w:cs="宋体"/>
          <w:sz w:val="24"/>
          <w:szCs w:val="28"/>
          <w:lang w:val="zh-CN"/>
        </w:rPr>
        <w:t xml:space="preserve">份，副本 </w:t>
      </w:r>
      <w:r>
        <w:rPr>
          <w:rFonts w:hint="eastAsia" w:ascii="宋体" w:hAnsi="宋体" w:cs="宋体"/>
          <w:b/>
          <w:bCs/>
          <w:sz w:val="24"/>
          <w:szCs w:val="28"/>
          <w:u w:val="single"/>
        </w:rPr>
        <w:t>叁</w:t>
      </w:r>
      <w:r>
        <w:rPr>
          <w:rFonts w:hint="eastAsia" w:ascii="宋体" w:hAnsi="宋体" w:cs="宋体"/>
          <w:b/>
          <w:bCs/>
          <w:sz w:val="24"/>
          <w:szCs w:val="28"/>
          <w:u w:val="single"/>
          <w:lang w:val="zh-CN"/>
        </w:rPr>
        <w:t xml:space="preserve"> </w:t>
      </w:r>
      <w:r>
        <w:rPr>
          <w:rFonts w:hint="eastAsia" w:ascii="宋体" w:hAnsi="宋体" w:cs="宋体"/>
          <w:sz w:val="24"/>
          <w:szCs w:val="28"/>
          <w:lang w:val="zh-CN"/>
        </w:rPr>
        <w:t>份，并标明“正本”或“副本”字样，</w:t>
      </w:r>
      <w:r>
        <w:rPr>
          <w:rFonts w:hint="eastAsia" w:ascii="宋体" w:hAnsi="宋体" w:cs="宋体"/>
          <w:sz w:val="24"/>
          <w:szCs w:val="28"/>
        </w:rPr>
        <w:t>响应文件</w:t>
      </w:r>
      <w:r>
        <w:rPr>
          <w:rFonts w:hint="eastAsia" w:ascii="宋体" w:hAnsi="宋体" w:cs="宋体"/>
          <w:sz w:val="24"/>
          <w:szCs w:val="28"/>
          <w:lang w:val="zh-CN"/>
        </w:rPr>
        <w:t>封面明确标注响应供应商全称、项目名称、日期</w:t>
      </w:r>
      <w:r>
        <w:rPr>
          <w:rFonts w:hint="eastAsia" w:ascii="宋体" w:hAnsi="宋体" w:cs="宋体"/>
          <w:sz w:val="24"/>
          <w:szCs w:val="28"/>
        </w:rPr>
        <w:t>等关键信息</w:t>
      </w:r>
      <w:r>
        <w:rPr>
          <w:rFonts w:hint="eastAsia" w:ascii="宋体" w:hAnsi="宋体" w:cs="宋体"/>
          <w:sz w:val="24"/>
          <w:szCs w:val="28"/>
          <w:lang w:val="zh-CN"/>
        </w:rPr>
        <w:t>。</w:t>
      </w:r>
    </w:p>
    <w:p w14:paraId="3C7D7D09">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“资格审查文件”、“商务报价响应文件”应分别密封，并在封袋上标明“资格审查文件”、“商务报价响应文件”以及项目名称。</w:t>
      </w:r>
    </w:p>
    <w:p w14:paraId="42DE30F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3.</w:t>
      </w:r>
      <w:r>
        <w:rPr>
          <w:rFonts w:hint="eastAsia" w:ascii="宋体" w:hAnsi="宋体" w:cs="宋体"/>
          <w:sz w:val="24"/>
          <w:szCs w:val="28"/>
          <w:lang w:val="zh-CN"/>
        </w:rPr>
        <w:t>询价响应文件正本须按询价文件要求由法定代表人或被授权人签字或盖章并加盖单位印章。副本可复印，但须加盖单位印章。</w:t>
      </w:r>
    </w:p>
    <w:p w14:paraId="57E13A58">
      <w:pPr>
        <w:spacing w:after="0" w:line="360" w:lineRule="auto"/>
        <w:ind w:firstLine="482" w:firstLineChars="200"/>
        <w:jc w:val="both"/>
        <w:rPr>
          <w:rFonts w:hint="eastAsia" w:ascii="宋体" w:hAnsi="宋体" w:cs="宋体"/>
          <w:sz w:val="24"/>
          <w:szCs w:val="28"/>
          <w:lang w:val="zh-CN"/>
        </w:rPr>
      </w:pPr>
      <w:r>
        <w:rPr>
          <w:rFonts w:hint="eastAsia" w:ascii="宋体" w:hAnsi="宋体" w:cs="宋体"/>
          <w:b/>
          <w:sz w:val="24"/>
          <w:szCs w:val="28"/>
        </w:rPr>
        <w:t>凡是响应文件中涉及响应供应商资信认证、人员证书、业绩荣誉等复印件，和要求法定代表人或授权委托人签字，和以供应商名称</w:t>
      </w:r>
      <w:r>
        <w:rPr>
          <w:rFonts w:hint="eastAsia" w:ascii="宋体" w:hAnsi="宋体" w:cs="宋体"/>
          <w:b/>
          <w:sz w:val="24"/>
          <w:szCs w:val="28"/>
          <w:lang w:val="en-US" w:eastAsia="zh-CN"/>
        </w:rPr>
        <w:t xml:space="preserve"> </w:t>
      </w:r>
      <w:r>
        <w:rPr>
          <w:rFonts w:hint="eastAsia" w:ascii="宋体" w:hAnsi="宋体" w:cs="宋体"/>
          <w:b/>
          <w:sz w:val="24"/>
          <w:szCs w:val="28"/>
        </w:rPr>
        <w:t>落款并注明需要盖章的，均需相应盖章（鲜章）或签字。否则视为未按照采购文件要求盖章或签字。</w:t>
      </w:r>
    </w:p>
    <w:p w14:paraId="3F7C89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▲本项目要求提供电子响应文件一份，电子响应文件的内容为资格审查文件、商务报价响应文件打印盖章后的响应文件的扫描件（资格审查文件、商务报价响应文件需分别逐页连续扫描为</w:t>
      </w:r>
      <w:r>
        <w:rPr>
          <w:rFonts w:hint="eastAsia" w:ascii="宋体" w:hAnsi="宋体" w:cs="宋体"/>
          <w:sz w:val="24"/>
          <w:szCs w:val="28"/>
        </w:rPr>
        <w:t>两</w:t>
      </w:r>
      <w:r>
        <w:rPr>
          <w:rFonts w:hint="eastAsia" w:ascii="宋体" w:hAnsi="宋体" w:cs="宋体"/>
          <w:sz w:val="24"/>
          <w:szCs w:val="28"/>
          <w:lang w:val="zh-CN"/>
        </w:rPr>
        <w:t>个独立的PDF文件，</w:t>
      </w:r>
      <w:r>
        <w:rPr>
          <w:rFonts w:hint="eastAsia" w:ascii="宋体" w:hAnsi="宋体" w:cs="宋体"/>
          <w:sz w:val="24"/>
          <w:szCs w:val="24"/>
        </w:rPr>
        <w:t>存储于一个U盘中即可</w:t>
      </w:r>
      <w:r>
        <w:rPr>
          <w:rFonts w:hint="eastAsia" w:ascii="宋体" w:hAnsi="宋体" w:cs="宋体"/>
          <w:sz w:val="24"/>
          <w:szCs w:val="28"/>
          <w:lang w:val="zh-CN"/>
        </w:rPr>
        <w:t>），</w:t>
      </w:r>
      <w:r>
        <w:rPr>
          <w:rFonts w:hint="eastAsia" w:ascii="宋体" w:hAnsi="宋体" w:cs="宋体"/>
          <w:sz w:val="24"/>
          <w:szCs w:val="28"/>
        </w:rPr>
        <w:t>可以采取</w:t>
      </w:r>
      <w:r>
        <w:rPr>
          <w:rFonts w:hint="eastAsia" w:ascii="宋体" w:hAnsi="宋体" w:cs="宋体"/>
          <w:sz w:val="24"/>
          <w:szCs w:val="28"/>
          <w:lang w:val="zh-CN"/>
        </w:rPr>
        <w:t>U盘</w:t>
      </w:r>
      <w:r>
        <w:rPr>
          <w:rFonts w:hint="eastAsia" w:ascii="宋体" w:hAnsi="宋体" w:cs="宋体"/>
          <w:sz w:val="24"/>
          <w:szCs w:val="28"/>
        </w:rPr>
        <w:t>方式</w:t>
      </w:r>
      <w:r>
        <w:rPr>
          <w:rFonts w:hint="eastAsia" w:ascii="宋体" w:hAnsi="宋体" w:cs="宋体"/>
          <w:sz w:val="24"/>
          <w:szCs w:val="28"/>
          <w:lang w:val="zh-CN"/>
        </w:rPr>
        <w:t>提交，需单独密封提交。</w:t>
      </w:r>
    </w:p>
    <w:p w14:paraId="76F95E3F">
      <w:pPr>
        <w:pStyle w:val="2"/>
        <w:spacing w:after="0" w:line="360" w:lineRule="auto"/>
        <w:ind w:firstLine="482" w:firstLineChars="200"/>
        <w:rPr>
          <w:sz w:val="24"/>
          <w:u w:val="double"/>
          <w:lang w:val="zh-CN"/>
        </w:rPr>
      </w:pPr>
      <w:r>
        <w:rPr>
          <w:rFonts w:hint="eastAsia" w:ascii="宋体" w:hAnsi="宋体" w:cs="宋体"/>
          <w:b/>
          <w:bCs/>
          <w:kern w:val="2"/>
          <w:sz w:val="24"/>
          <w:szCs w:val="24"/>
          <w:u w:val="double"/>
        </w:rPr>
        <w:t>特别提醒：未提供电子询价文件的，则视为无效投标。</w:t>
      </w:r>
    </w:p>
    <w:p w14:paraId="423D2575">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（四）询价响应文件的密封及标记</w:t>
      </w:r>
    </w:p>
    <w:p w14:paraId="12AD62E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密封后应标明响应文件项目名称、供应商名称，边缝处加盖单位骑缝章或骑缝签字。</w:t>
      </w:r>
    </w:p>
    <w:p w14:paraId="001E3913">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七、</w:t>
      </w:r>
      <w:r>
        <w:rPr>
          <w:rFonts w:hint="eastAsia" w:ascii="宋体" w:hAnsi="宋体" w:cs="宋体"/>
          <w:b/>
          <w:bCs/>
          <w:sz w:val="24"/>
          <w:szCs w:val="28"/>
          <w:lang w:val="zh-CN"/>
        </w:rPr>
        <w:t>出现下列情形之一的，作无效投标处理：</w:t>
      </w:r>
    </w:p>
    <w:p w14:paraId="1E00BEA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1.</w:t>
      </w:r>
      <w:r>
        <w:rPr>
          <w:rFonts w:hint="eastAsia" w:ascii="宋体" w:hAnsi="宋体" w:cs="宋体"/>
          <w:sz w:val="24"/>
          <w:szCs w:val="28"/>
          <w:lang w:val="zh-CN"/>
        </w:rPr>
        <w:t>投标文件未按询价文件要求签署、盖章的；</w:t>
      </w:r>
    </w:p>
    <w:p w14:paraId="68E1E5C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2.</w:t>
      </w:r>
      <w:r>
        <w:rPr>
          <w:rFonts w:hint="eastAsia" w:ascii="宋体" w:hAnsi="宋体" w:cs="宋体"/>
          <w:sz w:val="24"/>
          <w:szCs w:val="28"/>
          <w:lang w:val="zh-CN"/>
        </w:rPr>
        <w:t>不具备询价文件中规定的资格要求的；</w:t>
      </w:r>
    </w:p>
    <w:p w14:paraId="41CB115B">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报价超过询价文件中规定的预算金额或者最高限价的；</w:t>
      </w:r>
    </w:p>
    <w:p w14:paraId="54F70473">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询价响应文件资格审查文件部分出现商务报价的内容；</w:t>
      </w:r>
    </w:p>
    <w:p w14:paraId="1FFF60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6</w:t>
      </w:r>
      <w:r>
        <w:rPr>
          <w:rFonts w:hint="eastAsia" w:ascii="宋体" w:hAnsi="宋体" w:cs="宋体"/>
          <w:sz w:val="24"/>
          <w:szCs w:val="28"/>
        </w:rPr>
        <w:t>.</w:t>
      </w:r>
      <w:r>
        <w:rPr>
          <w:rFonts w:hint="eastAsia" w:ascii="宋体" w:hAnsi="宋体" w:cs="宋体"/>
          <w:sz w:val="24"/>
          <w:szCs w:val="28"/>
          <w:lang w:val="zh-CN"/>
        </w:rPr>
        <w:t>投标文件含有采购人不能接受的附加条件的；</w:t>
      </w:r>
    </w:p>
    <w:p w14:paraId="29FECD76">
      <w:pPr>
        <w:spacing w:after="0" w:line="360" w:lineRule="auto"/>
        <w:ind w:firstLine="482" w:firstLineChars="200"/>
        <w:jc w:val="both"/>
        <w:rPr>
          <w:rFonts w:hint="eastAsia" w:ascii="宋体" w:hAnsi="宋体" w:cs="宋体"/>
          <w:b/>
          <w:bCs/>
          <w:sz w:val="24"/>
          <w:szCs w:val="28"/>
        </w:rPr>
      </w:pPr>
      <w:r>
        <w:rPr>
          <w:rFonts w:hint="eastAsia" w:ascii="宋体" w:hAnsi="宋体" w:cs="宋体"/>
          <w:b/>
          <w:bCs/>
          <w:sz w:val="24"/>
          <w:szCs w:val="28"/>
        </w:rPr>
        <w:t>7.未提供电子档询价文件；</w:t>
      </w:r>
    </w:p>
    <w:p w14:paraId="4E7DE08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rPr>
        <w:t>8.</w:t>
      </w:r>
      <w:r>
        <w:rPr>
          <w:rFonts w:hint="eastAsia" w:ascii="宋体" w:hAnsi="宋体" w:cs="宋体"/>
          <w:sz w:val="24"/>
          <w:szCs w:val="28"/>
          <w:lang w:val="zh-CN"/>
        </w:rPr>
        <w:t>法律、法规和询价文件规定的其他无效情形。</w:t>
      </w:r>
    </w:p>
    <w:p w14:paraId="00C8D0F4">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八</w:t>
      </w:r>
      <w:r>
        <w:rPr>
          <w:rFonts w:hint="eastAsia" w:ascii="宋体" w:hAnsi="宋体" w:cs="宋体"/>
          <w:b/>
          <w:bCs/>
          <w:sz w:val="24"/>
          <w:szCs w:val="28"/>
          <w:lang w:val="zh-CN"/>
        </w:rPr>
        <w:t>、有下列情形之一的，视为响应供应商串通投标，其投标无效：</w:t>
      </w:r>
    </w:p>
    <w:p w14:paraId="5E72E85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不同响应供应商的投标文件由同一单位或者个人编制；</w:t>
      </w:r>
    </w:p>
    <w:p w14:paraId="655EE9E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不同响应供应商委托同一单位或者个人办理投标事宜；</w:t>
      </w:r>
    </w:p>
    <w:p w14:paraId="116BF32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不同响应供应商的投标文件载明的项目管理成员或者联系人员为同一人；</w:t>
      </w:r>
    </w:p>
    <w:p w14:paraId="65ACA734">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不同响应供应商的投标文件异常一致或者投标报价呈规律性差异；</w:t>
      </w:r>
    </w:p>
    <w:p w14:paraId="14B98836">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5</w:t>
      </w:r>
      <w:r>
        <w:rPr>
          <w:rFonts w:hint="eastAsia" w:ascii="宋体" w:hAnsi="宋体" w:cs="宋体"/>
          <w:sz w:val="24"/>
          <w:szCs w:val="28"/>
        </w:rPr>
        <w:t>.</w:t>
      </w:r>
      <w:r>
        <w:rPr>
          <w:rFonts w:hint="eastAsia" w:ascii="宋体" w:hAnsi="宋体" w:cs="宋体"/>
          <w:sz w:val="24"/>
          <w:szCs w:val="28"/>
          <w:lang w:val="zh-CN"/>
        </w:rPr>
        <w:t>不同响应供应商的投标文件相互混装。</w:t>
      </w:r>
    </w:p>
    <w:p w14:paraId="5993A3CA">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九</w:t>
      </w:r>
      <w:r>
        <w:rPr>
          <w:rFonts w:hint="eastAsia" w:ascii="宋体" w:hAnsi="宋体" w:cs="宋体"/>
          <w:b/>
          <w:bCs/>
          <w:sz w:val="24"/>
          <w:szCs w:val="28"/>
          <w:lang w:val="zh-CN"/>
        </w:rPr>
        <w:t>、变更为其他方式采购的情形处理</w:t>
      </w:r>
    </w:p>
    <w:p w14:paraId="289CBC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投标截止后供应商不足3家或者通过资格审查或符合性审查的供应商不足3家的，除采购任务取消情形外，按照以下方式处理：</w:t>
      </w:r>
    </w:p>
    <w:p w14:paraId="13373978">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询价文件存在不合理条款或者招标程序不符合规定的，采购人、采购代理机构改正后依法重新</w:t>
      </w:r>
      <w:r>
        <w:rPr>
          <w:rFonts w:hint="eastAsia" w:ascii="宋体" w:hAnsi="宋体" w:cs="宋体"/>
          <w:sz w:val="24"/>
          <w:szCs w:val="28"/>
        </w:rPr>
        <w:t>采购</w:t>
      </w:r>
      <w:r>
        <w:rPr>
          <w:rFonts w:hint="eastAsia" w:ascii="宋体" w:hAnsi="宋体" w:cs="宋体"/>
          <w:sz w:val="24"/>
          <w:szCs w:val="28"/>
          <w:lang w:val="zh-CN"/>
        </w:rPr>
        <w:t>；</w:t>
      </w:r>
    </w:p>
    <w:p w14:paraId="3DB4F86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询价文件没有不合理条款、</w:t>
      </w:r>
      <w:r>
        <w:rPr>
          <w:rFonts w:hint="eastAsia" w:ascii="宋体" w:hAnsi="宋体" w:cs="宋体"/>
          <w:sz w:val="24"/>
          <w:szCs w:val="28"/>
        </w:rPr>
        <w:t>采购</w:t>
      </w:r>
      <w:r>
        <w:rPr>
          <w:rFonts w:hint="eastAsia" w:ascii="宋体" w:hAnsi="宋体" w:cs="宋体"/>
          <w:sz w:val="24"/>
          <w:szCs w:val="28"/>
          <w:lang w:val="zh-CN"/>
        </w:rPr>
        <w:t>程序符合规定，需要采用其他采购人式采购的，采购人应当</w:t>
      </w:r>
      <w:r>
        <w:rPr>
          <w:rFonts w:hint="eastAsia" w:ascii="宋体" w:hAnsi="宋体" w:cs="宋体"/>
          <w:sz w:val="24"/>
          <w:szCs w:val="28"/>
        </w:rPr>
        <w:t>报相关</w:t>
      </w:r>
      <w:r>
        <w:rPr>
          <w:rFonts w:hint="eastAsia" w:ascii="宋体" w:hAnsi="宋体" w:cs="宋体"/>
          <w:sz w:val="24"/>
          <w:szCs w:val="28"/>
          <w:lang w:val="zh-CN"/>
        </w:rPr>
        <w:t>部门批准。</w:t>
      </w:r>
    </w:p>
    <w:p w14:paraId="1010A0C1">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w:t>
      </w:r>
      <w:r>
        <w:rPr>
          <w:rFonts w:hint="eastAsia" w:ascii="宋体" w:hAnsi="宋体" w:cs="宋体"/>
          <w:b/>
          <w:bCs/>
          <w:sz w:val="24"/>
          <w:szCs w:val="28"/>
          <w:lang w:val="zh-CN"/>
        </w:rPr>
        <w:t>、出现下列情形之一的，作废标处理：</w:t>
      </w:r>
    </w:p>
    <w:p w14:paraId="23BEFE7C">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出现影响采购公正的违法违规行为的；</w:t>
      </w:r>
    </w:p>
    <w:p w14:paraId="4CF57B8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所有响应供应商报价超出采购控制价的；</w:t>
      </w:r>
    </w:p>
    <w:p w14:paraId="3703772A">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因重大变故，采购任务被取消的；</w:t>
      </w:r>
    </w:p>
    <w:p w14:paraId="511DB0E2">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w:t>
      </w:r>
      <w:r>
        <w:rPr>
          <w:rFonts w:hint="eastAsia" w:ascii="宋体" w:hAnsi="宋体" w:cs="宋体"/>
          <w:sz w:val="24"/>
          <w:szCs w:val="28"/>
        </w:rPr>
        <w:t>.</w:t>
      </w:r>
      <w:r>
        <w:rPr>
          <w:rFonts w:hint="eastAsia" w:ascii="宋体" w:hAnsi="宋体" w:cs="宋体"/>
          <w:sz w:val="24"/>
          <w:szCs w:val="28"/>
          <w:lang w:val="zh-CN"/>
        </w:rPr>
        <w:t>询价小组依据法律法规可以认定为废标的其他情况。</w:t>
      </w:r>
    </w:p>
    <w:p w14:paraId="294F9C9F">
      <w:pPr>
        <w:spacing w:after="0" w:line="360" w:lineRule="auto"/>
        <w:ind w:firstLine="482" w:firstLineChars="200"/>
        <w:jc w:val="both"/>
        <w:rPr>
          <w:rFonts w:hint="eastAsia" w:ascii="宋体" w:hAnsi="宋体" w:cs="宋体"/>
          <w:b/>
          <w:bCs/>
          <w:sz w:val="24"/>
          <w:szCs w:val="28"/>
          <w:lang w:val="zh-CN"/>
        </w:rPr>
      </w:pPr>
      <w:r>
        <w:rPr>
          <w:rFonts w:hint="eastAsia" w:ascii="宋体" w:hAnsi="宋体" w:cs="宋体"/>
          <w:b/>
          <w:bCs/>
          <w:sz w:val="24"/>
          <w:szCs w:val="28"/>
        </w:rPr>
        <w:t>十一</w:t>
      </w:r>
      <w:r>
        <w:rPr>
          <w:rFonts w:hint="eastAsia" w:ascii="宋体" w:hAnsi="宋体" w:cs="宋体"/>
          <w:b/>
          <w:bCs/>
          <w:sz w:val="24"/>
          <w:szCs w:val="28"/>
          <w:lang w:val="zh-CN"/>
        </w:rPr>
        <w:t>、成交通知</w:t>
      </w:r>
    </w:p>
    <w:p w14:paraId="049937BD">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1</w:t>
      </w:r>
      <w:r>
        <w:rPr>
          <w:rFonts w:hint="eastAsia" w:ascii="宋体" w:hAnsi="宋体" w:cs="宋体"/>
          <w:sz w:val="24"/>
          <w:szCs w:val="28"/>
        </w:rPr>
        <w:t>.</w:t>
      </w:r>
      <w:r>
        <w:rPr>
          <w:rFonts w:hint="eastAsia" w:ascii="宋体" w:hAnsi="宋体" w:cs="宋体"/>
          <w:sz w:val="24"/>
          <w:szCs w:val="28"/>
          <w:lang w:val="zh-CN"/>
        </w:rPr>
        <w:t>采购人自成交人确定之日起2个工作日内在</w:t>
      </w:r>
      <w:r>
        <w:rPr>
          <w:rFonts w:hint="eastAsia" w:ascii="宋体" w:hAnsi="宋体" w:cs="宋体"/>
          <w:sz w:val="24"/>
          <w:szCs w:val="28"/>
        </w:rPr>
        <w:t>江苏商贸职业学院网站</w:t>
      </w:r>
      <w:r>
        <w:rPr>
          <w:rFonts w:hint="eastAsia" w:ascii="宋体" w:hAnsi="宋体" w:cs="宋体"/>
          <w:sz w:val="24"/>
          <w:szCs w:val="28"/>
          <w:lang w:val="zh-CN"/>
        </w:rPr>
        <w:t>上公告成交结果。</w:t>
      </w:r>
    </w:p>
    <w:p w14:paraId="791A31E7">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2</w:t>
      </w:r>
      <w:r>
        <w:rPr>
          <w:rFonts w:hint="eastAsia" w:ascii="宋体" w:hAnsi="宋体" w:cs="宋体"/>
          <w:sz w:val="24"/>
          <w:szCs w:val="28"/>
        </w:rPr>
        <w:t>.</w:t>
      </w:r>
      <w:r>
        <w:rPr>
          <w:rFonts w:hint="eastAsia" w:ascii="宋体" w:hAnsi="宋体" w:cs="宋体"/>
          <w:sz w:val="24"/>
          <w:szCs w:val="28"/>
          <w:lang w:val="zh-CN"/>
        </w:rPr>
        <w:t>成交公告期限为1个工作日，期限结束后向成交人发出《成交通知书》。</w:t>
      </w:r>
    </w:p>
    <w:p w14:paraId="792EEA1E">
      <w:pPr>
        <w:spacing w:after="0" w:line="360" w:lineRule="auto"/>
        <w:ind w:firstLine="480" w:firstLineChars="200"/>
        <w:jc w:val="both"/>
        <w:rPr>
          <w:rFonts w:hint="eastAsia" w:ascii="宋体" w:hAnsi="宋体" w:cs="宋体"/>
          <w:b/>
          <w:bCs/>
          <w:sz w:val="24"/>
          <w:szCs w:val="28"/>
        </w:rPr>
      </w:pPr>
      <w:r>
        <w:rPr>
          <w:rFonts w:hint="eastAsia" w:ascii="宋体" w:hAnsi="宋体" w:cs="宋体"/>
          <w:sz w:val="24"/>
          <w:szCs w:val="28"/>
          <w:lang w:val="zh-CN"/>
        </w:rPr>
        <w:t>3</w:t>
      </w:r>
      <w:r>
        <w:rPr>
          <w:rFonts w:hint="eastAsia" w:ascii="宋体" w:hAnsi="宋体" w:cs="宋体"/>
          <w:sz w:val="24"/>
          <w:szCs w:val="28"/>
        </w:rPr>
        <w:t>.</w:t>
      </w:r>
      <w:r>
        <w:rPr>
          <w:rFonts w:hint="eastAsia" w:ascii="宋体" w:hAnsi="宋体" w:cs="宋体"/>
          <w:sz w:val="24"/>
          <w:szCs w:val="28"/>
          <w:lang w:val="zh-CN"/>
        </w:rPr>
        <w:t>《成交通知书》一经发出，即具有法律效力。采购人、成交人依法承担法律责任。</w:t>
      </w:r>
    </w:p>
    <w:p w14:paraId="66C7E9EE">
      <w:pPr>
        <w:spacing w:after="0" w:line="360" w:lineRule="auto"/>
        <w:ind w:firstLine="480" w:firstLineChars="200"/>
        <w:jc w:val="both"/>
        <w:rPr>
          <w:rFonts w:hint="eastAsia" w:ascii="宋体" w:hAnsi="宋体" w:cs="宋体"/>
          <w:sz w:val="24"/>
          <w:szCs w:val="28"/>
          <w:lang w:val="zh-CN"/>
        </w:rPr>
      </w:pPr>
      <w:r>
        <w:rPr>
          <w:rFonts w:hint="eastAsia" w:ascii="宋体" w:hAnsi="宋体" w:cs="宋体"/>
          <w:sz w:val="24"/>
          <w:szCs w:val="28"/>
          <w:lang w:val="zh-CN"/>
        </w:rPr>
        <w:t>4.当成交供应商无正当理由放弃成交，被查实存在影响成交结果的违法行为等情形，采购人有权按照相关法律法规的规定对其采取惩戒措施，包含但不限于列入采购失信人黑名单等措施。</w:t>
      </w:r>
    </w:p>
    <w:p w14:paraId="3D0EA2CE">
      <w:pPr>
        <w:spacing w:after="0" w:line="360" w:lineRule="auto"/>
        <w:ind w:firstLine="480" w:firstLineChars="200"/>
        <w:rPr>
          <w:rFonts w:hint="eastAsia" w:ascii="宋体" w:hAnsi="宋体" w:cs="宋体"/>
          <w:sz w:val="24"/>
          <w:szCs w:val="28"/>
        </w:rPr>
      </w:pPr>
      <w:r>
        <w:rPr>
          <w:rFonts w:hint="eastAsia" w:ascii="宋体" w:hAnsi="宋体" w:cs="宋体"/>
          <w:sz w:val="24"/>
          <w:szCs w:val="28"/>
        </w:rPr>
        <w:t>5.当成交供应商放弃成交、因不可抗力不能履行合同，或者被查实存在影响成交结果的违法行为等情形，不符合成交条件的，采购人可以按照询价小组提出的成交候选人名单排序依次确定其他成交候选人为成交人，也可以重新采购。</w:t>
      </w:r>
    </w:p>
    <w:p w14:paraId="2352B5C7">
      <w:pPr>
        <w:pStyle w:val="16"/>
        <w:spacing w:after="0" w:line="360" w:lineRule="auto"/>
        <w:ind w:left="0" w:leftChars="0" w:firstLine="482" w:firstLineChars="200"/>
        <w:rPr>
          <w:rFonts w:hint="eastAsia" w:ascii="宋体" w:hAnsi="宋体" w:cs="宋体"/>
          <w:b/>
          <w:bCs/>
          <w:sz w:val="24"/>
          <w:szCs w:val="24"/>
        </w:rPr>
      </w:pPr>
      <w:r>
        <w:rPr>
          <w:rFonts w:hint="eastAsia" w:ascii="宋体" w:hAnsi="宋体" w:cs="宋体"/>
          <w:b/>
          <w:bCs/>
          <w:sz w:val="24"/>
          <w:szCs w:val="24"/>
        </w:rPr>
        <w:t>十二、授予合同</w:t>
      </w:r>
    </w:p>
    <w:p w14:paraId="6B9FE4E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1.签订合同</w:t>
      </w:r>
    </w:p>
    <w:p w14:paraId="1CF886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 xml:space="preserve">1.l成交人在《成交通知书》发出30日内必须按照采购文件确定的事项签订采购合同。采购人不得向成交人提出不合理的要求作为签订合同的条件，不得与成交人私下订立背离采购文件实质性内容的协议。  </w:t>
      </w:r>
    </w:p>
    <w:p w14:paraId="469A8265">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1.2采购人按合同约定积极配合成交人履约，成交人履约到位后，请以书面形式向采购人提出验收申请，采购人接到申请后原则上在5个工作日内及时组织相关专业技术人员，必要时邀请质检等部门共同参与验收，并出具验收报告。验收合格后，采购人凭收到货物或服务的验收凭证、验收合格文件等材料，且收到成交人提供发票的原则上15个工作日内支付相应款项。</w:t>
      </w:r>
    </w:p>
    <w:p w14:paraId="0070642D">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1.3采购人故意推迟项目验收时间的，与成交人串通或要求成交人降低服务标准的，在履行合同中采取更改条款、弄虚作假等手段的，要求成交人出具虚假发票或任意更改销售发票的，谋取不正当利益的，承担相应的法律责任。</w:t>
      </w:r>
    </w:p>
    <w:p w14:paraId="5A5EEA26">
      <w:pPr>
        <w:tabs>
          <w:tab w:val="left" w:pos="360"/>
        </w:tabs>
        <w:spacing w:after="0" w:line="360" w:lineRule="auto"/>
        <w:ind w:firstLine="480" w:firstLineChars="200"/>
        <w:rPr>
          <w:rFonts w:hint="eastAsia" w:ascii="宋体" w:hAnsi="宋体" w:cs="宋体"/>
          <w:sz w:val="24"/>
        </w:rPr>
      </w:pPr>
      <w:r>
        <w:rPr>
          <w:rFonts w:hint="eastAsia" w:ascii="宋体" w:hAnsi="宋体" w:cs="宋体"/>
          <w:sz w:val="24"/>
        </w:rPr>
        <w:t>1.4成交人出现违约情形，应当及时纠正或补偿；造成损失的，按合同约定追究违约责任；发现有假冒、伪劣、走私</w:t>
      </w:r>
      <w:r>
        <w:rPr>
          <w:rFonts w:hint="eastAsia" w:ascii="宋体" w:hAnsi="宋体" w:cs="宋体"/>
          <w:sz w:val="24"/>
          <w:lang w:eastAsia="zh-CN"/>
        </w:rPr>
        <w:t xml:space="preserve">货物 </w:t>
      </w:r>
      <w:r>
        <w:rPr>
          <w:rFonts w:hint="eastAsia" w:ascii="宋体" w:hAnsi="宋体" w:cs="宋体"/>
          <w:sz w:val="24"/>
        </w:rPr>
        <w:t>、商业贿赂等违法情形的，应由采购人移交工商、质监、公安等行政执法部门依法查处。</w:t>
      </w:r>
    </w:p>
    <w:p w14:paraId="2F0B3D8A">
      <w:pPr>
        <w:spacing w:after="0" w:line="360" w:lineRule="auto"/>
        <w:ind w:firstLine="484" w:firstLineChars="202"/>
        <w:rPr>
          <w:rFonts w:hint="eastAsia" w:ascii="宋体" w:hAnsi="宋体" w:cs="宋体"/>
          <w:sz w:val="24"/>
        </w:rPr>
      </w:pPr>
      <w:r>
        <w:rPr>
          <w:rFonts w:hint="eastAsia" w:ascii="宋体" w:hAnsi="宋体" w:cs="宋体"/>
          <w:sz w:val="24"/>
        </w:rPr>
        <w:t xml:space="preserve">1.5按采购合同约定支付的货款进行支付。 </w:t>
      </w:r>
    </w:p>
    <w:p w14:paraId="2DB7FC9F">
      <w:pPr>
        <w:spacing w:after="0" w:line="360" w:lineRule="auto"/>
        <w:ind w:firstLine="482" w:firstLineChars="200"/>
        <w:outlineLvl w:val="0"/>
        <w:rPr>
          <w:rFonts w:hint="eastAsia" w:ascii="宋体" w:hAnsi="宋体" w:cs="宋体"/>
          <w:b/>
          <w:sz w:val="24"/>
        </w:rPr>
      </w:pPr>
      <w:r>
        <w:rPr>
          <w:rFonts w:hint="eastAsia" w:ascii="宋体" w:hAnsi="宋体" w:cs="宋体"/>
          <w:b/>
          <w:bCs/>
          <w:sz w:val="24"/>
        </w:rPr>
        <w:t xml:space="preserve"> 十三、</w:t>
      </w:r>
      <w:r>
        <w:rPr>
          <w:rFonts w:hint="eastAsia" w:ascii="宋体" w:hAnsi="宋体" w:cs="宋体"/>
          <w:b/>
          <w:sz w:val="24"/>
        </w:rPr>
        <w:t>其他</w:t>
      </w:r>
    </w:p>
    <w:p w14:paraId="04A3B97F">
      <w:pPr>
        <w:spacing w:after="0" w:line="360" w:lineRule="auto"/>
        <w:ind w:firstLine="480" w:firstLineChars="200"/>
        <w:contextualSpacing/>
        <w:rPr>
          <w:rFonts w:hint="eastAsia" w:ascii="宋体" w:hAnsi="宋体" w:cs="宋体"/>
          <w:b/>
          <w:sz w:val="24"/>
        </w:rPr>
      </w:pPr>
      <w:r>
        <w:rPr>
          <w:rFonts w:hint="eastAsia" w:ascii="宋体" w:hAnsi="宋体" w:cs="宋体"/>
          <w:sz w:val="24"/>
        </w:rPr>
        <w:t>1.供应服务商下载询价文件后，应仔细检查询价文件的所有内容，如有内容或页码残缺、资格要求和技术参数含有倾向性或排他性等表述的，</w:t>
      </w:r>
      <w:r>
        <w:rPr>
          <w:rFonts w:hint="eastAsia" w:ascii="宋体" w:hAnsi="宋体" w:cs="宋体"/>
          <w:b/>
          <w:sz w:val="24"/>
        </w:rPr>
        <w:t>请在</w:t>
      </w:r>
      <w:r>
        <w:rPr>
          <w:rFonts w:hint="eastAsia" w:ascii="宋体" w:hAnsi="宋体" w:cs="宋体"/>
          <w:b/>
          <w:bCs/>
          <w:sz w:val="24"/>
        </w:rPr>
        <w:t>询价文件发布后2日内</w:t>
      </w:r>
      <w:r>
        <w:rPr>
          <w:rFonts w:hint="eastAsia" w:ascii="宋体" w:hAnsi="宋体" w:cs="宋体"/>
          <w:b/>
          <w:sz w:val="24"/>
        </w:rPr>
        <w:t>，以书面形式提出询问或疑问，</w:t>
      </w:r>
      <w:r>
        <w:rPr>
          <w:rFonts w:hint="eastAsia" w:ascii="宋体" w:hAnsi="宋体" w:cs="宋体"/>
          <w:sz w:val="24"/>
        </w:rPr>
        <w:t>未在规定时间内提出询问或疑问的，视同供应商理解并接受本询价文件所有内容，并由此引起的损失自负。供应商不得在响应结束后针对询价文件所有内容提出质疑事项。</w:t>
      </w:r>
      <w:r>
        <w:rPr>
          <w:rFonts w:hint="eastAsia" w:ascii="宋体" w:hAnsi="宋体" w:cs="宋体"/>
          <w:b/>
          <w:sz w:val="24"/>
        </w:rPr>
        <w:t>非书面形式的不作为日后质疑提出的依据。</w:t>
      </w:r>
    </w:p>
    <w:p w14:paraId="0B9D5A83">
      <w:pPr>
        <w:spacing w:after="0" w:line="360" w:lineRule="auto"/>
        <w:ind w:firstLine="480" w:firstLineChars="200"/>
        <w:rPr>
          <w:rFonts w:hint="eastAsia" w:ascii="宋体" w:hAnsi="宋体" w:cs="宋体"/>
          <w:sz w:val="24"/>
        </w:rPr>
      </w:pPr>
      <w:r>
        <w:rPr>
          <w:rFonts w:hint="eastAsia" w:ascii="宋体" w:hAnsi="宋体" w:cs="宋体"/>
          <w:sz w:val="24"/>
        </w:rPr>
        <w:t>2.供应商应认真审阅询价文件中所有的事项、格式、条款和规范要求等，如果供应商没有按照询价文件要求提交响应文件，或者响应文件没有对询价文件做出实质性响应，其响应将被拒绝，应由供应商自行承担。</w:t>
      </w:r>
    </w:p>
    <w:p w14:paraId="1C4926B1">
      <w:pPr>
        <w:spacing w:after="0" w:line="360" w:lineRule="auto"/>
        <w:ind w:firstLine="480" w:firstLineChars="200"/>
        <w:rPr>
          <w:rFonts w:hint="eastAsia" w:ascii="宋体" w:hAnsi="宋体" w:cs="宋体"/>
          <w:sz w:val="24"/>
        </w:rPr>
      </w:pPr>
      <w:r>
        <w:rPr>
          <w:rFonts w:hint="eastAsia" w:ascii="宋体" w:hAnsi="宋体" w:cs="宋体"/>
          <w:sz w:val="24"/>
        </w:rPr>
        <w:t>3.采购单位可以对已发出的询价文件进行必要的澄清或者修改，澄清或者修改的内容作为询价文件的组成部分。澄清或者修改的内容可能影响响应文件编制的，采购单位应当在提交首次响应文件截止之日3个日前，以网上发布形式通知所有接收询价文件的供应服务商，且以在</w:t>
      </w:r>
      <w:r>
        <w:rPr>
          <w:rFonts w:hint="eastAsia" w:ascii="宋体"/>
          <w:sz w:val="24"/>
        </w:rPr>
        <w:t>“江苏商贸职业学院校园网（</w:t>
      </w:r>
      <w:r>
        <w:rPr>
          <w:rFonts w:ascii="宋体"/>
          <w:sz w:val="24"/>
        </w:rPr>
        <w:t>http://www.jsbc.edu.cn/</w:t>
      </w:r>
      <w:r>
        <w:rPr>
          <w:rFonts w:hint="eastAsia" w:ascii="宋体"/>
          <w:sz w:val="24"/>
        </w:rPr>
        <w:t>）</w:t>
      </w:r>
      <w:r>
        <w:rPr>
          <w:rFonts w:hint="eastAsia" w:ascii="宋体" w:hAnsi="宋体" w:cs="宋体"/>
          <w:sz w:val="24"/>
        </w:rPr>
        <w:t xml:space="preserve">发布的信息为准，不足3日的，应当顺延提交首次响应文件截止之日。 </w:t>
      </w:r>
    </w:p>
    <w:p w14:paraId="6457B658">
      <w:pPr>
        <w:spacing w:after="0" w:line="360" w:lineRule="auto"/>
        <w:ind w:firstLine="480" w:firstLineChars="200"/>
        <w:rPr>
          <w:rFonts w:hint="eastAsia" w:ascii="宋体" w:hAnsi="宋体" w:cs="宋体"/>
          <w:sz w:val="24"/>
        </w:rPr>
      </w:pPr>
      <w:r>
        <w:rPr>
          <w:rFonts w:hint="eastAsia" w:ascii="宋体" w:hAnsi="宋体" w:cs="宋体"/>
          <w:sz w:val="24"/>
        </w:rPr>
        <w:t>4.供应商由于对文件的任何推论和误解以及采购单位、采购单位对有关问题的口头解释所造成的后果，均由供应商自负。</w:t>
      </w:r>
    </w:p>
    <w:p w14:paraId="0F79175F">
      <w:pPr>
        <w:spacing w:after="0" w:line="360" w:lineRule="auto"/>
        <w:ind w:firstLine="480" w:firstLineChars="200"/>
        <w:outlineLvl w:val="1"/>
        <w:rPr>
          <w:rFonts w:hint="eastAsia" w:ascii="宋体" w:hAnsi="宋体" w:cs="宋体"/>
          <w:sz w:val="24"/>
        </w:rPr>
      </w:pPr>
      <w:r>
        <w:rPr>
          <w:rFonts w:hint="eastAsia" w:ascii="宋体" w:hAnsi="宋体" w:cs="宋体"/>
          <w:sz w:val="24"/>
        </w:rPr>
        <w:t>5.采购单位可视情组织答疑会。如有答疑且对询价文件内容有修改，采购人将按照本须知有关规定，以补充通知（公告）的方式发出。</w:t>
      </w:r>
    </w:p>
    <w:p w14:paraId="0A360D08">
      <w:pPr>
        <w:spacing w:after="0" w:line="360" w:lineRule="auto"/>
        <w:ind w:firstLine="482" w:firstLineChars="200"/>
        <w:outlineLvl w:val="1"/>
        <w:rPr>
          <w:rFonts w:hint="eastAsia" w:ascii="宋体" w:hAnsi="宋体" w:cs="宋体"/>
          <w:b/>
          <w:bCs/>
          <w:sz w:val="24"/>
        </w:rPr>
      </w:pPr>
      <w:r>
        <w:rPr>
          <w:rFonts w:hint="eastAsia" w:ascii="宋体" w:hAnsi="宋体" w:cs="宋体"/>
          <w:b/>
          <w:bCs/>
          <w:sz w:val="24"/>
        </w:rPr>
        <w:t>十四、未尽事宜</w:t>
      </w:r>
    </w:p>
    <w:p w14:paraId="6ABCBDC4">
      <w:pPr>
        <w:pStyle w:val="15"/>
        <w:tabs>
          <w:tab w:val="left" w:pos="1050"/>
          <w:tab w:val="right" w:leader="dot" w:pos="9402"/>
        </w:tabs>
        <w:spacing w:line="360" w:lineRule="auto"/>
        <w:jc w:val="both"/>
        <w:outlineLvl w:val="0"/>
        <w:rPr>
          <w:rFonts w:hint="eastAsia" w:ascii="宋体" w:hAnsi="宋体" w:cs="宋体"/>
          <w:b/>
          <w:bCs/>
          <w:i w:val="0"/>
          <w:iCs/>
          <w:sz w:val="24"/>
          <w:szCs w:val="28"/>
        </w:rPr>
      </w:pPr>
      <w:r>
        <w:rPr>
          <w:rFonts w:hint="eastAsia" w:ascii="宋体" w:hAnsi="宋体" w:cs="宋体"/>
          <w:i w:val="0"/>
          <w:sz w:val="24"/>
          <w:szCs w:val="22"/>
        </w:rPr>
        <w:t>参照江苏商贸职业学院采购与招标管理内控制度规定执行。</w:t>
      </w:r>
      <w:r>
        <w:rPr>
          <w:rFonts w:hint="eastAsia" w:ascii="宋体" w:hAnsi="宋体" w:cs="宋体"/>
          <w:b/>
          <w:bCs/>
          <w:i w:val="0"/>
          <w:iCs/>
          <w:sz w:val="24"/>
          <w:szCs w:val="28"/>
        </w:rPr>
        <w:br w:type="page"/>
      </w:r>
    </w:p>
    <w:p w14:paraId="445251B4">
      <w:pPr>
        <w:pStyle w:val="15"/>
        <w:keepNext w:val="0"/>
        <w:keepLines w:val="0"/>
        <w:pageBreakBefore w:val="0"/>
        <w:widowControl/>
        <w:numPr>
          <w:ilvl w:val="0"/>
          <w:numId w:val="4"/>
        </w:numPr>
        <w:tabs>
          <w:tab w:val="left" w:pos="1050"/>
          <w:tab w:val="right" w:leader="dot" w:pos="9402"/>
        </w:tabs>
        <w:kinsoku/>
        <w:wordWrap/>
        <w:overflowPunct/>
        <w:topLinePunct w:val="0"/>
        <w:autoSpaceDE/>
        <w:autoSpaceDN/>
        <w:bidi w:val="0"/>
        <w:adjustRightInd w:val="0"/>
        <w:snapToGrid w:val="0"/>
        <w:spacing w:after="0" w:line="360" w:lineRule="auto"/>
        <w:ind w:left="0" w:firstLine="3373" w:firstLineChars="1400"/>
        <w:jc w:val="both"/>
        <w:textAlignment w:val="auto"/>
        <w:outlineLvl w:val="0"/>
        <w:rPr>
          <w:rFonts w:hint="eastAsia" w:ascii="宋体" w:hAnsi="宋体" w:cs="宋体"/>
          <w:b/>
          <w:bCs/>
          <w:i w:val="0"/>
          <w:sz w:val="24"/>
          <w:szCs w:val="24"/>
        </w:rPr>
      </w:pPr>
      <w:r>
        <w:rPr>
          <w:rFonts w:hint="eastAsia" w:ascii="宋体" w:hAnsi="宋体" w:cs="宋体"/>
          <w:b/>
          <w:bCs/>
          <w:sz w:val="24"/>
          <w:szCs w:val="24"/>
        </w:rPr>
        <w:t xml:space="preserve">  </w:t>
      </w:r>
      <w:r>
        <w:rPr>
          <w:rFonts w:hint="eastAsia" w:ascii="宋体" w:hAnsi="宋体" w:cs="宋体"/>
          <w:b/>
          <w:bCs/>
          <w:i w:val="0"/>
          <w:sz w:val="24"/>
          <w:szCs w:val="24"/>
        </w:rPr>
        <w:t>合同主要条款</w:t>
      </w:r>
    </w:p>
    <w:p w14:paraId="39BBB1AE">
      <w:pPr>
        <w:numPr>
          <w:ilvl w:val="0"/>
          <w:numId w:val="0"/>
        </w:numPr>
        <w:jc w:val="center"/>
        <w:rPr>
          <w:rFonts w:hint="eastAsia"/>
        </w:rPr>
      </w:pPr>
      <w:r>
        <w:rPr>
          <w:rFonts w:hint="eastAsia" w:ascii="宋体" w:hAnsi="宋体" w:cs="仿宋"/>
          <w:sz w:val="24"/>
        </w:rPr>
        <w:t>（下述为通用合同模板，最终以实际合同为准）</w:t>
      </w:r>
    </w:p>
    <w:p w14:paraId="734EA500">
      <w:pPr>
        <w:jc w:val="right"/>
        <w:rPr>
          <w:rFonts w:ascii="宋体" w:hAnsi="宋体" w:eastAsia="宋体"/>
        </w:rPr>
      </w:pPr>
      <w:r>
        <w:rPr>
          <w:rFonts w:ascii="宋体" w:hAnsi="宋体" w:eastAsia="宋体"/>
          <w:bCs/>
        </w:rPr>
        <w:t>合同编号：</w:t>
      </w:r>
      <w:r>
        <w:rPr>
          <w:rFonts w:hint="eastAsia" w:ascii="宋体" w:hAnsi="宋体" w:eastAsia="宋体"/>
          <w:bCs/>
          <w:i/>
        </w:rPr>
        <w:t>（在合同系统发起后自动生成的编号）</w:t>
      </w:r>
      <w:r>
        <w:rPr>
          <w:rFonts w:ascii="宋体" w:hAnsi="宋体" w:eastAsia="宋体"/>
        </w:rPr>
        <w:t> </w:t>
      </w:r>
    </w:p>
    <w:p w14:paraId="59F01AFD">
      <w:pPr>
        <w:rPr>
          <w:rFonts w:ascii="宋体" w:hAnsi="宋体" w:eastAsia="宋体"/>
        </w:rPr>
      </w:pPr>
      <w:r>
        <w:rPr>
          <w:rFonts w:ascii="宋体" w:hAnsi="宋体" w:eastAsia="宋体"/>
          <w:b/>
          <w:bCs/>
        </w:rPr>
        <w:t>甲方（采购方）：</w:t>
      </w:r>
      <w:r>
        <w:rPr>
          <w:rFonts w:ascii="宋体" w:hAnsi="宋体" w:eastAsia="宋体"/>
        </w:rPr>
        <w:t xml:space="preserve"> </w:t>
      </w:r>
      <w:r>
        <w:rPr>
          <w:rFonts w:ascii="宋体" w:hAnsi="宋体" w:eastAsia="宋体"/>
        </w:rPr>
        <w:br w:type="textWrapping"/>
      </w:r>
      <w:r>
        <w:rPr>
          <w:rFonts w:ascii="宋体" w:hAnsi="宋体" w:eastAsia="宋体"/>
          <w:b/>
          <w:bCs/>
        </w:rPr>
        <w:t>乙方（供应方）：</w:t>
      </w:r>
      <w:r>
        <w:rPr>
          <w:rFonts w:ascii="宋体" w:hAnsi="宋体" w:eastAsia="宋体"/>
        </w:rPr>
        <w:t> </w:t>
      </w:r>
      <w:r>
        <w:rPr>
          <w:rFonts w:ascii="宋体" w:hAnsi="宋体" w:eastAsia="宋体"/>
        </w:rPr>
        <w:br w:type="textWrapping"/>
      </w:r>
    </w:p>
    <w:p w14:paraId="46BAFAC1">
      <w:pPr>
        <w:ind w:firstLine="440" w:firstLineChars="200"/>
        <w:rPr>
          <w:rFonts w:ascii="宋体" w:hAnsi="宋体" w:eastAsia="宋体"/>
        </w:rPr>
      </w:pPr>
      <w:r>
        <w:rPr>
          <w:rFonts w:ascii="宋体" w:hAnsi="宋体" w:eastAsia="宋体"/>
        </w:rPr>
        <w:t>鉴于</w:t>
      </w:r>
      <w:r>
        <w:rPr>
          <w:rFonts w:hint="eastAsia" w:ascii="宋体" w:hAnsi="宋体" w:eastAsia="宋体"/>
          <w:i/>
          <w:u w:val="single"/>
        </w:rPr>
        <w:t>（招投标、询价、竞谈结果等）</w:t>
      </w:r>
      <w:r>
        <w:rPr>
          <w:rFonts w:hint="eastAsia" w:ascii="宋体" w:hAnsi="宋体" w:eastAsia="宋体"/>
        </w:rPr>
        <w:t>，</w:t>
      </w:r>
      <w:r>
        <w:rPr>
          <w:rFonts w:ascii="宋体" w:hAnsi="宋体" w:eastAsia="宋体"/>
        </w:rPr>
        <w:t>根据《中华人民共和国民法典》、《中华人民共和国政府采购法》等相关法律法规的规定，甲乙双方在平等、自愿、公平、诚实信用的基础上，经充分协商，就甲方向乙方采购</w:t>
      </w:r>
      <w:r>
        <w:rPr>
          <w:rFonts w:ascii="宋体" w:hAnsi="宋体" w:eastAsia="宋体"/>
          <w:i/>
          <w:u w:val="single"/>
        </w:rPr>
        <w:t> [请填写商品名称] </w:t>
      </w:r>
      <w:r>
        <w:rPr>
          <w:rFonts w:ascii="宋体" w:hAnsi="宋体" w:eastAsia="宋体"/>
        </w:rPr>
        <w:t>事宜，达成如下协议，以资共同遵守。</w:t>
      </w:r>
    </w:p>
    <w:p w14:paraId="0E329D80">
      <w:pPr>
        <w:rPr>
          <w:rFonts w:ascii="宋体" w:hAnsi="宋体" w:eastAsia="宋体"/>
        </w:rPr>
      </w:pPr>
      <w:r>
        <w:rPr>
          <w:rFonts w:ascii="宋体" w:hAnsi="宋体" w:eastAsia="宋体"/>
          <w:b/>
          <w:bCs/>
        </w:rPr>
        <w:t>第一条 合同标的</w:t>
      </w:r>
    </w:p>
    <w:p w14:paraId="46D0F3BE">
      <w:pPr>
        <w:rPr>
          <w:rFonts w:ascii="宋体" w:hAnsi="宋体" w:eastAsia="宋体"/>
        </w:rPr>
      </w:pPr>
      <w:r>
        <w:rPr>
          <w:rFonts w:ascii="宋体" w:hAnsi="宋体" w:eastAsia="宋体"/>
        </w:rPr>
        <w:t>1.1 甲方向乙方采购的具体商品/服务内容、规格、数量、单价及总价等，详见本合同附件一《采购明细清单》。该附件为本合同不可分割的一部分，与本合同具有同等法律效力。</w:t>
      </w:r>
    </w:p>
    <w:p w14:paraId="59239B5C">
      <w:pPr>
        <w:rPr>
          <w:rFonts w:ascii="宋体" w:hAnsi="宋体" w:eastAsia="宋体"/>
        </w:rPr>
      </w:pPr>
      <w:r>
        <w:rPr>
          <w:rFonts w:ascii="宋体" w:hAnsi="宋体" w:eastAsia="宋体"/>
        </w:rPr>
        <w:t>1.2 乙方应保证所提供的商品是全新、未使用过的原装合格正品（如为服务，则需保证由具备相应资质的专业人员提供），并完全符合国家规定的质量规范和合同约定的质量、规格、性能和技术要求。</w:t>
      </w:r>
    </w:p>
    <w:p w14:paraId="6DF01A47">
      <w:pPr>
        <w:spacing w:line="360" w:lineRule="auto"/>
        <w:rPr>
          <w:rFonts w:ascii="宋体" w:hAnsi="宋体" w:eastAsia="宋体"/>
          <w:i/>
        </w:rPr>
      </w:pPr>
      <w:r>
        <w:rPr>
          <w:rFonts w:hint="eastAsia" w:ascii="宋体" w:hAnsi="宋体" w:eastAsia="宋体"/>
        </w:rPr>
        <w:t>（</w:t>
      </w:r>
      <w:r>
        <w:rPr>
          <w:rFonts w:hint="eastAsia" w:ascii="宋体" w:hAnsi="宋体" w:eastAsia="宋体"/>
          <w:i/>
        </w:rPr>
        <w:t>1</w:t>
      </w:r>
      <w:r>
        <w:rPr>
          <w:rFonts w:ascii="宋体" w:hAnsi="宋体" w:eastAsia="宋体"/>
          <w:i/>
        </w:rPr>
        <w:t xml:space="preserve">.3 </w:t>
      </w:r>
      <w:r>
        <w:rPr>
          <w:rFonts w:hint="eastAsia" w:ascii="宋体" w:hAnsi="宋体" w:eastAsia="宋体"/>
          <w:i/>
        </w:rPr>
        <w:t>根据实施项目需要添加个性化内容</w:t>
      </w:r>
      <w:r>
        <w:rPr>
          <w:rFonts w:hint="eastAsia" w:ascii="宋体" w:hAnsi="宋体" w:eastAsia="宋体"/>
        </w:rPr>
        <w:t>）</w:t>
      </w:r>
    </w:p>
    <w:p w14:paraId="460C025F">
      <w:pPr>
        <w:rPr>
          <w:rFonts w:ascii="宋体" w:hAnsi="宋体" w:eastAsia="宋体"/>
        </w:rPr>
      </w:pPr>
      <w:r>
        <w:rPr>
          <w:rFonts w:ascii="宋体" w:hAnsi="宋体" w:eastAsia="宋体"/>
          <w:b/>
          <w:bCs/>
        </w:rPr>
        <w:t>第二条 合同金额</w:t>
      </w:r>
    </w:p>
    <w:p w14:paraId="55C3CA35">
      <w:pPr>
        <w:rPr>
          <w:rFonts w:ascii="宋体" w:hAnsi="宋体" w:eastAsia="宋体"/>
        </w:rPr>
      </w:pPr>
      <w:r>
        <w:rPr>
          <w:rFonts w:ascii="宋体" w:hAnsi="宋体" w:eastAsia="宋体"/>
        </w:rPr>
        <w:t>2.1 本合同总金额为人民币（大写）：</w:t>
      </w:r>
      <w:r>
        <w:rPr>
          <w:rFonts w:hint="eastAsia" w:ascii="宋体" w:hAnsi="宋体" w:eastAsia="宋体"/>
        </w:rPr>
        <w:t xml:space="preserve"> </w:t>
      </w:r>
      <w:r>
        <w:rPr>
          <w:rFonts w:hint="eastAsia" w:ascii="宋体" w:hAnsi="宋体" w:eastAsia="宋体"/>
          <w:u w:val="single"/>
        </w:rPr>
        <w:t xml:space="preserve">                      </w:t>
      </w:r>
      <w:r>
        <w:rPr>
          <w:rFonts w:ascii="宋体" w:hAnsi="宋体" w:eastAsia="宋体"/>
        </w:rPr>
        <w:t>，（小写）：¥</w:t>
      </w:r>
      <w:r>
        <w:rPr>
          <w:rFonts w:hint="eastAsia" w:ascii="宋体" w:hAnsi="宋体" w:eastAsia="宋体"/>
          <w:u w:val="single"/>
        </w:rPr>
        <w:t xml:space="preserve">           </w:t>
      </w:r>
      <w:r>
        <w:rPr>
          <w:rFonts w:ascii="宋体" w:hAnsi="宋体" w:eastAsia="宋体"/>
        </w:rPr>
        <w:t>。</w:t>
      </w:r>
    </w:p>
    <w:p w14:paraId="533128F9">
      <w:pPr>
        <w:rPr>
          <w:rFonts w:ascii="宋体" w:hAnsi="宋体" w:eastAsia="宋体"/>
        </w:rPr>
      </w:pPr>
      <w:r>
        <w:rPr>
          <w:rFonts w:ascii="宋体" w:hAnsi="宋体" w:eastAsia="宋体"/>
        </w:rPr>
        <w:t>2.2 本合同总价为 </w:t>
      </w:r>
      <w:r>
        <w:rPr>
          <w:rFonts w:ascii="宋体" w:hAnsi="宋体" w:eastAsia="宋体"/>
          <w:b/>
          <w:bCs/>
        </w:rPr>
        <w:t>□ 固定总价</w:t>
      </w:r>
      <w:r>
        <w:rPr>
          <w:rFonts w:ascii="宋体" w:hAnsi="宋体" w:eastAsia="宋体"/>
        </w:rPr>
        <w:t> </w:t>
      </w:r>
      <w:r>
        <w:rPr>
          <w:rFonts w:ascii="宋体" w:hAnsi="宋体" w:eastAsia="宋体"/>
          <w:b/>
          <w:bCs/>
        </w:rPr>
        <w:t>□ 其他（请注明）</w:t>
      </w:r>
      <w:r>
        <w:rPr>
          <w:rFonts w:hint="eastAsia" w:ascii="宋体" w:hAnsi="宋体" w:eastAsia="宋体"/>
          <w:u w:val="single"/>
        </w:rPr>
        <w:t xml:space="preserve">                                 </w:t>
      </w:r>
      <w:r>
        <w:rPr>
          <w:rFonts w:ascii="宋体" w:hAnsi="宋体" w:eastAsia="宋体"/>
        </w:rPr>
        <w:t>。该总价已包括商品价款、运输费、装卸费、保险费、安装调试费（如有）、培训费（如有）、税费以及所有其他应由乙方承担的费用。</w:t>
      </w:r>
    </w:p>
    <w:p w14:paraId="1FFDAA81">
      <w:pPr>
        <w:rPr>
          <w:rFonts w:ascii="宋体" w:hAnsi="宋体" w:eastAsia="宋体"/>
        </w:rPr>
      </w:pPr>
      <w:r>
        <w:rPr>
          <w:rFonts w:ascii="宋体" w:hAnsi="宋体" w:eastAsia="宋体"/>
          <w:b/>
          <w:bCs/>
        </w:rPr>
        <w:t>第三条 支付方式</w:t>
      </w:r>
    </w:p>
    <w:p w14:paraId="6182ECBB">
      <w:pPr>
        <w:rPr>
          <w:rFonts w:ascii="宋体" w:hAnsi="宋体" w:eastAsia="宋体"/>
        </w:rPr>
      </w:pPr>
      <w:r>
        <w:rPr>
          <w:rFonts w:ascii="宋体" w:hAnsi="宋体" w:eastAsia="宋体"/>
        </w:rPr>
        <w:t>3.1 甲方按以下第</w:t>
      </w:r>
      <w:r>
        <w:rPr>
          <w:rFonts w:ascii="宋体" w:hAnsi="宋体" w:eastAsia="宋体"/>
          <w:u w:val="single"/>
        </w:rPr>
        <w:t> </w:t>
      </w:r>
      <w:r>
        <w:rPr>
          <w:rFonts w:hint="eastAsia" w:ascii="宋体" w:hAnsi="宋体" w:eastAsia="宋体"/>
          <w:u w:val="single"/>
        </w:rPr>
        <w:t xml:space="preserve">   </w:t>
      </w:r>
      <w:r>
        <w:rPr>
          <w:rFonts w:ascii="宋体" w:hAnsi="宋体" w:eastAsia="宋体"/>
        </w:rPr>
        <w:t>种方式向乙方支付合同款项：</w:t>
      </w:r>
      <w:r>
        <w:rPr>
          <w:rFonts w:ascii="宋体" w:hAnsi="宋体" w:eastAsia="宋体"/>
        </w:rPr>
        <w:br w:type="textWrapping"/>
      </w:r>
      <w:r>
        <w:rPr>
          <w:rFonts w:ascii="宋体" w:hAnsi="宋体" w:eastAsia="宋体"/>
        </w:rPr>
        <w:t>（1）分期支付：</w:t>
      </w:r>
      <w:r>
        <w:rPr>
          <w:rFonts w:ascii="宋体" w:hAnsi="宋体" w:eastAsia="宋体"/>
        </w:rPr>
        <w:br w:type="textWrapping"/>
      </w:r>
      <w:r>
        <w:rPr>
          <w:rFonts w:ascii="宋体" w:hAnsi="宋体" w:eastAsia="宋体"/>
        </w:rPr>
        <w:t>a. 合同签订后 </w:t>
      </w:r>
      <w:r>
        <w:rPr>
          <w:rFonts w:ascii="宋体" w:hAnsi="宋体" w:eastAsia="宋体"/>
          <w:u w:val="single"/>
        </w:rPr>
        <w:t xml:space="preserve">      </w:t>
      </w:r>
      <w:r>
        <w:rPr>
          <w:rFonts w:ascii="宋体" w:hAnsi="宋体" w:eastAsia="宋体"/>
        </w:rPr>
        <w:t> 个工作日内，甲方向乙方支付合同总价的</w:t>
      </w:r>
      <w:r>
        <w:rPr>
          <w:rFonts w:ascii="宋体" w:hAnsi="宋体" w:eastAsia="宋体"/>
          <w:u w:val="single"/>
        </w:rPr>
        <w:t xml:space="preserve">       </w:t>
      </w:r>
      <w:r>
        <w:rPr>
          <w:rFonts w:ascii="宋体" w:hAnsi="宋体" w:eastAsia="宋体"/>
        </w:rPr>
        <w:t>% 作为预付款，即人民币 ¥</w:t>
      </w:r>
      <w:r>
        <w:rPr>
          <w:rFonts w:ascii="宋体" w:hAnsi="宋体" w:eastAsia="宋体"/>
          <w:u w:val="single"/>
        </w:rPr>
        <w:t>        </w:t>
      </w:r>
      <w:r>
        <w:rPr>
          <w:rFonts w:ascii="宋体" w:hAnsi="宋体" w:eastAsia="宋体"/>
        </w:rPr>
        <w:t>元。</w:t>
      </w:r>
      <w:r>
        <w:rPr>
          <w:rFonts w:ascii="宋体" w:hAnsi="宋体" w:eastAsia="宋体"/>
        </w:rPr>
        <w:br w:type="textWrapping"/>
      </w:r>
      <w:r>
        <w:rPr>
          <w:rFonts w:ascii="宋体" w:hAnsi="宋体" w:eastAsia="宋体"/>
        </w:rPr>
        <w:t>b. 货物送达指定地点经甲方验收合格（或服务期满验收合格）后 </w:t>
      </w:r>
      <w:r>
        <w:rPr>
          <w:rFonts w:ascii="宋体" w:hAnsi="宋体" w:eastAsia="宋体"/>
          <w:u w:val="single"/>
        </w:rPr>
        <w:t xml:space="preserve">       </w:t>
      </w:r>
      <w:r>
        <w:rPr>
          <w:rFonts w:ascii="宋体" w:hAnsi="宋体" w:eastAsia="宋体"/>
        </w:rPr>
        <w:t>个工作日内，甲方向乙方支付合同总价的 </w:t>
      </w:r>
      <w:r>
        <w:rPr>
          <w:rFonts w:ascii="宋体" w:hAnsi="宋体" w:eastAsia="宋体"/>
          <w:u w:val="single"/>
        </w:rPr>
        <w:t xml:space="preserve">      </w:t>
      </w:r>
      <w:r>
        <w:rPr>
          <w:rFonts w:ascii="宋体" w:hAnsi="宋体" w:eastAsia="宋体"/>
        </w:rPr>
        <w:t>%，即人民币 ¥</w:t>
      </w:r>
      <w:r>
        <w:rPr>
          <w:rFonts w:ascii="宋体" w:hAnsi="宋体" w:eastAsia="宋体"/>
          <w:u w:val="single"/>
        </w:rPr>
        <w:t>        </w:t>
      </w:r>
      <w:r>
        <w:rPr>
          <w:rFonts w:ascii="宋体" w:hAnsi="宋体" w:eastAsia="宋体"/>
        </w:rPr>
        <w:t>元。</w:t>
      </w:r>
      <w:r>
        <w:rPr>
          <w:rFonts w:ascii="宋体" w:hAnsi="宋体" w:eastAsia="宋体"/>
        </w:rPr>
        <w:br w:type="textWrapping"/>
      </w:r>
      <w:r>
        <w:rPr>
          <w:rFonts w:ascii="宋体" w:hAnsi="宋体" w:eastAsia="宋体"/>
        </w:rPr>
        <w:t>c. 剩余合同总价的</w:t>
      </w:r>
      <w:r>
        <w:rPr>
          <w:rFonts w:ascii="宋体" w:hAnsi="宋体" w:eastAsia="宋体"/>
          <w:u w:val="single"/>
        </w:rPr>
        <w:t xml:space="preserve">       </w:t>
      </w:r>
      <w:r>
        <w:rPr>
          <w:rFonts w:ascii="宋体" w:hAnsi="宋体" w:eastAsia="宋体"/>
        </w:rPr>
        <w:t>% 作为质量保证金，待质保期</w:t>
      </w:r>
      <w:r>
        <w:rPr>
          <w:rFonts w:ascii="宋体" w:hAnsi="宋体" w:eastAsia="宋体"/>
          <w:u w:val="single"/>
        </w:rPr>
        <w:t>        </w:t>
      </w:r>
      <w:r>
        <w:rPr>
          <w:rFonts w:ascii="宋体" w:hAnsi="宋体" w:eastAsia="宋体"/>
        </w:rPr>
        <w:t>年届满后，如无质量问题或乙方已履行质保义务，甲方在</w:t>
      </w:r>
      <w:r>
        <w:rPr>
          <w:rFonts w:ascii="宋体" w:hAnsi="宋体" w:eastAsia="宋体"/>
          <w:u w:val="single"/>
        </w:rPr>
        <w:t>        </w:t>
      </w:r>
      <w:r>
        <w:rPr>
          <w:rFonts w:ascii="宋体" w:hAnsi="宋体" w:eastAsia="宋体"/>
        </w:rPr>
        <w:t>个工作日内无息付清。</w:t>
      </w:r>
      <w:r>
        <w:rPr>
          <w:rFonts w:ascii="宋体" w:hAnsi="宋体" w:eastAsia="宋体"/>
        </w:rPr>
        <w:br w:type="textWrapping"/>
      </w:r>
      <w:r>
        <w:rPr>
          <w:rFonts w:ascii="宋体" w:hAnsi="宋体" w:eastAsia="宋体"/>
        </w:rPr>
        <w:t>（2）一次性支付：货物/服务验收合格后</w:t>
      </w:r>
      <w:r>
        <w:rPr>
          <w:rFonts w:ascii="宋体" w:hAnsi="宋体" w:eastAsia="宋体"/>
          <w:u w:val="single"/>
        </w:rPr>
        <w:t>        </w:t>
      </w:r>
      <w:r>
        <w:rPr>
          <w:rFonts w:ascii="宋体" w:hAnsi="宋体" w:eastAsia="宋体"/>
        </w:rPr>
        <w:t>个工作日内，甲方向乙方支付全部合同款项。</w:t>
      </w:r>
    </w:p>
    <w:p w14:paraId="76C0A1EA">
      <w:pPr>
        <w:rPr>
          <w:rFonts w:ascii="宋体" w:hAnsi="宋体" w:eastAsia="宋体"/>
        </w:rPr>
      </w:pPr>
      <w:r>
        <w:rPr>
          <w:rFonts w:ascii="宋体" w:hAnsi="宋体" w:eastAsia="宋体"/>
        </w:rPr>
        <w:t>3.2 乙方应在甲方付款前，向甲方出具等额、合法的增值税发票。甲方收到发票后按约定付款。</w:t>
      </w:r>
    </w:p>
    <w:p w14:paraId="571081FF">
      <w:pPr>
        <w:rPr>
          <w:rFonts w:ascii="宋体" w:hAnsi="宋体" w:eastAsia="宋体"/>
        </w:rPr>
      </w:pPr>
      <w:r>
        <w:rPr>
          <w:rFonts w:ascii="宋体" w:hAnsi="宋体" w:eastAsia="宋体"/>
          <w:b/>
          <w:bCs/>
        </w:rPr>
        <w:t>第四条 交付与验收</w:t>
      </w:r>
    </w:p>
    <w:p w14:paraId="2F57F45F">
      <w:pPr>
        <w:rPr>
          <w:rFonts w:ascii="宋体" w:hAnsi="宋体" w:eastAsia="宋体"/>
        </w:rPr>
      </w:pPr>
      <w:r>
        <w:rPr>
          <w:rFonts w:ascii="宋体" w:hAnsi="宋体" w:eastAsia="宋体"/>
        </w:rPr>
        <w:t>4.1 </w:t>
      </w:r>
      <w:r>
        <w:rPr>
          <w:rFonts w:ascii="宋体" w:hAnsi="宋体" w:eastAsia="宋体"/>
          <w:b/>
          <w:bCs/>
        </w:rPr>
        <w:t>交付时间：</w:t>
      </w:r>
      <w:r>
        <w:rPr>
          <w:rFonts w:ascii="宋体" w:hAnsi="宋体" w:eastAsia="宋体"/>
        </w:rPr>
        <w:t>乙方应于</w:t>
      </w:r>
      <w:r>
        <w:rPr>
          <w:rFonts w:ascii="宋体" w:hAnsi="宋体" w:eastAsia="宋体"/>
          <w:u w:val="single"/>
        </w:rPr>
        <w:t>        </w:t>
      </w:r>
      <w:r>
        <w:rPr>
          <w:rFonts w:ascii="宋体" w:hAnsi="宋体" w:eastAsia="宋体"/>
        </w:rPr>
        <w:t>年</w:t>
      </w:r>
      <w:r>
        <w:rPr>
          <w:rFonts w:ascii="宋体" w:hAnsi="宋体" w:eastAsia="宋体"/>
          <w:u w:val="single"/>
        </w:rPr>
        <w:t>        </w:t>
      </w:r>
      <w:r>
        <w:rPr>
          <w:rFonts w:ascii="宋体" w:hAnsi="宋体" w:eastAsia="宋体"/>
        </w:rPr>
        <w:t>月</w:t>
      </w:r>
      <w:r>
        <w:rPr>
          <w:rFonts w:ascii="宋体" w:hAnsi="宋体" w:eastAsia="宋体"/>
          <w:u w:val="single"/>
        </w:rPr>
        <w:t>        </w:t>
      </w:r>
      <w:r>
        <w:rPr>
          <w:rFonts w:ascii="宋体" w:hAnsi="宋体" w:eastAsia="宋体"/>
        </w:rPr>
        <w:t>日前将全部商品送达甲方指定地点并完成安装调试（如需），或在此日期前完成所有服务。</w:t>
      </w:r>
      <w:r>
        <w:rPr>
          <w:rFonts w:ascii="宋体" w:hAnsi="宋体" w:eastAsia="宋体"/>
        </w:rPr>
        <w:br w:type="textWrapping"/>
      </w:r>
      <w:r>
        <w:rPr>
          <w:rFonts w:ascii="宋体" w:hAnsi="宋体" w:eastAsia="宋体"/>
          <w:b/>
          <w:bCs/>
        </w:rPr>
        <w:t>指定交付地点：</w:t>
      </w:r>
      <w:r>
        <w:rPr>
          <w:rFonts w:hint="eastAsia" w:ascii="宋体" w:hAnsi="宋体" w:eastAsia="宋体"/>
          <w:b/>
          <w:bCs/>
          <w:u w:val="single"/>
        </w:rPr>
        <w:t xml:space="preserve">                                   </w:t>
      </w:r>
      <w:r>
        <w:rPr>
          <w:rFonts w:hint="eastAsia" w:ascii="宋体" w:hAnsi="宋体" w:eastAsia="宋体"/>
          <w:i/>
        </w:rPr>
        <w:t>（</w:t>
      </w:r>
      <w:r>
        <w:rPr>
          <w:rFonts w:ascii="宋体" w:hAnsi="宋体" w:eastAsia="宋体"/>
          <w:i/>
        </w:rPr>
        <w:t>如：XX校区XX楼仓库</w:t>
      </w:r>
      <w:r>
        <w:rPr>
          <w:rFonts w:hint="eastAsia" w:ascii="宋体" w:hAnsi="宋体" w:eastAsia="宋体"/>
          <w:i/>
        </w:rPr>
        <w:t>/甲方制定地点）</w:t>
      </w:r>
    </w:p>
    <w:p w14:paraId="5C46A718">
      <w:pPr>
        <w:rPr>
          <w:rFonts w:ascii="宋体" w:hAnsi="宋体" w:eastAsia="宋体"/>
        </w:rPr>
      </w:pPr>
      <w:r>
        <w:rPr>
          <w:rFonts w:ascii="宋体" w:hAnsi="宋体" w:eastAsia="宋体"/>
        </w:rPr>
        <w:t>4.2 </w:t>
      </w:r>
      <w:r>
        <w:rPr>
          <w:rFonts w:ascii="宋体" w:hAnsi="宋体" w:eastAsia="宋体"/>
          <w:b/>
          <w:bCs/>
        </w:rPr>
        <w:t>交付方式：</w:t>
      </w:r>
      <w:r>
        <w:rPr>
          <w:rFonts w:ascii="宋体" w:hAnsi="宋体" w:eastAsia="宋体"/>
        </w:rPr>
        <w:t>乙方负责运输并承担全部费用和风险。货物送达前的一切毁损、灭失风险由乙方承担。</w:t>
      </w:r>
    </w:p>
    <w:p w14:paraId="1D85219B">
      <w:pPr>
        <w:rPr>
          <w:rFonts w:ascii="宋体" w:hAnsi="宋体" w:eastAsia="宋体"/>
        </w:rPr>
      </w:pPr>
      <w:r>
        <w:rPr>
          <w:rFonts w:ascii="宋体" w:hAnsi="宋体" w:eastAsia="宋体"/>
        </w:rPr>
        <w:t>4.3 </w:t>
      </w:r>
      <w:r>
        <w:rPr>
          <w:rFonts w:ascii="宋体" w:hAnsi="宋体" w:eastAsia="宋体"/>
          <w:b/>
          <w:bCs/>
        </w:rPr>
        <w:t>验收标准：</w:t>
      </w:r>
      <w:r>
        <w:rPr>
          <w:rFonts w:hint="eastAsia" w:ascii="宋体" w:hAnsi="宋体" w:eastAsia="宋体"/>
          <w:b/>
          <w:bCs/>
        </w:rPr>
        <w:t>（</w:t>
      </w:r>
      <w:r>
        <w:rPr>
          <w:rFonts w:ascii="宋体" w:hAnsi="宋体" w:eastAsia="宋体"/>
          <w:i/>
        </w:rPr>
        <w:t>以本合同附件一《采购明细清单》约定的技术规格、质量标准以及相关国家/行业标准为依据。</w:t>
      </w:r>
      <w:r>
        <w:rPr>
          <w:rFonts w:hint="eastAsia" w:ascii="宋体" w:hAnsi="宋体" w:eastAsia="宋体"/>
          <w:b/>
          <w:bCs/>
        </w:rPr>
        <w:t>）</w:t>
      </w:r>
    </w:p>
    <w:p w14:paraId="176701A4">
      <w:pPr>
        <w:rPr>
          <w:rFonts w:ascii="宋体" w:hAnsi="宋体" w:eastAsia="宋体"/>
        </w:rPr>
      </w:pPr>
      <w:r>
        <w:rPr>
          <w:rFonts w:ascii="宋体" w:hAnsi="宋体" w:eastAsia="宋体"/>
        </w:rPr>
        <w:t>4.4 </w:t>
      </w:r>
      <w:r>
        <w:rPr>
          <w:rFonts w:ascii="宋体" w:hAnsi="宋体" w:eastAsia="宋体"/>
          <w:b/>
          <w:bCs/>
        </w:rPr>
        <w:t>验收程序：</w:t>
      </w:r>
      <w:r>
        <w:rPr>
          <w:rFonts w:ascii="宋体" w:hAnsi="宋体" w:eastAsia="宋体"/>
        </w:rPr>
        <w:br w:type="textWrapping"/>
      </w:r>
      <w:r>
        <w:rPr>
          <w:rFonts w:ascii="宋体" w:hAnsi="宋体" w:eastAsia="宋体"/>
        </w:rPr>
        <w:t>a. 商品送达后（或服务完成后），乙方应通知甲方进行验收。</w:t>
      </w:r>
      <w:r>
        <w:rPr>
          <w:rFonts w:ascii="宋体" w:hAnsi="宋体" w:eastAsia="宋体"/>
        </w:rPr>
        <w:br w:type="textWrapping"/>
      </w:r>
      <w:r>
        <w:rPr>
          <w:rFonts w:ascii="宋体" w:hAnsi="宋体" w:eastAsia="宋体"/>
        </w:rPr>
        <w:t>b. 甲方应在收到通知后</w:t>
      </w:r>
      <w:r>
        <w:rPr>
          <w:rFonts w:ascii="宋体" w:hAnsi="宋体" w:eastAsia="宋体"/>
          <w:u w:val="single"/>
        </w:rPr>
        <w:t>        </w:t>
      </w:r>
      <w:r>
        <w:rPr>
          <w:rFonts w:ascii="宋体" w:hAnsi="宋体" w:eastAsia="宋体"/>
        </w:rPr>
        <w:t>个工作日内组织验收。甲方验收合格后，应出具《验收合格报告》。</w:t>
      </w:r>
      <w:r>
        <w:rPr>
          <w:rFonts w:ascii="宋体" w:hAnsi="宋体" w:eastAsia="宋体"/>
        </w:rPr>
        <w:br w:type="textWrapping"/>
      </w:r>
      <w:r>
        <w:rPr>
          <w:rFonts w:ascii="宋体" w:hAnsi="宋体" w:eastAsia="宋体"/>
        </w:rPr>
        <w:t>c. 如验收不合格，甲方有权要求乙方在</w:t>
      </w:r>
      <w:r>
        <w:rPr>
          <w:rFonts w:ascii="宋体" w:hAnsi="宋体" w:eastAsia="宋体"/>
          <w:u w:val="single"/>
        </w:rPr>
        <w:t>        </w:t>
      </w:r>
      <w:r>
        <w:rPr>
          <w:rFonts w:ascii="宋体" w:hAnsi="宋体" w:eastAsia="宋体"/>
        </w:rPr>
        <w:t>日内更换、退货、重做或采取其他补救措施，因此产生的所有费用由乙方承担。逾期未能解决的，视为乙方违约。</w:t>
      </w:r>
    </w:p>
    <w:p w14:paraId="65B6AB3F">
      <w:pPr>
        <w:rPr>
          <w:rFonts w:ascii="宋体" w:hAnsi="宋体" w:eastAsia="宋体"/>
        </w:rPr>
      </w:pPr>
      <w:r>
        <w:rPr>
          <w:rFonts w:ascii="宋体" w:hAnsi="宋体" w:eastAsia="宋体"/>
          <w:b/>
          <w:bCs/>
        </w:rPr>
        <w:t>第五条 质量保证与售后服务</w:t>
      </w:r>
    </w:p>
    <w:p w14:paraId="2BD47258">
      <w:pPr>
        <w:rPr>
          <w:rFonts w:ascii="宋体" w:hAnsi="宋体" w:eastAsia="宋体"/>
        </w:rPr>
      </w:pPr>
      <w:r>
        <w:rPr>
          <w:rFonts w:ascii="宋体" w:hAnsi="宋体" w:eastAsia="宋体"/>
        </w:rPr>
        <w:t>5.1 乙方对所提供商品的质量保证期为</w:t>
      </w:r>
      <w:r>
        <w:rPr>
          <w:rFonts w:ascii="宋体" w:hAnsi="宋体" w:eastAsia="宋体"/>
          <w:u w:val="single"/>
        </w:rPr>
        <w:t>        </w:t>
      </w:r>
      <w:r>
        <w:rPr>
          <w:rFonts w:ascii="宋体" w:hAnsi="宋体" w:eastAsia="宋体"/>
        </w:rPr>
        <w:t>个月/年，自甲方验收合格之日起计算。保证期内，如出现非甲方人为原因造成的质量问题，乙方负责 </w:t>
      </w:r>
      <w:r>
        <w:rPr>
          <w:rFonts w:ascii="宋体" w:hAnsi="宋体" w:eastAsia="宋体"/>
          <w:b/>
          <w:bCs/>
        </w:rPr>
        <w:t>□ 免费维修</w:t>
      </w:r>
      <w:r>
        <w:rPr>
          <w:rFonts w:ascii="宋体" w:hAnsi="宋体" w:eastAsia="宋体"/>
        </w:rPr>
        <w:t> </w:t>
      </w:r>
      <w:r>
        <w:rPr>
          <w:rFonts w:ascii="宋体" w:hAnsi="宋体" w:eastAsia="宋体"/>
          <w:b/>
          <w:bCs/>
        </w:rPr>
        <w:t>□ 免费更换</w:t>
      </w:r>
      <w:r>
        <w:rPr>
          <w:rFonts w:ascii="宋体" w:hAnsi="宋体" w:eastAsia="宋体"/>
        </w:rPr>
        <w:t> </w:t>
      </w:r>
      <w:r>
        <w:rPr>
          <w:rFonts w:ascii="宋体" w:hAnsi="宋体" w:eastAsia="宋体"/>
          <w:b/>
          <w:bCs/>
        </w:rPr>
        <w:t>□ 退货退款</w:t>
      </w:r>
      <w:r>
        <w:rPr>
          <w:rFonts w:ascii="宋体" w:hAnsi="宋体" w:eastAsia="宋体"/>
        </w:rPr>
        <w:t>。</w:t>
      </w:r>
    </w:p>
    <w:p w14:paraId="1033675F">
      <w:pPr>
        <w:rPr>
          <w:rFonts w:ascii="宋体" w:hAnsi="宋体" w:eastAsia="宋体"/>
        </w:rPr>
      </w:pPr>
      <w:r>
        <w:rPr>
          <w:rFonts w:ascii="宋体" w:hAnsi="宋体" w:eastAsia="宋体"/>
        </w:rPr>
        <w:t>5.2 乙方应提供 7×24 小时（或 5×8 小时）的技术支持服务，并在接到甲方故障通知后</w:t>
      </w:r>
      <w:r>
        <w:rPr>
          <w:rFonts w:ascii="宋体" w:hAnsi="宋体" w:eastAsia="宋体"/>
          <w:u w:val="single"/>
        </w:rPr>
        <w:t>        </w:t>
      </w:r>
      <w:r>
        <w:rPr>
          <w:rFonts w:ascii="宋体" w:hAnsi="宋体" w:eastAsia="宋体"/>
        </w:rPr>
        <w:t>小时内响应，</w:t>
      </w:r>
      <w:r>
        <w:rPr>
          <w:rFonts w:ascii="宋体" w:hAnsi="宋体" w:eastAsia="宋体"/>
          <w:u w:val="single"/>
        </w:rPr>
        <w:t xml:space="preserve">       </w:t>
      </w:r>
      <w:r>
        <w:rPr>
          <w:rFonts w:ascii="宋体" w:hAnsi="宋体" w:eastAsia="宋体"/>
        </w:rPr>
        <w:t>小时内解决故障。如需现场服务，乙方技术人员应在</w:t>
      </w:r>
      <w:r>
        <w:rPr>
          <w:rFonts w:ascii="宋体" w:hAnsi="宋体" w:eastAsia="宋体"/>
          <w:u w:val="single"/>
        </w:rPr>
        <w:t>        </w:t>
      </w:r>
      <w:r>
        <w:rPr>
          <w:rFonts w:ascii="宋体" w:hAnsi="宋体" w:eastAsia="宋体"/>
        </w:rPr>
        <w:t>小时内到达现场。</w:t>
      </w:r>
    </w:p>
    <w:p w14:paraId="1F117357">
      <w:pPr>
        <w:rPr>
          <w:rFonts w:ascii="宋体" w:hAnsi="宋体" w:eastAsia="宋体"/>
        </w:rPr>
      </w:pPr>
      <w:r>
        <w:rPr>
          <w:rFonts w:ascii="宋体" w:hAnsi="宋体" w:eastAsia="宋体"/>
          <w:b/>
          <w:bCs/>
        </w:rPr>
        <w:t>第六条 甲方的权利和义务</w:t>
      </w:r>
    </w:p>
    <w:p w14:paraId="7B82A38C">
      <w:pPr>
        <w:rPr>
          <w:rFonts w:ascii="宋体" w:hAnsi="宋体" w:eastAsia="宋体"/>
        </w:rPr>
      </w:pPr>
      <w:r>
        <w:rPr>
          <w:rFonts w:ascii="宋体" w:hAnsi="宋体" w:eastAsia="宋体"/>
        </w:rPr>
        <w:t>6.1 按合同约定接收商品/服务、验收并支付款项。</w:t>
      </w:r>
      <w:r>
        <w:rPr>
          <w:rFonts w:ascii="宋体" w:hAnsi="宋体" w:eastAsia="宋体"/>
        </w:rPr>
        <w:br w:type="textWrapping"/>
      </w:r>
      <w:r>
        <w:rPr>
          <w:rFonts w:ascii="宋体" w:hAnsi="宋体" w:eastAsia="宋体"/>
        </w:rPr>
        <w:t>6.2 对乙方的履约情况进行监督和检查。</w:t>
      </w:r>
      <w:r>
        <w:rPr>
          <w:rFonts w:ascii="宋体" w:hAnsi="宋体" w:eastAsia="宋体"/>
        </w:rPr>
        <w:br w:type="textWrapping"/>
      </w:r>
      <w:r>
        <w:rPr>
          <w:rFonts w:ascii="宋体" w:hAnsi="宋体" w:eastAsia="宋体"/>
        </w:rPr>
        <w:t>6.3 为乙方提供履行合同所必要的便利条件（如提前告知注意事项、提供工作场地等）。</w:t>
      </w:r>
    </w:p>
    <w:p w14:paraId="5DC934FB">
      <w:pPr>
        <w:rPr>
          <w:rFonts w:ascii="宋体" w:hAnsi="宋体" w:eastAsia="宋体"/>
        </w:rPr>
      </w:pPr>
      <w:r>
        <w:rPr>
          <w:rFonts w:ascii="宋体" w:hAnsi="宋体" w:eastAsia="宋体"/>
          <w:b/>
          <w:bCs/>
        </w:rPr>
        <w:t>第七条 乙方的权利和义务</w:t>
      </w:r>
    </w:p>
    <w:p w14:paraId="0B027C98">
      <w:pPr>
        <w:rPr>
          <w:rFonts w:ascii="宋体" w:hAnsi="宋体" w:eastAsia="宋体"/>
        </w:rPr>
      </w:pPr>
      <w:r>
        <w:rPr>
          <w:rFonts w:ascii="宋体" w:hAnsi="宋体" w:eastAsia="宋体"/>
        </w:rPr>
        <w:t>7.1 按合同约定时间、地点、质量标准交付商品或提供服务。</w:t>
      </w:r>
      <w:r>
        <w:rPr>
          <w:rFonts w:ascii="宋体" w:hAnsi="宋体" w:eastAsia="宋体"/>
        </w:rPr>
        <w:br w:type="textWrapping"/>
      </w:r>
      <w:r>
        <w:rPr>
          <w:rFonts w:ascii="宋体" w:hAnsi="宋体" w:eastAsia="宋体"/>
        </w:rPr>
        <w:t>7.2 对所提供的商品/服务承担瑕疵担保责任。</w:t>
      </w:r>
      <w:r>
        <w:rPr>
          <w:rFonts w:ascii="宋体" w:hAnsi="宋体" w:eastAsia="宋体"/>
        </w:rPr>
        <w:br w:type="textWrapping"/>
      </w:r>
      <w:r>
        <w:rPr>
          <w:rFonts w:ascii="宋体" w:hAnsi="宋体" w:eastAsia="宋体"/>
        </w:rPr>
        <w:t>7.3 保证所提供的商品来源合法，无知识产权纠纷。如因知识产权问题导致甲方受损，乙方应承担全部赔偿责任。</w:t>
      </w:r>
      <w:r>
        <w:rPr>
          <w:rFonts w:ascii="宋体" w:hAnsi="宋体" w:eastAsia="宋体"/>
        </w:rPr>
        <w:br w:type="textWrapping"/>
      </w:r>
      <w:r>
        <w:rPr>
          <w:rFonts w:ascii="宋体" w:hAnsi="宋体" w:eastAsia="宋体"/>
        </w:rPr>
        <w:t>7.4 遵守甲方校园的管理规定，文明、安全作业。如因乙方人员行为造成甲方或第三方人身财产损害，由乙方承担全部责任。</w:t>
      </w:r>
    </w:p>
    <w:p w14:paraId="79728CE9">
      <w:pPr>
        <w:rPr>
          <w:rFonts w:ascii="宋体" w:hAnsi="宋体" w:eastAsia="宋体"/>
        </w:rPr>
      </w:pPr>
      <w:r>
        <w:rPr>
          <w:rFonts w:ascii="宋体" w:hAnsi="宋体" w:eastAsia="宋体"/>
          <w:b/>
          <w:bCs/>
        </w:rPr>
        <w:t>第八条 违约责任</w:t>
      </w:r>
    </w:p>
    <w:p w14:paraId="3A94C19A">
      <w:pPr>
        <w:rPr>
          <w:rFonts w:ascii="宋体" w:hAnsi="宋体" w:eastAsia="宋体"/>
        </w:rPr>
      </w:pPr>
      <w:r>
        <w:rPr>
          <w:rFonts w:ascii="宋体" w:hAnsi="宋体" w:eastAsia="宋体"/>
        </w:rPr>
        <w:t>8.1 </w:t>
      </w:r>
      <w:r>
        <w:rPr>
          <w:rFonts w:ascii="宋体" w:hAnsi="宋体" w:eastAsia="宋体"/>
          <w:b/>
          <w:bCs/>
        </w:rPr>
        <w:t>乙方违约：</w:t>
      </w:r>
      <w:r>
        <w:rPr>
          <w:rFonts w:ascii="宋体" w:hAnsi="宋体" w:eastAsia="宋体"/>
        </w:rPr>
        <w:br w:type="textWrapping"/>
      </w:r>
      <w:r>
        <w:rPr>
          <w:rFonts w:ascii="宋体" w:hAnsi="宋体" w:eastAsia="宋体"/>
        </w:rPr>
        <w:t>a. </w:t>
      </w:r>
      <w:r>
        <w:rPr>
          <w:rFonts w:ascii="宋体" w:hAnsi="宋体" w:eastAsia="宋体"/>
          <w:b/>
          <w:bCs/>
        </w:rPr>
        <w:t>逾期交付：</w:t>
      </w:r>
      <w:r>
        <w:rPr>
          <w:rFonts w:ascii="宋体" w:hAnsi="宋体" w:eastAsia="宋体"/>
        </w:rPr>
        <w:t>每逾期一日，应向甲方支付合同总金额</w:t>
      </w:r>
      <w:r>
        <w:rPr>
          <w:rFonts w:hint="eastAsia" w:ascii="宋体" w:hAnsi="宋体" w:eastAsia="宋体"/>
        </w:rPr>
        <w:t>万分</w:t>
      </w:r>
      <w:r>
        <w:rPr>
          <w:rFonts w:ascii="宋体" w:hAnsi="宋体" w:eastAsia="宋体"/>
        </w:rPr>
        <w:t>之</w:t>
      </w:r>
      <w:r>
        <w:rPr>
          <w:rFonts w:ascii="宋体" w:hAnsi="宋体" w:eastAsia="宋体"/>
          <w:u w:val="single"/>
        </w:rPr>
        <w:t xml:space="preserve">       </w:t>
      </w:r>
      <w:r>
        <w:rPr>
          <w:rFonts w:ascii="宋体" w:hAnsi="宋体" w:eastAsia="宋体"/>
        </w:rPr>
        <w:t>的违约金。逾期超过</w:t>
      </w:r>
      <w:r>
        <w:rPr>
          <w:rFonts w:ascii="宋体" w:hAnsi="宋体" w:eastAsia="宋体"/>
          <w:u w:val="single"/>
        </w:rPr>
        <w:t>        </w:t>
      </w:r>
      <w:r>
        <w:rPr>
          <w:rFonts w:ascii="宋体" w:hAnsi="宋体" w:eastAsia="宋体"/>
        </w:rPr>
        <w:t>日，甲方有权单方解除合同，乙方除支付违约金外，还应退还甲方已支付款项。</w:t>
      </w:r>
      <w:r>
        <w:rPr>
          <w:rFonts w:ascii="宋体" w:hAnsi="宋体" w:eastAsia="宋体"/>
        </w:rPr>
        <w:br w:type="textWrapping"/>
      </w:r>
      <w:r>
        <w:rPr>
          <w:rFonts w:ascii="宋体" w:hAnsi="宋体" w:eastAsia="宋体"/>
        </w:rPr>
        <w:t>b. </w:t>
      </w:r>
      <w:r>
        <w:rPr>
          <w:rFonts w:ascii="宋体" w:hAnsi="宋体" w:eastAsia="宋体"/>
          <w:b/>
          <w:bCs/>
        </w:rPr>
        <w:t>质量不合格：</w:t>
      </w:r>
      <w:r>
        <w:rPr>
          <w:rFonts w:ascii="宋体" w:hAnsi="宋体" w:eastAsia="宋体"/>
        </w:rPr>
        <w:t>乙方应立即更换或修复，并承担由此产生的所有费用。若因此导致逾期交付，还需承担逾期违约责任。若无法更换或修复，或经更换/修复后仍不合格，甲方有权解除合同，乙方退还全部款项并支付合同总金额 </w:t>
      </w:r>
      <w:r>
        <w:rPr>
          <w:rFonts w:ascii="宋体" w:hAnsi="宋体" w:eastAsia="宋体"/>
          <w:u w:val="single"/>
        </w:rPr>
        <w:t xml:space="preserve">      </w:t>
      </w:r>
      <w:r>
        <w:rPr>
          <w:rFonts w:ascii="宋体" w:hAnsi="宋体" w:eastAsia="宋体"/>
        </w:rPr>
        <w:t>% 的违约金。</w:t>
      </w:r>
      <w:r>
        <w:rPr>
          <w:rFonts w:ascii="宋体" w:hAnsi="宋体" w:eastAsia="宋体"/>
        </w:rPr>
        <w:br w:type="textWrapping"/>
      </w:r>
      <w:r>
        <w:rPr>
          <w:rFonts w:ascii="宋体" w:hAnsi="宋体" w:eastAsia="宋体"/>
        </w:rPr>
        <w:t>c. </w:t>
      </w:r>
      <w:r>
        <w:rPr>
          <w:rFonts w:ascii="宋体" w:hAnsi="宋体" w:eastAsia="宋体"/>
          <w:b/>
          <w:bCs/>
        </w:rPr>
        <w:t>其他违约：</w:t>
      </w:r>
      <w:r>
        <w:rPr>
          <w:rFonts w:ascii="宋体" w:hAnsi="宋体" w:eastAsia="宋体"/>
        </w:rPr>
        <w:t>乙方应赔偿由此给甲方造成的全部损失</w:t>
      </w:r>
      <w:r>
        <w:rPr>
          <w:rFonts w:hint="eastAsia" w:ascii="宋体" w:hAnsi="宋体" w:eastAsia="宋体"/>
        </w:rPr>
        <w:t>，包括但不限于甲方为维护自己的合法债权而支出的诉讼费、律师费、保全费、保险费、鉴定费、差旅费等一切费用</w:t>
      </w:r>
      <w:r>
        <w:rPr>
          <w:rFonts w:ascii="宋体" w:hAnsi="宋体" w:eastAsia="宋体"/>
        </w:rPr>
        <w:t>。</w:t>
      </w:r>
    </w:p>
    <w:p w14:paraId="77D40DA1">
      <w:pPr>
        <w:rPr>
          <w:rFonts w:ascii="宋体" w:hAnsi="宋体" w:eastAsia="宋体"/>
        </w:rPr>
      </w:pPr>
      <w:r>
        <w:rPr>
          <w:rFonts w:ascii="宋体" w:hAnsi="宋体" w:eastAsia="宋体"/>
        </w:rPr>
        <w:t>8.2 </w:t>
      </w:r>
      <w:r>
        <w:rPr>
          <w:rFonts w:ascii="宋体" w:hAnsi="宋体" w:eastAsia="宋体"/>
          <w:b/>
          <w:bCs/>
        </w:rPr>
        <w:t>甲方违约：</w:t>
      </w:r>
      <w:r>
        <w:rPr>
          <w:rFonts w:ascii="宋体" w:hAnsi="宋体" w:eastAsia="宋体"/>
        </w:rPr>
        <w:br w:type="textWrapping"/>
      </w:r>
      <w:r>
        <w:rPr>
          <w:rFonts w:ascii="宋体" w:hAnsi="宋体" w:eastAsia="宋体"/>
        </w:rPr>
        <w:t>a. </w:t>
      </w:r>
      <w:r>
        <w:rPr>
          <w:rFonts w:ascii="宋体" w:hAnsi="宋体" w:eastAsia="宋体"/>
          <w:b/>
          <w:bCs/>
        </w:rPr>
        <w:t>逾期付款：</w:t>
      </w:r>
      <w:r>
        <w:rPr>
          <w:rFonts w:ascii="宋体" w:hAnsi="宋体" w:eastAsia="宋体"/>
        </w:rPr>
        <w:t>每逾期一日，应向乙方支付逾期未付款项</w:t>
      </w:r>
      <w:r>
        <w:rPr>
          <w:rFonts w:hint="eastAsia" w:ascii="宋体" w:hAnsi="宋体" w:eastAsia="宋体"/>
        </w:rPr>
        <w:t>万分</w:t>
      </w:r>
      <w:r>
        <w:rPr>
          <w:rFonts w:ascii="宋体" w:hAnsi="宋体" w:eastAsia="宋体"/>
        </w:rPr>
        <w:t>之</w:t>
      </w:r>
      <w:r>
        <w:rPr>
          <w:rFonts w:ascii="宋体" w:hAnsi="宋体" w:eastAsia="宋体"/>
          <w:u w:val="single"/>
        </w:rPr>
        <w:t xml:space="preserve">       </w:t>
      </w:r>
      <w:r>
        <w:rPr>
          <w:rFonts w:ascii="宋体" w:hAnsi="宋体" w:eastAsia="宋体"/>
        </w:rPr>
        <w:t>的违约金。</w:t>
      </w:r>
      <w:r>
        <w:rPr>
          <w:rFonts w:ascii="宋体" w:hAnsi="宋体" w:eastAsia="宋体"/>
        </w:rPr>
        <w:br w:type="textWrapping"/>
      </w:r>
      <w:r>
        <w:rPr>
          <w:rFonts w:ascii="宋体" w:hAnsi="宋体" w:eastAsia="宋体"/>
        </w:rPr>
        <w:t>b. </w:t>
      </w:r>
      <w:r>
        <w:rPr>
          <w:rFonts w:ascii="宋体" w:hAnsi="宋体" w:eastAsia="宋体"/>
          <w:b/>
          <w:bCs/>
        </w:rPr>
        <w:t>无正当理由拒收货物：</w:t>
      </w:r>
      <w:r>
        <w:rPr>
          <w:rFonts w:ascii="宋体" w:hAnsi="宋体" w:eastAsia="宋体"/>
        </w:rPr>
        <w:t>应向乙方支付合同总金额 </w:t>
      </w:r>
      <w:r>
        <w:rPr>
          <w:rFonts w:ascii="宋体" w:hAnsi="宋体" w:eastAsia="宋体"/>
          <w:u w:val="single"/>
        </w:rPr>
        <w:t xml:space="preserve">      </w:t>
      </w:r>
      <w:r>
        <w:rPr>
          <w:rFonts w:ascii="宋体" w:hAnsi="宋体" w:eastAsia="宋体"/>
        </w:rPr>
        <w:t>% 的违约金。</w:t>
      </w:r>
    </w:p>
    <w:p w14:paraId="1D1BCDC8">
      <w:pPr>
        <w:rPr>
          <w:rFonts w:ascii="宋体" w:hAnsi="宋体" w:eastAsia="宋体"/>
        </w:rPr>
      </w:pPr>
      <w:r>
        <w:rPr>
          <w:rFonts w:ascii="宋体" w:hAnsi="宋体" w:eastAsia="宋体"/>
          <w:b/>
          <w:bCs/>
        </w:rPr>
        <w:t>第九条 不可抗力</w:t>
      </w:r>
    </w:p>
    <w:p w14:paraId="4EB22189">
      <w:pPr>
        <w:rPr>
          <w:rFonts w:ascii="宋体" w:hAnsi="宋体" w:eastAsia="宋体"/>
        </w:rPr>
      </w:pPr>
      <w:r>
        <w:rPr>
          <w:rFonts w:ascii="宋体" w:hAnsi="宋体" w:eastAsia="宋体"/>
        </w:rPr>
        <w:t>因不可抗力（如地震、台风、水灾、战争等）导致一方不能履行合同的，根据影响程度，部分或全部免除责任，但受影响方应立即通知对方，并在</w:t>
      </w:r>
      <w:r>
        <w:rPr>
          <w:rFonts w:ascii="宋体" w:hAnsi="宋体" w:eastAsia="宋体"/>
          <w:u w:val="single"/>
        </w:rPr>
        <w:t>        </w:t>
      </w:r>
      <w:r>
        <w:rPr>
          <w:rFonts w:ascii="宋体" w:hAnsi="宋体" w:eastAsia="宋体"/>
        </w:rPr>
        <w:t>日内提供证明。</w:t>
      </w:r>
    </w:p>
    <w:p w14:paraId="22BD613C">
      <w:pPr>
        <w:rPr>
          <w:rFonts w:ascii="宋体" w:hAnsi="宋体" w:eastAsia="宋体"/>
        </w:rPr>
      </w:pPr>
      <w:r>
        <w:rPr>
          <w:rFonts w:ascii="宋体" w:hAnsi="宋体" w:eastAsia="宋体"/>
          <w:b/>
          <w:bCs/>
        </w:rPr>
        <w:t>第十条 争议解决</w:t>
      </w:r>
    </w:p>
    <w:p w14:paraId="5647F3D1">
      <w:pPr>
        <w:rPr>
          <w:rFonts w:ascii="宋体" w:hAnsi="宋体" w:eastAsia="宋体"/>
        </w:rPr>
      </w:pPr>
      <w:r>
        <w:rPr>
          <w:rFonts w:ascii="宋体" w:hAnsi="宋体" w:eastAsia="宋体"/>
        </w:rPr>
        <w:t>本合同履行过程中发生的任何争议，双方应友好协商解决。协商不成的，任何一方均可向 </w:t>
      </w:r>
      <w:r>
        <w:rPr>
          <w:rFonts w:ascii="Segoe UI Symbol" w:hAnsi="Segoe UI Symbol" w:eastAsia="宋体" w:cs="Segoe UI Symbol"/>
          <w:b/>
          <w:bCs/>
        </w:rPr>
        <w:t>☑</w:t>
      </w:r>
      <w:r>
        <w:rPr>
          <w:rFonts w:ascii="宋体" w:hAnsi="宋体" w:eastAsia="宋体"/>
          <w:b/>
          <w:bCs/>
        </w:rPr>
        <w:t xml:space="preserve"> 甲方所在地人民法院提起诉讼</w:t>
      </w:r>
      <w:r>
        <w:rPr>
          <w:rFonts w:ascii="宋体" w:hAnsi="宋体" w:eastAsia="宋体"/>
        </w:rPr>
        <w:t> </w:t>
      </w:r>
      <w:r>
        <w:rPr>
          <w:rFonts w:ascii="宋体" w:hAnsi="宋体" w:eastAsia="宋体"/>
          <w:b/>
          <w:bCs/>
        </w:rPr>
        <w:t>□ 申请仲裁</w:t>
      </w:r>
      <w:r>
        <w:rPr>
          <w:rFonts w:ascii="宋体" w:hAnsi="宋体" w:eastAsia="宋体"/>
        </w:rPr>
        <w:t>。</w:t>
      </w:r>
    </w:p>
    <w:p w14:paraId="21617B89">
      <w:pPr>
        <w:rPr>
          <w:rFonts w:ascii="宋体" w:hAnsi="宋体" w:eastAsia="宋体"/>
        </w:rPr>
      </w:pPr>
      <w:r>
        <w:rPr>
          <w:rFonts w:ascii="宋体" w:hAnsi="宋体" w:eastAsia="宋体"/>
          <w:b/>
          <w:bCs/>
        </w:rPr>
        <w:t>第十一条 其他</w:t>
      </w:r>
    </w:p>
    <w:p w14:paraId="33CCEBBF">
      <w:pPr>
        <w:rPr>
          <w:rFonts w:ascii="宋体" w:hAnsi="宋体" w:eastAsia="宋体"/>
        </w:rPr>
      </w:pPr>
      <w:r>
        <w:rPr>
          <w:rFonts w:ascii="宋体" w:hAnsi="宋体" w:eastAsia="宋体"/>
        </w:rPr>
        <w:t>11.1 本合同一式</w:t>
      </w:r>
      <w:r>
        <w:rPr>
          <w:rFonts w:ascii="宋体" w:hAnsi="宋体" w:eastAsia="宋体"/>
          <w:u w:val="single"/>
        </w:rPr>
        <w:t> </w:t>
      </w:r>
      <w:r>
        <w:rPr>
          <w:rFonts w:hint="eastAsia" w:ascii="宋体" w:hAnsi="宋体" w:eastAsia="宋体"/>
          <w:u w:val="single"/>
        </w:rPr>
        <w:t xml:space="preserve">    </w:t>
      </w:r>
      <w:r>
        <w:rPr>
          <w:rFonts w:ascii="宋体" w:hAnsi="宋体" w:eastAsia="宋体"/>
        </w:rPr>
        <w:t> 份，甲方执</w:t>
      </w:r>
      <w:r>
        <w:rPr>
          <w:rFonts w:hint="eastAsia" w:ascii="宋体" w:hAnsi="宋体" w:eastAsia="宋体"/>
          <w:u w:val="single"/>
        </w:rPr>
        <w:t xml:space="preserve">   </w:t>
      </w:r>
      <w:r>
        <w:rPr>
          <w:rFonts w:ascii="宋体" w:hAnsi="宋体" w:eastAsia="宋体"/>
          <w:u w:val="single"/>
        </w:rPr>
        <w:t> </w:t>
      </w:r>
      <w:r>
        <w:rPr>
          <w:rFonts w:hint="eastAsia" w:ascii="宋体" w:hAnsi="宋体" w:eastAsia="宋体"/>
          <w:u w:val="single"/>
        </w:rPr>
        <w:t xml:space="preserve"> </w:t>
      </w:r>
      <w:r>
        <w:rPr>
          <w:rFonts w:ascii="宋体" w:hAnsi="宋体" w:eastAsia="宋体"/>
        </w:rPr>
        <w:t>份，乙方执</w:t>
      </w:r>
      <w:r>
        <w:rPr>
          <w:rFonts w:ascii="宋体" w:hAnsi="宋体" w:eastAsia="宋体"/>
          <w:u w:val="single"/>
        </w:rPr>
        <w:t> </w:t>
      </w:r>
      <w:r>
        <w:rPr>
          <w:rFonts w:hint="eastAsia" w:ascii="宋体" w:hAnsi="宋体" w:eastAsia="宋体"/>
          <w:u w:val="single"/>
        </w:rPr>
        <w:t xml:space="preserve">    </w:t>
      </w:r>
      <w:r>
        <w:rPr>
          <w:rFonts w:ascii="宋体" w:hAnsi="宋体" w:eastAsia="宋体"/>
        </w:rPr>
        <w:t>份，具有同等法律效力。</w:t>
      </w:r>
      <w:r>
        <w:rPr>
          <w:rFonts w:ascii="宋体" w:hAnsi="宋体" w:eastAsia="宋体"/>
        </w:rPr>
        <w:br w:type="textWrapping"/>
      </w:r>
      <w:r>
        <w:rPr>
          <w:rFonts w:ascii="宋体" w:hAnsi="宋体" w:eastAsia="宋体"/>
        </w:rPr>
        <w:t>11.2 本合同自双方签字盖章之日起生效。</w:t>
      </w:r>
      <w:r>
        <w:rPr>
          <w:rFonts w:ascii="宋体" w:hAnsi="宋体" w:eastAsia="宋体"/>
        </w:rPr>
        <w:br w:type="textWrapping"/>
      </w:r>
      <w:r>
        <w:rPr>
          <w:rFonts w:ascii="宋体" w:hAnsi="宋体" w:eastAsia="宋体"/>
        </w:rPr>
        <w:t>11.3 本合同未尽事宜，由双方另行协商并签订书面补充协议，补充协议与本合同具有同等法律效力。</w:t>
      </w:r>
      <w:r>
        <w:rPr>
          <w:rFonts w:ascii="宋体" w:hAnsi="宋体" w:eastAsia="宋体"/>
        </w:rPr>
        <w:br w:type="textWrapping"/>
      </w:r>
      <w:r>
        <w:rPr>
          <w:rFonts w:ascii="宋体" w:hAnsi="宋体" w:eastAsia="宋体"/>
        </w:rPr>
        <w:t>11.4 本合同附件为本合同不可分割的一部分，与本合同具有同等法律效力。</w:t>
      </w:r>
    </w:p>
    <w:p w14:paraId="7507660F">
      <w:pPr>
        <w:rPr>
          <w:rFonts w:ascii="宋体" w:hAnsi="宋体" w:eastAsia="宋体"/>
        </w:rPr>
      </w:pPr>
    </w:p>
    <w:p w14:paraId="22A8D990">
      <w:pPr>
        <w:rPr>
          <w:rFonts w:ascii="宋体" w:hAnsi="宋体" w:eastAsia="宋体"/>
        </w:rPr>
      </w:pPr>
    </w:p>
    <w:p w14:paraId="33007C97">
      <w:pPr>
        <w:rPr>
          <w:rFonts w:ascii="宋体" w:hAnsi="宋体" w:eastAsia="宋体"/>
        </w:rPr>
      </w:pPr>
      <w:r>
        <w:rPr>
          <w:rFonts w:ascii="宋体" w:hAnsi="宋体" w:eastAsia="宋体"/>
          <w:b/>
          <w:bCs/>
        </w:rPr>
        <w:t>甲方（盖章）：</w:t>
      </w:r>
      <w:r>
        <w:rPr>
          <w:rFonts w:hint="eastAsia" w:ascii="宋体" w:hAnsi="宋体" w:eastAsia="宋体"/>
          <w:b/>
          <w:bCs/>
        </w:rPr>
        <w:t xml:space="preserve"> </w:t>
      </w:r>
      <w:r>
        <w:rPr>
          <w:rFonts w:ascii="宋体" w:hAnsi="宋体" w:eastAsia="宋体"/>
          <w:b/>
          <w:bCs/>
        </w:rPr>
        <w:t xml:space="preserve">                                      乙方（盖章）：</w:t>
      </w:r>
      <w:r>
        <w:rPr>
          <w:rFonts w:ascii="宋体" w:hAnsi="宋体" w:eastAsia="宋体"/>
        </w:rPr>
        <w:br w:type="textWrapping"/>
      </w:r>
      <w:r>
        <w:rPr>
          <w:rFonts w:ascii="宋体" w:hAnsi="宋体" w:eastAsia="宋体"/>
          <w:b/>
          <w:bCs/>
        </w:rPr>
        <w:t>法定代表人/授权代表（签字）：</w:t>
      </w:r>
      <w:r>
        <w:rPr>
          <w:rFonts w:hint="eastAsia" w:ascii="宋体" w:hAnsi="宋体" w:eastAsia="宋体"/>
          <w:b/>
          <w:bCs/>
        </w:rPr>
        <w:t xml:space="preserve"> </w:t>
      </w:r>
      <w:r>
        <w:rPr>
          <w:rFonts w:ascii="宋体" w:hAnsi="宋体" w:eastAsia="宋体"/>
          <w:b/>
          <w:bCs/>
        </w:rPr>
        <w:t xml:space="preserve">                      法定代表人/授权代表（签字）：</w:t>
      </w:r>
      <w:r>
        <w:rPr>
          <w:rFonts w:ascii="宋体" w:hAnsi="宋体" w:eastAsia="宋体"/>
        </w:rPr>
        <w:br w:type="textWrapping"/>
      </w:r>
      <w:r>
        <w:rPr>
          <w:rFonts w:ascii="宋体" w:hAnsi="宋体" w:eastAsia="宋体"/>
          <w:b/>
          <w:bCs/>
        </w:rPr>
        <w:t>日期：</w:t>
      </w:r>
      <w:r>
        <w:rPr>
          <w:rFonts w:hint="eastAsia" w:ascii="宋体" w:hAnsi="宋体" w:eastAsia="宋体"/>
          <w:b/>
          <w:bCs/>
        </w:rPr>
        <w:t xml:space="preserve">  </w:t>
      </w:r>
      <w:r>
        <w:rPr>
          <w:rFonts w:ascii="宋体" w:hAnsi="宋体" w:eastAsia="宋体"/>
        </w:rPr>
        <w:t> 年 </w:t>
      </w:r>
      <w:r>
        <w:rPr>
          <w:rFonts w:hint="eastAsia" w:ascii="宋体" w:hAnsi="宋体" w:eastAsia="宋体"/>
        </w:rPr>
        <w:t xml:space="preserve">  </w:t>
      </w:r>
      <w:r>
        <w:rPr>
          <w:rFonts w:ascii="宋体" w:hAnsi="宋体" w:eastAsia="宋体"/>
        </w:rPr>
        <w:t>月 </w:t>
      </w:r>
      <w:r>
        <w:rPr>
          <w:rFonts w:hint="eastAsia" w:ascii="宋体" w:hAnsi="宋体" w:eastAsia="宋体"/>
        </w:rPr>
        <w:t xml:space="preserve">  </w:t>
      </w:r>
      <w:r>
        <w:rPr>
          <w:rFonts w:ascii="宋体" w:hAnsi="宋体" w:eastAsia="宋体"/>
        </w:rPr>
        <w:t>日</w:t>
      </w:r>
      <w:r>
        <w:rPr>
          <w:rFonts w:hint="eastAsia" w:ascii="宋体" w:hAnsi="宋体" w:eastAsia="宋体"/>
        </w:rPr>
        <w:t xml:space="preserve"> </w:t>
      </w:r>
      <w:r>
        <w:rPr>
          <w:rFonts w:ascii="宋体" w:hAnsi="宋体" w:eastAsia="宋体"/>
        </w:rPr>
        <w:t xml:space="preserve">                           </w:t>
      </w:r>
      <w:r>
        <w:rPr>
          <w:rFonts w:ascii="宋体" w:hAnsi="宋体" w:eastAsia="宋体"/>
          <w:b/>
          <w:bCs/>
        </w:rPr>
        <w:t>日期：</w:t>
      </w:r>
      <w:r>
        <w:rPr>
          <w:rFonts w:ascii="宋体" w:hAnsi="宋体" w:eastAsia="宋体"/>
        </w:rPr>
        <w:t> </w:t>
      </w:r>
      <w:r>
        <w:rPr>
          <w:rFonts w:hint="eastAsia" w:ascii="宋体" w:hAnsi="宋体" w:eastAsia="宋体"/>
        </w:rPr>
        <w:t xml:space="preserve">  </w:t>
      </w:r>
      <w:r>
        <w:rPr>
          <w:rFonts w:ascii="宋体" w:hAnsi="宋体" w:eastAsia="宋体"/>
        </w:rPr>
        <w:t>年</w:t>
      </w:r>
      <w:r>
        <w:rPr>
          <w:rFonts w:hint="eastAsia" w:ascii="宋体" w:hAnsi="宋体" w:eastAsia="宋体"/>
        </w:rPr>
        <w:t xml:space="preserve">  </w:t>
      </w:r>
      <w:r>
        <w:rPr>
          <w:rFonts w:ascii="宋体" w:hAnsi="宋体" w:eastAsia="宋体"/>
        </w:rPr>
        <w:t> 月 </w:t>
      </w:r>
      <w:r>
        <w:rPr>
          <w:rFonts w:hint="eastAsia" w:ascii="宋体" w:hAnsi="宋体" w:eastAsia="宋体"/>
        </w:rPr>
        <w:t xml:space="preserve">  </w:t>
      </w:r>
      <w:r>
        <w:rPr>
          <w:rFonts w:ascii="宋体" w:hAnsi="宋体" w:eastAsia="宋体"/>
        </w:rPr>
        <w:t>日</w:t>
      </w:r>
    </w:p>
    <w:p w14:paraId="00929DC6">
      <w:pPr>
        <w:ind w:left="4400" w:leftChars="2000"/>
        <w:rPr>
          <w:rFonts w:ascii="宋体" w:hAnsi="宋体" w:eastAsia="宋体"/>
        </w:rPr>
      </w:pPr>
    </w:p>
    <w:p w14:paraId="3BD80E00">
      <w:pPr>
        <w:ind w:left="4400" w:leftChars="2000"/>
        <w:rPr>
          <w:rFonts w:ascii="宋体" w:hAnsi="宋体" w:eastAsia="宋体"/>
          <w:b/>
          <w:bCs/>
        </w:rPr>
      </w:pPr>
    </w:p>
    <w:p w14:paraId="34B881D3">
      <w:pPr>
        <w:ind w:left="4400" w:leftChars="2000"/>
        <w:rPr>
          <w:rFonts w:ascii="宋体" w:hAnsi="宋体" w:eastAsia="宋体"/>
        </w:rPr>
      </w:pPr>
      <w:r>
        <w:rPr>
          <w:rFonts w:ascii="宋体" w:hAnsi="宋体" w:eastAsia="宋体"/>
        </w:rPr>
        <w:br w:type="textWrapping"/>
      </w:r>
      <w:r>
        <w:rPr>
          <w:rFonts w:ascii="宋体" w:hAnsi="宋体" w:eastAsia="宋体"/>
        </w:rPr>
        <w:br w:type="textWrapping"/>
      </w:r>
    </w:p>
    <w:p w14:paraId="5537C8CD">
      <w:pPr>
        <w:rPr>
          <w:rFonts w:ascii="宋体" w:hAnsi="宋体" w:eastAsia="宋体"/>
        </w:rPr>
      </w:pPr>
    </w:p>
    <w:p w14:paraId="4F351B82">
      <w:pPr>
        <w:rPr>
          <w:rFonts w:ascii="宋体" w:hAnsi="宋体" w:eastAsia="宋体"/>
        </w:rPr>
      </w:pPr>
    </w:p>
    <w:p w14:paraId="4FF8E73A">
      <w:pPr>
        <w:rPr>
          <w:rFonts w:ascii="宋体" w:hAnsi="宋体" w:eastAsia="宋体"/>
        </w:rPr>
      </w:pPr>
    </w:p>
    <w:p w14:paraId="0971A917">
      <w:pPr>
        <w:rPr>
          <w:rFonts w:ascii="宋体" w:hAnsi="宋体" w:eastAsia="宋体"/>
        </w:rPr>
      </w:pPr>
    </w:p>
    <w:p w14:paraId="3F2F0EB3">
      <w:pPr>
        <w:rPr>
          <w:rFonts w:ascii="宋体" w:hAnsi="宋体" w:eastAsia="宋体"/>
        </w:rPr>
      </w:pPr>
    </w:p>
    <w:p w14:paraId="2753713A">
      <w:pPr>
        <w:rPr>
          <w:rFonts w:ascii="宋体" w:hAnsi="宋体" w:eastAsia="宋体"/>
        </w:rPr>
      </w:pPr>
    </w:p>
    <w:p w14:paraId="6CF14884">
      <w:pPr>
        <w:rPr>
          <w:rFonts w:ascii="宋体" w:hAnsi="宋体" w:eastAsia="宋体"/>
        </w:rPr>
      </w:pPr>
    </w:p>
    <w:p w14:paraId="3BCB1AA5">
      <w:pPr>
        <w:rPr>
          <w:rFonts w:ascii="宋体" w:hAnsi="宋体" w:eastAsia="宋体"/>
        </w:rPr>
      </w:pPr>
    </w:p>
    <w:p w14:paraId="701EB7D6">
      <w:pPr>
        <w:rPr>
          <w:rFonts w:ascii="宋体" w:hAnsi="宋体" w:eastAsia="宋体"/>
        </w:rPr>
      </w:pPr>
    </w:p>
    <w:p w14:paraId="484FB759">
      <w:pPr>
        <w:rPr>
          <w:rFonts w:ascii="宋体" w:hAnsi="宋体" w:eastAsia="宋体"/>
          <w:b/>
          <w:bCs/>
        </w:rPr>
      </w:pPr>
      <w:r>
        <w:rPr>
          <w:rFonts w:ascii="宋体" w:hAnsi="宋体" w:eastAsia="宋体"/>
          <w:b/>
          <w:bCs/>
        </w:rPr>
        <w:br w:type="page"/>
      </w:r>
    </w:p>
    <w:p w14:paraId="427C4313">
      <w:pPr>
        <w:rPr>
          <w:rFonts w:ascii="宋体" w:hAnsi="宋体" w:eastAsia="宋体"/>
          <w:b/>
          <w:bCs/>
        </w:rPr>
      </w:pPr>
      <w:r>
        <w:rPr>
          <w:rFonts w:ascii="宋体" w:hAnsi="宋体" w:eastAsia="宋体"/>
          <w:b/>
          <w:bCs/>
        </w:rPr>
        <w:t>附件一：采购明细清单</w:t>
      </w:r>
    </w:p>
    <w:tbl>
      <w:tblPr>
        <w:tblStyle w:val="2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544"/>
        <w:gridCol w:w="1544"/>
        <w:gridCol w:w="638"/>
        <w:gridCol w:w="638"/>
        <w:gridCol w:w="1281"/>
        <w:gridCol w:w="1281"/>
        <w:gridCol w:w="795"/>
      </w:tblGrid>
      <w:tr w14:paraId="6CFB1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B032D3E">
            <w:pPr>
              <w:rPr>
                <w:rFonts w:ascii="宋体" w:hAnsi="宋体" w:eastAsia="宋体"/>
                <w:kern w:val="2"/>
              </w:rPr>
            </w:pPr>
            <w:r>
              <w:rPr>
                <w:rFonts w:hint="eastAsia" w:ascii="宋体" w:hAnsi="宋体" w:eastAsia="宋体"/>
                <w:b/>
                <w:bCs/>
                <w:kern w:val="2"/>
              </w:rPr>
              <w:t>序号</w:t>
            </w:r>
          </w:p>
        </w:tc>
        <w:tc>
          <w:tcPr>
            <w:tcW w:w="0" w:type="auto"/>
          </w:tcPr>
          <w:p w14:paraId="53EB6DC7">
            <w:pPr>
              <w:rPr>
                <w:rFonts w:ascii="宋体" w:hAnsi="宋体" w:eastAsia="宋体"/>
                <w:kern w:val="2"/>
              </w:rPr>
            </w:pPr>
            <w:r>
              <w:rPr>
                <w:rFonts w:ascii="宋体" w:hAnsi="宋体" w:eastAsia="宋体"/>
                <w:b/>
                <w:bCs/>
                <w:kern w:val="2"/>
              </w:rPr>
              <w:t>商品/服务名称</w:t>
            </w:r>
          </w:p>
        </w:tc>
        <w:tc>
          <w:tcPr>
            <w:tcW w:w="0" w:type="auto"/>
          </w:tcPr>
          <w:p w14:paraId="09DF455C">
            <w:pPr>
              <w:rPr>
                <w:rFonts w:ascii="宋体" w:hAnsi="宋体" w:eastAsia="宋体"/>
                <w:kern w:val="2"/>
              </w:rPr>
            </w:pPr>
            <w:r>
              <w:rPr>
                <w:rFonts w:ascii="宋体" w:hAnsi="宋体" w:eastAsia="宋体"/>
                <w:b/>
                <w:bCs/>
                <w:kern w:val="2"/>
              </w:rPr>
              <w:t>商品/服务名称</w:t>
            </w:r>
          </w:p>
        </w:tc>
        <w:tc>
          <w:tcPr>
            <w:tcW w:w="0" w:type="auto"/>
          </w:tcPr>
          <w:p w14:paraId="55749AA2">
            <w:pPr>
              <w:rPr>
                <w:rFonts w:ascii="宋体" w:hAnsi="宋体" w:eastAsia="宋体"/>
                <w:kern w:val="2"/>
              </w:rPr>
            </w:pPr>
            <w:r>
              <w:rPr>
                <w:rFonts w:ascii="宋体" w:hAnsi="宋体" w:eastAsia="宋体"/>
                <w:b/>
                <w:bCs/>
                <w:kern w:val="2"/>
              </w:rPr>
              <w:t>单位</w:t>
            </w:r>
          </w:p>
        </w:tc>
        <w:tc>
          <w:tcPr>
            <w:tcW w:w="0" w:type="auto"/>
          </w:tcPr>
          <w:p w14:paraId="755D2C3D">
            <w:pPr>
              <w:rPr>
                <w:rFonts w:ascii="宋体" w:hAnsi="宋体" w:eastAsia="宋体"/>
                <w:kern w:val="2"/>
              </w:rPr>
            </w:pPr>
            <w:r>
              <w:rPr>
                <w:rFonts w:ascii="宋体" w:hAnsi="宋体" w:eastAsia="宋体"/>
                <w:b/>
                <w:bCs/>
                <w:kern w:val="2"/>
              </w:rPr>
              <w:t>数量</w:t>
            </w:r>
          </w:p>
        </w:tc>
        <w:tc>
          <w:tcPr>
            <w:tcW w:w="0" w:type="auto"/>
          </w:tcPr>
          <w:p w14:paraId="127715E0">
            <w:pPr>
              <w:rPr>
                <w:rFonts w:ascii="宋体" w:hAnsi="宋体" w:eastAsia="宋体"/>
                <w:kern w:val="2"/>
              </w:rPr>
            </w:pPr>
            <w:r>
              <w:rPr>
                <w:rFonts w:ascii="宋体" w:hAnsi="宋体" w:eastAsia="宋体"/>
                <w:b/>
                <w:bCs/>
                <w:kern w:val="2"/>
              </w:rPr>
              <w:t>单价（元）</w:t>
            </w:r>
          </w:p>
        </w:tc>
        <w:tc>
          <w:tcPr>
            <w:tcW w:w="0" w:type="auto"/>
          </w:tcPr>
          <w:p w14:paraId="7D8EF3A2">
            <w:pPr>
              <w:rPr>
                <w:rFonts w:ascii="宋体" w:hAnsi="宋体" w:eastAsia="宋体"/>
                <w:kern w:val="2"/>
              </w:rPr>
            </w:pPr>
            <w:r>
              <w:rPr>
                <w:rFonts w:ascii="宋体" w:hAnsi="宋体" w:eastAsia="宋体"/>
                <w:b/>
                <w:bCs/>
                <w:kern w:val="2"/>
              </w:rPr>
              <w:t>总价（元）</w:t>
            </w:r>
          </w:p>
        </w:tc>
        <w:tc>
          <w:tcPr>
            <w:tcW w:w="793" w:type="dxa"/>
          </w:tcPr>
          <w:p w14:paraId="70259612">
            <w:pPr>
              <w:rPr>
                <w:rFonts w:ascii="宋体" w:hAnsi="宋体" w:eastAsia="宋体"/>
                <w:kern w:val="2"/>
              </w:rPr>
            </w:pPr>
            <w:r>
              <w:rPr>
                <w:rFonts w:ascii="宋体" w:hAnsi="宋体" w:eastAsia="宋体"/>
                <w:b/>
                <w:bCs/>
                <w:kern w:val="2"/>
              </w:rPr>
              <w:t>备注</w:t>
            </w:r>
          </w:p>
        </w:tc>
      </w:tr>
      <w:tr w14:paraId="64E0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7176DFB">
            <w:pPr>
              <w:rPr>
                <w:rFonts w:ascii="宋体" w:hAnsi="宋体" w:eastAsia="宋体"/>
                <w:kern w:val="2"/>
              </w:rPr>
            </w:pPr>
            <w:r>
              <w:rPr>
                <w:rFonts w:hint="eastAsia" w:ascii="宋体" w:hAnsi="宋体" w:eastAsia="宋体"/>
                <w:kern w:val="2"/>
              </w:rPr>
              <w:t>1</w:t>
            </w:r>
          </w:p>
        </w:tc>
        <w:tc>
          <w:tcPr>
            <w:tcW w:w="0" w:type="auto"/>
          </w:tcPr>
          <w:p w14:paraId="58E32B4C">
            <w:pPr>
              <w:rPr>
                <w:rFonts w:ascii="宋体" w:hAnsi="宋体" w:eastAsia="宋体"/>
                <w:kern w:val="2"/>
              </w:rPr>
            </w:pPr>
          </w:p>
        </w:tc>
        <w:tc>
          <w:tcPr>
            <w:tcW w:w="0" w:type="auto"/>
          </w:tcPr>
          <w:p w14:paraId="1E00D8DB">
            <w:pPr>
              <w:rPr>
                <w:rFonts w:ascii="宋体" w:hAnsi="宋体" w:eastAsia="宋体"/>
                <w:kern w:val="2"/>
              </w:rPr>
            </w:pPr>
          </w:p>
        </w:tc>
        <w:tc>
          <w:tcPr>
            <w:tcW w:w="0" w:type="auto"/>
          </w:tcPr>
          <w:p w14:paraId="218BFFA9">
            <w:pPr>
              <w:rPr>
                <w:rFonts w:ascii="宋体" w:hAnsi="宋体" w:eastAsia="宋体"/>
                <w:kern w:val="2"/>
              </w:rPr>
            </w:pPr>
          </w:p>
        </w:tc>
        <w:tc>
          <w:tcPr>
            <w:tcW w:w="0" w:type="auto"/>
          </w:tcPr>
          <w:p w14:paraId="12DBAF6B">
            <w:pPr>
              <w:rPr>
                <w:rFonts w:ascii="宋体" w:hAnsi="宋体" w:eastAsia="宋体"/>
                <w:kern w:val="2"/>
              </w:rPr>
            </w:pPr>
          </w:p>
        </w:tc>
        <w:tc>
          <w:tcPr>
            <w:tcW w:w="0" w:type="auto"/>
          </w:tcPr>
          <w:p w14:paraId="10E5581E">
            <w:pPr>
              <w:rPr>
                <w:rFonts w:ascii="宋体" w:hAnsi="宋体" w:eastAsia="宋体"/>
                <w:kern w:val="2"/>
              </w:rPr>
            </w:pPr>
          </w:p>
        </w:tc>
        <w:tc>
          <w:tcPr>
            <w:tcW w:w="0" w:type="auto"/>
          </w:tcPr>
          <w:p w14:paraId="49722BDF">
            <w:pPr>
              <w:rPr>
                <w:rFonts w:ascii="宋体" w:hAnsi="宋体" w:eastAsia="宋体"/>
                <w:kern w:val="2"/>
              </w:rPr>
            </w:pPr>
          </w:p>
        </w:tc>
        <w:tc>
          <w:tcPr>
            <w:tcW w:w="793" w:type="dxa"/>
          </w:tcPr>
          <w:p w14:paraId="3C09F3F6">
            <w:pPr>
              <w:rPr>
                <w:rFonts w:ascii="宋体" w:hAnsi="宋体" w:eastAsia="宋体"/>
                <w:kern w:val="2"/>
              </w:rPr>
            </w:pPr>
          </w:p>
        </w:tc>
      </w:tr>
      <w:tr w14:paraId="633E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D0D0F1D">
            <w:pPr>
              <w:rPr>
                <w:rFonts w:ascii="宋体" w:hAnsi="宋体" w:eastAsia="宋体"/>
                <w:kern w:val="2"/>
              </w:rPr>
            </w:pPr>
            <w:r>
              <w:rPr>
                <w:rFonts w:hint="eastAsia" w:ascii="宋体" w:hAnsi="宋体" w:eastAsia="宋体"/>
                <w:kern w:val="2"/>
              </w:rPr>
              <w:t>2</w:t>
            </w:r>
          </w:p>
        </w:tc>
        <w:tc>
          <w:tcPr>
            <w:tcW w:w="0" w:type="auto"/>
          </w:tcPr>
          <w:p w14:paraId="2909BA5B">
            <w:pPr>
              <w:rPr>
                <w:rFonts w:ascii="宋体" w:hAnsi="宋体" w:eastAsia="宋体"/>
                <w:kern w:val="2"/>
              </w:rPr>
            </w:pPr>
          </w:p>
        </w:tc>
        <w:tc>
          <w:tcPr>
            <w:tcW w:w="0" w:type="auto"/>
          </w:tcPr>
          <w:p w14:paraId="753F0168">
            <w:pPr>
              <w:rPr>
                <w:rFonts w:ascii="宋体" w:hAnsi="宋体" w:eastAsia="宋体"/>
                <w:kern w:val="2"/>
              </w:rPr>
            </w:pPr>
          </w:p>
        </w:tc>
        <w:tc>
          <w:tcPr>
            <w:tcW w:w="0" w:type="auto"/>
          </w:tcPr>
          <w:p w14:paraId="0D25F682">
            <w:pPr>
              <w:rPr>
                <w:rFonts w:ascii="宋体" w:hAnsi="宋体" w:eastAsia="宋体"/>
                <w:kern w:val="2"/>
              </w:rPr>
            </w:pPr>
          </w:p>
        </w:tc>
        <w:tc>
          <w:tcPr>
            <w:tcW w:w="0" w:type="auto"/>
          </w:tcPr>
          <w:p w14:paraId="046E994B">
            <w:pPr>
              <w:rPr>
                <w:rFonts w:ascii="宋体" w:hAnsi="宋体" w:eastAsia="宋体"/>
                <w:kern w:val="2"/>
              </w:rPr>
            </w:pPr>
          </w:p>
        </w:tc>
        <w:tc>
          <w:tcPr>
            <w:tcW w:w="0" w:type="auto"/>
          </w:tcPr>
          <w:p w14:paraId="21FB9156">
            <w:pPr>
              <w:rPr>
                <w:rFonts w:ascii="宋体" w:hAnsi="宋体" w:eastAsia="宋体"/>
                <w:kern w:val="2"/>
              </w:rPr>
            </w:pPr>
          </w:p>
        </w:tc>
        <w:tc>
          <w:tcPr>
            <w:tcW w:w="0" w:type="auto"/>
          </w:tcPr>
          <w:p w14:paraId="4B0367D5">
            <w:pPr>
              <w:rPr>
                <w:rFonts w:ascii="宋体" w:hAnsi="宋体" w:eastAsia="宋体"/>
                <w:kern w:val="2"/>
              </w:rPr>
            </w:pPr>
          </w:p>
        </w:tc>
        <w:tc>
          <w:tcPr>
            <w:tcW w:w="793" w:type="dxa"/>
          </w:tcPr>
          <w:p w14:paraId="5CB33D2E">
            <w:pPr>
              <w:rPr>
                <w:rFonts w:ascii="宋体" w:hAnsi="宋体" w:eastAsia="宋体"/>
                <w:kern w:val="2"/>
              </w:rPr>
            </w:pPr>
          </w:p>
        </w:tc>
      </w:tr>
      <w:tr w14:paraId="3938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473DEC">
            <w:pPr>
              <w:rPr>
                <w:rFonts w:ascii="宋体" w:hAnsi="宋体" w:eastAsia="宋体"/>
                <w:kern w:val="2"/>
              </w:rPr>
            </w:pPr>
            <w:r>
              <w:rPr>
                <w:rFonts w:hint="eastAsia" w:ascii="宋体" w:hAnsi="宋体" w:eastAsia="宋体"/>
                <w:kern w:val="2"/>
              </w:rPr>
              <w:t>3</w:t>
            </w:r>
          </w:p>
        </w:tc>
        <w:tc>
          <w:tcPr>
            <w:tcW w:w="0" w:type="auto"/>
          </w:tcPr>
          <w:p w14:paraId="4F1F606C">
            <w:pPr>
              <w:rPr>
                <w:rFonts w:ascii="宋体" w:hAnsi="宋体" w:eastAsia="宋体"/>
                <w:kern w:val="2"/>
              </w:rPr>
            </w:pPr>
          </w:p>
        </w:tc>
        <w:tc>
          <w:tcPr>
            <w:tcW w:w="0" w:type="auto"/>
          </w:tcPr>
          <w:p w14:paraId="01C2F956">
            <w:pPr>
              <w:rPr>
                <w:rFonts w:ascii="宋体" w:hAnsi="宋体" w:eastAsia="宋体"/>
                <w:kern w:val="2"/>
              </w:rPr>
            </w:pPr>
          </w:p>
        </w:tc>
        <w:tc>
          <w:tcPr>
            <w:tcW w:w="0" w:type="auto"/>
          </w:tcPr>
          <w:p w14:paraId="2FE41383">
            <w:pPr>
              <w:rPr>
                <w:rFonts w:ascii="宋体" w:hAnsi="宋体" w:eastAsia="宋体"/>
                <w:kern w:val="2"/>
              </w:rPr>
            </w:pPr>
          </w:p>
        </w:tc>
        <w:tc>
          <w:tcPr>
            <w:tcW w:w="0" w:type="auto"/>
          </w:tcPr>
          <w:p w14:paraId="5BCD5611">
            <w:pPr>
              <w:rPr>
                <w:rFonts w:ascii="宋体" w:hAnsi="宋体" w:eastAsia="宋体"/>
                <w:kern w:val="2"/>
              </w:rPr>
            </w:pPr>
          </w:p>
        </w:tc>
        <w:tc>
          <w:tcPr>
            <w:tcW w:w="0" w:type="auto"/>
          </w:tcPr>
          <w:p w14:paraId="6F6BB3F9">
            <w:pPr>
              <w:rPr>
                <w:rFonts w:ascii="宋体" w:hAnsi="宋体" w:eastAsia="宋体"/>
                <w:kern w:val="2"/>
              </w:rPr>
            </w:pPr>
          </w:p>
        </w:tc>
        <w:tc>
          <w:tcPr>
            <w:tcW w:w="0" w:type="auto"/>
          </w:tcPr>
          <w:p w14:paraId="11E44395">
            <w:pPr>
              <w:rPr>
                <w:rFonts w:ascii="宋体" w:hAnsi="宋体" w:eastAsia="宋体"/>
                <w:kern w:val="2"/>
              </w:rPr>
            </w:pPr>
          </w:p>
        </w:tc>
        <w:tc>
          <w:tcPr>
            <w:tcW w:w="793" w:type="dxa"/>
          </w:tcPr>
          <w:p w14:paraId="7D0162CC">
            <w:pPr>
              <w:rPr>
                <w:rFonts w:ascii="宋体" w:hAnsi="宋体" w:eastAsia="宋体"/>
                <w:kern w:val="2"/>
              </w:rPr>
            </w:pPr>
          </w:p>
        </w:tc>
      </w:tr>
      <w:tr w14:paraId="5E69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4FB3C6C">
            <w:pPr>
              <w:rPr>
                <w:rFonts w:ascii="宋体" w:hAnsi="宋体" w:eastAsia="宋体"/>
                <w:kern w:val="2"/>
              </w:rPr>
            </w:pPr>
            <w:r>
              <w:rPr>
                <w:rFonts w:hint="eastAsia" w:ascii="宋体" w:hAnsi="宋体" w:eastAsia="宋体"/>
                <w:kern w:val="2"/>
              </w:rPr>
              <w:t>4</w:t>
            </w:r>
          </w:p>
        </w:tc>
        <w:tc>
          <w:tcPr>
            <w:tcW w:w="0" w:type="auto"/>
          </w:tcPr>
          <w:p w14:paraId="1549E8DB">
            <w:pPr>
              <w:rPr>
                <w:rFonts w:ascii="宋体" w:hAnsi="宋体" w:eastAsia="宋体"/>
                <w:kern w:val="2"/>
              </w:rPr>
            </w:pPr>
          </w:p>
        </w:tc>
        <w:tc>
          <w:tcPr>
            <w:tcW w:w="0" w:type="auto"/>
          </w:tcPr>
          <w:p w14:paraId="4F76E96E">
            <w:pPr>
              <w:rPr>
                <w:rFonts w:ascii="宋体" w:hAnsi="宋体" w:eastAsia="宋体"/>
                <w:kern w:val="2"/>
              </w:rPr>
            </w:pPr>
          </w:p>
        </w:tc>
        <w:tc>
          <w:tcPr>
            <w:tcW w:w="0" w:type="auto"/>
          </w:tcPr>
          <w:p w14:paraId="1FE612EE">
            <w:pPr>
              <w:rPr>
                <w:rFonts w:ascii="宋体" w:hAnsi="宋体" w:eastAsia="宋体"/>
                <w:kern w:val="2"/>
              </w:rPr>
            </w:pPr>
          </w:p>
        </w:tc>
        <w:tc>
          <w:tcPr>
            <w:tcW w:w="0" w:type="auto"/>
          </w:tcPr>
          <w:p w14:paraId="5870F280">
            <w:pPr>
              <w:rPr>
                <w:rFonts w:ascii="宋体" w:hAnsi="宋体" w:eastAsia="宋体"/>
                <w:kern w:val="2"/>
              </w:rPr>
            </w:pPr>
          </w:p>
        </w:tc>
        <w:tc>
          <w:tcPr>
            <w:tcW w:w="0" w:type="auto"/>
          </w:tcPr>
          <w:p w14:paraId="001401A1">
            <w:pPr>
              <w:rPr>
                <w:rFonts w:ascii="宋体" w:hAnsi="宋体" w:eastAsia="宋体"/>
                <w:kern w:val="2"/>
              </w:rPr>
            </w:pPr>
          </w:p>
        </w:tc>
        <w:tc>
          <w:tcPr>
            <w:tcW w:w="0" w:type="auto"/>
          </w:tcPr>
          <w:p w14:paraId="1A8F2AE6">
            <w:pPr>
              <w:rPr>
                <w:rFonts w:ascii="宋体" w:hAnsi="宋体" w:eastAsia="宋体"/>
                <w:kern w:val="2"/>
              </w:rPr>
            </w:pPr>
          </w:p>
        </w:tc>
        <w:tc>
          <w:tcPr>
            <w:tcW w:w="793" w:type="dxa"/>
          </w:tcPr>
          <w:p w14:paraId="016D6FE2">
            <w:pPr>
              <w:rPr>
                <w:rFonts w:ascii="宋体" w:hAnsi="宋体" w:eastAsia="宋体"/>
                <w:kern w:val="2"/>
              </w:rPr>
            </w:pPr>
          </w:p>
        </w:tc>
      </w:tr>
      <w:tr w14:paraId="1630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D35E5EF">
            <w:pPr>
              <w:rPr>
                <w:rFonts w:ascii="宋体" w:hAnsi="宋体" w:eastAsia="宋体"/>
                <w:kern w:val="2"/>
              </w:rPr>
            </w:pPr>
            <w:r>
              <w:rPr>
                <w:rFonts w:hint="eastAsia" w:ascii="宋体" w:hAnsi="宋体" w:eastAsia="宋体"/>
                <w:kern w:val="2"/>
              </w:rPr>
              <w:t>5</w:t>
            </w:r>
          </w:p>
        </w:tc>
        <w:tc>
          <w:tcPr>
            <w:tcW w:w="0" w:type="auto"/>
          </w:tcPr>
          <w:p w14:paraId="27C2E0D6">
            <w:pPr>
              <w:rPr>
                <w:rFonts w:ascii="宋体" w:hAnsi="宋体" w:eastAsia="宋体"/>
                <w:kern w:val="2"/>
              </w:rPr>
            </w:pPr>
          </w:p>
        </w:tc>
        <w:tc>
          <w:tcPr>
            <w:tcW w:w="0" w:type="auto"/>
          </w:tcPr>
          <w:p w14:paraId="7A383181">
            <w:pPr>
              <w:rPr>
                <w:rFonts w:ascii="宋体" w:hAnsi="宋体" w:eastAsia="宋体"/>
                <w:kern w:val="2"/>
              </w:rPr>
            </w:pPr>
          </w:p>
        </w:tc>
        <w:tc>
          <w:tcPr>
            <w:tcW w:w="0" w:type="auto"/>
          </w:tcPr>
          <w:p w14:paraId="58D011CE">
            <w:pPr>
              <w:rPr>
                <w:rFonts w:ascii="宋体" w:hAnsi="宋体" w:eastAsia="宋体"/>
                <w:kern w:val="2"/>
              </w:rPr>
            </w:pPr>
          </w:p>
        </w:tc>
        <w:tc>
          <w:tcPr>
            <w:tcW w:w="0" w:type="auto"/>
          </w:tcPr>
          <w:p w14:paraId="4147F410">
            <w:pPr>
              <w:rPr>
                <w:rFonts w:ascii="宋体" w:hAnsi="宋体" w:eastAsia="宋体"/>
                <w:kern w:val="2"/>
              </w:rPr>
            </w:pPr>
          </w:p>
        </w:tc>
        <w:tc>
          <w:tcPr>
            <w:tcW w:w="0" w:type="auto"/>
          </w:tcPr>
          <w:p w14:paraId="006AD6B1">
            <w:pPr>
              <w:rPr>
                <w:rFonts w:ascii="宋体" w:hAnsi="宋体" w:eastAsia="宋体"/>
                <w:kern w:val="2"/>
              </w:rPr>
            </w:pPr>
          </w:p>
        </w:tc>
        <w:tc>
          <w:tcPr>
            <w:tcW w:w="0" w:type="auto"/>
          </w:tcPr>
          <w:p w14:paraId="1DBB05B7">
            <w:pPr>
              <w:rPr>
                <w:rFonts w:ascii="宋体" w:hAnsi="宋体" w:eastAsia="宋体"/>
                <w:kern w:val="2"/>
              </w:rPr>
            </w:pPr>
          </w:p>
        </w:tc>
        <w:tc>
          <w:tcPr>
            <w:tcW w:w="793" w:type="dxa"/>
          </w:tcPr>
          <w:p w14:paraId="2AD706EA">
            <w:pPr>
              <w:rPr>
                <w:rFonts w:ascii="宋体" w:hAnsi="宋体" w:eastAsia="宋体"/>
                <w:kern w:val="2"/>
              </w:rPr>
            </w:pPr>
          </w:p>
        </w:tc>
      </w:tr>
      <w:tr w14:paraId="6B89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5995388">
            <w:pPr>
              <w:rPr>
                <w:rFonts w:ascii="宋体" w:hAnsi="宋体" w:eastAsia="宋体"/>
                <w:b/>
                <w:bCs/>
                <w:kern w:val="2"/>
              </w:rPr>
            </w:pPr>
            <w:r>
              <w:rPr>
                <w:rFonts w:hint="eastAsia" w:ascii="宋体" w:hAnsi="宋体" w:eastAsia="宋体"/>
                <w:b/>
                <w:bCs/>
                <w:kern w:val="2"/>
              </w:rPr>
              <w:t>合计</w:t>
            </w:r>
          </w:p>
        </w:tc>
        <w:tc>
          <w:tcPr>
            <w:tcW w:w="0" w:type="auto"/>
          </w:tcPr>
          <w:p w14:paraId="06265A75">
            <w:pPr>
              <w:rPr>
                <w:rFonts w:ascii="宋体" w:hAnsi="宋体" w:eastAsia="宋体"/>
                <w:kern w:val="2"/>
              </w:rPr>
            </w:pPr>
          </w:p>
        </w:tc>
        <w:tc>
          <w:tcPr>
            <w:tcW w:w="0" w:type="auto"/>
          </w:tcPr>
          <w:p w14:paraId="0868EA03">
            <w:pPr>
              <w:rPr>
                <w:rFonts w:ascii="宋体" w:hAnsi="宋体" w:eastAsia="宋体"/>
                <w:kern w:val="2"/>
              </w:rPr>
            </w:pPr>
          </w:p>
        </w:tc>
        <w:tc>
          <w:tcPr>
            <w:tcW w:w="0" w:type="auto"/>
          </w:tcPr>
          <w:p w14:paraId="3BE62EB6">
            <w:pPr>
              <w:rPr>
                <w:rFonts w:ascii="宋体" w:hAnsi="宋体" w:eastAsia="宋体"/>
                <w:kern w:val="2"/>
              </w:rPr>
            </w:pPr>
          </w:p>
        </w:tc>
        <w:tc>
          <w:tcPr>
            <w:tcW w:w="0" w:type="auto"/>
          </w:tcPr>
          <w:p w14:paraId="089AC9BF">
            <w:pPr>
              <w:rPr>
                <w:rFonts w:ascii="宋体" w:hAnsi="宋体" w:eastAsia="宋体"/>
                <w:kern w:val="2"/>
              </w:rPr>
            </w:pPr>
          </w:p>
        </w:tc>
        <w:tc>
          <w:tcPr>
            <w:tcW w:w="0" w:type="auto"/>
          </w:tcPr>
          <w:p w14:paraId="353A5EC2">
            <w:pPr>
              <w:rPr>
                <w:rFonts w:ascii="宋体" w:hAnsi="宋体" w:eastAsia="宋体"/>
                <w:kern w:val="2"/>
              </w:rPr>
            </w:pPr>
          </w:p>
        </w:tc>
        <w:tc>
          <w:tcPr>
            <w:tcW w:w="0" w:type="auto"/>
          </w:tcPr>
          <w:p w14:paraId="1B51FF10">
            <w:pPr>
              <w:rPr>
                <w:rFonts w:ascii="宋体" w:hAnsi="宋体" w:eastAsia="宋体"/>
                <w:kern w:val="2"/>
              </w:rPr>
            </w:pPr>
          </w:p>
        </w:tc>
        <w:tc>
          <w:tcPr>
            <w:tcW w:w="793" w:type="dxa"/>
          </w:tcPr>
          <w:p w14:paraId="33B2C056">
            <w:pPr>
              <w:rPr>
                <w:rFonts w:ascii="宋体" w:hAnsi="宋体" w:eastAsia="宋体"/>
                <w:kern w:val="2"/>
              </w:rPr>
            </w:pPr>
          </w:p>
        </w:tc>
      </w:tr>
    </w:tbl>
    <w:p w14:paraId="695D50F0">
      <w:pPr>
        <w:rPr>
          <w:rFonts w:ascii="宋体" w:hAnsi="宋体" w:eastAsia="宋体"/>
        </w:rPr>
      </w:pPr>
    </w:p>
    <w:p w14:paraId="7E36EFE8">
      <w:pPr>
        <w:rPr>
          <w:rFonts w:hint="eastAsia" w:ascii="宋体" w:hAnsi="宋体" w:cs="宋体"/>
          <w:b/>
          <w:bCs/>
          <w:sz w:val="24"/>
          <w:szCs w:val="32"/>
        </w:rPr>
      </w:pPr>
      <w:r>
        <w:rPr>
          <w:rFonts w:hint="eastAsia" w:ascii="宋体" w:hAnsi="宋体" w:cs="宋体"/>
          <w:b/>
          <w:bCs/>
          <w:sz w:val="24"/>
          <w:szCs w:val="32"/>
        </w:rPr>
        <w:br w:type="page"/>
      </w:r>
    </w:p>
    <w:p w14:paraId="018E5E6C">
      <w:pPr>
        <w:spacing w:line="360" w:lineRule="auto"/>
        <w:ind w:firstLine="482" w:firstLineChars="200"/>
        <w:jc w:val="center"/>
        <w:rPr>
          <w:rFonts w:hint="eastAsia" w:ascii="宋体" w:hAnsi="宋体" w:cs="宋体"/>
          <w:b/>
          <w:sz w:val="24"/>
          <w:szCs w:val="24"/>
        </w:rPr>
      </w:pPr>
      <w:r>
        <w:rPr>
          <w:rFonts w:hint="eastAsia" w:ascii="宋体" w:hAnsi="宋体" w:cs="宋体"/>
          <w:b/>
          <w:bCs/>
          <w:sz w:val="24"/>
          <w:szCs w:val="32"/>
        </w:rPr>
        <w:t>第五部分  响应文件组成</w:t>
      </w:r>
    </w:p>
    <w:p w14:paraId="70866CB3">
      <w:pPr>
        <w:spacing w:line="360" w:lineRule="auto"/>
        <w:ind w:firstLine="482" w:firstLineChars="200"/>
        <w:jc w:val="both"/>
        <w:rPr>
          <w:rFonts w:hint="eastAsia" w:ascii="宋体" w:hAnsi="宋体" w:cs="宋体"/>
          <w:b/>
          <w:bCs/>
          <w:sz w:val="24"/>
          <w:szCs w:val="24"/>
        </w:rPr>
      </w:pPr>
      <w:r>
        <w:rPr>
          <w:rFonts w:hint="eastAsia" w:ascii="宋体" w:hAnsi="宋体" w:cs="宋体"/>
          <w:b/>
          <w:sz w:val="24"/>
          <w:szCs w:val="24"/>
        </w:rPr>
        <w:t>（一）资格审查文件相关的格式文件及表格</w:t>
      </w:r>
    </w:p>
    <w:p w14:paraId="0F84E48E">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1.法定代表人身份证明（法定代表人参加，则提供）</w:t>
      </w:r>
    </w:p>
    <w:p w14:paraId="4CC1B8EB">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p w14:paraId="1E7DEC81">
      <w:pPr>
        <w:spacing w:line="360" w:lineRule="auto"/>
        <w:ind w:firstLine="480" w:firstLineChars="200"/>
        <w:jc w:val="both"/>
        <w:rPr>
          <w:rFonts w:hint="eastAsia" w:ascii="宋体" w:hAnsi="宋体" w:cs="宋体"/>
          <w:sz w:val="24"/>
          <w:szCs w:val="24"/>
        </w:rPr>
      </w:pPr>
      <w:r>
        <w:rPr>
          <w:rFonts w:hint="eastAsia" w:ascii="宋体" w:hAnsi="宋体" w:cs="宋体"/>
          <w:sz w:val="24"/>
          <w:szCs w:val="24"/>
          <w:u w:val="single"/>
        </w:rPr>
        <w:t xml:space="preserve">          先生／女士：</w:t>
      </w:r>
      <w:r>
        <w:rPr>
          <w:rFonts w:hint="eastAsia" w:ascii="宋体" w:hAnsi="宋体" w:cs="宋体"/>
          <w:sz w:val="24"/>
          <w:szCs w:val="24"/>
        </w:rPr>
        <w:t>现任我单位</w:t>
      </w:r>
      <w:r>
        <w:rPr>
          <w:rFonts w:hint="eastAsia" w:ascii="宋体" w:hAnsi="宋体" w:cs="宋体"/>
          <w:sz w:val="24"/>
          <w:szCs w:val="24"/>
          <w:u w:val="single"/>
        </w:rPr>
        <w:t>　　　　　　　</w:t>
      </w:r>
      <w:r>
        <w:rPr>
          <w:rFonts w:hint="eastAsia" w:ascii="宋体" w:hAnsi="宋体" w:cs="宋体"/>
          <w:sz w:val="24"/>
          <w:szCs w:val="24"/>
        </w:rPr>
        <w:t>职务，为法定代表人，特此证明。</w:t>
      </w:r>
    </w:p>
    <w:p w14:paraId="0B13FB94">
      <w:pPr>
        <w:spacing w:line="360" w:lineRule="auto"/>
        <w:ind w:firstLine="480" w:firstLineChars="200"/>
        <w:jc w:val="both"/>
        <w:rPr>
          <w:rFonts w:hint="eastAsia"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14:paraId="5518983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供应商（盖章）</w:t>
      </w:r>
    </w:p>
    <w:p w14:paraId="202A8B8A">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3C615DA4">
      <w:pPr>
        <w:spacing w:line="360" w:lineRule="auto"/>
        <w:ind w:firstLine="480" w:firstLineChars="200"/>
        <w:jc w:val="both"/>
        <w:rPr>
          <w:rFonts w:hint="eastAsia" w:ascii="宋体" w:hAnsi="宋体" w:cs="宋体"/>
          <w:sz w:val="24"/>
          <w:szCs w:val="24"/>
        </w:rPr>
      </w:pPr>
    </w:p>
    <w:p w14:paraId="7A04007A">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注：提供法定代表人的身份证正反面复印件</w:t>
      </w:r>
    </w:p>
    <w:p w14:paraId="1E1EB960">
      <w:pPr>
        <w:spacing w:line="360" w:lineRule="auto"/>
        <w:ind w:firstLine="482" w:firstLineChars="200"/>
        <w:jc w:val="both"/>
        <w:outlineLvl w:val="4"/>
        <w:rPr>
          <w:rFonts w:hint="eastAsia" w:ascii="宋体" w:hAnsi="宋体" w:cs="宋体"/>
          <w:b/>
          <w:bCs/>
          <w:sz w:val="24"/>
          <w:szCs w:val="24"/>
        </w:rPr>
      </w:pPr>
    </w:p>
    <w:p w14:paraId="5F039C3D">
      <w:pPr>
        <w:spacing w:line="360" w:lineRule="auto"/>
        <w:ind w:firstLine="482" w:firstLineChars="200"/>
        <w:jc w:val="both"/>
        <w:outlineLvl w:val="4"/>
        <w:rPr>
          <w:rFonts w:hint="eastAsia" w:ascii="宋体" w:hAnsi="宋体" w:cs="宋体"/>
          <w:b/>
          <w:bCs/>
          <w:sz w:val="24"/>
          <w:szCs w:val="24"/>
        </w:rPr>
      </w:pPr>
    </w:p>
    <w:p w14:paraId="76FE095C">
      <w:pPr>
        <w:spacing w:line="360" w:lineRule="auto"/>
        <w:ind w:firstLine="482" w:firstLineChars="200"/>
        <w:jc w:val="both"/>
        <w:outlineLvl w:val="4"/>
        <w:rPr>
          <w:rFonts w:hint="eastAsia" w:ascii="宋体" w:hAnsi="宋体" w:cs="宋体"/>
          <w:b/>
          <w:bCs/>
          <w:sz w:val="24"/>
          <w:szCs w:val="24"/>
        </w:rPr>
      </w:pPr>
    </w:p>
    <w:p w14:paraId="2AD8E119">
      <w:pPr>
        <w:pStyle w:val="56"/>
        <w:spacing w:line="360" w:lineRule="auto"/>
        <w:ind w:firstLine="482" w:firstLineChars="200"/>
        <w:jc w:val="both"/>
        <w:rPr>
          <w:rFonts w:hint="eastAsia" w:ascii="宋体" w:hAnsi="宋体" w:eastAsia="宋体" w:cs="宋体"/>
          <w:b/>
          <w:bCs/>
          <w:szCs w:val="24"/>
        </w:rPr>
      </w:pPr>
    </w:p>
    <w:p w14:paraId="1404666C">
      <w:pPr>
        <w:pStyle w:val="56"/>
        <w:spacing w:line="360" w:lineRule="auto"/>
        <w:ind w:firstLine="482" w:firstLineChars="200"/>
        <w:jc w:val="both"/>
        <w:rPr>
          <w:rFonts w:hint="eastAsia" w:ascii="宋体" w:hAnsi="宋体" w:eastAsia="宋体" w:cs="宋体"/>
          <w:b/>
          <w:bCs/>
          <w:szCs w:val="24"/>
        </w:rPr>
      </w:pPr>
    </w:p>
    <w:p w14:paraId="78722B3A">
      <w:pPr>
        <w:pStyle w:val="56"/>
        <w:spacing w:line="360" w:lineRule="auto"/>
        <w:ind w:firstLine="482" w:firstLineChars="200"/>
        <w:jc w:val="both"/>
        <w:rPr>
          <w:rFonts w:hint="eastAsia" w:ascii="宋体" w:hAnsi="宋体" w:eastAsia="宋体" w:cs="宋体"/>
          <w:b/>
          <w:bCs/>
          <w:szCs w:val="24"/>
        </w:rPr>
      </w:pPr>
    </w:p>
    <w:p w14:paraId="699D4E2F">
      <w:pPr>
        <w:pStyle w:val="56"/>
        <w:spacing w:line="360" w:lineRule="auto"/>
        <w:ind w:firstLine="482" w:firstLineChars="200"/>
        <w:jc w:val="both"/>
        <w:rPr>
          <w:rFonts w:hint="eastAsia" w:ascii="宋体" w:hAnsi="宋体" w:eastAsia="宋体" w:cs="宋体"/>
          <w:b/>
          <w:bCs/>
          <w:szCs w:val="24"/>
        </w:rPr>
      </w:pPr>
    </w:p>
    <w:p w14:paraId="16D968DA">
      <w:pPr>
        <w:pStyle w:val="56"/>
        <w:spacing w:line="360" w:lineRule="auto"/>
        <w:ind w:firstLine="482" w:firstLineChars="200"/>
        <w:jc w:val="both"/>
        <w:rPr>
          <w:rFonts w:hint="eastAsia" w:ascii="宋体" w:hAnsi="宋体" w:eastAsia="宋体" w:cs="宋体"/>
          <w:b/>
          <w:bCs/>
          <w:szCs w:val="24"/>
        </w:rPr>
      </w:pPr>
    </w:p>
    <w:p w14:paraId="0FB4F984">
      <w:pPr>
        <w:pStyle w:val="56"/>
        <w:spacing w:line="360" w:lineRule="auto"/>
        <w:ind w:firstLine="482" w:firstLineChars="200"/>
        <w:jc w:val="both"/>
        <w:rPr>
          <w:rFonts w:hint="eastAsia" w:ascii="宋体" w:hAnsi="宋体" w:eastAsia="宋体" w:cs="宋体"/>
          <w:b/>
          <w:bCs/>
          <w:szCs w:val="24"/>
        </w:rPr>
      </w:pPr>
    </w:p>
    <w:p w14:paraId="544B8F2E">
      <w:pPr>
        <w:pStyle w:val="56"/>
        <w:spacing w:line="360" w:lineRule="auto"/>
        <w:ind w:firstLine="482" w:firstLineChars="200"/>
        <w:jc w:val="both"/>
        <w:rPr>
          <w:rFonts w:hint="eastAsia" w:ascii="宋体" w:hAnsi="宋体" w:eastAsia="宋体" w:cs="宋体"/>
          <w:b/>
          <w:bCs/>
          <w:szCs w:val="24"/>
        </w:rPr>
      </w:pPr>
    </w:p>
    <w:p w14:paraId="3A79B1DA">
      <w:pPr>
        <w:pStyle w:val="56"/>
        <w:spacing w:line="360" w:lineRule="auto"/>
        <w:ind w:firstLine="482" w:firstLineChars="200"/>
        <w:jc w:val="both"/>
        <w:rPr>
          <w:rFonts w:hint="eastAsia" w:ascii="宋体" w:hAnsi="宋体" w:eastAsia="宋体" w:cs="宋体"/>
          <w:b/>
          <w:bCs/>
          <w:szCs w:val="24"/>
        </w:rPr>
      </w:pPr>
    </w:p>
    <w:p w14:paraId="732FF790">
      <w:pPr>
        <w:spacing w:line="360" w:lineRule="auto"/>
        <w:ind w:firstLine="482" w:firstLineChars="200"/>
        <w:jc w:val="both"/>
        <w:outlineLvl w:val="4"/>
        <w:rPr>
          <w:rFonts w:hint="eastAsia" w:ascii="宋体" w:hAnsi="宋体" w:cs="宋体"/>
          <w:b/>
          <w:bCs/>
          <w:sz w:val="24"/>
          <w:szCs w:val="24"/>
        </w:rPr>
      </w:pPr>
    </w:p>
    <w:p w14:paraId="5AB92FCD">
      <w:pPr>
        <w:spacing w:line="360" w:lineRule="auto"/>
        <w:ind w:firstLine="482" w:firstLineChars="200"/>
        <w:jc w:val="center"/>
        <w:outlineLvl w:val="4"/>
        <w:rPr>
          <w:rFonts w:hint="eastAsia" w:ascii="宋体" w:hAnsi="宋体" w:cs="宋体"/>
          <w:b/>
          <w:bCs/>
          <w:sz w:val="24"/>
          <w:szCs w:val="24"/>
        </w:rPr>
      </w:pPr>
    </w:p>
    <w:p w14:paraId="5DF71AA0">
      <w:pPr>
        <w:spacing w:line="360" w:lineRule="auto"/>
        <w:ind w:firstLine="482" w:firstLineChars="200"/>
        <w:jc w:val="center"/>
        <w:outlineLvl w:val="4"/>
        <w:rPr>
          <w:rFonts w:hint="eastAsia" w:ascii="宋体" w:hAnsi="宋体" w:cs="宋体"/>
          <w:b/>
          <w:bCs/>
          <w:sz w:val="24"/>
          <w:szCs w:val="24"/>
        </w:rPr>
      </w:pPr>
      <w:r>
        <w:rPr>
          <w:rFonts w:hint="eastAsia" w:ascii="宋体" w:hAnsi="宋体" w:cs="宋体"/>
          <w:b/>
          <w:bCs/>
          <w:sz w:val="24"/>
          <w:szCs w:val="24"/>
        </w:rPr>
        <w:t>2.法定代表人授权委托书（授权代表参加，则提供）</w:t>
      </w:r>
    </w:p>
    <w:p w14:paraId="33A2A403">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u w:val="single"/>
        </w:rPr>
        <w:t xml:space="preserve">               </w:t>
      </w:r>
      <w:r>
        <w:rPr>
          <w:rFonts w:hint="eastAsia" w:ascii="宋体" w:hAnsi="宋体" w:cs="宋体"/>
          <w:bCs/>
          <w:sz w:val="24"/>
          <w:szCs w:val="24"/>
        </w:rPr>
        <w:t>：</w:t>
      </w:r>
    </w:p>
    <w:p w14:paraId="48C364E3">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　　   　</w:t>
      </w:r>
      <w:r>
        <w:rPr>
          <w:rFonts w:hint="eastAsia" w:ascii="宋体" w:hAnsi="宋体" w:cs="宋体"/>
          <w:sz w:val="24"/>
          <w:szCs w:val="24"/>
        </w:rPr>
        <w:t>（姓名）系</w:t>
      </w:r>
      <w:r>
        <w:rPr>
          <w:rFonts w:hint="eastAsia" w:ascii="宋体" w:hAnsi="宋体" w:cs="宋体"/>
          <w:sz w:val="24"/>
          <w:szCs w:val="24"/>
          <w:u w:val="single"/>
        </w:rPr>
        <w:t>　　  　</w:t>
      </w:r>
      <w:r>
        <w:rPr>
          <w:rFonts w:hint="eastAsia" w:ascii="宋体" w:hAnsi="宋体" w:cs="宋体"/>
          <w:sz w:val="24"/>
          <w:szCs w:val="24"/>
        </w:rPr>
        <w:t>（供应商名称）的法定代表人，现授权委托　　   （姓名）　　 （身份证号）为我公司代理人，以本公司的名义参加本项目的询价响应活动。代理人在开标、评标、合同谈判过程中所签署的一切文件和处理与之有关的一切事务，我均予以承认。</w:t>
      </w:r>
    </w:p>
    <w:p w14:paraId="6F03A8F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被委托授权人无转委权。特此委托。</w:t>
      </w:r>
    </w:p>
    <w:p w14:paraId="0FA82E09">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 xml:space="preserve">              </w:t>
      </w:r>
    </w:p>
    <w:p w14:paraId="0E2A63C7">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法定代表人签字：</w:t>
      </w:r>
    </w:p>
    <w:p w14:paraId="639DCDAB">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被委托授权人签字：</w:t>
      </w:r>
    </w:p>
    <w:p w14:paraId="7E7A9E9F">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谈判供应商（盖章）</w:t>
      </w:r>
    </w:p>
    <w:p w14:paraId="20CE7100">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年    月    日</w:t>
      </w:r>
    </w:p>
    <w:p w14:paraId="6CD1FF16">
      <w:pPr>
        <w:spacing w:line="360" w:lineRule="auto"/>
        <w:ind w:firstLine="480" w:firstLineChars="200"/>
        <w:jc w:val="both"/>
        <w:rPr>
          <w:rFonts w:hint="eastAsia" w:ascii="宋体" w:hAnsi="宋体" w:cs="宋体"/>
          <w:bCs/>
          <w:sz w:val="24"/>
          <w:szCs w:val="24"/>
        </w:rPr>
      </w:pPr>
      <w:r>
        <w:rPr>
          <w:rFonts w:hint="eastAsia" w:ascii="宋体" w:hAnsi="宋体" w:cs="宋体"/>
          <w:bCs/>
          <w:sz w:val="24"/>
          <w:szCs w:val="24"/>
        </w:rPr>
        <w:t>法定代表身份证明身份证正反面复印件</w:t>
      </w:r>
    </w:p>
    <w:p w14:paraId="315834CF">
      <w:pPr>
        <w:spacing w:line="360" w:lineRule="auto"/>
        <w:ind w:firstLine="480" w:firstLineChars="200"/>
        <w:jc w:val="both"/>
        <w:rPr>
          <w:rFonts w:hint="eastAsia" w:ascii="宋体" w:hAnsi="宋体" w:cs="宋体"/>
          <w:bCs/>
          <w:sz w:val="24"/>
          <w:szCs w:val="24"/>
        </w:rPr>
      </w:pPr>
    </w:p>
    <w:p w14:paraId="003EE76B">
      <w:pPr>
        <w:spacing w:line="360" w:lineRule="auto"/>
        <w:ind w:firstLine="480" w:firstLineChars="200"/>
        <w:jc w:val="both"/>
        <w:rPr>
          <w:rFonts w:hint="eastAsia" w:ascii="宋体" w:hAnsi="宋体" w:cs="宋体"/>
          <w:bCs/>
          <w:sz w:val="24"/>
          <w:szCs w:val="24"/>
        </w:rPr>
      </w:pPr>
    </w:p>
    <w:p w14:paraId="5B756E2E">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被委托授权人的身份证正反面复印件</w:t>
      </w:r>
    </w:p>
    <w:p w14:paraId="2D162784">
      <w:pPr>
        <w:spacing w:line="360" w:lineRule="auto"/>
        <w:ind w:firstLine="482" w:firstLineChars="200"/>
        <w:rPr>
          <w:rFonts w:hint="eastAsia" w:ascii="宋体" w:hAnsi="宋体" w:cs="宋体"/>
          <w:b/>
          <w:sz w:val="24"/>
          <w:szCs w:val="30"/>
        </w:rPr>
      </w:pPr>
      <w:r>
        <w:rPr>
          <w:rFonts w:hint="eastAsia" w:ascii="宋体" w:hAnsi="宋体" w:cs="宋体"/>
          <w:b/>
          <w:sz w:val="24"/>
          <w:szCs w:val="30"/>
        </w:rPr>
        <w:br w:type="page"/>
      </w:r>
    </w:p>
    <w:p w14:paraId="5B223A74">
      <w:pPr>
        <w:spacing w:line="360" w:lineRule="auto"/>
        <w:ind w:firstLine="482" w:firstLineChars="200"/>
        <w:jc w:val="center"/>
        <w:rPr>
          <w:rFonts w:hint="eastAsia" w:ascii="宋体" w:hAnsi="宋体" w:cs="宋体"/>
          <w:b/>
          <w:sz w:val="24"/>
          <w:szCs w:val="30"/>
        </w:rPr>
      </w:pPr>
      <w:r>
        <w:rPr>
          <w:rFonts w:hint="eastAsia" w:ascii="宋体" w:hAnsi="宋体" w:cs="宋体"/>
          <w:b/>
          <w:sz w:val="24"/>
          <w:szCs w:val="30"/>
        </w:rPr>
        <w:t>3.符合本项目采购人资格要求的承诺函</w:t>
      </w:r>
    </w:p>
    <w:p w14:paraId="3FB3BA8F">
      <w:pPr>
        <w:spacing w:line="360" w:lineRule="auto"/>
        <w:ind w:firstLine="482" w:firstLineChars="200"/>
        <w:rPr>
          <w:rFonts w:hint="eastAsia" w:ascii="宋体" w:hAnsi="宋体" w:cs="宋体"/>
          <w:b/>
          <w:bCs/>
          <w:sz w:val="24"/>
          <w:szCs w:val="44"/>
        </w:rPr>
      </w:pPr>
      <w:r>
        <w:rPr>
          <w:rFonts w:hint="eastAsia" w:ascii="宋体" w:hAnsi="宋体" w:cs="宋体"/>
          <w:b/>
          <w:bCs/>
          <w:sz w:val="24"/>
          <w:szCs w:val="21"/>
        </w:rPr>
        <w:t xml:space="preserve"> 江苏商贸职业学院：                    </w:t>
      </w:r>
      <w:r>
        <w:rPr>
          <w:rFonts w:hint="eastAsia" w:ascii="宋体" w:hAnsi="宋体" w:cs="宋体"/>
          <w:b/>
          <w:bCs/>
          <w:sz w:val="24"/>
          <w:szCs w:val="44"/>
        </w:rPr>
        <w:t xml:space="preserve">  </w:t>
      </w:r>
    </w:p>
    <w:p w14:paraId="19699840">
      <w:pPr>
        <w:spacing w:line="360" w:lineRule="auto"/>
        <w:ind w:firstLine="480" w:firstLineChars="200"/>
        <w:rPr>
          <w:rFonts w:hint="eastAsia" w:ascii="宋体" w:hAnsi="宋体" w:cs="宋体"/>
          <w:b/>
          <w:bCs/>
          <w:sz w:val="24"/>
        </w:rPr>
      </w:pPr>
      <w:r>
        <w:rPr>
          <w:rFonts w:hint="eastAsia" w:ascii="宋体" w:hAnsi="宋体" w:cs="宋体"/>
          <w:bCs/>
          <w:sz w:val="24"/>
        </w:rPr>
        <w:t>我单位参加</w:t>
      </w:r>
      <w:r>
        <w:rPr>
          <w:rFonts w:hint="eastAsia" w:ascii="宋体" w:hAnsi="宋体" w:cs="宋体"/>
          <w:bCs/>
          <w:sz w:val="24"/>
          <w:szCs w:val="21"/>
          <w:u w:val="single"/>
        </w:rPr>
        <w:t>________________ _</w:t>
      </w:r>
      <w:r>
        <w:rPr>
          <w:rFonts w:hint="eastAsia" w:ascii="宋体" w:hAnsi="宋体" w:cs="宋体"/>
          <w:bCs/>
          <w:sz w:val="24"/>
          <w:szCs w:val="21"/>
        </w:rPr>
        <w:t>（项目名称），</w:t>
      </w:r>
      <w:r>
        <w:rPr>
          <w:rFonts w:hint="eastAsia" w:ascii="宋体" w:hAnsi="宋体" w:cs="宋体"/>
          <w:bCs/>
          <w:sz w:val="24"/>
          <w:szCs w:val="21"/>
          <w:u w:val="single"/>
        </w:rPr>
        <w:t>_______ __________</w:t>
      </w:r>
      <w:r>
        <w:rPr>
          <w:rFonts w:hint="eastAsia" w:ascii="宋体" w:hAnsi="宋体" w:cs="宋体"/>
          <w:bCs/>
          <w:sz w:val="24"/>
          <w:szCs w:val="21"/>
        </w:rPr>
        <w:t>（项目编号）投标活动。针对本项目采购人资格要求做出如下承诺：</w:t>
      </w:r>
    </w:p>
    <w:p w14:paraId="72CF3642">
      <w:pPr>
        <w:spacing w:line="360" w:lineRule="auto"/>
        <w:ind w:firstLine="480" w:firstLineChars="200"/>
        <w:rPr>
          <w:rFonts w:hint="eastAsia" w:ascii="宋体" w:hAnsi="宋体" w:cs="宋体"/>
          <w:sz w:val="24"/>
        </w:rPr>
      </w:pPr>
      <w:r>
        <w:rPr>
          <w:rFonts w:hint="eastAsia" w:ascii="宋体" w:hAnsi="宋体" w:cs="宋体"/>
          <w:bCs/>
          <w:sz w:val="24"/>
          <w:szCs w:val="21"/>
        </w:rPr>
        <w:t>1.我单位具有独立承担民事责任的能力；</w:t>
      </w:r>
    </w:p>
    <w:p w14:paraId="45F472DC">
      <w:pPr>
        <w:spacing w:line="360" w:lineRule="auto"/>
        <w:ind w:firstLine="480" w:firstLineChars="200"/>
        <w:rPr>
          <w:rFonts w:hint="eastAsia" w:ascii="宋体" w:hAnsi="宋体" w:cs="宋体"/>
          <w:sz w:val="24"/>
        </w:rPr>
      </w:pPr>
      <w:r>
        <w:rPr>
          <w:rFonts w:hint="eastAsia" w:ascii="宋体" w:hAnsi="宋体" w:cs="宋体"/>
          <w:sz w:val="24"/>
        </w:rPr>
        <w:t>2.我单位具有良好的商业信誉和健全的财务会计制度；</w:t>
      </w:r>
    </w:p>
    <w:p w14:paraId="7CE862E3">
      <w:pPr>
        <w:spacing w:line="360" w:lineRule="auto"/>
        <w:ind w:firstLine="480" w:firstLineChars="200"/>
        <w:rPr>
          <w:rFonts w:hint="eastAsia" w:ascii="宋体" w:hAnsi="宋体" w:cs="宋体"/>
          <w:sz w:val="24"/>
        </w:rPr>
      </w:pPr>
      <w:r>
        <w:rPr>
          <w:rFonts w:hint="eastAsia" w:ascii="宋体" w:hAnsi="宋体" w:cs="宋体"/>
          <w:sz w:val="24"/>
        </w:rPr>
        <w:t>3.我单位具有履行合同所必需的设备和专业技术能力；</w:t>
      </w:r>
    </w:p>
    <w:p w14:paraId="0F701775">
      <w:pPr>
        <w:spacing w:line="360" w:lineRule="auto"/>
        <w:ind w:firstLine="480" w:firstLineChars="200"/>
        <w:rPr>
          <w:rFonts w:hint="eastAsia" w:ascii="宋体" w:hAnsi="宋体" w:cs="宋体"/>
          <w:sz w:val="24"/>
        </w:rPr>
      </w:pPr>
      <w:r>
        <w:rPr>
          <w:rFonts w:hint="eastAsia" w:ascii="宋体" w:hAnsi="宋体" w:cs="宋体"/>
          <w:sz w:val="24"/>
        </w:rPr>
        <w:t>4.我单位有依法缴纳税收和社会保障资金的良好记录；</w:t>
      </w:r>
    </w:p>
    <w:p w14:paraId="7F7CEF00">
      <w:pPr>
        <w:spacing w:line="360" w:lineRule="auto"/>
        <w:ind w:firstLine="480" w:firstLineChars="200"/>
        <w:rPr>
          <w:rFonts w:hint="eastAsia" w:ascii="宋体" w:hAnsi="宋体" w:cs="宋体"/>
          <w:sz w:val="24"/>
        </w:rPr>
      </w:pPr>
      <w:r>
        <w:rPr>
          <w:rFonts w:hint="eastAsia" w:ascii="宋体" w:hAnsi="宋体" w:cs="宋体"/>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14:paraId="603AFF84">
      <w:pPr>
        <w:spacing w:line="360" w:lineRule="auto"/>
        <w:ind w:firstLine="480" w:firstLineChars="200"/>
        <w:rPr>
          <w:rFonts w:hint="eastAsia" w:ascii="宋体" w:hAnsi="宋体" w:cs="宋体"/>
          <w:sz w:val="24"/>
        </w:rPr>
      </w:pPr>
      <w:r>
        <w:rPr>
          <w:rFonts w:hint="eastAsia" w:ascii="宋体" w:hAnsi="宋体" w:cs="宋体"/>
          <w:sz w:val="24"/>
        </w:rPr>
        <w:t>6.我单位满足法律、行政法规规定的其他条件。</w:t>
      </w:r>
    </w:p>
    <w:p w14:paraId="31349BF4">
      <w:pPr>
        <w:spacing w:line="360" w:lineRule="auto"/>
        <w:ind w:firstLine="480" w:firstLineChars="200"/>
        <w:rPr>
          <w:rFonts w:hint="eastAsia" w:ascii="宋体" w:hAnsi="宋体" w:cs="宋体"/>
          <w:sz w:val="24"/>
        </w:rPr>
      </w:pPr>
    </w:p>
    <w:p w14:paraId="76802662">
      <w:pPr>
        <w:spacing w:line="360" w:lineRule="auto"/>
        <w:ind w:firstLine="480" w:firstLineChars="200"/>
        <w:rPr>
          <w:rFonts w:hint="eastAsia" w:ascii="宋体" w:hAnsi="宋体" w:cs="宋体"/>
          <w:bCs/>
          <w:sz w:val="24"/>
          <w:szCs w:val="21"/>
        </w:rPr>
      </w:pPr>
    </w:p>
    <w:p w14:paraId="52733781">
      <w:pPr>
        <w:spacing w:line="360" w:lineRule="auto"/>
        <w:ind w:firstLine="480" w:firstLineChars="200"/>
        <w:rPr>
          <w:rFonts w:hint="eastAsia" w:ascii="宋体" w:hAnsi="宋体" w:cs="宋体"/>
          <w:bCs/>
          <w:sz w:val="24"/>
          <w:szCs w:val="21"/>
        </w:rPr>
      </w:pPr>
    </w:p>
    <w:p w14:paraId="3C5B4DBF">
      <w:pPr>
        <w:spacing w:line="360" w:lineRule="auto"/>
        <w:ind w:firstLine="480" w:firstLineChars="200"/>
        <w:jc w:val="center"/>
        <w:rPr>
          <w:rFonts w:hint="eastAsia" w:ascii="宋体" w:hAnsi="宋体" w:cs="宋体"/>
          <w:bCs/>
          <w:sz w:val="24"/>
          <w:szCs w:val="21"/>
        </w:rPr>
      </w:pPr>
      <w:r>
        <w:rPr>
          <w:rFonts w:hint="eastAsia" w:ascii="宋体" w:hAnsi="宋体" w:cs="宋体"/>
          <w:bCs/>
          <w:sz w:val="24"/>
          <w:szCs w:val="21"/>
        </w:rPr>
        <w:t xml:space="preserve">                                             承诺人名称（公章）：</w:t>
      </w:r>
    </w:p>
    <w:p w14:paraId="2B75D704">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w:t>
      </w:r>
    </w:p>
    <w:p w14:paraId="7FFC8C92">
      <w:pPr>
        <w:spacing w:line="360" w:lineRule="auto"/>
        <w:ind w:firstLine="480" w:firstLineChars="200"/>
        <w:jc w:val="right"/>
        <w:rPr>
          <w:rFonts w:hint="eastAsia" w:ascii="宋体" w:hAnsi="宋体" w:cs="宋体"/>
          <w:bCs/>
          <w:sz w:val="24"/>
          <w:szCs w:val="21"/>
        </w:rPr>
      </w:pPr>
      <w:r>
        <w:rPr>
          <w:rFonts w:hint="eastAsia" w:ascii="宋体" w:hAnsi="宋体" w:cs="宋体"/>
          <w:bCs/>
          <w:sz w:val="24"/>
          <w:szCs w:val="21"/>
        </w:rPr>
        <w:t xml:space="preserve">                                 日期：</w:t>
      </w:r>
      <w:r>
        <w:rPr>
          <w:rFonts w:hint="eastAsia" w:ascii="宋体" w:hAnsi="宋体" w:cs="宋体"/>
          <w:bCs/>
          <w:sz w:val="24"/>
          <w:szCs w:val="21"/>
          <w:u w:val="single"/>
        </w:rPr>
        <w:t>______</w:t>
      </w:r>
      <w:r>
        <w:rPr>
          <w:rFonts w:hint="eastAsia" w:ascii="宋体" w:hAnsi="宋体" w:cs="宋体"/>
          <w:bCs/>
          <w:sz w:val="24"/>
          <w:szCs w:val="21"/>
        </w:rPr>
        <w:t>年</w:t>
      </w:r>
      <w:r>
        <w:rPr>
          <w:rFonts w:hint="eastAsia" w:ascii="宋体" w:hAnsi="宋体" w:cs="宋体"/>
          <w:bCs/>
          <w:sz w:val="24"/>
          <w:szCs w:val="21"/>
          <w:u w:val="single"/>
        </w:rPr>
        <w:t xml:space="preserve">    </w:t>
      </w:r>
      <w:r>
        <w:rPr>
          <w:rFonts w:hint="eastAsia" w:ascii="宋体" w:hAnsi="宋体" w:cs="宋体"/>
          <w:bCs/>
          <w:sz w:val="24"/>
          <w:szCs w:val="21"/>
        </w:rPr>
        <w:t>月</w:t>
      </w:r>
      <w:r>
        <w:rPr>
          <w:rFonts w:hint="eastAsia" w:ascii="宋体" w:hAnsi="宋体" w:cs="宋体"/>
          <w:bCs/>
          <w:sz w:val="24"/>
          <w:szCs w:val="21"/>
          <w:u w:val="single"/>
        </w:rPr>
        <w:t xml:space="preserve">    </w:t>
      </w:r>
      <w:r>
        <w:rPr>
          <w:rFonts w:hint="eastAsia" w:ascii="宋体" w:hAnsi="宋体" w:cs="宋体"/>
          <w:bCs/>
          <w:sz w:val="24"/>
          <w:szCs w:val="21"/>
        </w:rPr>
        <w:t>日</w:t>
      </w:r>
    </w:p>
    <w:p w14:paraId="6641EF56">
      <w:pPr>
        <w:spacing w:line="360" w:lineRule="auto"/>
        <w:ind w:firstLine="482" w:firstLineChars="200"/>
        <w:contextualSpacing/>
        <w:rPr>
          <w:rFonts w:hint="eastAsia" w:ascii="宋体" w:hAnsi="宋体" w:cs="宋体"/>
          <w:b/>
          <w:sz w:val="24"/>
          <w:szCs w:val="28"/>
        </w:rPr>
      </w:pPr>
    </w:p>
    <w:p w14:paraId="2287D6C8">
      <w:pPr>
        <w:spacing w:line="360" w:lineRule="auto"/>
        <w:ind w:firstLine="480" w:firstLineChars="200"/>
        <w:jc w:val="both"/>
        <w:rPr>
          <w:rFonts w:hint="eastAsia" w:ascii="宋体" w:hAnsi="宋体" w:cs="宋体"/>
          <w:sz w:val="24"/>
          <w:szCs w:val="28"/>
        </w:rPr>
      </w:pPr>
    </w:p>
    <w:p w14:paraId="63FDCEB4">
      <w:pPr>
        <w:pStyle w:val="24"/>
        <w:spacing w:line="360" w:lineRule="auto"/>
        <w:ind w:left="440" w:firstLine="480"/>
        <w:rPr>
          <w:rFonts w:hint="eastAsia" w:ascii="宋体" w:hAnsi="宋体" w:cs="宋体"/>
          <w:sz w:val="24"/>
          <w:szCs w:val="28"/>
        </w:rPr>
      </w:pPr>
    </w:p>
    <w:p w14:paraId="122F083E">
      <w:pPr>
        <w:spacing w:line="360" w:lineRule="auto"/>
        <w:ind w:firstLine="480" w:firstLineChars="200"/>
        <w:rPr>
          <w:rFonts w:hint="eastAsia" w:ascii="宋体" w:hAnsi="宋体" w:cs="宋体"/>
          <w:sz w:val="24"/>
        </w:rPr>
      </w:pPr>
    </w:p>
    <w:p w14:paraId="4E49E18D">
      <w:pPr>
        <w:pStyle w:val="80"/>
        <w:spacing w:line="360" w:lineRule="auto"/>
        <w:ind w:firstLine="480"/>
        <w:rPr>
          <w:rFonts w:hint="eastAsia" w:ascii="宋体" w:hAnsi="宋体" w:eastAsia="宋体" w:cs="宋体"/>
        </w:rPr>
      </w:pPr>
    </w:p>
    <w:p w14:paraId="4F2E8A8F">
      <w:pPr>
        <w:kinsoku w:val="0"/>
        <w:topLinePunct/>
        <w:autoSpaceDE w:val="0"/>
        <w:autoSpaceDN w:val="0"/>
        <w:spacing w:line="360" w:lineRule="auto"/>
        <w:ind w:right="210" w:firstLine="482" w:firstLineChars="200"/>
        <w:jc w:val="center"/>
        <w:textAlignment w:val="baseline"/>
        <w:rPr>
          <w:rFonts w:hint="eastAsia" w:ascii="宋体" w:hAnsi="宋体" w:cs="宋体"/>
          <w:b/>
          <w:sz w:val="24"/>
          <w:szCs w:val="28"/>
        </w:rPr>
      </w:pPr>
      <w:r>
        <w:rPr>
          <w:rFonts w:hint="eastAsia" w:ascii="宋体" w:hAnsi="宋体" w:cs="宋体"/>
          <w:b/>
          <w:bCs/>
          <w:sz w:val="24"/>
          <w:szCs w:val="28"/>
        </w:rPr>
        <w:t>4.</w:t>
      </w:r>
      <w:r>
        <w:rPr>
          <w:rFonts w:hint="eastAsia" w:ascii="宋体" w:hAnsi="宋体" w:cs="宋体"/>
          <w:b/>
          <w:sz w:val="24"/>
          <w:szCs w:val="28"/>
        </w:rPr>
        <w:t>无重大违法记录声明</w:t>
      </w:r>
    </w:p>
    <w:p w14:paraId="70FA2F87">
      <w:pPr>
        <w:spacing w:line="360" w:lineRule="auto"/>
        <w:ind w:firstLine="480" w:firstLineChars="200"/>
        <w:rPr>
          <w:rFonts w:hint="eastAsia" w:ascii="宋体" w:hAnsi="宋体" w:cs="宋体"/>
          <w:bCs/>
          <w:sz w:val="24"/>
          <w:szCs w:val="28"/>
        </w:rPr>
      </w:pPr>
    </w:p>
    <w:p w14:paraId="49BCEE9D">
      <w:pPr>
        <w:spacing w:line="360" w:lineRule="auto"/>
        <w:ind w:firstLine="480" w:firstLineChars="200"/>
        <w:rPr>
          <w:rFonts w:hint="eastAsia" w:ascii="宋体" w:hAnsi="宋体" w:cs="宋体"/>
          <w:bCs/>
          <w:sz w:val="24"/>
          <w:szCs w:val="28"/>
        </w:rPr>
      </w:pPr>
      <w:r>
        <w:rPr>
          <w:rFonts w:hint="eastAsia" w:ascii="宋体" w:hAnsi="宋体" w:cs="宋体"/>
          <w:bCs/>
          <w:sz w:val="24"/>
          <w:szCs w:val="28"/>
        </w:rPr>
        <w:t>江苏商贸职业学院：</w:t>
      </w:r>
    </w:p>
    <w:p w14:paraId="2C1CDEB3">
      <w:pPr>
        <w:spacing w:line="360" w:lineRule="auto"/>
        <w:ind w:firstLine="480" w:firstLineChars="200"/>
        <w:rPr>
          <w:rFonts w:hint="eastAsia" w:ascii="宋体" w:hAnsi="宋体" w:cs="宋体"/>
          <w:sz w:val="24"/>
          <w:szCs w:val="28"/>
        </w:rPr>
      </w:pPr>
      <w:r>
        <w:rPr>
          <w:rFonts w:hint="eastAsia" w:ascii="宋体" w:hAnsi="宋体" w:cs="宋体"/>
          <w:sz w:val="24"/>
          <w:szCs w:val="28"/>
        </w:rPr>
        <w:t>我公司郑重声明：参加本次采购活动前 3 年内，我公司在经营活动中</w:t>
      </w:r>
      <w:r>
        <w:rPr>
          <w:rFonts w:hint="eastAsia" w:ascii="宋体" w:hAnsi="宋体" w:cs="宋体"/>
          <w:b/>
          <w:bCs/>
          <w:sz w:val="24"/>
          <w:szCs w:val="28"/>
          <w:u w:val="single"/>
        </w:rPr>
        <w:t>（有/没有）</w:t>
      </w:r>
      <w:r>
        <w:rPr>
          <w:rFonts w:hint="eastAsia" w:ascii="宋体" w:hAnsi="宋体" w:cs="宋体"/>
          <w:sz w:val="24"/>
          <w:szCs w:val="28"/>
        </w:rPr>
        <w:t>因违法经营受到刑事处罚或者责令停产停业、吊销许可证或者执照、较大数额罚款等行政处罚。</w:t>
      </w:r>
    </w:p>
    <w:p w14:paraId="57133E49">
      <w:pPr>
        <w:spacing w:line="360" w:lineRule="auto"/>
        <w:ind w:firstLine="480" w:firstLineChars="200"/>
        <w:rPr>
          <w:rFonts w:hint="eastAsia" w:ascii="宋体" w:hAnsi="宋体" w:cs="宋体"/>
          <w:sz w:val="24"/>
          <w:szCs w:val="28"/>
        </w:rPr>
      </w:pPr>
      <w:r>
        <w:rPr>
          <w:rFonts w:hint="eastAsia" w:ascii="宋体" w:hAnsi="宋体" w:cs="宋体"/>
          <w:sz w:val="24"/>
          <w:szCs w:val="28"/>
        </w:rPr>
        <w:t>在投标截止时间节点，没有被</w:t>
      </w:r>
      <w:r>
        <w:rPr>
          <w:rFonts w:hint="eastAsia" w:ascii="宋体" w:hAnsi="宋体" w:cs="宋体"/>
          <w:sz w:val="24"/>
          <w:szCs w:val="32"/>
        </w:rPr>
        <w:t>“信用江苏”“信用中国”</w:t>
      </w:r>
      <w:r>
        <w:rPr>
          <w:rFonts w:hint="eastAsia" w:ascii="宋体" w:hAnsi="宋体" w:cs="宋体"/>
          <w:sz w:val="24"/>
          <w:szCs w:val="28"/>
        </w:rPr>
        <w:t>网站列入失信被执行人、重大税收违法案件当事人名单、采购严重违法失信行为记录名单。</w:t>
      </w:r>
    </w:p>
    <w:p w14:paraId="33EE5703">
      <w:pPr>
        <w:spacing w:line="360" w:lineRule="auto"/>
        <w:ind w:firstLine="480" w:firstLineChars="200"/>
        <w:rPr>
          <w:rFonts w:hint="eastAsia" w:ascii="宋体" w:hAnsi="宋体" w:cs="宋体"/>
          <w:sz w:val="24"/>
          <w:szCs w:val="28"/>
        </w:rPr>
      </w:pPr>
    </w:p>
    <w:p w14:paraId="3CDDF54A">
      <w:pPr>
        <w:spacing w:line="360" w:lineRule="auto"/>
        <w:ind w:right="720" w:firstLine="480" w:firstLineChars="200"/>
        <w:contextualSpacing/>
        <w:jc w:val="right"/>
        <w:rPr>
          <w:rFonts w:hint="eastAsia" w:ascii="宋体" w:hAnsi="宋体" w:cs="宋体"/>
          <w:sz w:val="24"/>
          <w:szCs w:val="28"/>
        </w:rPr>
      </w:pPr>
      <w:r>
        <w:rPr>
          <w:rFonts w:hint="eastAsia" w:ascii="宋体" w:hAnsi="宋体" w:cs="宋体"/>
          <w:sz w:val="24"/>
          <w:szCs w:val="28"/>
        </w:rPr>
        <w:t>法定代表人或授权委托人签字：</w:t>
      </w:r>
    </w:p>
    <w:p w14:paraId="130F4EEF">
      <w:pPr>
        <w:spacing w:line="360" w:lineRule="auto"/>
        <w:ind w:right="720" w:firstLine="480" w:firstLineChars="200"/>
        <w:contextualSpacing/>
        <w:jc w:val="center"/>
        <w:rPr>
          <w:rFonts w:hint="eastAsia" w:ascii="宋体" w:hAnsi="宋体" w:cs="宋体"/>
          <w:sz w:val="24"/>
          <w:szCs w:val="28"/>
        </w:rPr>
      </w:pPr>
      <w:r>
        <w:rPr>
          <w:rFonts w:hint="eastAsia" w:ascii="宋体" w:hAnsi="宋体" w:cs="宋体"/>
          <w:sz w:val="24"/>
          <w:szCs w:val="28"/>
        </w:rPr>
        <w:t xml:space="preserve">                              供应商名称（盖章）：</w:t>
      </w:r>
    </w:p>
    <w:p w14:paraId="4A5D99CC">
      <w:pPr>
        <w:spacing w:line="360" w:lineRule="auto"/>
        <w:ind w:firstLine="480" w:firstLineChars="200"/>
        <w:jc w:val="center"/>
        <w:outlineLvl w:val="0"/>
        <w:rPr>
          <w:rFonts w:hint="eastAsia" w:ascii="宋体" w:hAnsi="宋体" w:cs="宋体"/>
          <w:sz w:val="24"/>
          <w:szCs w:val="28"/>
        </w:rPr>
        <w:sectPr>
          <w:headerReference r:id="rId6" w:type="default"/>
          <w:footerReference r:id="rId7" w:type="default"/>
          <w:pgSz w:w="11906" w:h="16838"/>
          <w:pgMar w:top="1361" w:right="1361" w:bottom="1361" w:left="1361" w:header="708" w:footer="709" w:gutter="0"/>
          <w:cols w:space="720" w:num="1"/>
          <w:docGrid w:linePitch="360" w:charSpace="0"/>
        </w:sectPr>
      </w:pPr>
      <w:r>
        <w:rPr>
          <w:rFonts w:hint="eastAsia" w:ascii="宋体" w:hAnsi="宋体" w:cs="宋体"/>
          <w:sz w:val="24"/>
          <w:szCs w:val="28"/>
        </w:rPr>
        <w:t xml:space="preserve">           </w:t>
      </w:r>
      <w:bookmarkStart w:id="13" w:name="_Toc12794"/>
      <w:r>
        <w:rPr>
          <w:rFonts w:hint="eastAsia" w:ascii="宋体" w:hAnsi="宋体" w:cs="宋体"/>
          <w:sz w:val="24"/>
          <w:szCs w:val="28"/>
        </w:rPr>
        <w:t>日期：</w:t>
      </w:r>
      <w:bookmarkEnd w:id="13"/>
    </w:p>
    <w:p w14:paraId="54BA0183">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5.商务部分正负偏离表</w:t>
      </w:r>
    </w:p>
    <w:p w14:paraId="2F8DB582">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1733FE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5CB46DA">
            <w:pPr>
              <w:pStyle w:val="89"/>
            </w:pPr>
            <w: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2C46696">
            <w:pPr>
              <w:pStyle w:val="89"/>
            </w:pPr>
            <w: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380B94A">
            <w:pPr>
              <w:pStyle w:val="89"/>
            </w:pPr>
            <w:r>
              <w:t>采购文件要求的商务条款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9682404">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E338729">
            <w:pPr>
              <w:pStyle w:val="89"/>
            </w:pPr>
            <w:r>
              <w:t>偏离说明</w:t>
            </w:r>
          </w:p>
        </w:tc>
      </w:tr>
      <w:tr w14:paraId="1759D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4893E2E">
            <w:pPr>
              <w:pStyle w:val="89"/>
            </w:pPr>
            <w:r>
              <w:t>1</w:t>
            </w:r>
          </w:p>
        </w:tc>
        <w:tc>
          <w:tcPr>
            <w:tcW w:w="1254" w:type="pct"/>
            <w:tcBorders>
              <w:top w:val="single" w:color="auto" w:sz="6" w:space="0"/>
              <w:left w:val="single" w:color="auto" w:sz="6" w:space="0"/>
              <w:bottom w:val="single" w:color="auto" w:sz="6" w:space="0"/>
              <w:right w:val="single" w:color="auto" w:sz="6" w:space="0"/>
            </w:tcBorders>
            <w:vAlign w:val="center"/>
          </w:tcPr>
          <w:p w14:paraId="4447699A">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E9E92C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380830D3">
            <w:pPr>
              <w:pStyle w:val="89"/>
            </w:pPr>
          </w:p>
        </w:tc>
        <w:tc>
          <w:tcPr>
            <w:tcW w:w="778" w:type="pct"/>
            <w:tcBorders>
              <w:top w:val="single" w:color="auto" w:sz="6" w:space="0"/>
              <w:left w:val="single" w:color="auto" w:sz="6" w:space="0"/>
              <w:bottom w:val="single" w:color="auto" w:sz="6" w:space="0"/>
              <w:right w:val="single" w:color="auto" w:sz="12" w:space="0"/>
            </w:tcBorders>
          </w:tcPr>
          <w:p w14:paraId="3313B218">
            <w:pPr>
              <w:pStyle w:val="89"/>
            </w:pPr>
          </w:p>
        </w:tc>
      </w:tr>
      <w:tr w14:paraId="5C7B4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5BC1CB19">
            <w:pPr>
              <w:pStyle w:val="89"/>
            </w:pPr>
            <w:r>
              <w:t>2</w:t>
            </w:r>
          </w:p>
        </w:tc>
        <w:tc>
          <w:tcPr>
            <w:tcW w:w="1254" w:type="pct"/>
            <w:tcBorders>
              <w:top w:val="single" w:color="auto" w:sz="6" w:space="0"/>
              <w:left w:val="single" w:color="auto" w:sz="6" w:space="0"/>
              <w:bottom w:val="single" w:color="auto" w:sz="6" w:space="0"/>
              <w:right w:val="single" w:color="auto" w:sz="6" w:space="0"/>
            </w:tcBorders>
            <w:vAlign w:val="center"/>
          </w:tcPr>
          <w:p w14:paraId="55879B71">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7EB7DD3A">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2D18D82A">
            <w:pPr>
              <w:pStyle w:val="89"/>
            </w:pPr>
          </w:p>
        </w:tc>
        <w:tc>
          <w:tcPr>
            <w:tcW w:w="778" w:type="pct"/>
            <w:tcBorders>
              <w:top w:val="single" w:color="auto" w:sz="6" w:space="0"/>
              <w:left w:val="single" w:color="auto" w:sz="6" w:space="0"/>
              <w:bottom w:val="single" w:color="auto" w:sz="6" w:space="0"/>
              <w:right w:val="single" w:color="auto" w:sz="12" w:space="0"/>
            </w:tcBorders>
          </w:tcPr>
          <w:p w14:paraId="69883A1F">
            <w:pPr>
              <w:pStyle w:val="89"/>
            </w:pPr>
          </w:p>
        </w:tc>
      </w:tr>
      <w:tr w14:paraId="6F07E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001755D0">
            <w:pPr>
              <w:pStyle w:val="89"/>
            </w:pPr>
            <w:r>
              <w:t>3</w:t>
            </w:r>
          </w:p>
        </w:tc>
        <w:tc>
          <w:tcPr>
            <w:tcW w:w="1254" w:type="pct"/>
            <w:tcBorders>
              <w:top w:val="single" w:color="auto" w:sz="6" w:space="0"/>
              <w:left w:val="single" w:color="auto" w:sz="6" w:space="0"/>
              <w:bottom w:val="single" w:color="auto" w:sz="6" w:space="0"/>
              <w:right w:val="single" w:color="auto" w:sz="6" w:space="0"/>
            </w:tcBorders>
            <w:vAlign w:val="center"/>
          </w:tcPr>
          <w:p w14:paraId="6C70FFFD">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0409D654">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41C1C966">
            <w:pPr>
              <w:pStyle w:val="89"/>
            </w:pPr>
          </w:p>
        </w:tc>
        <w:tc>
          <w:tcPr>
            <w:tcW w:w="778" w:type="pct"/>
            <w:tcBorders>
              <w:top w:val="single" w:color="auto" w:sz="6" w:space="0"/>
              <w:left w:val="single" w:color="auto" w:sz="6" w:space="0"/>
              <w:bottom w:val="single" w:color="auto" w:sz="6" w:space="0"/>
              <w:right w:val="single" w:color="auto" w:sz="12" w:space="0"/>
            </w:tcBorders>
          </w:tcPr>
          <w:p w14:paraId="56DDBC0D">
            <w:pPr>
              <w:pStyle w:val="89"/>
            </w:pPr>
          </w:p>
        </w:tc>
      </w:tr>
      <w:tr w14:paraId="67EA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50EACF22">
            <w:pPr>
              <w:pStyle w:val="89"/>
            </w:pPr>
            <w:r>
              <w:t>4</w:t>
            </w:r>
          </w:p>
        </w:tc>
        <w:tc>
          <w:tcPr>
            <w:tcW w:w="1254" w:type="pct"/>
            <w:tcBorders>
              <w:top w:val="single" w:color="auto" w:sz="6" w:space="0"/>
              <w:left w:val="single" w:color="auto" w:sz="6" w:space="0"/>
              <w:bottom w:val="single" w:color="auto" w:sz="6" w:space="0"/>
              <w:right w:val="single" w:color="auto" w:sz="6" w:space="0"/>
            </w:tcBorders>
            <w:vAlign w:val="center"/>
          </w:tcPr>
          <w:p w14:paraId="745F6E0E">
            <w:pPr>
              <w:pStyle w:val="89"/>
            </w:pPr>
            <w:r>
              <w:t>……</w:t>
            </w:r>
          </w:p>
        </w:tc>
        <w:tc>
          <w:tcPr>
            <w:tcW w:w="1095" w:type="pct"/>
            <w:tcBorders>
              <w:top w:val="single" w:color="auto" w:sz="6" w:space="0"/>
              <w:left w:val="single" w:color="auto" w:sz="6" w:space="0"/>
              <w:bottom w:val="single" w:color="auto" w:sz="6" w:space="0"/>
              <w:right w:val="single" w:color="auto" w:sz="6" w:space="0"/>
            </w:tcBorders>
            <w:vAlign w:val="center"/>
          </w:tcPr>
          <w:p w14:paraId="5860A7E0">
            <w:pPr>
              <w:pStyle w:val="89"/>
            </w:pPr>
            <w:r>
              <w:t>……</w:t>
            </w:r>
          </w:p>
        </w:tc>
        <w:tc>
          <w:tcPr>
            <w:tcW w:w="1413" w:type="pct"/>
            <w:tcBorders>
              <w:top w:val="single" w:color="auto" w:sz="6" w:space="0"/>
              <w:left w:val="single" w:color="auto" w:sz="6" w:space="0"/>
              <w:bottom w:val="single" w:color="auto" w:sz="6" w:space="0"/>
              <w:right w:val="single" w:color="auto" w:sz="6" w:space="0"/>
            </w:tcBorders>
            <w:vAlign w:val="center"/>
          </w:tcPr>
          <w:p w14:paraId="0C6D08FD">
            <w:pPr>
              <w:pStyle w:val="89"/>
            </w:pPr>
          </w:p>
        </w:tc>
        <w:tc>
          <w:tcPr>
            <w:tcW w:w="778" w:type="pct"/>
            <w:tcBorders>
              <w:top w:val="single" w:color="auto" w:sz="6" w:space="0"/>
              <w:left w:val="single" w:color="auto" w:sz="6" w:space="0"/>
              <w:bottom w:val="single" w:color="auto" w:sz="6" w:space="0"/>
              <w:right w:val="single" w:color="auto" w:sz="12" w:space="0"/>
            </w:tcBorders>
          </w:tcPr>
          <w:p w14:paraId="7B857109">
            <w:pPr>
              <w:pStyle w:val="89"/>
            </w:pPr>
          </w:p>
        </w:tc>
      </w:tr>
      <w:tr w14:paraId="523D3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5DB3B41">
            <w:pPr>
              <w:pStyle w:val="89"/>
            </w:pPr>
            <w:r>
              <w:t>5</w:t>
            </w:r>
          </w:p>
        </w:tc>
        <w:tc>
          <w:tcPr>
            <w:tcW w:w="1254" w:type="pct"/>
            <w:tcBorders>
              <w:top w:val="single" w:color="auto" w:sz="6" w:space="0"/>
              <w:left w:val="single" w:color="auto" w:sz="6" w:space="0"/>
              <w:bottom w:val="single" w:color="auto" w:sz="6" w:space="0"/>
              <w:right w:val="single" w:color="auto" w:sz="6" w:space="0"/>
            </w:tcBorders>
            <w:vAlign w:val="center"/>
          </w:tcPr>
          <w:p w14:paraId="0EEE50A5">
            <w:pPr>
              <w:pStyle w:val="89"/>
            </w:pPr>
          </w:p>
        </w:tc>
        <w:tc>
          <w:tcPr>
            <w:tcW w:w="1095" w:type="pct"/>
            <w:tcBorders>
              <w:top w:val="single" w:color="auto" w:sz="6" w:space="0"/>
              <w:left w:val="single" w:color="auto" w:sz="6" w:space="0"/>
              <w:bottom w:val="single" w:color="auto" w:sz="6" w:space="0"/>
              <w:right w:val="single" w:color="auto" w:sz="6" w:space="0"/>
            </w:tcBorders>
            <w:vAlign w:val="center"/>
          </w:tcPr>
          <w:p w14:paraId="5291D556">
            <w:pPr>
              <w:pStyle w:val="89"/>
            </w:pPr>
          </w:p>
        </w:tc>
        <w:tc>
          <w:tcPr>
            <w:tcW w:w="1413" w:type="pct"/>
            <w:tcBorders>
              <w:top w:val="single" w:color="auto" w:sz="6" w:space="0"/>
              <w:left w:val="single" w:color="auto" w:sz="6" w:space="0"/>
              <w:bottom w:val="single" w:color="auto" w:sz="6" w:space="0"/>
              <w:right w:val="single" w:color="auto" w:sz="6" w:space="0"/>
            </w:tcBorders>
            <w:vAlign w:val="center"/>
          </w:tcPr>
          <w:p w14:paraId="631BEB55">
            <w:pPr>
              <w:pStyle w:val="89"/>
            </w:pPr>
          </w:p>
        </w:tc>
        <w:tc>
          <w:tcPr>
            <w:tcW w:w="778" w:type="pct"/>
            <w:tcBorders>
              <w:top w:val="single" w:color="auto" w:sz="6" w:space="0"/>
              <w:left w:val="single" w:color="auto" w:sz="6" w:space="0"/>
              <w:bottom w:val="single" w:color="auto" w:sz="6" w:space="0"/>
              <w:right w:val="single" w:color="auto" w:sz="12" w:space="0"/>
            </w:tcBorders>
          </w:tcPr>
          <w:p w14:paraId="44306B12">
            <w:pPr>
              <w:pStyle w:val="89"/>
            </w:pPr>
          </w:p>
        </w:tc>
      </w:tr>
      <w:tr w14:paraId="468DE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3A2C228B">
            <w:pPr>
              <w:pStyle w:val="89"/>
            </w:pPr>
            <w:r>
              <w:t>6</w:t>
            </w:r>
          </w:p>
        </w:tc>
        <w:tc>
          <w:tcPr>
            <w:tcW w:w="1254" w:type="pct"/>
            <w:tcBorders>
              <w:top w:val="single" w:color="auto" w:sz="6" w:space="0"/>
              <w:left w:val="single" w:color="auto" w:sz="6" w:space="0"/>
              <w:bottom w:val="single" w:color="auto" w:sz="6" w:space="0"/>
              <w:right w:val="single" w:color="auto" w:sz="6" w:space="0"/>
            </w:tcBorders>
            <w:vAlign w:val="center"/>
          </w:tcPr>
          <w:p w14:paraId="193DC995">
            <w:pPr>
              <w:pStyle w:val="89"/>
            </w:pPr>
            <w:r>
              <w:t>其他</w:t>
            </w:r>
          </w:p>
        </w:tc>
        <w:tc>
          <w:tcPr>
            <w:tcW w:w="1095" w:type="pct"/>
            <w:tcBorders>
              <w:top w:val="single" w:color="auto" w:sz="6" w:space="0"/>
              <w:left w:val="single" w:color="auto" w:sz="6" w:space="0"/>
              <w:bottom w:val="single" w:color="auto" w:sz="6" w:space="0"/>
              <w:right w:val="single" w:color="auto" w:sz="6" w:space="0"/>
            </w:tcBorders>
            <w:vAlign w:val="center"/>
          </w:tcPr>
          <w:p w14:paraId="495983BC">
            <w:pPr>
              <w:pStyle w:val="89"/>
            </w:pPr>
            <w:r>
              <w:t>询价文件所有商务部分要求</w:t>
            </w:r>
          </w:p>
        </w:tc>
        <w:tc>
          <w:tcPr>
            <w:tcW w:w="1413" w:type="pct"/>
            <w:tcBorders>
              <w:top w:val="single" w:color="auto" w:sz="6" w:space="0"/>
              <w:left w:val="single" w:color="auto" w:sz="6" w:space="0"/>
              <w:bottom w:val="single" w:color="auto" w:sz="6" w:space="0"/>
              <w:right w:val="single" w:color="auto" w:sz="6" w:space="0"/>
            </w:tcBorders>
            <w:vAlign w:val="center"/>
          </w:tcPr>
          <w:p w14:paraId="5F7BCDE3">
            <w:pPr>
              <w:pStyle w:val="89"/>
            </w:pPr>
          </w:p>
        </w:tc>
        <w:tc>
          <w:tcPr>
            <w:tcW w:w="778" w:type="pct"/>
            <w:tcBorders>
              <w:top w:val="single" w:color="auto" w:sz="6" w:space="0"/>
              <w:left w:val="single" w:color="auto" w:sz="6" w:space="0"/>
              <w:bottom w:val="single" w:color="auto" w:sz="6" w:space="0"/>
              <w:right w:val="single" w:color="auto" w:sz="12" w:space="0"/>
            </w:tcBorders>
          </w:tcPr>
          <w:p w14:paraId="384A428F">
            <w:pPr>
              <w:pStyle w:val="89"/>
            </w:pPr>
          </w:p>
        </w:tc>
      </w:tr>
    </w:tbl>
    <w:p w14:paraId="104E8687">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B77B400">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1.供应商提交的响应文件中与询价文件第二部分“项目需求”中的商务部分的要求，应逐条填列在偏离表中。</w:t>
      </w:r>
    </w:p>
    <w:p w14:paraId="2FA052C8">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5459BE37">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671A7F90">
      <w:pPr>
        <w:spacing w:line="360" w:lineRule="auto"/>
        <w:ind w:firstLine="480" w:firstLineChars="200"/>
        <w:rPr>
          <w:rFonts w:hint="eastAsia" w:ascii="宋体" w:hAnsi="宋体" w:cs="宋体"/>
          <w:b/>
          <w:sz w:val="24"/>
          <w:szCs w:val="32"/>
        </w:rPr>
      </w:pPr>
      <w:r>
        <w:rPr>
          <w:rFonts w:hint="eastAsia" w:ascii="宋体" w:hAnsi="宋体" w:cs="宋体"/>
          <w:bCs/>
          <w:sz w:val="24"/>
        </w:rPr>
        <w:t>4.若完全响应本项目需求且无偏离，投标时本表可空白盖章提供。</w:t>
      </w:r>
    </w:p>
    <w:p w14:paraId="1E717D0C">
      <w:pPr>
        <w:spacing w:line="360" w:lineRule="auto"/>
        <w:ind w:firstLine="482" w:firstLineChars="200"/>
        <w:rPr>
          <w:rFonts w:hint="eastAsia" w:ascii="宋体" w:hAnsi="宋体" w:cs="宋体"/>
          <w:b/>
          <w:sz w:val="24"/>
          <w:szCs w:val="32"/>
        </w:rPr>
      </w:pPr>
      <w:r>
        <w:rPr>
          <w:rFonts w:hint="eastAsia" w:ascii="宋体" w:hAnsi="宋体" w:cs="宋体"/>
          <w:b/>
          <w:sz w:val="24"/>
          <w:szCs w:val="32"/>
        </w:rPr>
        <w:br w:type="page"/>
      </w:r>
    </w:p>
    <w:p w14:paraId="23BA8F38">
      <w:pPr>
        <w:spacing w:line="360" w:lineRule="auto"/>
        <w:ind w:firstLine="482" w:firstLineChars="200"/>
        <w:contextualSpacing/>
        <w:jc w:val="center"/>
        <w:rPr>
          <w:rFonts w:hint="eastAsia" w:ascii="宋体" w:hAnsi="宋体" w:cs="宋体"/>
          <w:b/>
          <w:sz w:val="24"/>
          <w:szCs w:val="32"/>
        </w:rPr>
      </w:pPr>
      <w:r>
        <w:rPr>
          <w:rFonts w:hint="eastAsia" w:ascii="宋体" w:hAnsi="宋体" w:cs="宋体"/>
          <w:b/>
          <w:sz w:val="24"/>
          <w:szCs w:val="32"/>
        </w:rPr>
        <w:t>6.技术部分正负偏离表</w:t>
      </w:r>
    </w:p>
    <w:p w14:paraId="0AA766FB">
      <w:pPr>
        <w:spacing w:line="360" w:lineRule="auto"/>
        <w:ind w:firstLine="480" w:firstLineChars="200"/>
        <w:jc w:val="center"/>
        <w:rPr>
          <w:rFonts w:hint="eastAsia" w:ascii="宋体" w:hAnsi="宋体" w:cs="宋体"/>
          <w:sz w:val="24"/>
          <w:szCs w:val="28"/>
        </w:rPr>
      </w:pPr>
      <w:r>
        <w:rPr>
          <w:rFonts w:hint="eastAsia" w:ascii="宋体" w:hAnsi="宋体" w:cs="宋体"/>
          <w:sz w:val="24"/>
          <w:szCs w:val="28"/>
        </w:rPr>
        <w:t>（由供应商据实填写，表格不够自行添加）</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3"/>
        <w:gridCol w:w="2358"/>
        <w:gridCol w:w="2058"/>
        <w:gridCol w:w="2657"/>
        <w:gridCol w:w="1464"/>
      </w:tblGrid>
      <w:tr w14:paraId="3C555D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59" w:type="pct"/>
            <w:tcBorders>
              <w:top w:val="single" w:color="auto" w:sz="12" w:space="0"/>
              <w:left w:val="single" w:color="auto" w:sz="12" w:space="0"/>
              <w:bottom w:val="single" w:color="auto" w:sz="6" w:space="0"/>
              <w:right w:val="single" w:color="auto" w:sz="6" w:space="0"/>
            </w:tcBorders>
            <w:vAlign w:val="center"/>
          </w:tcPr>
          <w:p w14:paraId="3399758E">
            <w:pPr>
              <w:pStyle w:val="89"/>
            </w:pPr>
            <w: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5B7F124D">
            <w:pPr>
              <w:pStyle w:val="89"/>
            </w:pPr>
            <w:r>
              <w:t>货物或服务名称</w:t>
            </w:r>
          </w:p>
        </w:tc>
        <w:tc>
          <w:tcPr>
            <w:tcW w:w="1094" w:type="pct"/>
            <w:tcBorders>
              <w:top w:val="single" w:color="auto" w:sz="12" w:space="0"/>
              <w:left w:val="single" w:color="auto" w:sz="6" w:space="0"/>
              <w:bottom w:val="single" w:color="auto" w:sz="6" w:space="0"/>
              <w:right w:val="single" w:color="auto" w:sz="6" w:space="0"/>
            </w:tcBorders>
            <w:vAlign w:val="center"/>
          </w:tcPr>
          <w:p w14:paraId="5CD32ED9">
            <w:pPr>
              <w:pStyle w:val="89"/>
            </w:pPr>
            <w:r>
              <w:t>采购文件要求的技术条款</w:t>
            </w:r>
          </w:p>
        </w:tc>
        <w:tc>
          <w:tcPr>
            <w:tcW w:w="1412" w:type="pct"/>
            <w:tcBorders>
              <w:top w:val="single" w:color="auto" w:sz="12" w:space="0"/>
              <w:left w:val="single" w:color="auto" w:sz="6" w:space="0"/>
              <w:bottom w:val="single" w:color="auto" w:sz="6" w:space="0"/>
              <w:right w:val="single" w:color="auto" w:sz="6" w:space="0"/>
            </w:tcBorders>
            <w:vAlign w:val="center"/>
          </w:tcPr>
          <w:p w14:paraId="02D7C217">
            <w:pPr>
              <w:pStyle w:val="89"/>
            </w:pPr>
            <w:r>
              <w:t>响应文件响应情况</w:t>
            </w:r>
          </w:p>
        </w:tc>
        <w:tc>
          <w:tcPr>
            <w:tcW w:w="778" w:type="pct"/>
            <w:tcBorders>
              <w:top w:val="single" w:color="auto" w:sz="12" w:space="0"/>
              <w:left w:val="single" w:color="auto" w:sz="6" w:space="0"/>
              <w:bottom w:val="single" w:color="auto" w:sz="6" w:space="0"/>
              <w:right w:val="single" w:color="auto" w:sz="12" w:space="0"/>
            </w:tcBorders>
          </w:tcPr>
          <w:p w14:paraId="790B9B59">
            <w:pPr>
              <w:pStyle w:val="89"/>
            </w:pPr>
            <w:r>
              <w:t>偏离说明</w:t>
            </w:r>
          </w:p>
        </w:tc>
      </w:tr>
      <w:tr w14:paraId="02976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59" w:type="pct"/>
            <w:tcBorders>
              <w:top w:val="single" w:color="auto" w:sz="6" w:space="0"/>
              <w:left w:val="single" w:color="auto" w:sz="12" w:space="0"/>
              <w:bottom w:val="single" w:color="auto" w:sz="6" w:space="0"/>
              <w:right w:val="single" w:color="auto" w:sz="6" w:space="0"/>
            </w:tcBorders>
          </w:tcPr>
          <w:p w14:paraId="7245975F">
            <w:pPr>
              <w:pStyle w:val="89"/>
            </w:pPr>
            <w:r>
              <w:t>1</w:t>
            </w:r>
          </w:p>
        </w:tc>
        <w:tc>
          <w:tcPr>
            <w:tcW w:w="1253" w:type="pct"/>
            <w:tcBorders>
              <w:top w:val="single" w:color="auto" w:sz="6" w:space="0"/>
              <w:left w:val="single" w:color="auto" w:sz="6" w:space="0"/>
              <w:bottom w:val="single" w:color="auto" w:sz="6" w:space="0"/>
              <w:right w:val="single" w:color="auto" w:sz="6" w:space="0"/>
            </w:tcBorders>
            <w:vAlign w:val="center"/>
          </w:tcPr>
          <w:p w14:paraId="6799F43C">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307BF1C9">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AEE0434">
            <w:pPr>
              <w:pStyle w:val="89"/>
            </w:pPr>
          </w:p>
        </w:tc>
        <w:tc>
          <w:tcPr>
            <w:tcW w:w="778" w:type="pct"/>
            <w:tcBorders>
              <w:top w:val="single" w:color="auto" w:sz="6" w:space="0"/>
              <w:left w:val="single" w:color="auto" w:sz="6" w:space="0"/>
              <w:bottom w:val="single" w:color="auto" w:sz="6" w:space="0"/>
              <w:right w:val="single" w:color="auto" w:sz="12" w:space="0"/>
            </w:tcBorders>
          </w:tcPr>
          <w:p w14:paraId="49CCF47C">
            <w:pPr>
              <w:pStyle w:val="89"/>
            </w:pPr>
          </w:p>
        </w:tc>
      </w:tr>
      <w:tr w14:paraId="3744E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59" w:type="pct"/>
            <w:tcBorders>
              <w:top w:val="single" w:color="auto" w:sz="6" w:space="0"/>
              <w:left w:val="single" w:color="auto" w:sz="12" w:space="0"/>
              <w:bottom w:val="single" w:color="auto" w:sz="6" w:space="0"/>
              <w:right w:val="single" w:color="auto" w:sz="6" w:space="0"/>
            </w:tcBorders>
          </w:tcPr>
          <w:p w14:paraId="5376688B">
            <w:pPr>
              <w:pStyle w:val="89"/>
            </w:pPr>
            <w:r>
              <w:t>2</w:t>
            </w:r>
          </w:p>
        </w:tc>
        <w:tc>
          <w:tcPr>
            <w:tcW w:w="1253" w:type="pct"/>
            <w:tcBorders>
              <w:top w:val="single" w:color="auto" w:sz="6" w:space="0"/>
              <w:left w:val="single" w:color="auto" w:sz="6" w:space="0"/>
              <w:bottom w:val="single" w:color="auto" w:sz="6" w:space="0"/>
              <w:right w:val="single" w:color="auto" w:sz="6" w:space="0"/>
            </w:tcBorders>
            <w:vAlign w:val="center"/>
          </w:tcPr>
          <w:p w14:paraId="147FE3D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3984AC8">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3E822BB0">
            <w:pPr>
              <w:pStyle w:val="89"/>
            </w:pPr>
          </w:p>
        </w:tc>
        <w:tc>
          <w:tcPr>
            <w:tcW w:w="778" w:type="pct"/>
            <w:tcBorders>
              <w:top w:val="single" w:color="auto" w:sz="6" w:space="0"/>
              <w:left w:val="single" w:color="auto" w:sz="6" w:space="0"/>
              <w:bottom w:val="single" w:color="auto" w:sz="6" w:space="0"/>
              <w:right w:val="single" w:color="auto" w:sz="12" w:space="0"/>
            </w:tcBorders>
          </w:tcPr>
          <w:p w14:paraId="5B9374CC">
            <w:pPr>
              <w:pStyle w:val="89"/>
            </w:pPr>
          </w:p>
        </w:tc>
      </w:tr>
      <w:tr w14:paraId="5FE86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59" w:type="pct"/>
            <w:tcBorders>
              <w:top w:val="single" w:color="auto" w:sz="6" w:space="0"/>
              <w:left w:val="single" w:color="auto" w:sz="12" w:space="0"/>
              <w:bottom w:val="single" w:color="auto" w:sz="6" w:space="0"/>
              <w:right w:val="single" w:color="auto" w:sz="6" w:space="0"/>
            </w:tcBorders>
          </w:tcPr>
          <w:p w14:paraId="3268A5BF">
            <w:pPr>
              <w:pStyle w:val="89"/>
            </w:pPr>
            <w:r>
              <w:t>3</w:t>
            </w:r>
          </w:p>
        </w:tc>
        <w:tc>
          <w:tcPr>
            <w:tcW w:w="1253" w:type="pct"/>
            <w:tcBorders>
              <w:top w:val="single" w:color="auto" w:sz="6" w:space="0"/>
              <w:left w:val="single" w:color="auto" w:sz="6" w:space="0"/>
              <w:bottom w:val="single" w:color="auto" w:sz="6" w:space="0"/>
              <w:right w:val="single" w:color="auto" w:sz="6" w:space="0"/>
            </w:tcBorders>
            <w:vAlign w:val="center"/>
          </w:tcPr>
          <w:p w14:paraId="32CC894D">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19AEA1">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4F8521D5">
            <w:pPr>
              <w:pStyle w:val="89"/>
            </w:pPr>
          </w:p>
        </w:tc>
        <w:tc>
          <w:tcPr>
            <w:tcW w:w="778" w:type="pct"/>
            <w:tcBorders>
              <w:top w:val="single" w:color="auto" w:sz="6" w:space="0"/>
              <w:left w:val="single" w:color="auto" w:sz="6" w:space="0"/>
              <w:bottom w:val="single" w:color="auto" w:sz="6" w:space="0"/>
              <w:right w:val="single" w:color="auto" w:sz="12" w:space="0"/>
            </w:tcBorders>
          </w:tcPr>
          <w:p w14:paraId="476487C0">
            <w:pPr>
              <w:pStyle w:val="89"/>
            </w:pPr>
          </w:p>
        </w:tc>
      </w:tr>
      <w:tr w14:paraId="6D6ED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6AC8B5E0">
            <w:pPr>
              <w:pStyle w:val="89"/>
            </w:pPr>
            <w:r>
              <w:t>4</w:t>
            </w:r>
          </w:p>
        </w:tc>
        <w:tc>
          <w:tcPr>
            <w:tcW w:w="1253" w:type="pct"/>
            <w:tcBorders>
              <w:top w:val="single" w:color="auto" w:sz="6" w:space="0"/>
              <w:left w:val="single" w:color="auto" w:sz="6" w:space="0"/>
              <w:bottom w:val="single" w:color="auto" w:sz="6" w:space="0"/>
              <w:right w:val="single" w:color="auto" w:sz="6" w:space="0"/>
            </w:tcBorders>
            <w:vAlign w:val="center"/>
          </w:tcPr>
          <w:p w14:paraId="63CC5B9E">
            <w:pPr>
              <w:pStyle w:val="89"/>
            </w:pPr>
            <w:r>
              <w:t>……</w:t>
            </w:r>
          </w:p>
        </w:tc>
        <w:tc>
          <w:tcPr>
            <w:tcW w:w="1094" w:type="pct"/>
            <w:tcBorders>
              <w:top w:val="single" w:color="auto" w:sz="6" w:space="0"/>
              <w:left w:val="single" w:color="auto" w:sz="6" w:space="0"/>
              <w:bottom w:val="single" w:color="auto" w:sz="6" w:space="0"/>
              <w:right w:val="single" w:color="auto" w:sz="6" w:space="0"/>
            </w:tcBorders>
            <w:vAlign w:val="center"/>
          </w:tcPr>
          <w:p w14:paraId="713A0811">
            <w:pPr>
              <w:pStyle w:val="89"/>
            </w:pPr>
            <w:r>
              <w:t>……</w:t>
            </w:r>
          </w:p>
        </w:tc>
        <w:tc>
          <w:tcPr>
            <w:tcW w:w="1412" w:type="pct"/>
            <w:tcBorders>
              <w:top w:val="single" w:color="auto" w:sz="6" w:space="0"/>
              <w:left w:val="single" w:color="auto" w:sz="6" w:space="0"/>
              <w:bottom w:val="single" w:color="auto" w:sz="6" w:space="0"/>
              <w:right w:val="single" w:color="auto" w:sz="6" w:space="0"/>
            </w:tcBorders>
            <w:vAlign w:val="center"/>
          </w:tcPr>
          <w:p w14:paraId="071CA538">
            <w:pPr>
              <w:pStyle w:val="89"/>
            </w:pPr>
          </w:p>
        </w:tc>
        <w:tc>
          <w:tcPr>
            <w:tcW w:w="778" w:type="pct"/>
            <w:tcBorders>
              <w:top w:val="single" w:color="auto" w:sz="6" w:space="0"/>
              <w:left w:val="single" w:color="auto" w:sz="6" w:space="0"/>
              <w:bottom w:val="single" w:color="auto" w:sz="6" w:space="0"/>
              <w:right w:val="single" w:color="auto" w:sz="12" w:space="0"/>
            </w:tcBorders>
          </w:tcPr>
          <w:p w14:paraId="6C001790">
            <w:pPr>
              <w:pStyle w:val="89"/>
            </w:pPr>
          </w:p>
        </w:tc>
      </w:tr>
      <w:tr w14:paraId="10728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4B4C3D46">
            <w:pPr>
              <w:pStyle w:val="89"/>
            </w:pPr>
            <w:r>
              <w:t>5</w:t>
            </w:r>
          </w:p>
        </w:tc>
        <w:tc>
          <w:tcPr>
            <w:tcW w:w="1253" w:type="pct"/>
            <w:tcBorders>
              <w:top w:val="single" w:color="auto" w:sz="6" w:space="0"/>
              <w:left w:val="single" w:color="auto" w:sz="6" w:space="0"/>
              <w:bottom w:val="single" w:color="auto" w:sz="6" w:space="0"/>
              <w:right w:val="single" w:color="auto" w:sz="6" w:space="0"/>
            </w:tcBorders>
            <w:vAlign w:val="center"/>
          </w:tcPr>
          <w:p w14:paraId="162CC765">
            <w:pPr>
              <w:pStyle w:val="89"/>
            </w:pPr>
          </w:p>
        </w:tc>
        <w:tc>
          <w:tcPr>
            <w:tcW w:w="1094" w:type="pct"/>
            <w:tcBorders>
              <w:top w:val="single" w:color="auto" w:sz="6" w:space="0"/>
              <w:left w:val="single" w:color="auto" w:sz="6" w:space="0"/>
              <w:bottom w:val="single" w:color="auto" w:sz="6" w:space="0"/>
              <w:right w:val="single" w:color="auto" w:sz="6" w:space="0"/>
            </w:tcBorders>
            <w:vAlign w:val="center"/>
          </w:tcPr>
          <w:p w14:paraId="143A7E97">
            <w:pPr>
              <w:pStyle w:val="89"/>
            </w:pPr>
          </w:p>
        </w:tc>
        <w:tc>
          <w:tcPr>
            <w:tcW w:w="1412" w:type="pct"/>
            <w:tcBorders>
              <w:top w:val="single" w:color="auto" w:sz="6" w:space="0"/>
              <w:left w:val="single" w:color="auto" w:sz="6" w:space="0"/>
              <w:bottom w:val="single" w:color="auto" w:sz="6" w:space="0"/>
              <w:right w:val="single" w:color="auto" w:sz="6" w:space="0"/>
            </w:tcBorders>
            <w:vAlign w:val="center"/>
          </w:tcPr>
          <w:p w14:paraId="7C01D61F">
            <w:pPr>
              <w:pStyle w:val="89"/>
            </w:pPr>
          </w:p>
        </w:tc>
        <w:tc>
          <w:tcPr>
            <w:tcW w:w="778" w:type="pct"/>
            <w:tcBorders>
              <w:top w:val="single" w:color="auto" w:sz="6" w:space="0"/>
              <w:left w:val="single" w:color="auto" w:sz="6" w:space="0"/>
              <w:bottom w:val="single" w:color="auto" w:sz="6" w:space="0"/>
              <w:right w:val="single" w:color="auto" w:sz="12" w:space="0"/>
            </w:tcBorders>
          </w:tcPr>
          <w:p w14:paraId="2C64C6D8">
            <w:pPr>
              <w:pStyle w:val="89"/>
            </w:pPr>
          </w:p>
        </w:tc>
      </w:tr>
      <w:tr w14:paraId="62B78D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59" w:type="pct"/>
            <w:tcBorders>
              <w:top w:val="single" w:color="auto" w:sz="6" w:space="0"/>
              <w:left w:val="single" w:color="auto" w:sz="12" w:space="0"/>
              <w:bottom w:val="single" w:color="auto" w:sz="6" w:space="0"/>
              <w:right w:val="single" w:color="auto" w:sz="6" w:space="0"/>
            </w:tcBorders>
          </w:tcPr>
          <w:p w14:paraId="34A9A1E6">
            <w:pPr>
              <w:pStyle w:val="89"/>
            </w:pPr>
            <w:r>
              <w:t>6</w:t>
            </w:r>
          </w:p>
        </w:tc>
        <w:tc>
          <w:tcPr>
            <w:tcW w:w="1253" w:type="pct"/>
            <w:tcBorders>
              <w:top w:val="single" w:color="auto" w:sz="6" w:space="0"/>
              <w:left w:val="single" w:color="auto" w:sz="6" w:space="0"/>
              <w:bottom w:val="single" w:color="auto" w:sz="6" w:space="0"/>
              <w:right w:val="single" w:color="auto" w:sz="6" w:space="0"/>
            </w:tcBorders>
            <w:vAlign w:val="center"/>
          </w:tcPr>
          <w:p w14:paraId="06EB29B2">
            <w:pPr>
              <w:pStyle w:val="89"/>
            </w:pPr>
            <w:r>
              <w:t>其他</w:t>
            </w:r>
          </w:p>
        </w:tc>
        <w:tc>
          <w:tcPr>
            <w:tcW w:w="1094" w:type="pct"/>
            <w:tcBorders>
              <w:top w:val="single" w:color="auto" w:sz="6" w:space="0"/>
              <w:left w:val="single" w:color="auto" w:sz="6" w:space="0"/>
              <w:bottom w:val="single" w:color="auto" w:sz="6" w:space="0"/>
              <w:right w:val="single" w:color="auto" w:sz="6" w:space="0"/>
            </w:tcBorders>
            <w:vAlign w:val="center"/>
          </w:tcPr>
          <w:p w14:paraId="5D0CE627">
            <w:pPr>
              <w:pStyle w:val="89"/>
            </w:pPr>
            <w:r>
              <w:t>询价文件所有技术部分要求</w:t>
            </w:r>
          </w:p>
        </w:tc>
        <w:tc>
          <w:tcPr>
            <w:tcW w:w="1412" w:type="pct"/>
            <w:tcBorders>
              <w:top w:val="single" w:color="auto" w:sz="6" w:space="0"/>
              <w:left w:val="single" w:color="auto" w:sz="6" w:space="0"/>
              <w:bottom w:val="single" w:color="auto" w:sz="6" w:space="0"/>
              <w:right w:val="single" w:color="auto" w:sz="6" w:space="0"/>
            </w:tcBorders>
            <w:vAlign w:val="center"/>
          </w:tcPr>
          <w:p w14:paraId="40E58ABE">
            <w:pPr>
              <w:pStyle w:val="89"/>
            </w:pPr>
          </w:p>
        </w:tc>
        <w:tc>
          <w:tcPr>
            <w:tcW w:w="778" w:type="pct"/>
            <w:tcBorders>
              <w:top w:val="single" w:color="auto" w:sz="6" w:space="0"/>
              <w:left w:val="single" w:color="auto" w:sz="6" w:space="0"/>
              <w:bottom w:val="single" w:color="auto" w:sz="6" w:space="0"/>
              <w:right w:val="single" w:color="auto" w:sz="12" w:space="0"/>
            </w:tcBorders>
          </w:tcPr>
          <w:p w14:paraId="5D53DC9A">
            <w:pPr>
              <w:pStyle w:val="89"/>
            </w:pPr>
          </w:p>
        </w:tc>
      </w:tr>
    </w:tbl>
    <w:p w14:paraId="03AE5FC5">
      <w:pPr>
        <w:spacing w:line="360" w:lineRule="auto"/>
        <w:ind w:firstLine="482" w:firstLineChars="200"/>
        <w:contextualSpacing/>
        <w:rPr>
          <w:rFonts w:hint="eastAsia" w:ascii="宋体" w:hAnsi="宋体" w:cs="宋体"/>
          <w:b/>
          <w:sz w:val="24"/>
        </w:rPr>
      </w:pPr>
      <w:r>
        <w:rPr>
          <w:rFonts w:hint="eastAsia" w:ascii="宋体" w:hAnsi="宋体" w:cs="宋体"/>
          <w:b/>
          <w:sz w:val="24"/>
        </w:rPr>
        <w:t>注：</w:t>
      </w:r>
    </w:p>
    <w:p w14:paraId="7DD234AA">
      <w:pPr>
        <w:spacing w:line="360" w:lineRule="auto"/>
        <w:ind w:firstLine="480" w:firstLineChars="200"/>
        <w:contextualSpacing/>
        <w:rPr>
          <w:rFonts w:hint="eastAsia" w:ascii="宋体" w:hAnsi="宋体" w:cs="宋体"/>
          <w:sz w:val="24"/>
        </w:rPr>
      </w:pPr>
      <w:r>
        <w:rPr>
          <w:rFonts w:hint="eastAsia" w:ascii="宋体" w:hAnsi="宋体" w:cs="宋体"/>
          <w:sz w:val="24"/>
        </w:rPr>
        <w:t>1.供应商提交的响应文件中与询价文件第二部分“项目需求”中的技术部分的要求，应逐条填列在偏离表中。</w:t>
      </w:r>
    </w:p>
    <w:p w14:paraId="44516EFF">
      <w:pPr>
        <w:spacing w:line="360" w:lineRule="auto"/>
        <w:ind w:firstLine="480" w:firstLineChars="200"/>
        <w:contextualSpacing/>
        <w:rPr>
          <w:rFonts w:hint="eastAsia" w:ascii="宋体" w:hAnsi="宋体" w:cs="宋体"/>
          <w:sz w:val="24"/>
        </w:rPr>
      </w:pPr>
      <w:r>
        <w:rPr>
          <w:rFonts w:hint="eastAsia" w:ascii="宋体" w:hAnsi="宋体" w:cs="宋体"/>
          <w:sz w:val="24"/>
        </w:rPr>
        <w:t>2.“偏离说明”一栏选择“正偏离”、“负偏离”、“无偏离”进行填写。正偏离、负偏离、无偏离的确认，由评标小组认定。</w:t>
      </w:r>
    </w:p>
    <w:p w14:paraId="7EB8AA35">
      <w:pPr>
        <w:spacing w:line="360" w:lineRule="auto"/>
        <w:ind w:firstLine="480" w:firstLineChars="200"/>
        <w:contextualSpacing/>
        <w:rPr>
          <w:rFonts w:hint="eastAsia" w:ascii="宋体" w:hAnsi="宋体" w:cs="宋体"/>
          <w:bCs/>
          <w:sz w:val="24"/>
        </w:rPr>
      </w:pPr>
      <w:r>
        <w:rPr>
          <w:rFonts w:hint="eastAsia" w:ascii="宋体" w:hAnsi="宋体" w:cs="宋体"/>
          <w:bCs/>
          <w:sz w:val="24"/>
        </w:rPr>
        <w:t>3.供应商若提供其他增值服务，可以在表中自行据实填写。</w:t>
      </w:r>
    </w:p>
    <w:p w14:paraId="2F9F8D51">
      <w:pPr>
        <w:spacing w:line="360" w:lineRule="auto"/>
        <w:ind w:firstLine="482" w:firstLineChars="200"/>
        <w:rPr>
          <w:rFonts w:hint="eastAsia" w:ascii="宋体" w:hAnsi="宋体" w:cs="宋体"/>
          <w:b/>
          <w:sz w:val="24"/>
          <w:szCs w:val="24"/>
        </w:rPr>
      </w:pPr>
    </w:p>
    <w:p w14:paraId="5670898D">
      <w:pPr>
        <w:spacing w:line="360" w:lineRule="auto"/>
        <w:ind w:firstLine="4096" w:firstLineChars="1700"/>
        <w:jc w:val="both"/>
        <w:outlineLvl w:val="0"/>
        <w:rPr>
          <w:rFonts w:hint="eastAsia" w:ascii="宋体" w:hAnsi="宋体" w:cs="宋体"/>
          <w:b/>
          <w:sz w:val="24"/>
          <w:szCs w:val="24"/>
        </w:rPr>
      </w:pPr>
      <w:r>
        <w:rPr>
          <w:rFonts w:hint="eastAsia" w:ascii="宋体" w:hAnsi="宋体" w:cs="宋体"/>
          <w:b/>
          <w:sz w:val="24"/>
          <w:szCs w:val="24"/>
        </w:rPr>
        <w:br w:type="page"/>
      </w:r>
    </w:p>
    <w:p w14:paraId="46923ECC">
      <w:pPr>
        <w:spacing w:line="360" w:lineRule="auto"/>
        <w:ind w:firstLine="482" w:firstLineChars="200"/>
        <w:outlineLvl w:val="2"/>
        <w:rPr>
          <w:rFonts w:hint="eastAsia" w:ascii="宋体" w:hAnsi="宋体" w:cs="宋体"/>
          <w:b/>
          <w:sz w:val="24"/>
          <w:szCs w:val="28"/>
        </w:rPr>
      </w:pPr>
      <w:r>
        <w:rPr>
          <w:rFonts w:hint="eastAsia" w:ascii="宋体" w:hAnsi="宋体" w:cs="宋体"/>
          <w:b/>
          <w:sz w:val="24"/>
          <w:szCs w:val="24"/>
        </w:rPr>
        <w:t>（二）</w:t>
      </w:r>
      <w:r>
        <w:rPr>
          <w:rFonts w:hint="eastAsia" w:ascii="宋体" w:hAnsi="宋体" w:cs="宋体"/>
          <w:b/>
          <w:sz w:val="24"/>
          <w:szCs w:val="28"/>
        </w:rPr>
        <w:t>价格标响应文件相关格式</w:t>
      </w:r>
    </w:p>
    <w:p w14:paraId="696EB0CC">
      <w:pPr>
        <w:pStyle w:val="72"/>
        <w:snapToGrid w:val="0"/>
        <w:spacing w:line="360" w:lineRule="auto"/>
        <w:ind w:firstLine="482" w:firstLineChars="200"/>
        <w:jc w:val="center"/>
        <w:outlineLvl w:val="0"/>
        <w:rPr>
          <w:rFonts w:hint="eastAsia" w:ascii="宋体" w:eastAsia="宋体" w:cs="宋体"/>
          <w:b/>
          <w:sz w:val="24"/>
        </w:rPr>
      </w:pPr>
      <w:bookmarkStart w:id="14" w:name="_Toc23203"/>
      <w:r>
        <w:rPr>
          <w:rFonts w:hint="eastAsia" w:ascii="宋体" w:eastAsia="宋体" w:cs="宋体"/>
          <w:b/>
          <w:sz w:val="24"/>
        </w:rPr>
        <w:t>1.</w:t>
      </w:r>
      <w:bookmarkEnd w:id="14"/>
      <w:r>
        <w:rPr>
          <w:rFonts w:hint="eastAsia" w:ascii="宋体" w:eastAsia="宋体" w:cs="宋体"/>
          <w:b/>
          <w:sz w:val="24"/>
        </w:rPr>
        <w:t>报价总表</w:t>
      </w:r>
    </w:p>
    <w:tbl>
      <w:tblPr>
        <w:tblStyle w:val="25"/>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7E5EF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359431D2">
            <w:pPr>
              <w:pStyle w:val="89"/>
            </w:pPr>
            <w: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06166A05">
            <w:pPr>
              <w:pStyle w:val="89"/>
            </w:pPr>
            <w:r>
              <w:t>投标报价</w:t>
            </w:r>
          </w:p>
        </w:tc>
        <w:tc>
          <w:tcPr>
            <w:tcW w:w="1990" w:type="dxa"/>
            <w:tcBorders>
              <w:top w:val="single" w:color="auto" w:sz="4" w:space="0"/>
              <w:left w:val="single" w:color="auto" w:sz="4" w:space="0"/>
              <w:bottom w:val="single" w:color="auto" w:sz="4" w:space="0"/>
              <w:right w:val="single" w:color="auto" w:sz="4" w:space="0"/>
            </w:tcBorders>
            <w:vAlign w:val="center"/>
          </w:tcPr>
          <w:p w14:paraId="68CD8D20">
            <w:pPr>
              <w:pStyle w:val="89"/>
            </w:pPr>
            <w: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0F217AE3">
            <w:pPr>
              <w:pStyle w:val="89"/>
            </w:pPr>
            <w:r>
              <w:t>付款方式</w:t>
            </w:r>
          </w:p>
        </w:tc>
      </w:tr>
      <w:tr w14:paraId="0D3761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7E95643">
            <w:pPr>
              <w:pStyle w:val="89"/>
              <w:rPr>
                <w:rFonts w:hint="eastAsia" w:eastAsia="宋体"/>
                <w:lang w:eastAsia="zh-CN"/>
              </w:rPr>
            </w:pPr>
            <w:r>
              <w:rPr>
                <w:rFonts w:hint="eastAsia"/>
                <w:lang w:eastAsia="zh-CN"/>
              </w:rPr>
              <w:t>江苏商贸职业学院人文学院智慧养老专业2025年零星采购设备项目</w:t>
            </w:r>
          </w:p>
        </w:tc>
        <w:tc>
          <w:tcPr>
            <w:tcW w:w="2400" w:type="dxa"/>
            <w:tcBorders>
              <w:top w:val="single" w:color="auto" w:sz="4" w:space="0"/>
              <w:left w:val="single" w:color="auto" w:sz="4" w:space="0"/>
              <w:bottom w:val="single" w:color="auto" w:sz="4" w:space="0"/>
              <w:right w:val="single" w:color="auto" w:sz="4" w:space="0"/>
            </w:tcBorders>
            <w:vAlign w:val="center"/>
          </w:tcPr>
          <w:p w14:paraId="116FE646">
            <w:pPr>
              <w:pStyle w:val="89"/>
            </w:pPr>
            <w:r>
              <w:t>大写：     元</w:t>
            </w:r>
          </w:p>
          <w:p w14:paraId="26ECF7E3">
            <w:pPr>
              <w:pStyle w:val="89"/>
            </w:pPr>
            <w:r>
              <w:t>小写：     元</w:t>
            </w:r>
          </w:p>
        </w:tc>
        <w:tc>
          <w:tcPr>
            <w:tcW w:w="1990" w:type="dxa"/>
            <w:tcBorders>
              <w:top w:val="single" w:color="auto" w:sz="4" w:space="0"/>
              <w:left w:val="single" w:color="auto" w:sz="4" w:space="0"/>
              <w:bottom w:val="single" w:color="auto" w:sz="4" w:space="0"/>
              <w:right w:val="single" w:color="auto" w:sz="4" w:space="0"/>
            </w:tcBorders>
            <w:vAlign w:val="center"/>
          </w:tcPr>
          <w:p w14:paraId="089F47B2">
            <w:pPr>
              <w:pStyle w:val="89"/>
            </w:pPr>
            <w:r>
              <w:t>完全响应询价文件要求</w:t>
            </w:r>
          </w:p>
        </w:tc>
        <w:tc>
          <w:tcPr>
            <w:tcW w:w="1850" w:type="dxa"/>
            <w:tcBorders>
              <w:top w:val="single" w:color="auto" w:sz="4" w:space="0"/>
              <w:left w:val="single" w:color="auto" w:sz="4" w:space="0"/>
              <w:bottom w:val="single" w:color="auto" w:sz="4" w:space="0"/>
              <w:right w:val="single" w:color="auto" w:sz="4" w:space="0"/>
            </w:tcBorders>
          </w:tcPr>
          <w:p w14:paraId="3DB2B264">
            <w:pPr>
              <w:pStyle w:val="89"/>
            </w:pPr>
            <w:r>
              <w:t>完全响应询价文件要求的付款方式</w:t>
            </w:r>
          </w:p>
        </w:tc>
      </w:tr>
    </w:tbl>
    <w:p w14:paraId="3AB4D8EC">
      <w:pPr>
        <w:spacing w:line="360" w:lineRule="auto"/>
        <w:ind w:firstLine="480" w:firstLineChars="200"/>
        <w:rPr>
          <w:rFonts w:hint="eastAsia" w:ascii="宋体" w:hAnsi="宋体" w:cs="宋体"/>
          <w:sz w:val="24"/>
          <w:szCs w:val="28"/>
        </w:rPr>
      </w:pPr>
    </w:p>
    <w:p w14:paraId="48DCDE93">
      <w:pPr>
        <w:spacing w:line="360" w:lineRule="auto"/>
        <w:ind w:firstLine="482" w:firstLineChars="200"/>
        <w:rPr>
          <w:rFonts w:hint="eastAsia" w:ascii="宋体" w:hAnsi="宋体" w:cs="宋体"/>
          <w:sz w:val="24"/>
          <w:szCs w:val="28"/>
        </w:rPr>
      </w:pPr>
      <w:r>
        <w:rPr>
          <w:rFonts w:hint="eastAsia" w:ascii="宋体" w:hAnsi="宋体" w:cs="宋体"/>
          <w:b/>
          <w:bCs/>
          <w:sz w:val="24"/>
          <w:szCs w:val="28"/>
          <w:lang w:bidi="zh-CN"/>
        </w:rPr>
        <w:t>本表为格式表，不得自行改动，必须提供，否则视为未实质性响应采购文件。</w:t>
      </w:r>
    </w:p>
    <w:p w14:paraId="529F1AA7">
      <w:pPr>
        <w:spacing w:line="360" w:lineRule="auto"/>
        <w:ind w:left="1322" w:firstLine="480" w:firstLineChars="200"/>
        <w:rPr>
          <w:rFonts w:hint="eastAsia" w:ascii="宋体" w:hAnsi="宋体" w:cs="宋体"/>
          <w:sz w:val="24"/>
          <w:szCs w:val="28"/>
        </w:rPr>
      </w:pPr>
    </w:p>
    <w:p w14:paraId="0EB1D12E">
      <w:pPr>
        <w:spacing w:line="360" w:lineRule="auto"/>
        <w:ind w:firstLine="480" w:firstLineChars="200"/>
        <w:rPr>
          <w:rFonts w:hint="eastAsia" w:ascii="宋体" w:hAnsi="宋体" w:cs="宋体"/>
          <w:sz w:val="24"/>
          <w:szCs w:val="28"/>
        </w:rPr>
      </w:pPr>
    </w:p>
    <w:p w14:paraId="2A7AC709">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 xml:space="preserve">供应商名称：（盖章）             </w:t>
      </w:r>
    </w:p>
    <w:p w14:paraId="2837C0DA">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法定代表人或授权委托人（签字</w:t>
      </w:r>
      <w:r>
        <w:rPr>
          <w:rFonts w:hint="eastAsia" w:ascii="宋体" w:hAnsi="宋体" w:cs="宋体"/>
          <w:sz w:val="24"/>
          <w:szCs w:val="28"/>
          <w:lang w:val="en-US" w:eastAsia="zh-CN"/>
        </w:rPr>
        <w:t>或盖章</w:t>
      </w:r>
      <w:r>
        <w:rPr>
          <w:rFonts w:hint="eastAsia" w:ascii="宋体" w:hAnsi="宋体" w:cs="宋体"/>
          <w:sz w:val="24"/>
          <w:szCs w:val="28"/>
        </w:rPr>
        <w:t>）：</w:t>
      </w:r>
    </w:p>
    <w:p w14:paraId="7E784743">
      <w:pPr>
        <w:spacing w:line="360" w:lineRule="auto"/>
        <w:ind w:left="1322" w:firstLine="480" w:firstLineChars="200"/>
        <w:rPr>
          <w:rFonts w:hint="eastAsia" w:ascii="宋体" w:hAnsi="宋体" w:cs="宋体"/>
          <w:sz w:val="24"/>
          <w:szCs w:val="28"/>
        </w:rPr>
      </w:pPr>
      <w:r>
        <w:rPr>
          <w:rFonts w:hint="eastAsia" w:ascii="宋体" w:hAnsi="宋体" w:cs="宋体"/>
          <w:sz w:val="24"/>
          <w:szCs w:val="28"/>
        </w:rPr>
        <w:t>日期：</w:t>
      </w:r>
    </w:p>
    <w:p w14:paraId="40AACF3C">
      <w:pPr>
        <w:pStyle w:val="59"/>
        <w:spacing w:line="360" w:lineRule="auto"/>
        <w:ind w:firstLine="480" w:firstLineChars="200"/>
        <w:jc w:val="center"/>
        <w:rPr>
          <w:rFonts w:hint="eastAsia" w:ascii="宋体" w:hAnsi="宋体" w:cs="宋体"/>
          <w:sz w:val="24"/>
          <w:szCs w:val="28"/>
        </w:rPr>
      </w:pPr>
    </w:p>
    <w:p w14:paraId="5166ACE1">
      <w:pPr>
        <w:pStyle w:val="59"/>
        <w:spacing w:line="360" w:lineRule="auto"/>
        <w:ind w:firstLine="480" w:firstLineChars="200"/>
        <w:jc w:val="center"/>
        <w:rPr>
          <w:rFonts w:hint="eastAsia" w:ascii="宋体" w:hAnsi="宋体" w:cs="宋体"/>
          <w:sz w:val="24"/>
          <w:szCs w:val="28"/>
        </w:rPr>
      </w:pPr>
    </w:p>
    <w:p w14:paraId="6A3FA57B">
      <w:pPr>
        <w:spacing w:line="360" w:lineRule="auto"/>
        <w:ind w:firstLine="480" w:firstLineChars="200"/>
        <w:jc w:val="center"/>
        <w:rPr>
          <w:rFonts w:hint="eastAsia" w:ascii="宋体" w:hAnsi="宋体" w:cs="宋体"/>
          <w:sz w:val="24"/>
          <w:szCs w:val="28"/>
        </w:rPr>
      </w:pPr>
      <w:r>
        <w:rPr>
          <w:rFonts w:ascii="宋体" w:hAnsi="宋体" w:cs="宋体"/>
          <w:sz w:val="24"/>
          <w:szCs w:val="28"/>
        </w:rPr>
        <w:br w:type="page"/>
      </w:r>
    </w:p>
    <w:p w14:paraId="27430F30">
      <w:pPr>
        <w:pStyle w:val="59"/>
        <w:spacing w:line="360" w:lineRule="auto"/>
        <w:ind w:firstLine="482" w:firstLineChars="200"/>
        <w:jc w:val="center"/>
        <w:rPr>
          <w:rFonts w:hint="eastAsia" w:ascii="宋体" w:hAnsi="宋体" w:cs="宋体"/>
          <w:b/>
          <w:bCs/>
          <w:sz w:val="24"/>
          <w:szCs w:val="28"/>
        </w:rPr>
      </w:pPr>
      <w:r>
        <w:rPr>
          <w:rFonts w:hint="eastAsia" w:ascii="宋体" w:hAnsi="宋体" w:cs="宋体"/>
          <w:b/>
          <w:bCs/>
          <w:sz w:val="24"/>
          <w:szCs w:val="28"/>
        </w:rPr>
        <w:t>2.分项报价表</w:t>
      </w:r>
    </w:p>
    <w:tbl>
      <w:tblPr>
        <w:tblStyle w:val="26"/>
        <w:tblW w:w="9659" w:type="dxa"/>
        <w:tblInd w:w="-5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790"/>
        <w:gridCol w:w="3170"/>
        <w:gridCol w:w="910"/>
        <w:gridCol w:w="780"/>
        <w:gridCol w:w="1190"/>
        <w:gridCol w:w="1110"/>
        <w:gridCol w:w="810"/>
      </w:tblGrid>
      <w:tr w14:paraId="60E75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99" w:type="dxa"/>
          </w:tcPr>
          <w:p w14:paraId="3CE2CE2B">
            <w:pPr>
              <w:pStyle w:val="89"/>
              <w:jc w:val="center"/>
              <w:rPr>
                <w:rFonts w:eastAsia="等线"/>
                <w:kern w:val="2"/>
              </w:rPr>
            </w:pPr>
            <w:r>
              <w:rPr>
                <w:rFonts w:eastAsia="等线"/>
                <w:kern w:val="2"/>
              </w:rPr>
              <w:t>序号</w:t>
            </w:r>
          </w:p>
        </w:tc>
        <w:tc>
          <w:tcPr>
            <w:tcW w:w="790" w:type="dxa"/>
          </w:tcPr>
          <w:p w14:paraId="1FA3A514">
            <w:pPr>
              <w:pStyle w:val="89"/>
              <w:jc w:val="center"/>
              <w:rPr>
                <w:rFonts w:eastAsia="等线"/>
                <w:kern w:val="2"/>
              </w:rPr>
            </w:pPr>
            <w:r>
              <w:rPr>
                <w:rFonts w:eastAsia="等线"/>
                <w:kern w:val="2"/>
              </w:rPr>
              <w:t>货物名称</w:t>
            </w:r>
          </w:p>
        </w:tc>
        <w:tc>
          <w:tcPr>
            <w:tcW w:w="3170" w:type="dxa"/>
          </w:tcPr>
          <w:p w14:paraId="0E8A508F">
            <w:pPr>
              <w:pStyle w:val="89"/>
              <w:jc w:val="center"/>
              <w:rPr>
                <w:rFonts w:eastAsia="等线"/>
                <w:kern w:val="2"/>
              </w:rPr>
            </w:pPr>
            <w:r>
              <w:rPr>
                <w:rFonts w:eastAsia="等线"/>
                <w:kern w:val="2"/>
              </w:rPr>
              <w:t>规格型号</w:t>
            </w:r>
          </w:p>
        </w:tc>
        <w:tc>
          <w:tcPr>
            <w:tcW w:w="910" w:type="dxa"/>
          </w:tcPr>
          <w:p w14:paraId="45586ED2">
            <w:pPr>
              <w:pStyle w:val="89"/>
              <w:jc w:val="center"/>
              <w:rPr>
                <w:rFonts w:eastAsia="等线"/>
                <w:kern w:val="2"/>
              </w:rPr>
            </w:pPr>
            <w:r>
              <w:rPr>
                <w:rFonts w:eastAsia="等线"/>
                <w:kern w:val="2"/>
              </w:rPr>
              <w:t>数量</w:t>
            </w:r>
          </w:p>
        </w:tc>
        <w:tc>
          <w:tcPr>
            <w:tcW w:w="780" w:type="dxa"/>
          </w:tcPr>
          <w:p w14:paraId="7DB88E32">
            <w:pPr>
              <w:pStyle w:val="89"/>
              <w:jc w:val="center"/>
              <w:rPr>
                <w:rFonts w:eastAsia="等线"/>
                <w:kern w:val="2"/>
              </w:rPr>
            </w:pPr>
            <w:r>
              <w:rPr>
                <w:rFonts w:eastAsia="等线"/>
                <w:kern w:val="2"/>
              </w:rPr>
              <w:t>单位</w:t>
            </w:r>
          </w:p>
        </w:tc>
        <w:tc>
          <w:tcPr>
            <w:tcW w:w="1190" w:type="dxa"/>
          </w:tcPr>
          <w:p w14:paraId="6DDA0B1D">
            <w:pPr>
              <w:pStyle w:val="89"/>
              <w:jc w:val="center"/>
              <w:rPr>
                <w:rFonts w:eastAsia="等线"/>
                <w:kern w:val="2"/>
              </w:rPr>
            </w:pPr>
            <w:r>
              <w:rPr>
                <w:rFonts w:eastAsia="等线"/>
                <w:kern w:val="2"/>
              </w:rPr>
              <w:t>单价（元）</w:t>
            </w:r>
          </w:p>
        </w:tc>
        <w:tc>
          <w:tcPr>
            <w:tcW w:w="1110" w:type="dxa"/>
          </w:tcPr>
          <w:p w14:paraId="698DA87C">
            <w:pPr>
              <w:pStyle w:val="89"/>
              <w:jc w:val="center"/>
              <w:rPr>
                <w:rFonts w:eastAsia="等线"/>
                <w:kern w:val="2"/>
              </w:rPr>
            </w:pPr>
            <w:r>
              <w:rPr>
                <w:rFonts w:eastAsia="等线"/>
                <w:kern w:val="2"/>
              </w:rPr>
              <w:t>合价（元）</w:t>
            </w:r>
          </w:p>
        </w:tc>
        <w:tc>
          <w:tcPr>
            <w:tcW w:w="810" w:type="dxa"/>
          </w:tcPr>
          <w:p w14:paraId="2D458268">
            <w:pPr>
              <w:pStyle w:val="89"/>
              <w:jc w:val="center"/>
              <w:rPr>
                <w:rFonts w:eastAsia="等线"/>
                <w:kern w:val="2"/>
              </w:rPr>
            </w:pPr>
            <w:r>
              <w:rPr>
                <w:rFonts w:eastAsia="等线"/>
                <w:kern w:val="2"/>
              </w:rPr>
              <w:t>备注</w:t>
            </w:r>
          </w:p>
        </w:tc>
      </w:tr>
      <w:tr w14:paraId="4BC8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0D7D45D">
            <w:pPr>
              <w:pStyle w:val="89"/>
              <w:rPr>
                <w:rFonts w:eastAsia="等线"/>
                <w:kern w:val="2"/>
              </w:rPr>
            </w:pPr>
          </w:p>
          <w:p w14:paraId="6296A61F">
            <w:pPr>
              <w:pStyle w:val="89"/>
              <w:rPr>
                <w:rFonts w:eastAsia="等线"/>
                <w:kern w:val="2"/>
              </w:rPr>
            </w:pPr>
          </w:p>
          <w:p w14:paraId="20F6539B">
            <w:pPr>
              <w:pStyle w:val="89"/>
              <w:jc w:val="center"/>
              <w:rPr>
                <w:rFonts w:eastAsia="等线"/>
                <w:kern w:val="2"/>
              </w:rPr>
            </w:pPr>
            <w:r>
              <w:rPr>
                <w:rFonts w:eastAsia="等线"/>
                <w:kern w:val="2"/>
              </w:rPr>
              <w:t>1</w:t>
            </w:r>
          </w:p>
        </w:tc>
        <w:tc>
          <w:tcPr>
            <w:tcW w:w="790" w:type="dxa"/>
            <w:vAlign w:val="center"/>
          </w:tcPr>
          <w:p w14:paraId="6A8D4776">
            <w:pPr>
              <w:pStyle w:val="89"/>
              <w:rPr>
                <w:rFonts w:eastAsia="等线"/>
                <w:kern w:val="2"/>
              </w:rPr>
            </w:pPr>
          </w:p>
        </w:tc>
        <w:tc>
          <w:tcPr>
            <w:tcW w:w="3170" w:type="dxa"/>
            <w:vAlign w:val="center"/>
          </w:tcPr>
          <w:p w14:paraId="1555C815">
            <w:pPr>
              <w:pStyle w:val="89"/>
              <w:rPr>
                <w:rFonts w:eastAsia="等线"/>
                <w:kern w:val="2"/>
              </w:rPr>
            </w:pPr>
          </w:p>
        </w:tc>
        <w:tc>
          <w:tcPr>
            <w:tcW w:w="910" w:type="dxa"/>
            <w:vAlign w:val="center"/>
          </w:tcPr>
          <w:p w14:paraId="7ED7D0CB">
            <w:pPr>
              <w:pStyle w:val="89"/>
              <w:jc w:val="center"/>
              <w:rPr>
                <w:rFonts w:eastAsia="等线"/>
                <w:kern w:val="2"/>
              </w:rPr>
            </w:pPr>
          </w:p>
        </w:tc>
        <w:tc>
          <w:tcPr>
            <w:tcW w:w="780" w:type="dxa"/>
            <w:vAlign w:val="center"/>
          </w:tcPr>
          <w:p w14:paraId="3DB8F08D">
            <w:pPr>
              <w:pStyle w:val="89"/>
              <w:rPr>
                <w:rFonts w:eastAsia="等线"/>
                <w:kern w:val="2"/>
              </w:rPr>
            </w:pPr>
          </w:p>
        </w:tc>
        <w:tc>
          <w:tcPr>
            <w:tcW w:w="1190" w:type="dxa"/>
          </w:tcPr>
          <w:p w14:paraId="60EE93EA">
            <w:pPr>
              <w:pStyle w:val="89"/>
              <w:rPr>
                <w:rFonts w:eastAsia="等线"/>
                <w:kern w:val="2"/>
              </w:rPr>
            </w:pPr>
          </w:p>
        </w:tc>
        <w:tc>
          <w:tcPr>
            <w:tcW w:w="1110" w:type="dxa"/>
          </w:tcPr>
          <w:p w14:paraId="6FE3A1EC">
            <w:pPr>
              <w:pStyle w:val="89"/>
              <w:rPr>
                <w:rFonts w:eastAsia="等线"/>
                <w:kern w:val="2"/>
              </w:rPr>
            </w:pPr>
          </w:p>
        </w:tc>
        <w:tc>
          <w:tcPr>
            <w:tcW w:w="810" w:type="dxa"/>
          </w:tcPr>
          <w:p w14:paraId="1B1A700C">
            <w:pPr>
              <w:pStyle w:val="89"/>
              <w:rPr>
                <w:rFonts w:eastAsia="等线"/>
                <w:kern w:val="2"/>
              </w:rPr>
            </w:pPr>
          </w:p>
        </w:tc>
      </w:tr>
      <w:tr w14:paraId="563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5356712C">
            <w:pPr>
              <w:pStyle w:val="89"/>
              <w:rPr>
                <w:rFonts w:eastAsia="等线"/>
                <w:kern w:val="2"/>
              </w:rPr>
            </w:pPr>
          </w:p>
          <w:p w14:paraId="3EBAF039">
            <w:pPr>
              <w:pStyle w:val="89"/>
              <w:rPr>
                <w:rFonts w:eastAsia="等线"/>
                <w:kern w:val="2"/>
              </w:rPr>
            </w:pPr>
          </w:p>
          <w:p w14:paraId="465F082E">
            <w:pPr>
              <w:pStyle w:val="89"/>
              <w:jc w:val="center"/>
              <w:rPr>
                <w:rFonts w:eastAsia="等线"/>
                <w:kern w:val="2"/>
              </w:rPr>
            </w:pPr>
            <w:r>
              <w:rPr>
                <w:rFonts w:eastAsia="等线"/>
                <w:kern w:val="2"/>
              </w:rPr>
              <w:t>2</w:t>
            </w:r>
          </w:p>
        </w:tc>
        <w:tc>
          <w:tcPr>
            <w:tcW w:w="790" w:type="dxa"/>
            <w:vAlign w:val="center"/>
          </w:tcPr>
          <w:p w14:paraId="7B56F3B6">
            <w:pPr>
              <w:pStyle w:val="89"/>
              <w:rPr>
                <w:rFonts w:eastAsia="等线"/>
                <w:kern w:val="2"/>
              </w:rPr>
            </w:pPr>
          </w:p>
        </w:tc>
        <w:tc>
          <w:tcPr>
            <w:tcW w:w="3170" w:type="dxa"/>
            <w:vAlign w:val="center"/>
          </w:tcPr>
          <w:p w14:paraId="7A44636E">
            <w:pPr>
              <w:pStyle w:val="89"/>
              <w:rPr>
                <w:rFonts w:eastAsia="等线"/>
                <w:kern w:val="2"/>
              </w:rPr>
            </w:pPr>
          </w:p>
        </w:tc>
        <w:tc>
          <w:tcPr>
            <w:tcW w:w="910" w:type="dxa"/>
            <w:vAlign w:val="center"/>
          </w:tcPr>
          <w:p w14:paraId="6B3E1C00">
            <w:pPr>
              <w:pStyle w:val="89"/>
              <w:jc w:val="center"/>
              <w:rPr>
                <w:rFonts w:eastAsia="等线"/>
                <w:kern w:val="2"/>
              </w:rPr>
            </w:pPr>
          </w:p>
        </w:tc>
        <w:tc>
          <w:tcPr>
            <w:tcW w:w="780" w:type="dxa"/>
            <w:vAlign w:val="center"/>
          </w:tcPr>
          <w:p w14:paraId="48CDB6F4">
            <w:pPr>
              <w:pStyle w:val="89"/>
              <w:rPr>
                <w:rFonts w:eastAsia="等线"/>
                <w:kern w:val="2"/>
              </w:rPr>
            </w:pPr>
          </w:p>
        </w:tc>
        <w:tc>
          <w:tcPr>
            <w:tcW w:w="1190" w:type="dxa"/>
          </w:tcPr>
          <w:p w14:paraId="4597F9AF">
            <w:pPr>
              <w:pStyle w:val="89"/>
              <w:rPr>
                <w:rFonts w:eastAsia="等线"/>
                <w:kern w:val="2"/>
              </w:rPr>
            </w:pPr>
          </w:p>
        </w:tc>
        <w:tc>
          <w:tcPr>
            <w:tcW w:w="1110" w:type="dxa"/>
          </w:tcPr>
          <w:p w14:paraId="3A299A56">
            <w:pPr>
              <w:pStyle w:val="89"/>
              <w:rPr>
                <w:rFonts w:eastAsia="等线"/>
                <w:kern w:val="2"/>
              </w:rPr>
            </w:pPr>
          </w:p>
        </w:tc>
        <w:tc>
          <w:tcPr>
            <w:tcW w:w="810" w:type="dxa"/>
          </w:tcPr>
          <w:p w14:paraId="27E814D2">
            <w:pPr>
              <w:pStyle w:val="89"/>
              <w:rPr>
                <w:rFonts w:eastAsia="等线"/>
                <w:kern w:val="2"/>
              </w:rPr>
            </w:pPr>
          </w:p>
        </w:tc>
      </w:tr>
      <w:tr w14:paraId="4942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191082B8">
            <w:pPr>
              <w:pStyle w:val="89"/>
              <w:jc w:val="center"/>
              <w:rPr>
                <w:rFonts w:eastAsia="等线"/>
                <w:kern w:val="2"/>
              </w:rPr>
            </w:pPr>
          </w:p>
          <w:p w14:paraId="35B06033">
            <w:pPr>
              <w:pStyle w:val="89"/>
              <w:jc w:val="center"/>
              <w:rPr>
                <w:rFonts w:eastAsia="等线"/>
                <w:kern w:val="2"/>
              </w:rPr>
            </w:pPr>
            <w:r>
              <w:rPr>
                <w:rFonts w:eastAsia="等线"/>
                <w:kern w:val="2"/>
              </w:rPr>
              <w:t>3</w:t>
            </w:r>
          </w:p>
        </w:tc>
        <w:tc>
          <w:tcPr>
            <w:tcW w:w="790" w:type="dxa"/>
            <w:vAlign w:val="center"/>
          </w:tcPr>
          <w:p w14:paraId="0998C332">
            <w:pPr>
              <w:pStyle w:val="89"/>
              <w:rPr>
                <w:rFonts w:eastAsia="等线"/>
                <w:kern w:val="2"/>
              </w:rPr>
            </w:pPr>
          </w:p>
        </w:tc>
        <w:tc>
          <w:tcPr>
            <w:tcW w:w="3170" w:type="dxa"/>
            <w:vAlign w:val="center"/>
          </w:tcPr>
          <w:p w14:paraId="350642AA">
            <w:pPr>
              <w:pStyle w:val="89"/>
              <w:rPr>
                <w:rFonts w:eastAsia="等线"/>
                <w:kern w:val="2"/>
              </w:rPr>
            </w:pPr>
          </w:p>
        </w:tc>
        <w:tc>
          <w:tcPr>
            <w:tcW w:w="910" w:type="dxa"/>
            <w:vAlign w:val="center"/>
          </w:tcPr>
          <w:p w14:paraId="25DF4826">
            <w:pPr>
              <w:pStyle w:val="89"/>
              <w:jc w:val="center"/>
              <w:rPr>
                <w:rFonts w:eastAsia="等线"/>
                <w:kern w:val="2"/>
              </w:rPr>
            </w:pPr>
          </w:p>
        </w:tc>
        <w:tc>
          <w:tcPr>
            <w:tcW w:w="780" w:type="dxa"/>
            <w:vAlign w:val="center"/>
          </w:tcPr>
          <w:p w14:paraId="20638BA8">
            <w:pPr>
              <w:pStyle w:val="89"/>
              <w:rPr>
                <w:rFonts w:eastAsia="等线"/>
                <w:kern w:val="2"/>
              </w:rPr>
            </w:pPr>
          </w:p>
        </w:tc>
        <w:tc>
          <w:tcPr>
            <w:tcW w:w="1190" w:type="dxa"/>
          </w:tcPr>
          <w:p w14:paraId="6B403893">
            <w:pPr>
              <w:pStyle w:val="89"/>
              <w:rPr>
                <w:rFonts w:eastAsia="等线"/>
                <w:kern w:val="2"/>
              </w:rPr>
            </w:pPr>
          </w:p>
        </w:tc>
        <w:tc>
          <w:tcPr>
            <w:tcW w:w="1110" w:type="dxa"/>
          </w:tcPr>
          <w:p w14:paraId="236D713A">
            <w:pPr>
              <w:pStyle w:val="89"/>
              <w:rPr>
                <w:rFonts w:eastAsia="等线"/>
                <w:kern w:val="2"/>
              </w:rPr>
            </w:pPr>
          </w:p>
        </w:tc>
        <w:tc>
          <w:tcPr>
            <w:tcW w:w="810" w:type="dxa"/>
          </w:tcPr>
          <w:p w14:paraId="68E4991C">
            <w:pPr>
              <w:pStyle w:val="89"/>
              <w:rPr>
                <w:rFonts w:eastAsia="等线"/>
                <w:kern w:val="2"/>
              </w:rPr>
            </w:pPr>
          </w:p>
        </w:tc>
      </w:tr>
      <w:tr w14:paraId="12EF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2730E5F9">
            <w:pPr>
              <w:pStyle w:val="89"/>
              <w:jc w:val="center"/>
              <w:rPr>
                <w:rFonts w:eastAsia="等线"/>
                <w:kern w:val="2"/>
              </w:rPr>
            </w:pPr>
          </w:p>
          <w:p w14:paraId="0096705F">
            <w:pPr>
              <w:pStyle w:val="89"/>
              <w:jc w:val="center"/>
              <w:rPr>
                <w:rFonts w:eastAsia="等线"/>
                <w:kern w:val="2"/>
              </w:rPr>
            </w:pPr>
            <w:r>
              <w:rPr>
                <w:rFonts w:eastAsia="等线"/>
                <w:kern w:val="2"/>
              </w:rPr>
              <w:t>4</w:t>
            </w:r>
          </w:p>
        </w:tc>
        <w:tc>
          <w:tcPr>
            <w:tcW w:w="790" w:type="dxa"/>
            <w:vAlign w:val="center"/>
          </w:tcPr>
          <w:p w14:paraId="04DA1677">
            <w:pPr>
              <w:pStyle w:val="89"/>
              <w:rPr>
                <w:rFonts w:eastAsia="等线"/>
                <w:kern w:val="2"/>
              </w:rPr>
            </w:pPr>
          </w:p>
        </w:tc>
        <w:tc>
          <w:tcPr>
            <w:tcW w:w="3170" w:type="dxa"/>
            <w:vAlign w:val="center"/>
          </w:tcPr>
          <w:p w14:paraId="010100B8">
            <w:pPr>
              <w:pStyle w:val="89"/>
              <w:rPr>
                <w:rFonts w:eastAsia="等线"/>
                <w:kern w:val="2"/>
              </w:rPr>
            </w:pPr>
          </w:p>
        </w:tc>
        <w:tc>
          <w:tcPr>
            <w:tcW w:w="910" w:type="dxa"/>
            <w:vAlign w:val="center"/>
          </w:tcPr>
          <w:p w14:paraId="3CED1D62">
            <w:pPr>
              <w:pStyle w:val="89"/>
              <w:jc w:val="center"/>
              <w:rPr>
                <w:rFonts w:eastAsia="等线"/>
                <w:kern w:val="2"/>
              </w:rPr>
            </w:pPr>
          </w:p>
        </w:tc>
        <w:tc>
          <w:tcPr>
            <w:tcW w:w="780" w:type="dxa"/>
            <w:vAlign w:val="center"/>
          </w:tcPr>
          <w:p w14:paraId="2968E8C5">
            <w:pPr>
              <w:pStyle w:val="89"/>
              <w:rPr>
                <w:rFonts w:eastAsia="等线"/>
                <w:kern w:val="2"/>
              </w:rPr>
            </w:pPr>
          </w:p>
        </w:tc>
        <w:tc>
          <w:tcPr>
            <w:tcW w:w="1190" w:type="dxa"/>
          </w:tcPr>
          <w:p w14:paraId="69A3549A">
            <w:pPr>
              <w:pStyle w:val="89"/>
              <w:rPr>
                <w:rFonts w:eastAsia="等线"/>
                <w:kern w:val="2"/>
              </w:rPr>
            </w:pPr>
          </w:p>
        </w:tc>
        <w:tc>
          <w:tcPr>
            <w:tcW w:w="1110" w:type="dxa"/>
          </w:tcPr>
          <w:p w14:paraId="32B71AE7">
            <w:pPr>
              <w:pStyle w:val="89"/>
              <w:rPr>
                <w:rFonts w:eastAsia="等线"/>
                <w:kern w:val="2"/>
              </w:rPr>
            </w:pPr>
          </w:p>
        </w:tc>
        <w:tc>
          <w:tcPr>
            <w:tcW w:w="810" w:type="dxa"/>
          </w:tcPr>
          <w:p w14:paraId="09B8D695">
            <w:pPr>
              <w:pStyle w:val="89"/>
              <w:rPr>
                <w:rFonts w:eastAsia="等线"/>
                <w:kern w:val="2"/>
              </w:rPr>
            </w:pPr>
          </w:p>
        </w:tc>
      </w:tr>
      <w:tr w14:paraId="7FF7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tcPr>
          <w:p w14:paraId="71E6B8EE">
            <w:pPr>
              <w:pStyle w:val="89"/>
              <w:jc w:val="center"/>
              <w:rPr>
                <w:rFonts w:eastAsia="等线"/>
                <w:kern w:val="2"/>
              </w:rPr>
            </w:pPr>
          </w:p>
          <w:p w14:paraId="3FC91AED">
            <w:pPr>
              <w:pStyle w:val="89"/>
              <w:jc w:val="center"/>
              <w:rPr>
                <w:rFonts w:eastAsia="等线"/>
                <w:kern w:val="2"/>
              </w:rPr>
            </w:pPr>
            <w:r>
              <w:rPr>
                <w:rFonts w:eastAsia="等线"/>
                <w:kern w:val="2"/>
              </w:rPr>
              <w:t>5</w:t>
            </w:r>
          </w:p>
        </w:tc>
        <w:tc>
          <w:tcPr>
            <w:tcW w:w="8760" w:type="dxa"/>
            <w:gridSpan w:val="7"/>
            <w:vAlign w:val="center"/>
          </w:tcPr>
          <w:p w14:paraId="11377053">
            <w:pPr>
              <w:pStyle w:val="89"/>
              <w:rPr>
                <w:rFonts w:eastAsia="等线"/>
                <w:kern w:val="2"/>
              </w:rPr>
            </w:pPr>
            <w:r>
              <w:rPr>
                <w:rFonts w:eastAsia="等线"/>
                <w:kern w:val="2"/>
                <w:szCs w:val="24"/>
                <w:lang w:bidi="zh-CN"/>
              </w:rPr>
              <w:t>总计：</w:t>
            </w:r>
            <w:r>
              <w:rPr>
                <w:rFonts w:ascii="Arial" w:hAnsi="Arial" w:eastAsia="等线" w:cs="Arial"/>
                <w:kern w:val="2"/>
                <w:szCs w:val="24"/>
                <w:lang w:bidi="zh-CN"/>
              </w:rPr>
              <w:t>¥</w:t>
            </w:r>
            <w:r>
              <w:rPr>
                <w:rFonts w:eastAsia="等线"/>
                <w:kern w:val="2"/>
                <w:szCs w:val="24"/>
                <w:u w:val="single"/>
                <w:lang w:bidi="zh-CN"/>
              </w:rPr>
              <w:t xml:space="preserve">             </w:t>
            </w:r>
            <w:r>
              <w:rPr>
                <w:rFonts w:eastAsia="等线"/>
                <w:kern w:val="2"/>
                <w:szCs w:val="24"/>
                <w:lang w:bidi="zh-CN"/>
              </w:rPr>
              <w:t>元</w:t>
            </w:r>
          </w:p>
        </w:tc>
      </w:tr>
    </w:tbl>
    <w:p w14:paraId="384BC227">
      <w:pPr>
        <w:spacing w:after="100" w:line="360" w:lineRule="auto"/>
        <w:ind w:firstLine="3360" w:firstLineChars="1400"/>
        <w:jc w:val="both"/>
        <w:rPr>
          <w:rFonts w:hint="eastAsia" w:ascii="宋体" w:hAnsi="宋体" w:cs="宋体"/>
          <w:sz w:val="24"/>
        </w:rPr>
      </w:pPr>
      <w:r>
        <w:rPr>
          <w:rFonts w:hint="eastAsia" w:ascii="宋体" w:hAnsi="宋体" w:cs="宋体"/>
          <w:sz w:val="24"/>
        </w:rPr>
        <w:t>供应商名称：（盖章）</w:t>
      </w:r>
    </w:p>
    <w:p w14:paraId="6C365F3C">
      <w:pPr>
        <w:spacing w:after="100" w:line="360" w:lineRule="auto"/>
        <w:ind w:left="1133" w:firstLine="480" w:firstLineChars="200"/>
        <w:jc w:val="center"/>
        <w:rPr>
          <w:rFonts w:hint="eastAsia" w:ascii="宋体" w:hAnsi="宋体" w:cs="宋体"/>
          <w:sz w:val="24"/>
        </w:rPr>
      </w:pPr>
      <w:r>
        <w:rPr>
          <w:rFonts w:hint="eastAsia" w:ascii="宋体" w:hAnsi="宋体" w:cs="宋体"/>
          <w:sz w:val="24"/>
        </w:rPr>
        <w:t xml:space="preserve">    法定代表人或授权委托人（签字或盖章）：</w:t>
      </w:r>
    </w:p>
    <w:p w14:paraId="1B423BEF">
      <w:pPr>
        <w:spacing w:after="100" w:line="360" w:lineRule="auto"/>
        <w:ind w:firstLine="3360" w:firstLineChars="1400"/>
        <w:jc w:val="both"/>
        <w:outlineLvl w:val="0"/>
        <w:rPr>
          <w:rFonts w:hint="eastAsia" w:ascii="宋体" w:hAnsi="宋体" w:cs="宋体"/>
          <w:sz w:val="24"/>
        </w:rPr>
      </w:pPr>
      <w:r>
        <w:rPr>
          <w:rFonts w:hint="eastAsia" w:ascii="宋体" w:hAnsi="宋体" w:cs="宋体"/>
          <w:sz w:val="24"/>
        </w:rPr>
        <w:t>日期：</w:t>
      </w:r>
    </w:p>
    <w:p w14:paraId="72154067">
      <w:pPr>
        <w:spacing w:line="360" w:lineRule="auto"/>
        <w:ind w:firstLine="482" w:firstLineChars="200"/>
        <w:jc w:val="both"/>
        <w:outlineLvl w:val="0"/>
        <w:rPr>
          <w:rFonts w:hint="eastAsia" w:ascii="宋体" w:hAnsi="宋体" w:cs="宋体"/>
          <w:b/>
          <w:bCs/>
          <w:sz w:val="24"/>
          <w:szCs w:val="28"/>
          <w:u w:val="single"/>
        </w:rPr>
      </w:pPr>
      <w:r>
        <w:rPr>
          <w:rFonts w:hint="eastAsia" w:ascii="宋体" w:hAnsi="宋体" w:cs="宋体"/>
          <w:b/>
          <w:bCs/>
          <w:sz w:val="24"/>
          <w:szCs w:val="28"/>
          <w:u w:val="single"/>
        </w:rPr>
        <w:br w:type="page"/>
      </w:r>
    </w:p>
    <w:p w14:paraId="28A9EB06">
      <w:pPr>
        <w:spacing w:line="360" w:lineRule="auto"/>
        <w:ind w:firstLine="482" w:firstLineChars="200"/>
        <w:jc w:val="center"/>
        <w:rPr>
          <w:rFonts w:hint="eastAsia" w:ascii="宋体" w:hAnsi="宋体" w:cs="宋体"/>
          <w:b/>
          <w:bCs/>
          <w:sz w:val="24"/>
          <w:szCs w:val="28"/>
          <w:lang w:bidi="zh-CN"/>
        </w:rPr>
      </w:pPr>
      <w:r>
        <w:rPr>
          <w:rFonts w:hint="eastAsia" w:ascii="宋体" w:hAnsi="宋体" w:cs="宋体"/>
          <w:b/>
          <w:bCs/>
          <w:sz w:val="24"/>
          <w:szCs w:val="28"/>
          <w:lang w:bidi="zh-CN"/>
        </w:rPr>
        <w:t>3.中小企业声明函（货物）（若有，则提供）</w:t>
      </w:r>
    </w:p>
    <w:p w14:paraId="39DDD207">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本公司郑重声明，根据《政府采购促进中小企业发展管理办法》（财库﹝2020﹞46 号）的规定，本公司参加</w:t>
      </w:r>
      <w:r>
        <w:rPr>
          <w:rFonts w:hint="eastAsia" w:ascii="宋体" w:hAnsi="宋体" w:cs="宋体"/>
          <w:sz w:val="24"/>
          <w:szCs w:val="28"/>
          <w:u w:val="single"/>
          <w:lang w:bidi="zh-CN"/>
        </w:rPr>
        <w:t>（单位名称）</w:t>
      </w:r>
      <w:r>
        <w:rPr>
          <w:rFonts w:hint="eastAsia" w:ascii="宋体" w:hAnsi="宋体" w:cs="宋体"/>
          <w:sz w:val="24"/>
          <w:szCs w:val="28"/>
          <w:lang w:bidi="zh-CN"/>
        </w:rPr>
        <w:t>的</w:t>
      </w:r>
      <w:r>
        <w:rPr>
          <w:rFonts w:hint="eastAsia" w:ascii="宋体" w:hAnsi="宋体" w:cs="宋体"/>
          <w:sz w:val="24"/>
          <w:szCs w:val="28"/>
          <w:u w:val="single"/>
          <w:lang w:bidi="zh-CN"/>
        </w:rPr>
        <w:t>（项目名称）</w:t>
      </w:r>
      <w:r>
        <w:rPr>
          <w:rFonts w:hint="eastAsia" w:ascii="宋体" w:hAnsi="宋体" w:cs="宋体"/>
          <w:sz w:val="24"/>
          <w:szCs w:val="28"/>
          <w:lang w:bidi="zh-CN"/>
        </w:rPr>
        <w:t>采购活动，提供的货物全部由符合政策要求的中小企业制造。相关企业的具体情况如下：</w:t>
      </w:r>
    </w:p>
    <w:p w14:paraId="433BEFC6">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1.</w:t>
      </w:r>
      <w:r>
        <w:rPr>
          <w:rFonts w:hint="eastAsia" w:ascii="宋体" w:hAnsi="宋体" w:cs="宋体"/>
          <w:sz w:val="24"/>
          <w:szCs w:val="28"/>
          <w:u w:val="single"/>
          <w:lang w:bidi="zh-CN"/>
        </w:rPr>
        <w:t xml:space="preserve"> （标的名称）</w:t>
      </w:r>
      <w:r>
        <w:rPr>
          <w:rFonts w:hint="eastAsia" w:ascii="宋体" w:hAnsi="宋体" w:cs="宋体"/>
          <w:sz w:val="24"/>
          <w:szCs w:val="28"/>
          <w:lang w:bidi="zh-CN"/>
        </w:rPr>
        <w:t xml:space="preserve"> ，属于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789D67C">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2.</w:t>
      </w:r>
      <w:r>
        <w:rPr>
          <w:rFonts w:hint="eastAsia" w:ascii="宋体" w:hAnsi="宋体" w:cs="宋体"/>
          <w:i/>
          <w:sz w:val="24"/>
          <w:szCs w:val="28"/>
          <w:u w:val="single"/>
          <w:lang w:bidi="zh-CN"/>
        </w:rPr>
        <w:t xml:space="preserve"> </w:t>
      </w:r>
      <w:r>
        <w:rPr>
          <w:rFonts w:hint="eastAsia" w:ascii="宋体" w:hAnsi="宋体" w:cs="宋体"/>
          <w:sz w:val="24"/>
          <w:szCs w:val="28"/>
          <w:u w:val="single"/>
          <w:lang w:bidi="zh-CN"/>
        </w:rPr>
        <w:t xml:space="preserve">（标的名称） </w:t>
      </w:r>
      <w:r>
        <w:rPr>
          <w:rFonts w:hint="eastAsia" w:ascii="宋体" w:hAnsi="宋体" w:cs="宋体"/>
          <w:sz w:val="24"/>
          <w:szCs w:val="28"/>
          <w:lang w:bidi="zh-CN"/>
        </w:rPr>
        <w:t>，属于</w:t>
      </w:r>
      <w:r>
        <w:rPr>
          <w:rFonts w:hint="eastAsia" w:ascii="宋体" w:hAnsi="宋体" w:cs="宋体"/>
          <w:sz w:val="24"/>
          <w:szCs w:val="28"/>
          <w:u w:val="single"/>
          <w:lang w:bidi="zh-CN"/>
        </w:rPr>
        <w:t>（采购文件中明确的所属行业）</w:t>
      </w:r>
      <w:r>
        <w:rPr>
          <w:rFonts w:hint="eastAsia" w:ascii="宋体" w:hAnsi="宋体" w:cs="宋体"/>
          <w:sz w:val="24"/>
          <w:szCs w:val="28"/>
          <w:lang w:bidi="zh-CN"/>
        </w:rPr>
        <w:t>行业；制造商为</w:t>
      </w:r>
      <w:r>
        <w:rPr>
          <w:rFonts w:hint="eastAsia" w:ascii="宋体" w:hAnsi="宋体" w:cs="宋体"/>
          <w:sz w:val="24"/>
          <w:szCs w:val="28"/>
          <w:u w:val="single"/>
          <w:lang w:bidi="zh-CN"/>
        </w:rPr>
        <w:t>（企业名称）</w:t>
      </w:r>
      <w:r>
        <w:rPr>
          <w:rFonts w:hint="eastAsia" w:ascii="宋体" w:hAnsi="宋体" w:cs="宋体"/>
          <w:sz w:val="24"/>
          <w:szCs w:val="28"/>
          <w:lang w:bidi="zh-CN"/>
        </w:rPr>
        <w:t>，从业人员</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人，营业收入为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万元，资产总额为</w:t>
      </w:r>
      <w:r>
        <w:rPr>
          <w:rFonts w:hint="eastAsia" w:ascii="宋体" w:hAnsi="宋体" w:cs="宋体"/>
          <w:sz w:val="24"/>
          <w:szCs w:val="28"/>
          <w:u w:val="single"/>
          <w:lang w:bidi="zh-CN"/>
        </w:rPr>
        <w:t xml:space="preserve"> </w:t>
      </w:r>
      <w:r>
        <w:rPr>
          <w:rFonts w:hint="eastAsia" w:ascii="宋体" w:hAnsi="宋体" w:cs="宋体"/>
          <w:sz w:val="24"/>
          <w:szCs w:val="28"/>
          <w:u w:val="single"/>
          <w:lang w:bidi="zh-CN"/>
        </w:rPr>
        <w:tab/>
      </w:r>
      <w:r>
        <w:rPr>
          <w:rFonts w:hint="eastAsia" w:ascii="宋体" w:hAnsi="宋体" w:cs="宋体"/>
          <w:sz w:val="24"/>
          <w:szCs w:val="28"/>
          <w:lang w:bidi="zh-CN"/>
        </w:rPr>
        <w:t>万元，属于</w:t>
      </w:r>
      <w:r>
        <w:rPr>
          <w:rFonts w:hint="eastAsia" w:ascii="宋体" w:hAnsi="宋体" w:cs="宋体"/>
          <w:sz w:val="24"/>
          <w:szCs w:val="28"/>
          <w:u w:val="single"/>
          <w:lang w:bidi="zh-CN"/>
        </w:rPr>
        <w:t>（中型企业、小型企业、微型企业）</w:t>
      </w:r>
      <w:r>
        <w:rPr>
          <w:rFonts w:hint="eastAsia" w:ascii="宋体" w:hAnsi="宋体" w:cs="宋体"/>
          <w:sz w:val="24"/>
          <w:szCs w:val="28"/>
          <w:lang w:bidi="zh-CN"/>
        </w:rPr>
        <w:t>；</w:t>
      </w:r>
    </w:p>
    <w:p w14:paraId="632BD869">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w:t>
      </w:r>
    </w:p>
    <w:p w14:paraId="25F9E434">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以上企业，不属于大企业的分支机构，不存在控股股东为大企业的情形，也不存在与大企业的负责人为同一人的情形。</w:t>
      </w:r>
    </w:p>
    <w:p w14:paraId="710ACC22">
      <w:pPr>
        <w:spacing w:line="360" w:lineRule="auto"/>
        <w:ind w:firstLine="480" w:firstLineChars="200"/>
        <w:outlineLvl w:val="0"/>
        <w:rPr>
          <w:rFonts w:hint="eastAsia" w:ascii="宋体" w:hAnsi="宋体" w:cs="宋体"/>
          <w:sz w:val="24"/>
          <w:szCs w:val="28"/>
          <w:lang w:bidi="zh-CN"/>
        </w:rPr>
      </w:pPr>
      <w:r>
        <w:rPr>
          <w:rFonts w:hint="eastAsia" w:ascii="宋体" w:hAnsi="宋体" w:cs="宋体"/>
          <w:sz w:val="24"/>
          <w:szCs w:val="28"/>
          <w:lang w:bidi="zh-CN"/>
        </w:rPr>
        <w:t>本企业对上述声明内容的真实性负责。如有虚假，将依法承担相应责任。</w:t>
      </w:r>
    </w:p>
    <w:p w14:paraId="52C4524D">
      <w:pPr>
        <w:spacing w:line="360" w:lineRule="auto"/>
        <w:ind w:firstLine="480" w:firstLineChars="200"/>
        <w:outlineLvl w:val="0"/>
        <w:rPr>
          <w:rFonts w:hint="eastAsia" w:ascii="宋体" w:hAnsi="宋体" w:cs="宋体"/>
          <w:sz w:val="24"/>
          <w:szCs w:val="28"/>
          <w:lang w:bidi="zh-CN"/>
        </w:rPr>
      </w:pPr>
    </w:p>
    <w:p w14:paraId="5F5DF5CC">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企业名称（盖章）：</w:t>
      </w:r>
    </w:p>
    <w:p w14:paraId="14AFC166">
      <w:pPr>
        <w:spacing w:line="360" w:lineRule="auto"/>
        <w:ind w:firstLine="480" w:firstLineChars="200"/>
        <w:jc w:val="center"/>
        <w:outlineLvl w:val="0"/>
        <w:rPr>
          <w:rFonts w:hint="eastAsia" w:ascii="宋体" w:hAnsi="宋体" w:cs="宋体"/>
          <w:sz w:val="24"/>
          <w:szCs w:val="28"/>
          <w:lang w:bidi="zh-CN"/>
        </w:rPr>
      </w:pPr>
      <w:r>
        <w:rPr>
          <w:rFonts w:hint="eastAsia" w:ascii="宋体" w:hAnsi="宋体" w:cs="宋体"/>
          <w:sz w:val="24"/>
          <w:szCs w:val="28"/>
          <w:lang w:bidi="zh-CN"/>
        </w:rPr>
        <w:t xml:space="preserve">          日期：</w:t>
      </w:r>
    </w:p>
    <w:p w14:paraId="7418C294">
      <w:pPr>
        <w:spacing w:line="360" w:lineRule="auto"/>
        <w:ind w:firstLine="480" w:firstLineChars="200"/>
        <w:rPr>
          <w:rFonts w:hint="eastAsia" w:ascii="宋体" w:hAnsi="宋体" w:cs="宋体"/>
          <w:sz w:val="24"/>
          <w:szCs w:val="28"/>
        </w:rPr>
      </w:pPr>
      <w:r>
        <w:rPr>
          <w:rFonts w:hint="eastAsia" w:ascii="宋体" w:hAnsi="宋体" w:cs="宋体"/>
          <w:sz w:val="24"/>
          <w:szCs w:val="28"/>
        </w:rPr>
        <w:t>注：</w:t>
      </w:r>
    </w:p>
    <w:p w14:paraId="035134BD">
      <w:pPr>
        <w:spacing w:line="360" w:lineRule="auto"/>
        <w:ind w:firstLine="480" w:firstLineChars="200"/>
        <w:rPr>
          <w:rFonts w:hint="eastAsia" w:ascii="宋体" w:hAnsi="宋体" w:cs="宋体"/>
          <w:sz w:val="24"/>
          <w:szCs w:val="28"/>
        </w:rPr>
      </w:pPr>
      <w:r>
        <w:rPr>
          <w:rFonts w:hint="eastAsia" w:ascii="宋体" w:hAnsi="宋体" w:cs="宋体"/>
          <w:sz w:val="24"/>
          <w:szCs w:val="28"/>
        </w:rPr>
        <w:t>（1）从业人员、营业收入、资产总额填报上一年度数据，无上一年度数据的新成立企业可不填报。</w:t>
      </w:r>
    </w:p>
    <w:p w14:paraId="04190152">
      <w:pPr>
        <w:spacing w:line="360" w:lineRule="auto"/>
        <w:ind w:firstLine="480" w:firstLineChars="200"/>
        <w:jc w:val="center"/>
        <w:outlineLvl w:val="0"/>
        <w:rPr>
          <w:rFonts w:hint="eastAsia" w:ascii="宋体" w:hAnsi="宋体" w:cs="宋体"/>
          <w:b/>
          <w:sz w:val="24"/>
          <w:szCs w:val="32"/>
        </w:rPr>
      </w:pPr>
      <w:r>
        <w:rPr>
          <w:rFonts w:hint="eastAsia" w:ascii="宋体" w:hAnsi="宋体" w:cs="宋体"/>
          <w:sz w:val="24"/>
          <w:szCs w:val="32"/>
        </w:rPr>
        <w:br w:type="page"/>
      </w:r>
      <w:r>
        <w:rPr>
          <w:rFonts w:hint="eastAsia" w:ascii="宋体" w:hAnsi="宋体" w:cs="宋体"/>
          <w:sz w:val="24"/>
          <w:szCs w:val="32"/>
        </w:rPr>
        <w:t>4.</w:t>
      </w:r>
      <w:r>
        <w:rPr>
          <w:rFonts w:hint="eastAsia" w:ascii="宋体" w:hAnsi="宋体" w:cs="宋体"/>
          <w:b/>
          <w:sz w:val="24"/>
          <w:szCs w:val="32"/>
        </w:rPr>
        <w:t>残疾人福利性单位声明函（若有，则提供）</w:t>
      </w:r>
    </w:p>
    <w:p w14:paraId="21C1D8CD">
      <w:pPr>
        <w:spacing w:line="360" w:lineRule="auto"/>
        <w:ind w:firstLine="480" w:firstLineChars="200"/>
        <w:rPr>
          <w:rFonts w:hint="eastAsia" w:ascii="宋体" w:hAnsi="宋体" w:cs="宋体"/>
          <w:sz w:val="24"/>
          <w:szCs w:val="28"/>
        </w:rPr>
      </w:pPr>
      <w:r>
        <w:rPr>
          <w:rFonts w:hint="eastAsia" w:ascii="宋体" w:hAnsi="宋体" w:cs="宋体"/>
          <w:sz w:val="24"/>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8"/>
          <w:u w:val="single"/>
        </w:rPr>
        <w:t xml:space="preserve">       </w:t>
      </w:r>
      <w:r>
        <w:rPr>
          <w:rFonts w:hint="eastAsia" w:ascii="宋体" w:hAnsi="宋体" w:cs="宋体"/>
          <w:sz w:val="24"/>
          <w:szCs w:val="28"/>
        </w:rPr>
        <w:t>项目采购活动提供本单位制造的货物（由本单位承担工程/提供服务），或者提供其他残疾人福利性单位制造的货物（不包括使用非残疾人福利性单位注册商标的货物）。</w:t>
      </w:r>
    </w:p>
    <w:p w14:paraId="64ABA4D6">
      <w:pPr>
        <w:spacing w:line="360" w:lineRule="auto"/>
        <w:ind w:firstLine="480" w:firstLineChars="200"/>
        <w:rPr>
          <w:rFonts w:hint="eastAsia" w:ascii="宋体" w:hAnsi="宋体" w:cs="宋体"/>
          <w:sz w:val="24"/>
          <w:szCs w:val="28"/>
        </w:rPr>
      </w:pPr>
      <w:r>
        <w:rPr>
          <w:rFonts w:hint="eastAsia" w:ascii="宋体" w:hAnsi="宋体" w:cs="宋体"/>
          <w:sz w:val="24"/>
          <w:szCs w:val="28"/>
        </w:rPr>
        <w:t>本单位对上述声明的真实性负责。如有虚假，将依法承担相应责任。</w:t>
      </w:r>
    </w:p>
    <w:p w14:paraId="60C3DB92">
      <w:pPr>
        <w:spacing w:line="360" w:lineRule="auto"/>
        <w:ind w:firstLine="480" w:firstLineChars="200"/>
        <w:rPr>
          <w:rFonts w:hint="eastAsia" w:ascii="宋体" w:hAnsi="宋体" w:cs="宋体"/>
          <w:sz w:val="24"/>
          <w:szCs w:val="28"/>
        </w:rPr>
      </w:pPr>
      <w:r>
        <w:rPr>
          <w:rFonts w:hint="eastAsia" w:ascii="宋体" w:hAnsi="宋体" w:cs="宋体"/>
          <w:sz w:val="24"/>
          <w:szCs w:val="28"/>
        </w:rPr>
        <w:t>（备注：1、供应商如不提供此声明函，价格将不做相应扣除。2、成交供应商为残疾人福利单位的，此声明函将随成交结果同时公告，接受社会监督）</w:t>
      </w:r>
    </w:p>
    <w:p w14:paraId="7FE95E1F">
      <w:pPr>
        <w:spacing w:line="360" w:lineRule="auto"/>
        <w:ind w:firstLine="504" w:firstLineChars="200"/>
        <w:rPr>
          <w:rFonts w:hint="eastAsia" w:ascii="宋体" w:hAnsi="宋体" w:cs="宋体"/>
          <w:spacing w:val="6"/>
          <w:sz w:val="24"/>
          <w:szCs w:val="28"/>
        </w:rPr>
      </w:pPr>
    </w:p>
    <w:p w14:paraId="1277B771">
      <w:pPr>
        <w:tabs>
          <w:tab w:val="left" w:pos="4860"/>
        </w:tabs>
        <w:spacing w:line="360" w:lineRule="auto"/>
        <w:ind w:right="1560" w:firstLine="504" w:firstLineChars="200"/>
        <w:jc w:val="center"/>
        <w:rPr>
          <w:rFonts w:hint="eastAsia" w:ascii="宋体" w:hAnsi="宋体" w:cs="宋体"/>
          <w:sz w:val="24"/>
          <w:szCs w:val="28"/>
        </w:rPr>
      </w:pPr>
      <w:r>
        <w:rPr>
          <w:rFonts w:hint="eastAsia" w:ascii="宋体" w:hAnsi="宋体" w:cs="宋体"/>
          <w:spacing w:val="6"/>
          <w:sz w:val="24"/>
          <w:szCs w:val="28"/>
        </w:rPr>
        <w:t xml:space="preserve">             </w:t>
      </w:r>
      <w:r>
        <w:rPr>
          <w:rFonts w:hint="eastAsia" w:ascii="宋体" w:hAnsi="宋体" w:cs="宋体"/>
          <w:sz w:val="24"/>
          <w:szCs w:val="28"/>
        </w:rPr>
        <w:t xml:space="preserve">          供应商全称（盖章）：</w:t>
      </w:r>
    </w:p>
    <w:p w14:paraId="68E37E4B">
      <w:pPr>
        <w:tabs>
          <w:tab w:val="left" w:pos="4860"/>
        </w:tabs>
        <w:spacing w:line="360" w:lineRule="auto"/>
        <w:ind w:right="1560" w:firstLine="480" w:firstLineChars="200"/>
        <w:jc w:val="center"/>
        <w:rPr>
          <w:rFonts w:hint="eastAsia" w:ascii="宋体" w:hAnsi="宋体" w:cs="宋体"/>
          <w:sz w:val="24"/>
          <w:szCs w:val="28"/>
        </w:rPr>
      </w:pPr>
      <w:r>
        <w:rPr>
          <w:rFonts w:hint="eastAsia" w:ascii="宋体" w:hAnsi="宋体" w:cs="宋体"/>
          <w:sz w:val="24"/>
          <w:szCs w:val="28"/>
        </w:rPr>
        <w:t xml:space="preserve">              日  期：</w:t>
      </w:r>
    </w:p>
    <w:p w14:paraId="486F3AF3">
      <w:pPr>
        <w:spacing w:line="360" w:lineRule="auto"/>
        <w:ind w:firstLine="480" w:firstLineChars="200"/>
        <w:rPr>
          <w:rFonts w:hint="eastAsia" w:ascii="宋体" w:hAnsi="宋体" w:cs="宋体"/>
          <w:sz w:val="24"/>
          <w:szCs w:val="28"/>
        </w:rPr>
      </w:pPr>
    </w:p>
    <w:p w14:paraId="2E0DB2C5">
      <w:pPr>
        <w:spacing w:line="360" w:lineRule="auto"/>
        <w:ind w:firstLine="480" w:firstLineChars="200"/>
        <w:outlineLvl w:val="0"/>
        <w:rPr>
          <w:rFonts w:hint="eastAsia" w:ascii="宋体" w:hAnsi="宋体" w:cs="宋体"/>
          <w:sz w:val="24"/>
          <w:szCs w:val="28"/>
        </w:rPr>
      </w:pPr>
    </w:p>
    <w:p w14:paraId="4B021B31">
      <w:pPr>
        <w:spacing w:line="360" w:lineRule="auto"/>
        <w:ind w:firstLine="480" w:firstLineChars="200"/>
        <w:outlineLvl w:val="0"/>
        <w:rPr>
          <w:rFonts w:hint="eastAsia" w:ascii="宋体" w:hAnsi="宋体" w:cs="宋体"/>
          <w:sz w:val="24"/>
          <w:szCs w:val="28"/>
        </w:rPr>
      </w:pPr>
    </w:p>
    <w:p w14:paraId="00CA3766">
      <w:pPr>
        <w:spacing w:line="360" w:lineRule="auto"/>
        <w:ind w:firstLine="480" w:firstLineChars="200"/>
        <w:outlineLvl w:val="0"/>
        <w:rPr>
          <w:rFonts w:hint="eastAsia" w:ascii="宋体" w:hAnsi="宋体" w:cs="宋体"/>
          <w:sz w:val="24"/>
          <w:szCs w:val="28"/>
        </w:rPr>
      </w:pPr>
    </w:p>
    <w:p w14:paraId="57E4BDB9">
      <w:pPr>
        <w:spacing w:line="360" w:lineRule="auto"/>
        <w:ind w:firstLine="480" w:firstLineChars="200"/>
        <w:outlineLvl w:val="0"/>
        <w:rPr>
          <w:rFonts w:hint="eastAsia" w:ascii="宋体" w:hAnsi="宋体" w:cs="宋体"/>
          <w:sz w:val="24"/>
          <w:szCs w:val="28"/>
        </w:rPr>
      </w:pPr>
    </w:p>
    <w:p w14:paraId="738A6BA5">
      <w:pPr>
        <w:spacing w:line="360" w:lineRule="auto"/>
        <w:ind w:firstLine="482" w:firstLineChars="200"/>
        <w:jc w:val="center"/>
        <w:outlineLvl w:val="3"/>
        <w:rPr>
          <w:rFonts w:hint="eastAsia" w:ascii="宋体" w:hAnsi="宋体" w:cs="宋体"/>
          <w:b/>
          <w:bCs/>
          <w:sz w:val="24"/>
          <w:szCs w:val="32"/>
        </w:rPr>
      </w:pPr>
      <w:r>
        <w:rPr>
          <w:rFonts w:hint="eastAsia" w:ascii="宋体" w:hAnsi="宋体" w:cs="宋体"/>
          <w:b/>
          <w:bCs/>
          <w:sz w:val="24"/>
          <w:szCs w:val="32"/>
        </w:rPr>
        <w:br w:type="page"/>
      </w:r>
      <w:r>
        <w:rPr>
          <w:rFonts w:hint="eastAsia" w:ascii="宋体" w:hAnsi="宋体" w:cs="宋体"/>
          <w:b/>
          <w:bCs/>
          <w:sz w:val="24"/>
          <w:szCs w:val="32"/>
        </w:rPr>
        <w:t>5.监狱和戒毒企业证明材料（若有，则提供）</w:t>
      </w:r>
    </w:p>
    <w:p w14:paraId="61F0A977">
      <w:pPr>
        <w:spacing w:line="360" w:lineRule="auto"/>
        <w:ind w:firstLine="480" w:firstLineChars="200"/>
        <w:rPr>
          <w:rFonts w:hint="eastAsia" w:ascii="宋体" w:hAnsi="宋体" w:cs="宋体"/>
          <w:sz w:val="24"/>
          <w:szCs w:val="28"/>
        </w:rPr>
      </w:pPr>
    </w:p>
    <w:p w14:paraId="29D3479D">
      <w:pPr>
        <w:spacing w:line="360" w:lineRule="auto"/>
        <w:ind w:firstLine="482" w:firstLineChars="200"/>
        <w:rPr>
          <w:rFonts w:hint="eastAsia" w:ascii="宋体" w:hAnsi="宋体" w:cs="宋体"/>
          <w:b/>
          <w:sz w:val="24"/>
          <w:szCs w:val="28"/>
        </w:rPr>
      </w:pPr>
      <w:r>
        <w:rPr>
          <w:rFonts w:hint="eastAsia" w:ascii="宋体" w:hAnsi="宋体" w:cs="宋体"/>
          <w:b/>
          <w:sz w:val="24"/>
          <w:szCs w:val="28"/>
        </w:rPr>
        <w:t>（格式自拟）</w:t>
      </w:r>
    </w:p>
    <w:p w14:paraId="784DB602">
      <w:pPr>
        <w:spacing w:line="360" w:lineRule="auto"/>
        <w:ind w:firstLine="480" w:firstLineChars="200"/>
        <w:rPr>
          <w:rFonts w:hint="eastAsia" w:ascii="宋体" w:hAnsi="宋体" w:cs="宋体"/>
          <w:sz w:val="24"/>
          <w:szCs w:val="28"/>
        </w:rPr>
      </w:pPr>
    </w:p>
    <w:p w14:paraId="663CE79E">
      <w:pPr>
        <w:spacing w:line="360" w:lineRule="auto"/>
        <w:ind w:firstLine="480" w:firstLineChars="200"/>
        <w:rPr>
          <w:rFonts w:hint="eastAsia" w:ascii="宋体" w:hAnsi="宋体" w:cs="宋体"/>
          <w:sz w:val="24"/>
        </w:rPr>
      </w:pPr>
      <w:r>
        <w:rPr>
          <w:rFonts w:hint="eastAsia" w:ascii="宋体" w:hAnsi="宋体" w:cs="宋体"/>
          <w:sz w:val="24"/>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2854C688">
      <w:pPr>
        <w:pStyle w:val="23"/>
        <w:spacing w:line="360" w:lineRule="auto"/>
        <w:ind w:firstLine="480" w:firstLineChars="200"/>
        <w:rPr>
          <w:rFonts w:hint="eastAsia" w:ascii="宋体" w:hAnsi="宋体" w:cs="宋体"/>
          <w:sz w:val="24"/>
          <w:szCs w:val="24"/>
        </w:rPr>
      </w:pPr>
    </w:p>
    <w:sectPr>
      <w:headerReference r:id="rId8" w:type="default"/>
      <w:footerReference r:id="rId9" w:type="default"/>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华文仿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6EDFD">
    <w:pPr>
      <w:pStyle w:val="18"/>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F0F8">
    <w:pPr>
      <w:pStyle w:val="18"/>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5274E">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65274E">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D2535">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56ED6">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A56ED6">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CCF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1DC48">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A6C9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2A05D"/>
    <w:multiLevelType w:val="singleLevel"/>
    <w:tmpl w:val="8E72A05D"/>
    <w:lvl w:ilvl="0" w:tentative="0">
      <w:start w:val="4"/>
      <w:numFmt w:val="chineseCounting"/>
      <w:suff w:val="space"/>
      <w:lvlText w:val="第%1部分"/>
      <w:lvlJc w:val="left"/>
      <w:rPr>
        <w:rFonts w:hint="eastAsia"/>
      </w:rPr>
    </w:lvl>
  </w:abstractNum>
  <w:abstractNum w:abstractNumId="1">
    <w:nsid w:val="9AB066C4"/>
    <w:multiLevelType w:val="singleLevel"/>
    <w:tmpl w:val="9AB066C4"/>
    <w:lvl w:ilvl="0" w:tentative="0">
      <w:start w:val="1"/>
      <w:numFmt w:val="chineseCounting"/>
      <w:suff w:val="nothing"/>
      <w:lvlText w:val="%1、"/>
      <w:lvlJc w:val="left"/>
      <w:rPr>
        <w:rFonts w:hint="eastAsia"/>
      </w:rPr>
    </w:lvl>
  </w:abstractNum>
  <w:abstractNum w:abstractNumId="2">
    <w:nsid w:val="2D017FE2"/>
    <w:multiLevelType w:val="singleLevel"/>
    <w:tmpl w:val="2D017FE2"/>
    <w:lvl w:ilvl="0" w:tentative="0">
      <w:start w:val="1"/>
      <w:numFmt w:val="decimal"/>
      <w:lvlText w:val="%1."/>
      <w:lvlJc w:val="left"/>
      <w:pPr>
        <w:tabs>
          <w:tab w:val="left" w:pos="312"/>
        </w:tabs>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ZjRiM2E0MGM0ZWE0YjM3ZjhhNjYwNmFhOTNkNTQifQ=="/>
    <w:docVar w:name="KSO_WPS_MARK_KEY" w:val="e22fb9ba-9bed-4e20-99df-37e0efc83781"/>
  </w:docVars>
  <w:rsids>
    <w:rsidRoot w:val="00D31D50"/>
    <w:rsid w:val="00004BA9"/>
    <w:rsid w:val="000069EA"/>
    <w:rsid w:val="00033F89"/>
    <w:rsid w:val="00042A27"/>
    <w:rsid w:val="00047E2C"/>
    <w:rsid w:val="00052825"/>
    <w:rsid w:val="00054B47"/>
    <w:rsid w:val="00060AAE"/>
    <w:rsid w:val="00067C9A"/>
    <w:rsid w:val="000759AA"/>
    <w:rsid w:val="000773A6"/>
    <w:rsid w:val="00082BDD"/>
    <w:rsid w:val="00083F8A"/>
    <w:rsid w:val="00093216"/>
    <w:rsid w:val="00096809"/>
    <w:rsid w:val="000B5BB1"/>
    <w:rsid w:val="000E0DBA"/>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057C"/>
    <w:rsid w:val="00225F64"/>
    <w:rsid w:val="00235C62"/>
    <w:rsid w:val="00244B61"/>
    <w:rsid w:val="00245D5D"/>
    <w:rsid w:val="0024723B"/>
    <w:rsid w:val="002479F1"/>
    <w:rsid w:val="00257B0D"/>
    <w:rsid w:val="00262ACA"/>
    <w:rsid w:val="00263858"/>
    <w:rsid w:val="002742A2"/>
    <w:rsid w:val="00296707"/>
    <w:rsid w:val="002A0E56"/>
    <w:rsid w:val="002A209E"/>
    <w:rsid w:val="002C5E5D"/>
    <w:rsid w:val="002E55A6"/>
    <w:rsid w:val="002E5FAB"/>
    <w:rsid w:val="002F072D"/>
    <w:rsid w:val="002F167C"/>
    <w:rsid w:val="002F6872"/>
    <w:rsid w:val="00300396"/>
    <w:rsid w:val="00323537"/>
    <w:rsid w:val="00323B43"/>
    <w:rsid w:val="003278B3"/>
    <w:rsid w:val="0033028C"/>
    <w:rsid w:val="003357D8"/>
    <w:rsid w:val="00336766"/>
    <w:rsid w:val="00344AB2"/>
    <w:rsid w:val="00351AB4"/>
    <w:rsid w:val="0035293C"/>
    <w:rsid w:val="00357EF3"/>
    <w:rsid w:val="003776F1"/>
    <w:rsid w:val="003B7BBA"/>
    <w:rsid w:val="003D26DB"/>
    <w:rsid w:val="003D37D8"/>
    <w:rsid w:val="003D4CB0"/>
    <w:rsid w:val="003E31F3"/>
    <w:rsid w:val="003F417C"/>
    <w:rsid w:val="00421506"/>
    <w:rsid w:val="00426133"/>
    <w:rsid w:val="00435570"/>
    <w:rsid w:val="004358AB"/>
    <w:rsid w:val="00445DE8"/>
    <w:rsid w:val="00457BB7"/>
    <w:rsid w:val="004661E7"/>
    <w:rsid w:val="00476BA7"/>
    <w:rsid w:val="004812AC"/>
    <w:rsid w:val="00485775"/>
    <w:rsid w:val="00490A97"/>
    <w:rsid w:val="0049333B"/>
    <w:rsid w:val="004A3661"/>
    <w:rsid w:val="004A4051"/>
    <w:rsid w:val="004B15B1"/>
    <w:rsid w:val="004C0E70"/>
    <w:rsid w:val="004C2CA7"/>
    <w:rsid w:val="004D3293"/>
    <w:rsid w:val="005000F1"/>
    <w:rsid w:val="0050229C"/>
    <w:rsid w:val="0050319E"/>
    <w:rsid w:val="005162BA"/>
    <w:rsid w:val="00524167"/>
    <w:rsid w:val="005332F0"/>
    <w:rsid w:val="0053571E"/>
    <w:rsid w:val="005571E9"/>
    <w:rsid w:val="00563504"/>
    <w:rsid w:val="005704C6"/>
    <w:rsid w:val="005715F2"/>
    <w:rsid w:val="00595554"/>
    <w:rsid w:val="005A622D"/>
    <w:rsid w:val="005F0883"/>
    <w:rsid w:val="005F1E51"/>
    <w:rsid w:val="005F5DF7"/>
    <w:rsid w:val="00604F4E"/>
    <w:rsid w:val="00615F9D"/>
    <w:rsid w:val="00631930"/>
    <w:rsid w:val="00631F0F"/>
    <w:rsid w:val="0063222F"/>
    <w:rsid w:val="00633068"/>
    <w:rsid w:val="00633457"/>
    <w:rsid w:val="00637CF6"/>
    <w:rsid w:val="00645CDE"/>
    <w:rsid w:val="00671FD8"/>
    <w:rsid w:val="00684AD9"/>
    <w:rsid w:val="006A40F1"/>
    <w:rsid w:val="006A700F"/>
    <w:rsid w:val="006C1704"/>
    <w:rsid w:val="006D1D9C"/>
    <w:rsid w:val="006D447E"/>
    <w:rsid w:val="006E732A"/>
    <w:rsid w:val="006F7281"/>
    <w:rsid w:val="00705D4E"/>
    <w:rsid w:val="0071400E"/>
    <w:rsid w:val="00716F4C"/>
    <w:rsid w:val="0072484E"/>
    <w:rsid w:val="00731497"/>
    <w:rsid w:val="00743EC7"/>
    <w:rsid w:val="00750F92"/>
    <w:rsid w:val="007517F5"/>
    <w:rsid w:val="00753DBB"/>
    <w:rsid w:val="007619ED"/>
    <w:rsid w:val="00766CF5"/>
    <w:rsid w:val="007711BA"/>
    <w:rsid w:val="00774D08"/>
    <w:rsid w:val="00782F33"/>
    <w:rsid w:val="007A0D10"/>
    <w:rsid w:val="007A3CAE"/>
    <w:rsid w:val="007C0720"/>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D42F0"/>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04F23"/>
    <w:rsid w:val="00A36436"/>
    <w:rsid w:val="00A415A1"/>
    <w:rsid w:val="00A84072"/>
    <w:rsid w:val="00A94652"/>
    <w:rsid w:val="00AB7166"/>
    <w:rsid w:val="00AD052A"/>
    <w:rsid w:val="00AD54D0"/>
    <w:rsid w:val="00AE1FB8"/>
    <w:rsid w:val="00AF0D89"/>
    <w:rsid w:val="00AF23E2"/>
    <w:rsid w:val="00AF6521"/>
    <w:rsid w:val="00B0022C"/>
    <w:rsid w:val="00B00DC9"/>
    <w:rsid w:val="00B050B5"/>
    <w:rsid w:val="00B10C42"/>
    <w:rsid w:val="00B323FE"/>
    <w:rsid w:val="00B373BB"/>
    <w:rsid w:val="00B41099"/>
    <w:rsid w:val="00B62085"/>
    <w:rsid w:val="00B736AD"/>
    <w:rsid w:val="00B74CCA"/>
    <w:rsid w:val="00B75196"/>
    <w:rsid w:val="00BA6ED1"/>
    <w:rsid w:val="00BB4947"/>
    <w:rsid w:val="00BC3731"/>
    <w:rsid w:val="00BC7B7E"/>
    <w:rsid w:val="00BD28D7"/>
    <w:rsid w:val="00BE118D"/>
    <w:rsid w:val="00C00B5B"/>
    <w:rsid w:val="00C076EE"/>
    <w:rsid w:val="00C14228"/>
    <w:rsid w:val="00C14283"/>
    <w:rsid w:val="00C16747"/>
    <w:rsid w:val="00C24B68"/>
    <w:rsid w:val="00C44C60"/>
    <w:rsid w:val="00C551E7"/>
    <w:rsid w:val="00C555F4"/>
    <w:rsid w:val="00C65E9D"/>
    <w:rsid w:val="00C80958"/>
    <w:rsid w:val="00C85252"/>
    <w:rsid w:val="00C85DEF"/>
    <w:rsid w:val="00CA4258"/>
    <w:rsid w:val="00CA7666"/>
    <w:rsid w:val="00CA783A"/>
    <w:rsid w:val="00CD401C"/>
    <w:rsid w:val="00D036E2"/>
    <w:rsid w:val="00D11250"/>
    <w:rsid w:val="00D236F9"/>
    <w:rsid w:val="00D24F23"/>
    <w:rsid w:val="00D31D50"/>
    <w:rsid w:val="00D53C34"/>
    <w:rsid w:val="00D5492D"/>
    <w:rsid w:val="00D5506E"/>
    <w:rsid w:val="00D86DF1"/>
    <w:rsid w:val="00DC75F8"/>
    <w:rsid w:val="00DF0BEA"/>
    <w:rsid w:val="00DF4EA9"/>
    <w:rsid w:val="00E11E8A"/>
    <w:rsid w:val="00E125C0"/>
    <w:rsid w:val="00E1648E"/>
    <w:rsid w:val="00E225AB"/>
    <w:rsid w:val="00E22C45"/>
    <w:rsid w:val="00E437E5"/>
    <w:rsid w:val="00E51C53"/>
    <w:rsid w:val="00E67218"/>
    <w:rsid w:val="00E67974"/>
    <w:rsid w:val="00E74AF4"/>
    <w:rsid w:val="00E762DD"/>
    <w:rsid w:val="00E81CC9"/>
    <w:rsid w:val="00E84B4F"/>
    <w:rsid w:val="00E97B66"/>
    <w:rsid w:val="00EB0026"/>
    <w:rsid w:val="00EB47C5"/>
    <w:rsid w:val="00EB5F04"/>
    <w:rsid w:val="00EC3880"/>
    <w:rsid w:val="00EC6511"/>
    <w:rsid w:val="00ED5D4D"/>
    <w:rsid w:val="00EE00E7"/>
    <w:rsid w:val="00EE42E4"/>
    <w:rsid w:val="00EE7621"/>
    <w:rsid w:val="00EF6B79"/>
    <w:rsid w:val="00EF7F42"/>
    <w:rsid w:val="00F10030"/>
    <w:rsid w:val="00F11E5D"/>
    <w:rsid w:val="00F310AF"/>
    <w:rsid w:val="00F34D22"/>
    <w:rsid w:val="00F40315"/>
    <w:rsid w:val="00F46106"/>
    <w:rsid w:val="00F46E52"/>
    <w:rsid w:val="00F51CAF"/>
    <w:rsid w:val="00F5280D"/>
    <w:rsid w:val="00F550ED"/>
    <w:rsid w:val="00F83F4E"/>
    <w:rsid w:val="00F97645"/>
    <w:rsid w:val="00FA2AC7"/>
    <w:rsid w:val="00FC1922"/>
    <w:rsid w:val="00FC253C"/>
    <w:rsid w:val="00FE4454"/>
    <w:rsid w:val="00FF08D0"/>
    <w:rsid w:val="00FF2C02"/>
    <w:rsid w:val="00FF336A"/>
    <w:rsid w:val="010509E6"/>
    <w:rsid w:val="011A24F4"/>
    <w:rsid w:val="01232ED2"/>
    <w:rsid w:val="016F218C"/>
    <w:rsid w:val="019B5745"/>
    <w:rsid w:val="019C6989"/>
    <w:rsid w:val="01B25389"/>
    <w:rsid w:val="01B50251"/>
    <w:rsid w:val="01C54B55"/>
    <w:rsid w:val="01C963F3"/>
    <w:rsid w:val="01D732A6"/>
    <w:rsid w:val="01DA5E9C"/>
    <w:rsid w:val="02000D46"/>
    <w:rsid w:val="020A2568"/>
    <w:rsid w:val="02337D11"/>
    <w:rsid w:val="027345B1"/>
    <w:rsid w:val="028F7BE9"/>
    <w:rsid w:val="02DE7C7D"/>
    <w:rsid w:val="03063B82"/>
    <w:rsid w:val="03304250"/>
    <w:rsid w:val="03335D27"/>
    <w:rsid w:val="033622D0"/>
    <w:rsid w:val="03626655"/>
    <w:rsid w:val="03A9794B"/>
    <w:rsid w:val="03AD58A1"/>
    <w:rsid w:val="03BD5D86"/>
    <w:rsid w:val="03F05867"/>
    <w:rsid w:val="041532A2"/>
    <w:rsid w:val="042B51A0"/>
    <w:rsid w:val="04445C87"/>
    <w:rsid w:val="0466617C"/>
    <w:rsid w:val="04687D1B"/>
    <w:rsid w:val="048B5BE2"/>
    <w:rsid w:val="049031F8"/>
    <w:rsid w:val="04CB5FDF"/>
    <w:rsid w:val="04E377CC"/>
    <w:rsid w:val="05006CB1"/>
    <w:rsid w:val="050140F6"/>
    <w:rsid w:val="05172E33"/>
    <w:rsid w:val="0563090D"/>
    <w:rsid w:val="05A1711C"/>
    <w:rsid w:val="05A54A82"/>
    <w:rsid w:val="05C237BA"/>
    <w:rsid w:val="05FD2B10"/>
    <w:rsid w:val="05FF33CF"/>
    <w:rsid w:val="0651540A"/>
    <w:rsid w:val="06671F0C"/>
    <w:rsid w:val="0668471E"/>
    <w:rsid w:val="066B3E27"/>
    <w:rsid w:val="06B50CF4"/>
    <w:rsid w:val="06C37571"/>
    <w:rsid w:val="06C673A5"/>
    <w:rsid w:val="06CF6A92"/>
    <w:rsid w:val="070B300A"/>
    <w:rsid w:val="076C2262"/>
    <w:rsid w:val="077E095C"/>
    <w:rsid w:val="078A0FA6"/>
    <w:rsid w:val="07DD4E5C"/>
    <w:rsid w:val="08002443"/>
    <w:rsid w:val="081C344C"/>
    <w:rsid w:val="0854453D"/>
    <w:rsid w:val="088363CB"/>
    <w:rsid w:val="08B1198F"/>
    <w:rsid w:val="08B14A44"/>
    <w:rsid w:val="08B14F6B"/>
    <w:rsid w:val="08E23C96"/>
    <w:rsid w:val="08F655F4"/>
    <w:rsid w:val="08FA50E4"/>
    <w:rsid w:val="08FF767A"/>
    <w:rsid w:val="09004CE3"/>
    <w:rsid w:val="09322AD0"/>
    <w:rsid w:val="09971289"/>
    <w:rsid w:val="099C43EE"/>
    <w:rsid w:val="09E35B78"/>
    <w:rsid w:val="0A530B6C"/>
    <w:rsid w:val="0A5D1DCF"/>
    <w:rsid w:val="0A9D3ECC"/>
    <w:rsid w:val="0AA91C1D"/>
    <w:rsid w:val="0AB269A0"/>
    <w:rsid w:val="0AB67731"/>
    <w:rsid w:val="0B001553"/>
    <w:rsid w:val="0B121A42"/>
    <w:rsid w:val="0B423B3C"/>
    <w:rsid w:val="0B610ED4"/>
    <w:rsid w:val="0B6947A3"/>
    <w:rsid w:val="0B754EF6"/>
    <w:rsid w:val="0BA53A2D"/>
    <w:rsid w:val="0BBF43C3"/>
    <w:rsid w:val="0C1E733C"/>
    <w:rsid w:val="0C3721AC"/>
    <w:rsid w:val="0C41127C"/>
    <w:rsid w:val="0C4A6383"/>
    <w:rsid w:val="0C82292B"/>
    <w:rsid w:val="0C9B4CC7"/>
    <w:rsid w:val="0CBE011B"/>
    <w:rsid w:val="0CF174DE"/>
    <w:rsid w:val="0D107E7B"/>
    <w:rsid w:val="0D2E1801"/>
    <w:rsid w:val="0DBC6E0C"/>
    <w:rsid w:val="0DE33693"/>
    <w:rsid w:val="0DF540CC"/>
    <w:rsid w:val="0DF76096"/>
    <w:rsid w:val="0E0B6422"/>
    <w:rsid w:val="0E1053AA"/>
    <w:rsid w:val="0E70686C"/>
    <w:rsid w:val="0E707BF7"/>
    <w:rsid w:val="0E8D07A9"/>
    <w:rsid w:val="0EA7186A"/>
    <w:rsid w:val="0F546D8C"/>
    <w:rsid w:val="0F655282"/>
    <w:rsid w:val="0F87344A"/>
    <w:rsid w:val="0F8B27BA"/>
    <w:rsid w:val="0FAA3873"/>
    <w:rsid w:val="0FBF71DA"/>
    <w:rsid w:val="0FC41FA8"/>
    <w:rsid w:val="0FF74F88"/>
    <w:rsid w:val="1008458B"/>
    <w:rsid w:val="106C2DCB"/>
    <w:rsid w:val="107C2883"/>
    <w:rsid w:val="109126F6"/>
    <w:rsid w:val="10991687"/>
    <w:rsid w:val="109B5B2B"/>
    <w:rsid w:val="10A623C8"/>
    <w:rsid w:val="11062F9A"/>
    <w:rsid w:val="111927C8"/>
    <w:rsid w:val="1136590C"/>
    <w:rsid w:val="115630D4"/>
    <w:rsid w:val="117028A0"/>
    <w:rsid w:val="11B524F0"/>
    <w:rsid w:val="11BF511D"/>
    <w:rsid w:val="11CE35B2"/>
    <w:rsid w:val="12780CAB"/>
    <w:rsid w:val="12FE1C75"/>
    <w:rsid w:val="136F4C96"/>
    <w:rsid w:val="1377583F"/>
    <w:rsid w:val="139548CF"/>
    <w:rsid w:val="139B74C4"/>
    <w:rsid w:val="13A938D2"/>
    <w:rsid w:val="13B80076"/>
    <w:rsid w:val="13DA3720"/>
    <w:rsid w:val="14045069"/>
    <w:rsid w:val="14467430"/>
    <w:rsid w:val="14643D5A"/>
    <w:rsid w:val="14B06690"/>
    <w:rsid w:val="14BE1257"/>
    <w:rsid w:val="153802B0"/>
    <w:rsid w:val="154E5837"/>
    <w:rsid w:val="1563166D"/>
    <w:rsid w:val="15682010"/>
    <w:rsid w:val="158A3C94"/>
    <w:rsid w:val="15CB4298"/>
    <w:rsid w:val="15D62A35"/>
    <w:rsid w:val="15E06243"/>
    <w:rsid w:val="16550B44"/>
    <w:rsid w:val="166662E2"/>
    <w:rsid w:val="16667265"/>
    <w:rsid w:val="16816E45"/>
    <w:rsid w:val="1686445B"/>
    <w:rsid w:val="168752E0"/>
    <w:rsid w:val="17B60D70"/>
    <w:rsid w:val="18040CE3"/>
    <w:rsid w:val="180928BA"/>
    <w:rsid w:val="18591E4E"/>
    <w:rsid w:val="18B057C0"/>
    <w:rsid w:val="18E66346"/>
    <w:rsid w:val="18FF22A3"/>
    <w:rsid w:val="19030534"/>
    <w:rsid w:val="19033B41"/>
    <w:rsid w:val="193F08F1"/>
    <w:rsid w:val="194660D8"/>
    <w:rsid w:val="196F567B"/>
    <w:rsid w:val="19753563"/>
    <w:rsid w:val="19836A30"/>
    <w:rsid w:val="198C1D89"/>
    <w:rsid w:val="19980CA0"/>
    <w:rsid w:val="19A33D75"/>
    <w:rsid w:val="19BE42D5"/>
    <w:rsid w:val="1A051B3B"/>
    <w:rsid w:val="1A157B94"/>
    <w:rsid w:val="1A63287A"/>
    <w:rsid w:val="1A7E085D"/>
    <w:rsid w:val="1A8E38DF"/>
    <w:rsid w:val="1AA43102"/>
    <w:rsid w:val="1AD25EC1"/>
    <w:rsid w:val="1AE6196C"/>
    <w:rsid w:val="1B1464DA"/>
    <w:rsid w:val="1B216501"/>
    <w:rsid w:val="1B32070E"/>
    <w:rsid w:val="1B5332D3"/>
    <w:rsid w:val="1B6E4666"/>
    <w:rsid w:val="1B8D0519"/>
    <w:rsid w:val="1BAF7FB0"/>
    <w:rsid w:val="1BCB28B9"/>
    <w:rsid w:val="1BD104D8"/>
    <w:rsid w:val="1C0876C1"/>
    <w:rsid w:val="1C0E2F29"/>
    <w:rsid w:val="1C0F024E"/>
    <w:rsid w:val="1C3702E2"/>
    <w:rsid w:val="1C4844E0"/>
    <w:rsid w:val="1C494CB8"/>
    <w:rsid w:val="1C5B5A42"/>
    <w:rsid w:val="1C676ADD"/>
    <w:rsid w:val="1C8D1897"/>
    <w:rsid w:val="1CAE0E16"/>
    <w:rsid w:val="1CD477DC"/>
    <w:rsid w:val="1CE123EB"/>
    <w:rsid w:val="1D1502E7"/>
    <w:rsid w:val="1D2621C1"/>
    <w:rsid w:val="1D3544E5"/>
    <w:rsid w:val="1D3D7269"/>
    <w:rsid w:val="1D61352C"/>
    <w:rsid w:val="1D721295"/>
    <w:rsid w:val="1D7C3EC2"/>
    <w:rsid w:val="1DAA17BA"/>
    <w:rsid w:val="1DEB1048"/>
    <w:rsid w:val="1E0C3498"/>
    <w:rsid w:val="1E0F2F88"/>
    <w:rsid w:val="1E1D4585"/>
    <w:rsid w:val="1E3649B9"/>
    <w:rsid w:val="1E3B1FCF"/>
    <w:rsid w:val="1E933177"/>
    <w:rsid w:val="1EE60DDA"/>
    <w:rsid w:val="1F095C2A"/>
    <w:rsid w:val="1F2B34FD"/>
    <w:rsid w:val="1F7237CF"/>
    <w:rsid w:val="1F751511"/>
    <w:rsid w:val="1F8B79D0"/>
    <w:rsid w:val="1FFB1A16"/>
    <w:rsid w:val="2016077D"/>
    <w:rsid w:val="202F7213"/>
    <w:rsid w:val="20336AB1"/>
    <w:rsid w:val="204022DE"/>
    <w:rsid w:val="20515ADA"/>
    <w:rsid w:val="206E6E1D"/>
    <w:rsid w:val="20717F2A"/>
    <w:rsid w:val="20775C57"/>
    <w:rsid w:val="20831A0C"/>
    <w:rsid w:val="209459C7"/>
    <w:rsid w:val="209546EE"/>
    <w:rsid w:val="209C61B0"/>
    <w:rsid w:val="20D11C13"/>
    <w:rsid w:val="20DE3A7A"/>
    <w:rsid w:val="2127683B"/>
    <w:rsid w:val="214473ED"/>
    <w:rsid w:val="21576CFE"/>
    <w:rsid w:val="218F4348"/>
    <w:rsid w:val="219914E7"/>
    <w:rsid w:val="21B31E7D"/>
    <w:rsid w:val="21B36EA6"/>
    <w:rsid w:val="2265761B"/>
    <w:rsid w:val="226A2E83"/>
    <w:rsid w:val="22D731A7"/>
    <w:rsid w:val="232272BA"/>
    <w:rsid w:val="23280067"/>
    <w:rsid w:val="236E4680"/>
    <w:rsid w:val="237F470C"/>
    <w:rsid w:val="239E3ED6"/>
    <w:rsid w:val="23BD5235"/>
    <w:rsid w:val="23D35321"/>
    <w:rsid w:val="23EB51CA"/>
    <w:rsid w:val="23F4590F"/>
    <w:rsid w:val="23FF584D"/>
    <w:rsid w:val="2419493C"/>
    <w:rsid w:val="245E7561"/>
    <w:rsid w:val="2466767A"/>
    <w:rsid w:val="2492221D"/>
    <w:rsid w:val="24A24B56"/>
    <w:rsid w:val="24AD640C"/>
    <w:rsid w:val="24B47693"/>
    <w:rsid w:val="24BD48C6"/>
    <w:rsid w:val="24C148B0"/>
    <w:rsid w:val="24E24F53"/>
    <w:rsid w:val="24EC4076"/>
    <w:rsid w:val="24F12526"/>
    <w:rsid w:val="24F66303"/>
    <w:rsid w:val="25037B70"/>
    <w:rsid w:val="255905C6"/>
    <w:rsid w:val="25C167AF"/>
    <w:rsid w:val="25E13D08"/>
    <w:rsid w:val="25E23E0B"/>
    <w:rsid w:val="25F64996"/>
    <w:rsid w:val="26356F09"/>
    <w:rsid w:val="265F53DE"/>
    <w:rsid w:val="2666570F"/>
    <w:rsid w:val="26C6629F"/>
    <w:rsid w:val="26F86CAF"/>
    <w:rsid w:val="27000880"/>
    <w:rsid w:val="27725DC5"/>
    <w:rsid w:val="27B64475"/>
    <w:rsid w:val="27EE75F1"/>
    <w:rsid w:val="27F37477"/>
    <w:rsid w:val="27F72D22"/>
    <w:rsid w:val="28670794"/>
    <w:rsid w:val="288E39BA"/>
    <w:rsid w:val="289B3D96"/>
    <w:rsid w:val="28A73EDA"/>
    <w:rsid w:val="28B24203"/>
    <w:rsid w:val="28EF304D"/>
    <w:rsid w:val="29070581"/>
    <w:rsid w:val="29390F28"/>
    <w:rsid w:val="295300F4"/>
    <w:rsid w:val="297035D9"/>
    <w:rsid w:val="29852351"/>
    <w:rsid w:val="299005B7"/>
    <w:rsid w:val="29AD6D01"/>
    <w:rsid w:val="29BB41C4"/>
    <w:rsid w:val="29CD6432"/>
    <w:rsid w:val="29E03A2B"/>
    <w:rsid w:val="29E4176D"/>
    <w:rsid w:val="29E4376C"/>
    <w:rsid w:val="29E52AE6"/>
    <w:rsid w:val="2A954815"/>
    <w:rsid w:val="2A9F5694"/>
    <w:rsid w:val="2AD4279C"/>
    <w:rsid w:val="2AD73080"/>
    <w:rsid w:val="2B01637D"/>
    <w:rsid w:val="2B1B15F8"/>
    <w:rsid w:val="2B3D48DE"/>
    <w:rsid w:val="2B667F60"/>
    <w:rsid w:val="2B920E72"/>
    <w:rsid w:val="2BA11762"/>
    <w:rsid w:val="2BB02DFD"/>
    <w:rsid w:val="2BC43D5C"/>
    <w:rsid w:val="2C057779"/>
    <w:rsid w:val="2C1D7A22"/>
    <w:rsid w:val="2C6426F1"/>
    <w:rsid w:val="2C864EA5"/>
    <w:rsid w:val="2CD86F07"/>
    <w:rsid w:val="2D1037E1"/>
    <w:rsid w:val="2D17451B"/>
    <w:rsid w:val="2D502120"/>
    <w:rsid w:val="2D7E5A35"/>
    <w:rsid w:val="2D841D24"/>
    <w:rsid w:val="2D870D8D"/>
    <w:rsid w:val="2DAB5B69"/>
    <w:rsid w:val="2E6E3CFB"/>
    <w:rsid w:val="2EC76F67"/>
    <w:rsid w:val="2ED718A0"/>
    <w:rsid w:val="2EF37D5C"/>
    <w:rsid w:val="2F124909"/>
    <w:rsid w:val="2F212B1B"/>
    <w:rsid w:val="2F8A6913"/>
    <w:rsid w:val="2F8E5ED1"/>
    <w:rsid w:val="2F9221AC"/>
    <w:rsid w:val="2F9C22EC"/>
    <w:rsid w:val="2FBE480E"/>
    <w:rsid w:val="2FD40BCE"/>
    <w:rsid w:val="2FE50D35"/>
    <w:rsid w:val="3002152D"/>
    <w:rsid w:val="3008407F"/>
    <w:rsid w:val="30110DE2"/>
    <w:rsid w:val="30896BCA"/>
    <w:rsid w:val="309C385D"/>
    <w:rsid w:val="30C9339C"/>
    <w:rsid w:val="30DD56CC"/>
    <w:rsid w:val="30EF74A4"/>
    <w:rsid w:val="30F02EBD"/>
    <w:rsid w:val="30F24F4D"/>
    <w:rsid w:val="31080849"/>
    <w:rsid w:val="313B4368"/>
    <w:rsid w:val="31542076"/>
    <w:rsid w:val="3166515D"/>
    <w:rsid w:val="316A0CBF"/>
    <w:rsid w:val="31B859B9"/>
    <w:rsid w:val="31ED4F37"/>
    <w:rsid w:val="32251378"/>
    <w:rsid w:val="322F554F"/>
    <w:rsid w:val="323112C7"/>
    <w:rsid w:val="32586854"/>
    <w:rsid w:val="328C4750"/>
    <w:rsid w:val="32A11B4B"/>
    <w:rsid w:val="32A95302"/>
    <w:rsid w:val="32B1446E"/>
    <w:rsid w:val="33300A50"/>
    <w:rsid w:val="33313F09"/>
    <w:rsid w:val="337A06CC"/>
    <w:rsid w:val="337C5E32"/>
    <w:rsid w:val="338B706B"/>
    <w:rsid w:val="33F35A93"/>
    <w:rsid w:val="34000F51"/>
    <w:rsid w:val="34120D4F"/>
    <w:rsid w:val="34183108"/>
    <w:rsid w:val="34190265"/>
    <w:rsid w:val="34405134"/>
    <w:rsid w:val="34A07988"/>
    <w:rsid w:val="34BF0E0C"/>
    <w:rsid w:val="35366BF5"/>
    <w:rsid w:val="35505FBC"/>
    <w:rsid w:val="356E638F"/>
    <w:rsid w:val="35A97BD0"/>
    <w:rsid w:val="36034158"/>
    <w:rsid w:val="361231BE"/>
    <w:rsid w:val="36323860"/>
    <w:rsid w:val="36435A6D"/>
    <w:rsid w:val="364E318A"/>
    <w:rsid w:val="36525CC9"/>
    <w:rsid w:val="3711148E"/>
    <w:rsid w:val="3739694B"/>
    <w:rsid w:val="373C4996"/>
    <w:rsid w:val="374675C3"/>
    <w:rsid w:val="376E062B"/>
    <w:rsid w:val="378D2FB4"/>
    <w:rsid w:val="378E0F6A"/>
    <w:rsid w:val="37A42641"/>
    <w:rsid w:val="37D50947"/>
    <w:rsid w:val="37D5554A"/>
    <w:rsid w:val="37ED5C91"/>
    <w:rsid w:val="37F039D3"/>
    <w:rsid w:val="388366EC"/>
    <w:rsid w:val="38A02D03"/>
    <w:rsid w:val="38A41E58"/>
    <w:rsid w:val="38B30C88"/>
    <w:rsid w:val="38F03BCC"/>
    <w:rsid w:val="38F17A02"/>
    <w:rsid w:val="392B392A"/>
    <w:rsid w:val="39382F3B"/>
    <w:rsid w:val="394144E6"/>
    <w:rsid w:val="396C7089"/>
    <w:rsid w:val="397C551E"/>
    <w:rsid w:val="397F500E"/>
    <w:rsid w:val="398E0DAD"/>
    <w:rsid w:val="39B30E69"/>
    <w:rsid w:val="39B53A46"/>
    <w:rsid w:val="39DB5125"/>
    <w:rsid w:val="39E41C18"/>
    <w:rsid w:val="3A0E1A6F"/>
    <w:rsid w:val="3A1E2650"/>
    <w:rsid w:val="3A240899"/>
    <w:rsid w:val="3A3C2EFF"/>
    <w:rsid w:val="3A3E6152"/>
    <w:rsid w:val="3A463A76"/>
    <w:rsid w:val="3A475F84"/>
    <w:rsid w:val="3A983FF6"/>
    <w:rsid w:val="3A995EC5"/>
    <w:rsid w:val="3AF15A98"/>
    <w:rsid w:val="3B4C0F20"/>
    <w:rsid w:val="3B4C5D0D"/>
    <w:rsid w:val="3B684B69"/>
    <w:rsid w:val="3B7936BD"/>
    <w:rsid w:val="3B835F2D"/>
    <w:rsid w:val="3C3E4D0D"/>
    <w:rsid w:val="3C830195"/>
    <w:rsid w:val="3C864CA8"/>
    <w:rsid w:val="3D1D0DC6"/>
    <w:rsid w:val="3D3954D4"/>
    <w:rsid w:val="3D3F6549"/>
    <w:rsid w:val="3D8E5820"/>
    <w:rsid w:val="3D8E75CE"/>
    <w:rsid w:val="3DB96377"/>
    <w:rsid w:val="3E0A3EC6"/>
    <w:rsid w:val="3E741B5D"/>
    <w:rsid w:val="3E94330A"/>
    <w:rsid w:val="3E9E5BC4"/>
    <w:rsid w:val="3EBE2135"/>
    <w:rsid w:val="3EF47F62"/>
    <w:rsid w:val="3F03223E"/>
    <w:rsid w:val="3F051C93"/>
    <w:rsid w:val="3F626F64"/>
    <w:rsid w:val="3F7075E6"/>
    <w:rsid w:val="3F7F7B16"/>
    <w:rsid w:val="3F94385C"/>
    <w:rsid w:val="3FC27A03"/>
    <w:rsid w:val="3FF51B86"/>
    <w:rsid w:val="40030CD8"/>
    <w:rsid w:val="40061FE5"/>
    <w:rsid w:val="40063D93"/>
    <w:rsid w:val="40A06FCC"/>
    <w:rsid w:val="40AF61D9"/>
    <w:rsid w:val="40E57E4D"/>
    <w:rsid w:val="40F669E7"/>
    <w:rsid w:val="410D4CAE"/>
    <w:rsid w:val="413D2F06"/>
    <w:rsid w:val="41412BA9"/>
    <w:rsid w:val="41447126"/>
    <w:rsid w:val="41566655"/>
    <w:rsid w:val="418775F4"/>
    <w:rsid w:val="419203D2"/>
    <w:rsid w:val="419C4C20"/>
    <w:rsid w:val="420E5181"/>
    <w:rsid w:val="423544BC"/>
    <w:rsid w:val="423E74D3"/>
    <w:rsid w:val="42613503"/>
    <w:rsid w:val="42924946"/>
    <w:rsid w:val="42E859D2"/>
    <w:rsid w:val="42FA3C08"/>
    <w:rsid w:val="430B346F"/>
    <w:rsid w:val="43106CD7"/>
    <w:rsid w:val="431E7646"/>
    <w:rsid w:val="43236A0A"/>
    <w:rsid w:val="43362BE2"/>
    <w:rsid w:val="434954F7"/>
    <w:rsid w:val="43543068"/>
    <w:rsid w:val="43604741"/>
    <w:rsid w:val="43A85162"/>
    <w:rsid w:val="43C50056"/>
    <w:rsid w:val="43DE2931"/>
    <w:rsid w:val="441D3743"/>
    <w:rsid w:val="44246EDE"/>
    <w:rsid w:val="44315157"/>
    <w:rsid w:val="4452279A"/>
    <w:rsid w:val="4475773A"/>
    <w:rsid w:val="44C14DFA"/>
    <w:rsid w:val="44D459F5"/>
    <w:rsid w:val="44D81A76"/>
    <w:rsid w:val="44F85C75"/>
    <w:rsid w:val="44F92558"/>
    <w:rsid w:val="450D1A53"/>
    <w:rsid w:val="454447FD"/>
    <w:rsid w:val="45554E75"/>
    <w:rsid w:val="45C4637F"/>
    <w:rsid w:val="45E645A2"/>
    <w:rsid w:val="4622721C"/>
    <w:rsid w:val="464777FB"/>
    <w:rsid w:val="46511AE0"/>
    <w:rsid w:val="46584C1D"/>
    <w:rsid w:val="4670640B"/>
    <w:rsid w:val="467F664E"/>
    <w:rsid w:val="46C518D2"/>
    <w:rsid w:val="47017063"/>
    <w:rsid w:val="473C62ED"/>
    <w:rsid w:val="47577944"/>
    <w:rsid w:val="47E32C0C"/>
    <w:rsid w:val="47F97AC9"/>
    <w:rsid w:val="4810155E"/>
    <w:rsid w:val="483E6BD8"/>
    <w:rsid w:val="485D651B"/>
    <w:rsid w:val="48710218"/>
    <w:rsid w:val="48736D31"/>
    <w:rsid w:val="48873598"/>
    <w:rsid w:val="48952158"/>
    <w:rsid w:val="48987D09"/>
    <w:rsid w:val="48C9393B"/>
    <w:rsid w:val="48CA1C78"/>
    <w:rsid w:val="491F3C5F"/>
    <w:rsid w:val="49360896"/>
    <w:rsid w:val="49706721"/>
    <w:rsid w:val="49CD147E"/>
    <w:rsid w:val="49CE6EA6"/>
    <w:rsid w:val="49E36EF3"/>
    <w:rsid w:val="49EF34AE"/>
    <w:rsid w:val="49F924B4"/>
    <w:rsid w:val="49FE5ADB"/>
    <w:rsid w:val="4A1E1CDA"/>
    <w:rsid w:val="4A361719"/>
    <w:rsid w:val="4A8204BA"/>
    <w:rsid w:val="4A952667"/>
    <w:rsid w:val="4AE44CD1"/>
    <w:rsid w:val="4B103D18"/>
    <w:rsid w:val="4B3C3949"/>
    <w:rsid w:val="4B455253"/>
    <w:rsid w:val="4B4F5C30"/>
    <w:rsid w:val="4B5300A9"/>
    <w:rsid w:val="4B6716A1"/>
    <w:rsid w:val="4B83098E"/>
    <w:rsid w:val="4BE0548C"/>
    <w:rsid w:val="4BEB208F"/>
    <w:rsid w:val="4BFD2500"/>
    <w:rsid w:val="4C8428B7"/>
    <w:rsid w:val="4CA26760"/>
    <w:rsid w:val="4CB37051"/>
    <w:rsid w:val="4CCC1EC1"/>
    <w:rsid w:val="4CD3324F"/>
    <w:rsid w:val="4D355F0D"/>
    <w:rsid w:val="4D537EEC"/>
    <w:rsid w:val="4DA62712"/>
    <w:rsid w:val="4DC911E0"/>
    <w:rsid w:val="4DE11035"/>
    <w:rsid w:val="4DFA0CB0"/>
    <w:rsid w:val="4E035DB6"/>
    <w:rsid w:val="4E06542A"/>
    <w:rsid w:val="4E27506D"/>
    <w:rsid w:val="4E465CA3"/>
    <w:rsid w:val="4E481A1B"/>
    <w:rsid w:val="4E5B34FC"/>
    <w:rsid w:val="4E6C39DB"/>
    <w:rsid w:val="4E843280"/>
    <w:rsid w:val="4EAD187E"/>
    <w:rsid w:val="4EB22041"/>
    <w:rsid w:val="4ED82D9F"/>
    <w:rsid w:val="4EE06AA7"/>
    <w:rsid w:val="4F2204BE"/>
    <w:rsid w:val="4F434D79"/>
    <w:rsid w:val="4F4C447B"/>
    <w:rsid w:val="4F5D2DEA"/>
    <w:rsid w:val="4F702FD7"/>
    <w:rsid w:val="4FE237A9"/>
    <w:rsid w:val="4FF70539"/>
    <w:rsid w:val="505428F9"/>
    <w:rsid w:val="50646F2B"/>
    <w:rsid w:val="50965048"/>
    <w:rsid w:val="50B25FB2"/>
    <w:rsid w:val="50D70E34"/>
    <w:rsid w:val="51022209"/>
    <w:rsid w:val="51B11685"/>
    <w:rsid w:val="51CD69B3"/>
    <w:rsid w:val="51E47CAD"/>
    <w:rsid w:val="521340EE"/>
    <w:rsid w:val="523A78CD"/>
    <w:rsid w:val="526E7576"/>
    <w:rsid w:val="52840D37"/>
    <w:rsid w:val="52972F71"/>
    <w:rsid w:val="52B04A46"/>
    <w:rsid w:val="52C75604"/>
    <w:rsid w:val="52F83868"/>
    <w:rsid w:val="530F49E7"/>
    <w:rsid w:val="532E5683"/>
    <w:rsid w:val="53394028"/>
    <w:rsid w:val="533E4CD2"/>
    <w:rsid w:val="533F163E"/>
    <w:rsid w:val="53442939"/>
    <w:rsid w:val="53486019"/>
    <w:rsid w:val="536E3CD2"/>
    <w:rsid w:val="53890B0C"/>
    <w:rsid w:val="53E61ABA"/>
    <w:rsid w:val="54175A7C"/>
    <w:rsid w:val="542033BF"/>
    <w:rsid w:val="54B335D9"/>
    <w:rsid w:val="54C969F2"/>
    <w:rsid w:val="55012924"/>
    <w:rsid w:val="550F5041"/>
    <w:rsid w:val="55197C6D"/>
    <w:rsid w:val="552C42B7"/>
    <w:rsid w:val="5536081F"/>
    <w:rsid w:val="55AD3E7B"/>
    <w:rsid w:val="55C220A8"/>
    <w:rsid w:val="55C84A4F"/>
    <w:rsid w:val="56245E8D"/>
    <w:rsid w:val="56666EE2"/>
    <w:rsid w:val="567F61F6"/>
    <w:rsid w:val="568E01E7"/>
    <w:rsid w:val="57350F22"/>
    <w:rsid w:val="575651A9"/>
    <w:rsid w:val="57786CD5"/>
    <w:rsid w:val="57E1566B"/>
    <w:rsid w:val="57EE5899"/>
    <w:rsid w:val="580105CE"/>
    <w:rsid w:val="580611A1"/>
    <w:rsid w:val="581356E9"/>
    <w:rsid w:val="586A2AC3"/>
    <w:rsid w:val="58831FCD"/>
    <w:rsid w:val="58DF4D2A"/>
    <w:rsid w:val="59123ED5"/>
    <w:rsid w:val="59376914"/>
    <w:rsid w:val="594F1EAF"/>
    <w:rsid w:val="595A017F"/>
    <w:rsid w:val="595F4C29"/>
    <w:rsid w:val="59705C64"/>
    <w:rsid w:val="597C265C"/>
    <w:rsid w:val="599E16E4"/>
    <w:rsid w:val="59C03FFF"/>
    <w:rsid w:val="59CD7278"/>
    <w:rsid w:val="59F14380"/>
    <w:rsid w:val="59F45DA4"/>
    <w:rsid w:val="5A144EA7"/>
    <w:rsid w:val="5A2D7859"/>
    <w:rsid w:val="5A3F0176"/>
    <w:rsid w:val="5A5C5212"/>
    <w:rsid w:val="5ACB1A0A"/>
    <w:rsid w:val="5B12588A"/>
    <w:rsid w:val="5B857E0A"/>
    <w:rsid w:val="5B8766D2"/>
    <w:rsid w:val="5B946C1C"/>
    <w:rsid w:val="5B9A4731"/>
    <w:rsid w:val="5BB01406"/>
    <w:rsid w:val="5BDE39BF"/>
    <w:rsid w:val="5BED7022"/>
    <w:rsid w:val="5BF40AEC"/>
    <w:rsid w:val="5C0351D3"/>
    <w:rsid w:val="5C08375C"/>
    <w:rsid w:val="5C163158"/>
    <w:rsid w:val="5C2146E4"/>
    <w:rsid w:val="5C45759A"/>
    <w:rsid w:val="5C8025B9"/>
    <w:rsid w:val="5C843EE4"/>
    <w:rsid w:val="5C86208C"/>
    <w:rsid w:val="5CB3614D"/>
    <w:rsid w:val="5CBF734C"/>
    <w:rsid w:val="5CC901CB"/>
    <w:rsid w:val="5CE84AF5"/>
    <w:rsid w:val="5CF936D6"/>
    <w:rsid w:val="5D0B2591"/>
    <w:rsid w:val="5D32553A"/>
    <w:rsid w:val="5D3F66DF"/>
    <w:rsid w:val="5D682F5B"/>
    <w:rsid w:val="5D6F1FE6"/>
    <w:rsid w:val="5D721E3E"/>
    <w:rsid w:val="5D78775B"/>
    <w:rsid w:val="5D8C0BEF"/>
    <w:rsid w:val="5D997B9D"/>
    <w:rsid w:val="5E013860"/>
    <w:rsid w:val="5E0E058B"/>
    <w:rsid w:val="5E14191A"/>
    <w:rsid w:val="5E231B5D"/>
    <w:rsid w:val="5E28792C"/>
    <w:rsid w:val="5E855651"/>
    <w:rsid w:val="5ECB6C91"/>
    <w:rsid w:val="5EF57C17"/>
    <w:rsid w:val="5F1E0DC8"/>
    <w:rsid w:val="5F8E3006"/>
    <w:rsid w:val="5FCA669A"/>
    <w:rsid w:val="5FE33352"/>
    <w:rsid w:val="60221DB4"/>
    <w:rsid w:val="602776E2"/>
    <w:rsid w:val="60433DF0"/>
    <w:rsid w:val="604364E6"/>
    <w:rsid w:val="60567FC7"/>
    <w:rsid w:val="60E5134B"/>
    <w:rsid w:val="60F56BDC"/>
    <w:rsid w:val="613C71BD"/>
    <w:rsid w:val="6153644A"/>
    <w:rsid w:val="61854675"/>
    <w:rsid w:val="61926DDD"/>
    <w:rsid w:val="61EF2482"/>
    <w:rsid w:val="61F730E4"/>
    <w:rsid w:val="62037CDB"/>
    <w:rsid w:val="622540F5"/>
    <w:rsid w:val="623205C0"/>
    <w:rsid w:val="62337403"/>
    <w:rsid w:val="62347E94"/>
    <w:rsid w:val="626D33A6"/>
    <w:rsid w:val="62BE7207"/>
    <w:rsid w:val="62F31AFE"/>
    <w:rsid w:val="63422A85"/>
    <w:rsid w:val="63493A10"/>
    <w:rsid w:val="636165B6"/>
    <w:rsid w:val="63624ED5"/>
    <w:rsid w:val="63F8665E"/>
    <w:rsid w:val="63FD16EA"/>
    <w:rsid w:val="641E6CBB"/>
    <w:rsid w:val="64342B40"/>
    <w:rsid w:val="643D7A34"/>
    <w:rsid w:val="64414FC4"/>
    <w:rsid w:val="64835103"/>
    <w:rsid w:val="64BE6D9E"/>
    <w:rsid w:val="64D92F75"/>
    <w:rsid w:val="65102E3B"/>
    <w:rsid w:val="6516510E"/>
    <w:rsid w:val="65230BB9"/>
    <w:rsid w:val="65420ABD"/>
    <w:rsid w:val="65A47D37"/>
    <w:rsid w:val="65C76299"/>
    <w:rsid w:val="65F22540"/>
    <w:rsid w:val="660F794F"/>
    <w:rsid w:val="66296935"/>
    <w:rsid w:val="665E7BD6"/>
    <w:rsid w:val="66C13CC1"/>
    <w:rsid w:val="66F02910"/>
    <w:rsid w:val="672C55DE"/>
    <w:rsid w:val="67650F43"/>
    <w:rsid w:val="676B55A8"/>
    <w:rsid w:val="678216A2"/>
    <w:rsid w:val="678466CD"/>
    <w:rsid w:val="67976F80"/>
    <w:rsid w:val="67C64506"/>
    <w:rsid w:val="67C8398F"/>
    <w:rsid w:val="67E06AB1"/>
    <w:rsid w:val="67E20393"/>
    <w:rsid w:val="681A04AD"/>
    <w:rsid w:val="681E586F"/>
    <w:rsid w:val="686139AD"/>
    <w:rsid w:val="68BD361C"/>
    <w:rsid w:val="68F30B64"/>
    <w:rsid w:val="690F7E0A"/>
    <w:rsid w:val="691D5B26"/>
    <w:rsid w:val="693032A4"/>
    <w:rsid w:val="693B7D5A"/>
    <w:rsid w:val="69B26EAC"/>
    <w:rsid w:val="69BB74C6"/>
    <w:rsid w:val="6A046F3F"/>
    <w:rsid w:val="6AA162E3"/>
    <w:rsid w:val="6AB719E5"/>
    <w:rsid w:val="6AD246EE"/>
    <w:rsid w:val="6AEA1A38"/>
    <w:rsid w:val="6AF01018"/>
    <w:rsid w:val="6B1E7B31"/>
    <w:rsid w:val="6B2D7B77"/>
    <w:rsid w:val="6B3524F5"/>
    <w:rsid w:val="6B3810D4"/>
    <w:rsid w:val="6B75550B"/>
    <w:rsid w:val="6B7D28AC"/>
    <w:rsid w:val="6BCC4BC6"/>
    <w:rsid w:val="6BD46244"/>
    <w:rsid w:val="6BEA3CBA"/>
    <w:rsid w:val="6C164AAF"/>
    <w:rsid w:val="6C313697"/>
    <w:rsid w:val="6C6E7111"/>
    <w:rsid w:val="6C9525DF"/>
    <w:rsid w:val="6CDD1436"/>
    <w:rsid w:val="6D175D0D"/>
    <w:rsid w:val="6D4B0788"/>
    <w:rsid w:val="6D611D5A"/>
    <w:rsid w:val="6DBB3ECD"/>
    <w:rsid w:val="6DBC76BD"/>
    <w:rsid w:val="6E444275"/>
    <w:rsid w:val="6E5D413F"/>
    <w:rsid w:val="6E841486"/>
    <w:rsid w:val="6E8E6BDC"/>
    <w:rsid w:val="6EAE0FCF"/>
    <w:rsid w:val="6EB92A2A"/>
    <w:rsid w:val="6ED7307C"/>
    <w:rsid w:val="6F977CE2"/>
    <w:rsid w:val="6FB87AD8"/>
    <w:rsid w:val="6FE27182"/>
    <w:rsid w:val="70840239"/>
    <w:rsid w:val="709516BD"/>
    <w:rsid w:val="70DC0075"/>
    <w:rsid w:val="70DC0935"/>
    <w:rsid w:val="71066EA0"/>
    <w:rsid w:val="713B491C"/>
    <w:rsid w:val="71450245"/>
    <w:rsid w:val="7167757A"/>
    <w:rsid w:val="71E80DFD"/>
    <w:rsid w:val="71EC078C"/>
    <w:rsid w:val="71F9013B"/>
    <w:rsid w:val="71FA573D"/>
    <w:rsid w:val="71FF6EA4"/>
    <w:rsid w:val="721B6AFC"/>
    <w:rsid w:val="722A7AC1"/>
    <w:rsid w:val="723C1321"/>
    <w:rsid w:val="724E2412"/>
    <w:rsid w:val="725E4ABA"/>
    <w:rsid w:val="72706CBC"/>
    <w:rsid w:val="72840105"/>
    <w:rsid w:val="72AB13CD"/>
    <w:rsid w:val="72B41921"/>
    <w:rsid w:val="730B69EF"/>
    <w:rsid w:val="739F35DC"/>
    <w:rsid w:val="73A02D82"/>
    <w:rsid w:val="73AB01D2"/>
    <w:rsid w:val="73BE4628"/>
    <w:rsid w:val="73C0165D"/>
    <w:rsid w:val="73C5726C"/>
    <w:rsid w:val="73E84F83"/>
    <w:rsid w:val="73F0360B"/>
    <w:rsid w:val="73FC11BA"/>
    <w:rsid w:val="745B6486"/>
    <w:rsid w:val="74920373"/>
    <w:rsid w:val="74D106C3"/>
    <w:rsid w:val="74F053D6"/>
    <w:rsid w:val="752D4797"/>
    <w:rsid w:val="753D4E5A"/>
    <w:rsid w:val="75A12AF4"/>
    <w:rsid w:val="75A153E9"/>
    <w:rsid w:val="75DC4673"/>
    <w:rsid w:val="75E83018"/>
    <w:rsid w:val="75EC6147"/>
    <w:rsid w:val="760405C4"/>
    <w:rsid w:val="76065B94"/>
    <w:rsid w:val="76262BBD"/>
    <w:rsid w:val="76350BF9"/>
    <w:rsid w:val="76510DDE"/>
    <w:rsid w:val="76746FA2"/>
    <w:rsid w:val="769870D9"/>
    <w:rsid w:val="76C025DC"/>
    <w:rsid w:val="76D812DE"/>
    <w:rsid w:val="77373D3C"/>
    <w:rsid w:val="77452BA0"/>
    <w:rsid w:val="777A3A22"/>
    <w:rsid w:val="77B91110"/>
    <w:rsid w:val="77C548A4"/>
    <w:rsid w:val="78171724"/>
    <w:rsid w:val="78393BDC"/>
    <w:rsid w:val="784529A4"/>
    <w:rsid w:val="786F437A"/>
    <w:rsid w:val="788E46DA"/>
    <w:rsid w:val="788F00C3"/>
    <w:rsid w:val="78D06E02"/>
    <w:rsid w:val="79387CB6"/>
    <w:rsid w:val="793D4057"/>
    <w:rsid w:val="794B26E3"/>
    <w:rsid w:val="79515378"/>
    <w:rsid w:val="79607369"/>
    <w:rsid w:val="797D616D"/>
    <w:rsid w:val="799F17E8"/>
    <w:rsid w:val="79A33E26"/>
    <w:rsid w:val="79BD47BC"/>
    <w:rsid w:val="7A2D1941"/>
    <w:rsid w:val="7A613213"/>
    <w:rsid w:val="7A715CD2"/>
    <w:rsid w:val="7A9960BE"/>
    <w:rsid w:val="7A9E45ED"/>
    <w:rsid w:val="7AA216BF"/>
    <w:rsid w:val="7AC676A0"/>
    <w:rsid w:val="7ADE2C3C"/>
    <w:rsid w:val="7AE75F94"/>
    <w:rsid w:val="7AF70275"/>
    <w:rsid w:val="7B025B6E"/>
    <w:rsid w:val="7B3B62E0"/>
    <w:rsid w:val="7B486307"/>
    <w:rsid w:val="7B4F7695"/>
    <w:rsid w:val="7B6B0973"/>
    <w:rsid w:val="7B95154C"/>
    <w:rsid w:val="7BF22E42"/>
    <w:rsid w:val="7BF3250D"/>
    <w:rsid w:val="7CED69AF"/>
    <w:rsid w:val="7D537911"/>
    <w:rsid w:val="7D5D1BB2"/>
    <w:rsid w:val="7D851A94"/>
    <w:rsid w:val="7DE24E98"/>
    <w:rsid w:val="7DE92023"/>
    <w:rsid w:val="7E130E4E"/>
    <w:rsid w:val="7E3239CA"/>
    <w:rsid w:val="7E626030"/>
    <w:rsid w:val="7E7D57AD"/>
    <w:rsid w:val="7E88396C"/>
    <w:rsid w:val="7E9957F7"/>
    <w:rsid w:val="7EBE525E"/>
    <w:rsid w:val="7ED44561"/>
    <w:rsid w:val="7F121106"/>
    <w:rsid w:val="7F147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5">
    <w:name w:val="heading 1"/>
    <w:basedOn w:val="1"/>
    <w:next w:val="1"/>
    <w:link w:val="41"/>
    <w:qFormat/>
    <w:uiPriority w:val="0"/>
    <w:pPr>
      <w:keepNext/>
      <w:keepLines/>
      <w:spacing w:before="340" w:after="330" w:line="578" w:lineRule="auto"/>
      <w:outlineLvl w:val="0"/>
    </w:pPr>
    <w:rPr>
      <w:rFonts w:eastAsia="楷体_GB2312"/>
      <w:b/>
      <w:kern w:val="44"/>
      <w:sz w:val="44"/>
    </w:rPr>
  </w:style>
  <w:style w:type="paragraph" w:styleId="6">
    <w:name w:val="heading 2"/>
    <w:basedOn w:val="1"/>
    <w:next w:val="1"/>
    <w:link w:val="45"/>
    <w:qFormat/>
    <w:uiPriority w:val="9"/>
    <w:pPr>
      <w:keepNext/>
      <w:keepLines/>
      <w:spacing w:before="260" w:after="260" w:line="416" w:lineRule="auto"/>
      <w:outlineLvl w:val="1"/>
    </w:pPr>
    <w:rPr>
      <w:rFonts w:ascii="等线 Light" w:hAnsi="等线 Light" w:eastAsia="等线 Light"/>
      <w:b/>
      <w:bCs/>
      <w:sz w:val="32"/>
      <w:szCs w:val="32"/>
    </w:rPr>
  </w:style>
  <w:style w:type="paragraph" w:styleId="7">
    <w:name w:val="heading 3"/>
    <w:basedOn w:val="1"/>
    <w:next w:val="1"/>
    <w:link w:val="46"/>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autoRedefine/>
    <w:qFormat/>
    <w:uiPriority w:val="0"/>
    <w:pPr>
      <w:spacing w:line="400" w:lineRule="exact"/>
    </w:pPr>
    <w:rPr>
      <w:rFonts w:ascii="楷体_GB2312"/>
      <w:sz w:val="28"/>
    </w:rPr>
  </w:style>
  <w:style w:type="paragraph" w:customStyle="1" w:styleId="3">
    <w:name w:val="style4"/>
    <w:basedOn w:val="1"/>
    <w:next w:val="4"/>
    <w:autoRedefine/>
    <w:qFormat/>
    <w:uiPriority w:val="0"/>
    <w:pPr>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8">
    <w:name w:val="Normal Indent"/>
    <w:basedOn w:val="1"/>
    <w:next w:val="9"/>
    <w:link w:val="47"/>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9">
    <w:name w:val="Plain Text"/>
    <w:basedOn w:val="1"/>
    <w:link w:val="48"/>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10">
    <w:name w:val="toa heading"/>
    <w:basedOn w:val="1"/>
    <w:next w:val="1"/>
    <w:qFormat/>
    <w:uiPriority w:val="0"/>
    <w:pPr>
      <w:spacing w:line="360" w:lineRule="atLeast"/>
      <w:jc w:val="center"/>
      <w:textAlignment w:val="baseline"/>
    </w:pPr>
    <w:rPr>
      <w:rFonts w:ascii="Arial" w:hAnsi="Arial" w:eastAsia="黑体"/>
      <w:sz w:val="36"/>
      <w:szCs w:val="20"/>
    </w:rPr>
  </w:style>
  <w:style w:type="paragraph" w:styleId="11">
    <w:name w:val="annotation text"/>
    <w:basedOn w:val="1"/>
    <w:link w:val="49"/>
    <w:unhideWhenUsed/>
    <w:qFormat/>
    <w:uiPriority w:val="99"/>
  </w:style>
  <w:style w:type="paragraph" w:styleId="12">
    <w:name w:val="Body Text Indent"/>
    <w:basedOn w:val="1"/>
    <w:next w:val="13"/>
    <w:link w:val="43"/>
    <w:unhideWhenUsed/>
    <w:qFormat/>
    <w:uiPriority w:val="99"/>
    <w:pPr>
      <w:spacing w:after="120"/>
      <w:ind w:left="420" w:leftChars="200"/>
    </w:pPr>
  </w:style>
  <w:style w:type="paragraph" w:styleId="13">
    <w:name w:val="envelope return"/>
    <w:basedOn w:val="1"/>
    <w:autoRedefine/>
    <w:unhideWhenUsed/>
    <w:qFormat/>
    <w:uiPriority w:val="99"/>
    <w:rPr>
      <w:rFonts w:ascii="Arial" w:hAnsi="Arial"/>
    </w:rPr>
  </w:style>
  <w:style w:type="paragraph" w:styleId="14">
    <w:name w:val="Block Text"/>
    <w:basedOn w:val="1"/>
    <w:next w:val="2"/>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5">
    <w:name w:val="toc 3"/>
    <w:basedOn w:val="1"/>
    <w:next w:val="1"/>
    <w:qFormat/>
    <w:uiPriority w:val="0"/>
    <w:pPr>
      <w:ind w:left="420"/>
    </w:pPr>
    <w:rPr>
      <w:i/>
      <w:sz w:val="20"/>
      <w:szCs w:val="20"/>
    </w:rPr>
  </w:style>
  <w:style w:type="paragraph" w:styleId="16">
    <w:name w:val="Body Text Indent 2"/>
    <w:basedOn w:val="1"/>
    <w:unhideWhenUsed/>
    <w:qFormat/>
    <w:uiPriority w:val="99"/>
    <w:pPr>
      <w:spacing w:after="120" w:line="480" w:lineRule="auto"/>
      <w:ind w:left="420" w:leftChars="200"/>
    </w:pPr>
  </w:style>
  <w:style w:type="paragraph" w:styleId="17">
    <w:name w:val="Balloon Text"/>
    <w:basedOn w:val="1"/>
    <w:link w:val="51"/>
    <w:unhideWhenUsed/>
    <w:qFormat/>
    <w:uiPriority w:val="99"/>
    <w:pPr>
      <w:spacing w:after="0"/>
    </w:pPr>
    <w:rPr>
      <w:sz w:val="18"/>
      <w:szCs w:val="18"/>
    </w:rPr>
  </w:style>
  <w:style w:type="paragraph" w:styleId="18">
    <w:name w:val="footer"/>
    <w:basedOn w:val="1"/>
    <w:link w:val="52"/>
    <w:autoRedefine/>
    <w:unhideWhenUsed/>
    <w:qFormat/>
    <w:uiPriority w:val="99"/>
    <w:pPr>
      <w:tabs>
        <w:tab w:val="center" w:pos="4153"/>
        <w:tab w:val="right" w:pos="8306"/>
      </w:tabs>
    </w:pPr>
    <w:rPr>
      <w:sz w:val="18"/>
      <w:szCs w:val="18"/>
    </w:rPr>
  </w:style>
  <w:style w:type="paragraph" w:styleId="19">
    <w:name w:val="header"/>
    <w:basedOn w:val="1"/>
    <w:link w:val="53"/>
    <w:autoRedefine/>
    <w:unhideWhenUsed/>
    <w:qFormat/>
    <w:uiPriority w:val="99"/>
    <w:pPr>
      <w:pBdr>
        <w:bottom w:val="single" w:color="auto" w:sz="6" w:space="1"/>
      </w:pBdr>
      <w:tabs>
        <w:tab w:val="center" w:pos="4153"/>
        <w:tab w:val="right" w:pos="8306"/>
      </w:tabs>
      <w:jc w:val="center"/>
    </w:pPr>
    <w:rPr>
      <w:sz w:val="18"/>
      <w:szCs w:val="18"/>
    </w:rPr>
  </w:style>
  <w:style w:type="paragraph" w:styleId="20">
    <w:name w:val="toc 1"/>
    <w:basedOn w:val="1"/>
    <w:next w:val="1"/>
    <w:qFormat/>
    <w:uiPriority w:val="39"/>
    <w:pPr>
      <w:widowControl w:val="0"/>
      <w:adjustRightInd/>
      <w:snapToGrid/>
      <w:spacing w:before="120" w:after="120"/>
    </w:pPr>
    <w:rPr>
      <w:rFonts w:ascii="Times New Roman" w:hAnsi="Times New Roman" w:cs="Calibri"/>
      <w:b/>
      <w:bCs/>
      <w:caps/>
      <w:kern w:val="2"/>
      <w:sz w:val="20"/>
      <w:szCs w:val="20"/>
    </w:rPr>
  </w:style>
  <w:style w:type="paragraph" w:styleId="21">
    <w:name w:val="Body Text Indent 3"/>
    <w:basedOn w:val="1"/>
    <w:next w:val="10"/>
    <w:link w:val="54"/>
    <w:qFormat/>
    <w:uiPriority w:val="0"/>
    <w:pPr>
      <w:spacing w:after="120"/>
      <w:ind w:left="420" w:leftChars="200"/>
    </w:pPr>
    <w:rPr>
      <w:sz w:val="16"/>
      <w:szCs w:val="16"/>
    </w:rPr>
  </w:style>
  <w:style w:type="paragraph" w:styleId="22">
    <w:name w:val="Normal (Web)"/>
    <w:basedOn w:val="1"/>
    <w:qFormat/>
    <w:uiPriority w:val="0"/>
    <w:pPr>
      <w:spacing w:before="100" w:beforeAutospacing="1" w:after="100" w:afterAutospacing="1"/>
    </w:pPr>
    <w:rPr>
      <w:rFonts w:ascii="Calibri" w:hAnsi="Calibri"/>
      <w:sz w:val="24"/>
      <w:szCs w:val="24"/>
    </w:rPr>
  </w:style>
  <w:style w:type="paragraph" w:styleId="23">
    <w:name w:val="Body Text First Indent"/>
    <w:basedOn w:val="2"/>
    <w:link w:val="55"/>
    <w:qFormat/>
    <w:uiPriority w:val="0"/>
    <w:pPr>
      <w:tabs>
        <w:tab w:val="left" w:pos="2020"/>
        <w:tab w:val="center" w:pos="4535"/>
      </w:tabs>
      <w:ind w:firstLine="420" w:firstLineChars="100"/>
    </w:pPr>
  </w:style>
  <w:style w:type="paragraph" w:styleId="24">
    <w:name w:val="Body Text First Indent 2"/>
    <w:basedOn w:val="12"/>
    <w:next w:val="1"/>
    <w:link w:val="44"/>
    <w:qFormat/>
    <w:uiPriority w:val="0"/>
    <w:pPr>
      <w:widowControl w:val="0"/>
      <w:adjustRightInd/>
      <w:snapToGrid/>
      <w:ind w:firstLine="420" w:firstLineChars="200"/>
      <w:jc w:val="both"/>
    </w:pPr>
    <w:rPr>
      <w:rFonts w:ascii="Times New Roman" w:hAnsi="Times New Roman"/>
      <w:kern w:val="2"/>
      <w:sz w:val="21"/>
      <w:szCs w:val="24"/>
    </w:rPr>
  </w:style>
  <w:style w:type="table" w:styleId="26">
    <w:name w:val="Table Grid"/>
    <w:basedOn w:val="25"/>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FollowedHyperlink"/>
    <w:autoRedefine/>
    <w:unhideWhenUsed/>
    <w:qFormat/>
    <w:uiPriority w:val="99"/>
    <w:rPr>
      <w:color w:val="800080"/>
      <w:u w:val="none"/>
    </w:rPr>
  </w:style>
  <w:style w:type="character" w:styleId="29">
    <w:name w:val="HTML Definition"/>
    <w:unhideWhenUsed/>
    <w:qFormat/>
    <w:uiPriority w:val="99"/>
  </w:style>
  <w:style w:type="character" w:styleId="30">
    <w:name w:val="HTML Typewriter"/>
    <w:unhideWhenUsed/>
    <w:qFormat/>
    <w:uiPriority w:val="99"/>
    <w:rPr>
      <w:rFonts w:hint="default" w:ascii="monospace" w:hAnsi="monospace" w:eastAsia="monospace" w:cs="monospace"/>
      <w:sz w:val="20"/>
    </w:rPr>
  </w:style>
  <w:style w:type="character" w:styleId="31">
    <w:name w:val="HTML Acronym"/>
    <w:unhideWhenUsed/>
    <w:qFormat/>
    <w:uiPriority w:val="99"/>
  </w:style>
  <w:style w:type="character" w:styleId="32">
    <w:name w:val="HTML Variable"/>
    <w:unhideWhenUsed/>
    <w:qFormat/>
    <w:uiPriority w:val="99"/>
  </w:style>
  <w:style w:type="character" w:styleId="33">
    <w:name w:val="Hyperlink"/>
    <w:autoRedefine/>
    <w:unhideWhenUsed/>
    <w:qFormat/>
    <w:uiPriority w:val="99"/>
    <w:rPr>
      <w:color w:val="0000FF"/>
      <w:u w:val="none"/>
    </w:rPr>
  </w:style>
  <w:style w:type="character" w:styleId="34">
    <w:name w:val="HTML Code"/>
    <w:unhideWhenUsed/>
    <w:qFormat/>
    <w:uiPriority w:val="99"/>
    <w:rPr>
      <w:rFonts w:hint="default" w:ascii="monospace" w:hAnsi="monospace" w:eastAsia="monospace" w:cs="monospace"/>
      <w:sz w:val="20"/>
    </w:rPr>
  </w:style>
  <w:style w:type="character" w:styleId="35">
    <w:name w:val="annotation reference"/>
    <w:basedOn w:val="27"/>
    <w:semiHidden/>
    <w:unhideWhenUsed/>
    <w:qFormat/>
    <w:uiPriority w:val="99"/>
    <w:rPr>
      <w:sz w:val="21"/>
      <w:szCs w:val="21"/>
    </w:rPr>
  </w:style>
  <w:style w:type="character" w:styleId="36">
    <w:name w:val="HTML Cite"/>
    <w:autoRedefine/>
    <w:unhideWhenUsed/>
    <w:qFormat/>
    <w:uiPriority w:val="99"/>
    <w:rPr>
      <w:u w:val="none"/>
    </w:rPr>
  </w:style>
  <w:style w:type="character" w:styleId="37">
    <w:name w:val="HTML Keyboard"/>
    <w:unhideWhenUsed/>
    <w:qFormat/>
    <w:uiPriority w:val="99"/>
    <w:rPr>
      <w:rFonts w:ascii="monospace" w:hAnsi="monospace" w:eastAsia="monospace" w:cs="monospace"/>
      <w:sz w:val="20"/>
    </w:rPr>
  </w:style>
  <w:style w:type="character" w:styleId="38">
    <w:name w:val="HTML Sample"/>
    <w:unhideWhenUsed/>
    <w:qFormat/>
    <w:uiPriority w:val="99"/>
    <w:rPr>
      <w:rFonts w:hint="default" w:ascii="monospace" w:hAnsi="monospace" w:eastAsia="monospace" w:cs="monospace"/>
    </w:rPr>
  </w:style>
  <w:style w:type="paragraph" w:customStyle="1" w:styleId="39">
    <w:name w:val="正文首行缩进1"/>
    <w:basedOn w:val="40"/>
    <w:qFormat/>
    <w:uiPriority w:val="0"/>
    <w:pPr>
      <w:spacing w:line="360" w:lineRule="auto"/>
      <w:ind w:firstLine="200"/>
    </w:pPr>
    <w:rPr>
      <w:rFonts w:ascii="仿宋_GB2312" w:hAnsi="Times New Roman" w:eastAsia="仿宋_GB2312"/>
      <w:sz w:val="30"/>
      <w:szCs w:val="30"/>
    </w:rPr>
  </w:style>
  <w:style w:type="paragraph" w:customStyle="1" w:styleId="40">
    <w:name w:val="正文文本1"/>
    <w:basedOn w:val="1"/>
    <w:next w:val="1"/>
    <w:qFormat/>
    <w:uiPriority w:val="0"/>
    <w:rPr>
      <w:rFonts w:ascii="楷体_GB2312" w:hAnsi="Arial" w:eastAsia="楷体_GB2312"/>
      <w:sz w:val="28"/>
      <w:szCs w:val="28"/>
    </w:rPr>
  </w:style>
  <w:style w:type="character" w:customStyle="1" w:styleId="41">
    <w:name w:val="标题 1 字符"/>
    <w:link w:val="5"/>
    <w:qFormat/>
    <w:uiPriority w:val="0"/>
    <w:rPr>
      <w:rFonts w:ascii="Tahoma" w:hAnsi="Tahoma" w:eastAsia="楷体_GB2312"/>
      <w:b/>
      <w:kern w:val="44"/>
      <w:sz w:val="44"/>
      <w:szCs w:val="22"/>
    </w:rPr>
  </w:style>
  <w:style w:type="paragraph" w:customStyle="1" w:styleId="42">
    <w:name w:val="Default"/>
    <w:next w:val="1"/>
    <w:qFormat/>
    <w:uiPriority w:val="0"/>
    <w:pPr>
      <w:autoSpaceDE w:val="0"/>
      <w:autoSpaceDN w:val="0"/>
    </w:pPr>
    <w:rPr>
      <w:rFonts w:ascii="Arial,Bold" w:hAnsi="Arial,Bold" w:eastAsia="PMingLiU" w:cs="Times New Roman"/>
      <w:lang w:val="en-US" w:eastAsia="en-US" w:bidi="ar-SA"/>
    </w:rPr>
  </w:style>
  <w:style w:type="character" w:customStyle="1" w:styleId="43">
    <w:name w:val="正文文本缩进 字符"/>
    <w:link w:val="12"/>
    <w:autoRedefine/>
    <w:semiHidden/>
    <w:qFormat/>
    <w:uiPriority w:val="99"/>
    <w:rPr>
      <w:rFonts w:ascii="Tahoma" w:hAnsi="Tahoma"/>
      <w:sz w:val="22"/>
      <w:szCs w:val="22"/>
    </w:rPr>
  </w:style>
  <w:style w:type="character" w:customStyle="1" w:styleId="44">
    <w:name w:val="正文文本首行缩进 2 字符"/>
    <w:link w:val="24"/>
    <w:qFormat/>
    <w:uiPriority w:val="0"/>
    <w:rPr>
      <w:rFonts w:ascii="Times New Roman" w:hAnsi="Times New Roman"/>
      <w:kern w:val="2"/>
      <w:sz w:val="21"/>
      <w:szCs w:val="24"/>
    </w:rPr>
  </w:style>
  <w:style w:type="character" w:customStyle="1" w:styleId="45">
    <w:name w:val="标题 2 字符"/>
    <w:link w:val="6"/>
    <w:qFormat/>
    <w:uiPriority w:val="9"/>
    <w:rPr>
      <w:rFonts w:ascii="等线 Light" w:hAnsi="等线 Light" w:eastAsia="等线 Light" w:cs="Times New Roman"/>
      <w:b/>
      <w:bCs/>
      <w:sz w:val="32"/>
      <w:szCs w:val="32"/>
    </w:rPr>
  </w:style>
  <w:style w:type="character" w:customStyle="1" w:styleId="46">
    <w:name w:val="标题 3 字符"/>
    <w:link w:val="7"/>
    <w:qFormat/>
    <w:uiPriority w:val="99"/>
    <w:rPr>
      <w:rFonts w:ascii="Times New Roman" w:hAnsi="黑体" w:eastAsia="黑体"/>
      <w:kern w:val="2"/>
      <w:sz w:val="24"/>
    </w:rPr>
  </w:style>
  <w:style w:type="character" w:customStyle="1" w:styleId="47">
    <w:name w:val="正文缩进 字符"/>
    <w:link w:val="8"/>
    <w:qFormat/>
    <w:uiPriority w:val="0"/>
    <w:rPr>
      <w:kern w:val="2"/>
      <w:sz w:val="21"/>
    </w:rPr>
  </w:style>
  <w:style w:type="character" w:customStyle="1" w:styleId="48">
    <w:name w:val="纯文本 字符"/>
    <w:link w:val="9"/>
    <w:qFormat/>
    <w:uiPriority w:val="99"/>
    <w:rPr>
      <w:rFonts w:ascii="ˎ̥" w:hAnsi="ˎ̥" w:cs="宋体"/>
      <w:sz w:val="18"/>
      <w:szCs w:val="18"/>
      <w:shd w:val="clear" w:color="auto" w:fill="FFFFFF"/>
    </w:rPr>
  </w:style>
  <w:style w:type="character" w:customStyle="1" w:styleId="49">
    <w:name w:val="批注文字 字符"/>
    <w:link w:val="11"/>
    <w:qFormat/>
    <w:uiPriority w:val="99"/>
    <w:rPr>
      <w:rFonts w:ascii="Tahoma" w:hAnsi="Tahoma"/>
      <w:sz w:val="22"/>
      <w:szCs w:val="22"/>
    </w:rPr>
  </w:style>
  <w:style w:type="character" w:customStyle="1" w:styleId="50">
    <w:name w:val="正文文本 字符"/>
    <w:link w:val="2"/>
    <w:autoRedefine/>
    <w:qFormat/>
    <w:uiPriority w:val="0"/>
    <w:rPr>
      <w:rFonts w:ascii="楷体_GB2312" w:hAnsi="Tahoma"/>
      <w:sz w:val="28"/>
      <w:szCs w:val="22"/>
    </w:rPr>
  </w:style>
  <w:style w:type="character" w:customStyle="1" w:styleId="51">
    <w:name w:val="批注框文本 字符"/>
    <w:link w:val="17"/>
    <w:qFormat/>
    <w:uiPriority w:val="99"/>
    <w:rPr>
      <w:rFonts w:ascii="Tahoma" w:hAnsi="Tahoma"/>
      <w:sz w:val="18"/>
      <w:szCs w:val="18"/>
    </w:rPr>
  </w:style>
  <w:style w:type="character" w:customStyle="1" w:styleId="52">
    <w:name w:val="页脚 字符"/>
    <w:link w:val="18"/>
    <w:qFormat/>
    <w:uiPriority w:val="99"/>
    <w:rPr>
      <w:rFonts w:ascii="Tahoma" w:hAnsi="Tahoma"/>
      <w:sz w:val="18"/>
      <w:szCs w:val="18"/>
    </w:rPr>
  </w:style>
  <w:style w:type="character" w:customStyle="1" w:styleId="53">
    <w:name w:val="页眉 字符"/>
    <w:link w:val="19"/>
    <w:autoRedefine/>
    <w:qFormat/>
    <w:uiPriority w:val="99"/>
    <w:rPr>
      <w:rFonts w:ascii="Tahoma" w:hAnsi="Tahoma"/>
      <w:sz w:val="18"/>
      <w:szCs w:val="18"/>
    </w:rPr>
  </w:style>
  <w:style w:type="character" w:customStyle="1" w:styleId="54">
    <w:name w:val="正文文本缩进 3 字符"/>
    <w:link w:val="21"/>
    <w:qFormat/>
    <w:uiPriority w:val="0"/>
    <w:rPr>
      <w:rFonts w:ascii="Tahoma" w:hAnsi="Tahoma"/>
      <w:sz w:val="16"/>
      <w:szCs w:val="16"/>
    </w:rPr>
  </w:style>
  <w:style w:type="character" w:customStyle="1" w:styleId="55">
    <w:name w:val="正文文本首行缩进 字符"/>
    <w:link w:val="23"/>
    <w:autoRedefine/>
    <w:qFormat/>
    <w:uiPriority w:val="0"/>
    <w:rPr>
      <w:rFonts w:ascii="楷体_GB2312" w:hAnsi="Tahoma"/>
      <w:sz w:val="28"/>
      <w:szCs w:val="22"/>
    </w:rPr>
  </w:style>
  <w:style w:type="paragraph" w:customStyle="1" w:styleId="56">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7">
    <w:name w:val="普通正文"/>
    <w:basedOn w:val="1"/>
    <w:qFormat/>
    <w:uiPriority w:val="0"/>
    <w:pPr>
      <w:spacing w:before="120" w:after="120" w:line="360" w:lineRule="auto"/>
      <w:ind w:firstLine="480"/>
      <w:textAlignment w:val="baseline"/>
    </w:pPr>
    <w:rPr>
      <w:rFonts w:ascii="Arial" w:hAnsi="Arial"/>
      <w:sz w:val="24"/>
      <w:szCs w:val="24"/>
    </w:rPr>
  </w:style>
  <w:style w:type="paragraph" w:customStyle="1" w:styleId="58">
    <w:name w:val="标题 5（有编号）（绿盟科技）"/>
    <w:basedOn w:val="1"/>
    <w:next w:val="5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59">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60">
    <w:name w:val="layui-this"/>
    <w:autoRedefine/>
    <w:qFormat/>
    <w:uiPriority w:val="0"/>
    <w:rPr>
      <w:bdr w:val="single" w:color="EEEEEE" w:sz="6" w:space="0"/>
      <w:shd w:val="clear" w:color="auto" w:fill="FFFFFF"/>
    </w:rPr>
  </w:style>
  <w:style w:type="character" w:customStyle="1" w:styleId="61">
    <w:name w:val="first-child"/>
    <w:autoRedefine/>
    <w:qFormat/>
    <w:uiPriority w:val="0"/>
  </w:style>
  <w:style w:type="character" w:customStyle="1" w:styleId="62">
    <w:name w:val="*正文 Char"/>
    <w:link w:val="63"/>
    <w:autoRedefine/>
    <w:qFormat/>
    <w:uiPriority w:val="0"/>
    <w:rPr>
      <w:rFonts w:ascii="宋体" w:hAnsi="宋体" w:eastAsia="仿宋_GB2312"/>
      <w:sz w:val="32"/>
    </w:rPr>
  </w:style>
  <w:style w:type="paragraph" w:customStyle="1" w:styleId="63">
    <w:name w:val="*正文"/>
    <w:basedOn w:val="1"/>
    <w:link w:val="62"/>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4">
    <w:name w:val="font31"/>
    <w:autoRedefine/>
    <w:qFormat/>
    <w:uiPriority w:val="0"/>
    <w:rPr>
      <w:rFonts w:hint="eastAsia" w:ascii="宋体" w:hAnsi="宋体" w:eastAsia="宋体" w:cs="宋体"/>
      <w:color w:val="000000"/>
      <w:sz w:val="21"/>
      <w:szCs w:val="21"/>
      <w:u w:val="none"/>
    </w:rPr>
  </w:style>
  <w:style w:type="character" w:customStyle="1" w:styleId="65">
    <w:name w:val="font21"/>
    <w:autoRedefine/>
    <w:qFormat/>
    <w:uiPriority w:val="0"/>
    <w:rPr>
      <w:rFonts w:hint="default" w:ascii="Times New Roman" w:hAnsi="Times New Roman" w:cs="Times New Roman"/>
      <w:color w:val="000000"/>
      <w:sz w:val="24"/>
      <w:szCs w:val="24"/>
      <w:u w:val="none"/>
    </w:rPr>
  </w:style>
  <w:style w:type="character" w:customStyle="1" w:styleId="66">
    <w:name w:val="标题 3 Char"/>
    <w:autoRedefine/>
    <w:qFormat/>
    <w:uiPriority w:val="0"/>
    <w:rPr>
      <w:rFonts w:ascii="Times New Roman" w:hAnsi="Times New Roman" w:eastAsia="宋体" w:cs="Times New Roman"/>
      <w:b/>
      <w:bCs/>
      <w:sz w:val="32"/>
      <w:szCs w:val="32"/>
    </w:rPr>
  </w:style>
  <w:style w:type="character" w:customStyle="1" w:styleId="67">
    <w:name w:val="纯文本 Char1"/>
    <w:autoRedefine/>
    <w:semiHidden/>
    <w:qFormat/>
    <w:uiPriority w:val="99"/>
    <w:rPr>
      <w:rFonts w:ascii="宋体" w:hAnsi="Courier New" w:eastAsia="宋体" w:cs="Courier New"/>
      <w:sz w:val="21"/>
      <w:szCs w:val="21"/>
    </w:rPr>
  </w:style>
  <w:style w:type="character" w:customStyle="1" w:styleId="68">
    <w:name w:val="NormalCharacter"/>
    <w:autoRedefine/>
    <w:qFormat/>
    <w:uiPriority w:val="0"/>
  </w:style>
  <w:style w:type="character" w:customStyle="1" w:styleId="69">
    <w:name w:val="hover"/>
    <w:autoRedefine/>
    <w:qFormat/>
    <w:uiPriority w:val="0"/>
    <w:rPr>
      <w:color w:val="FFFFFF"/>
    </w:rPr>
  </w:style>
  <w:style w:type="character" w:customStyle="1" w:styleId="70">
    <w:name w:val="font01"/>
    <w:autoRedefine/>
    <w:qFormat/>
    <w:uiPriority w:val="0"/>
    <w:rPr>
      <w:rFonts w:hint="default" w:ascii="Calibri" w:hAnsi="Calibri" w:cs="Calibri"/>
      <w:color w:val="000000"/>
      <w:sz w:val="21"/>
      <w:szCs w:val="21"/>
      <w:u w:val="none"/>
    </w:rPr>
  </w:style>
  <w:style w:type="character" w:customStyle="1" w:styleId="71">
    <w:name w:val="正文缩进2格 Char"/>
    <w:link w:val="72"/>
    <w:autoRedefine/>
    <w:qFormat/>
    <w:locked/>
    <w:uiPriority w:val="0"/>
    <w:rPr>
      <w:rFonts w:ascii="仿宋_GB2312" w:hAnsi="宋体" w:eastAsia="仿宋_GB2312"/>
      <w:kern w:val="2"/>
      <w:sz w:val="31"/>
      <w:szCs w:val="28"/>
    </w:rPr>
  </w:style>
  <w:style w:type="paragraph" w:customStyle="1" w:styleId="72">
    <w:name w:val="正文缩进2格"/>
    <w:basedOn w:val="1"/>
    <w:link w:val="71"/>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3">
    <w:name w:val="hover2"/>
    <w:autoRedefine/>
    <w:qFormat/>
    <w:uiPriority w:val="0"/>
    <w:rPr>
      <w:color w:val="5FB878"/>
    </w:rPr>
  </w:style>
  <w:style w:type="character" w:customStyle="1" w:styleId="74">
    <w:name w:val="hover1"/>
    <w:autoRedefine/>
    <w:qFormat/>
    <w:uiPriority w:val="0"/>
    <w:rPr>
      <w:color w:val="5FB878"/>
    </w:rPr>
  </w:style>
  <w:style w:type="character" w:customStyle="1" w:styleId="75">
    <w:name w:val="列表段落 字符"/>
    <w:link w:val="76"/>
    <w:autoRedefine/>
    <w:qFormat/>
    <w:locked/>
    <w:uiPriority w:val="34"/>
    <w:rPr>
      <w:rFonts w:ascii="Calibri" w:hAnsi="Calibri" w:eastAsia="宋体" w:cs="Times New Roman"/>
      <w:kern w:val="2"/>
      <w:sz w:val="21"/>
      <w:szCs w:val="20"/>
    </w:rPr>
  </w:style>
  <w:style w:type="paragraph" w:styleId="76">
    <w:name w:val="List Paragraph"/>
    <w:basedOn w:val="1"/>
    <w:link w:val="75"/>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7">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8">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79">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80">
    <w:name w:val="BodyText1I2"/>
    <w:basedOn w:val="81"/>
    <w:autoRedefine/>
    <w:qFormat/>
    <w:uiPriority w:val="0"/>
    <w:pPr>
      <w:ind w:firstLine="420" w:firstLineChars="200"/>
    </w:pPr>
  </w:style>
  <w:style w:type="paragraph" w:customStyle="1" w:styleId="81">
    <w:name w:val="BodyTextIndent"/>
    <w:basedOn w:val="1"/>
    <w:next w:val="82"/>
    <w:autoRedefine/>
    <w:qFormat/>
    <w:uiPriority w:val="0"/>
    <w:pPr>
      <w:ind w:firstLine="480"/>
      <w:jc w:val="both"/>
      <w:textAlignment w:val="baseline"/>
    </w:pPr>
    <w:rPr>
      <w:rFonts w:eastAsia="楷体_GB2312"/>
      <w:kern w:val="2"/>
      <w:sz w:val="24"/>
    </w:rPr>
  </w:style>
  <w:style w:type="paragraph" w:customStyle="1" w:styleId="82">
    <w:name w:val="EnvelopeReturn"/>
    <w:basedOn w:val="1"/>
    <w:autoRedefine/>
    <w:qFormat/>
    <w:uiPriority w:val="0"/>
    <w:pPr>
      <w:jc w:val="both"/>
      <w:textAlignment w:val="baseline"/>
    </w:pPr>
    <w:rPr>
      <w:rFonts w:ascii="Arial" w:hAnsi="Arial" w:eastAsia="楷体_GB2312"/>
      <w:kern w:val="2"/>
      <w:sz w:val="26"/>
    </w:rPr>
  </w:style>
  <w:style w:type="paragraph" w:customStyle="1" w:styleId="83">
    <w:name w:val="列出段落1"/>
    <w:basedOn w:val="1"/>
    <w:autoRedefine/>
    <w:qFormat/>
    <w:uiPriority w:val="0"/>
    <w:pPr>
      <w:ind w:firstLine="200" w:firstLineChars="200"/>
    </w:pPr>
    <w:rPr>
      <w:rFonts w:ascii="Calibri" w:hAnsi="Calibri"/>
    </w:rPr>
  </w:style>
  <w:style w:type="character" w:customStyle="1" w:styleId="84">
    <w:name w:val="font41"/>
    <w:autoRedefine/>
    <w:qFormat/>
    <w:uiPriority w:val="0"/>
    <w:rPr>
      <w:rFonts w:hint="eastAsia" w:ascii="宋体" w:hAnsi="宋体" w:eastAsia="宋体" w:cs="宋体"/>
      <w:color w:val="000000"/>
      <w:sz w:val="20"/>
      <w:szCs w:val="20"/>
      <w:u w:val="none"/>
    </w:rPr>
  </w:style>
  <w:style w:type="character" w:customStyle="1" w:styleId="85">
    <w:name w:val="font11"/>
    <w:autoRedefine/>
    <w:qFormat/>
    <w:uiPriority w:val="0"/>
    <w:rPr>
      <w:rFonts w:hint="default" w:ascii="Times New Roman" w:hAnsi="Times New Roman" w:cs="Times New Roman"/>
      <w:color w:val="000000"/>
      <w:sz w:val="20"/>
      <w:szCs w:val="20"/>
      <w:u w:val="none"/>
    </w:rPr>
  </w:style>
  <w:style w:type="character" w:customStyle="1" w:styleId="86">
    <w:name w:val="font51"/>
    <w:autoRedefine/>
    <w:qFormat/>
    <w:uiPriority w:val="0"/>
    <w:rPr>
      <w:rFonts w:hint="default" w:ascii="Times New Roman" w:hAnsi="Times New Roman" w:cs="Times New Roman"/>
      <w:color w:val="000000"/>
      <w:sz w:val="20"/>
      <w:szCs w:val="20"/>
      <w:u w:val="none"/>
    </w:rPr>
  </w:style>
  <w:style w:type="paragraph" w:customStyle="1" w:styleId="87">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8">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89">
    <w:name w:val="表格"/>
    <w:basedOn w:val="1"/>
    <w:qFormat/>
    <w:uiPriority w:val="0"/>
    <w:pPr>
      <w:spacing w:after="0" w:line="460" w:lineRule="exact"/>
    </w:pPr>
    <w:rPr>
      <w:rFonts w:hint="eastAsia" w:ascii="宋体" w:hAnsi="宋体" w:cs="宋体"/>
      <w:spacing w:val="7"/>
      <w:sz w:val="24"/>
      <w:szCs w:val="28"/>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2561</Words>
  <Characters>2838</Characters>
  <Lines>120</Lines>
  <Paragraphs>33</Paragraphs>
  <TotalTime>191</TotalTime>
  <ScaleCrop>false</ScaleCrop>
  <LinksUpToDate>false</LinksUpToDate>
  <CharactersWithSpaces>2889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2025-08-14T00:30:00Z</dcterms:created>
  <dc:creator>Administrator</dc:creator>
  <cp:lastModifiedBy>jessie</cp:lastModifiedBy>
  <cp:lastPrinted>2019-08-12T03:11:00Z</cp:lastPrinted>
  <dcterms:modified xsi:type="dcterms:W3CDTF">2025-11-05T00:23:19Z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960CA42700B143D2A702AA13940E93B1_13</vt:lpwstr>
  </property>
  <property fmtid="{D5CDD505-2E9C-101B-9397-08002B2CF9AE}" pid="4" name="KSOTemplateDocerSaveRecord">
    <vt:lpwstr>eyJoZGlkIjoiMTY2YTExYjU4MWEzY2MzM2I4OTY2NWYxMWY5ZTNlMmIiLCJ1c2VySWQiOiI2Mzc4MTQzODgifQ==</vt:lpwstr>
  </property>
</Properties>
</file>